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cs="Times New Roman"/>
          <w:b/>
          <w:i w:val="0"/>
          <w:sz w:val="24"/>
        </w:rPr>
        <w:t>INTERNAL MEMORANDUM</w:t>
      </w:r>
    </w:p>
    <w:p>
      <w:pPr>
        <w:spacing w:line="240" w:lineRule="auto" w:after="40"/>
        <w:jc w:val="center"/>
      </w:pPr>
      <w:r>
        <w:rPr>
          <w:rFonts w:ascii="Times New Roman" w:hAnsi="Times New Roman" w:cs="Times New Roman"/>
          <w:b/>
          <w:i w:val="0"/>
          <w:sz w:val="24"/>
        </w:rPr>
        <w:t>PRIVILEGED &amp; CONFIDENTIAL — ATTORNEY WORK PRODUCT / ATTORNEY-CLIENT COMMUNICATION</w:t>
      </w:r>
    </w:p>
    <w:p>
      <w:pPr>
        <w:spacing w:line="240" w:lineRule="auto" w:after="40"/>
        <w:jc w:val="center"/>
      </w:pPr>
      <w:r>
        <w:rPr>
          <w:rFonts w:ascii="Times New Roman" w:hAnsi="Times New Roman" w:cs="Times New Roman"/>
          <w:b w:val="0"/>
          <w:i w:val="0"/>
          <w:sz w:val="24"/>
        </w:rPr>
        <w:t>STONEBRIDGE &amp; CALLOWAY LLP</w:t>
      </w:r>
    </w:p>
    <w:p>
      <w:pPr>
        <w:spacing w:line="240" w:lineRule="auto"/>
      </w:pPr>
    </w:p>
    <w:p>
      <w:pPr>
        <w:spacing w:line="240" w:lineRule="auto" w:after="40"/>
        <w:jc w:val="left"/>
      </w:pPr>
      <w:r>
        <w:rPr>
          <w:rFonts w:ascii="Times New Roman" w:hAnsi="Times New Roman" w:cs="Times New Roman"/>
          <w:b/>
          <w:i w:val="0"/>
          <w:sz w:val="24"/>
        </w:rPr>
        <w:t>TO:</w:t>
      </w:r>
      <w:r>
        <w:rPr>
          <w:rFonts w:ascii="Times New Roman" w:hAnsi="Times New Roman" w:cs="Times New Roman"/>
          <w:b w:val="0"/>
          <w:i w:val="0"/>
          <w:sz w:val="24"/>
        </w:rPr>
        <w:tab/>
        <w:t>Margaret “Meg” Calloway, Lead Partner</w:t>
      </w:r>
    </w:p>
    <w:p>
      <w:pPr>
        <w:spacing w:line="240" w:lineRule="auto" w:after="40"/>
        <w:jc w:val="left"/>
      </w:pPr>
      <w:r>
        <w:rPr>
          <w:rFonts w:ascii="Times New Roman" w:hAnsi="Times New Roman" w:cs="Times New Roman"/>
          <w:b/>
          <w:i w:val="0"/>
          <w:sz w:val="24"/>
        </w:rPr>
        <w:t>FROM:</w:t>
      </w:r>
      <w:r>
        <w:rPr>
          <w:rFonts w:ascii="Times New Roman" w:hAnsi="Times New Roman" w:cs="Times New Roman"/>
          <w:b w:val="0"/>
          <w:i w:val="0"/>
          <w:sz w:val="24"/>
        </w:rPr>
        <w:tab/>
        <w:t>David Arsenault, Senior Associate; Litigation Team</w:t>
      </w:r>
    </w:p>
    <w:p>
      <w:pPr>
        <w:spacing w:line="240" w:lineRule="auto" w:after="40"/>
        <w:jc w:val="left"/>
      </w:pPr>
      <w:r>
        <w:rPr>
          <w:rFonts w:ascii="Times New Roman" w:hAnsi="Times New Roman" w:cs="Times New Roman"/>
          <w:b/>
          <w:i w:val="0"/>
          <w:sz w:val="24"/>
        </w:rPr>
        <w:t>DATE:</w:t>
      </w:r>
      <w:r>
        <w:rPr>
          <w:rFonts w:ascii="Times New Roman" w:hAnsi="Times New Roman" w:cs="Times New Roman"/>
          <w:b w:val="0"/>
          <w:i w:val="0"/>
          <w:sz w:val="24"/>
        </w:rPr>
        <w:tab/>
        <w:t>January 11, 2024</w:t>
      </w:r>
    </w:p>
    <w:p>
      <w:pPr>
        <w:spacing w:line="240" w:lineRule="auto" w:after="40"/>
        <w:jc w:val="left"/>
      </w:pPr>
      <w:r>
        <w:rPr>
          <w:rFonts w:ascii="Times New Roman" w:hAnsi="Times New Roman" w:cs="Times New Roman"/>
          <w:b/>
          <w:i w:val="0"/>
          <w:sz w:val="24"/>
        </w:rPr>
        <w:t>RE:</w:t>
      </w:r>
      <w:r>
        <w:rPr>
          <w:rFonts w:ascii="Times New Roman" w:hAnsi="Times New Roman" w:cs="Times New Roman"/>
          <w:b w:val="0"/>
          <w:i w:val="0"/>
          <w:sz w:val="24"/>
        </w:rPr>
        <w:tab/>
        <w:t>Threshold Issues — Meridian's Rule 12(b)(6) Motion to Dismiss (Arcadia Health Systems, LLC v. Meridian Cloud Solutions, Inc., No. 1:23-cv-00847-CMA)</w:t>
      </w:r>
    </w:p>
    <w:p>
      <w:pPr>
        <w:spacing w:line="240" w:lineRule="auto" w:before="40" w:after="120"/>
        <w:pBdr>
          <w:bottom w:val="single" w:sz="6" w:space="1" w:color="000000"/>
        </w:pBdr>
      </w:pPr>
    </w:p>
    <w:p>
      <w:pPr>
        <w:spacing w:line="240" w:lineRule="auto" w:before="240" w:after="80"/>
        <w:jc w:val="left"/>
      </w:pPr>
      <w:r>
        <w:rPr>
          <w:rFonts w:ascii="Times New Roman" w:hAnsi="Times New Roman" w:cs="Times New Roman"/>
          <w:b/>
          <w:i w:val="0"/>
          <w:sz w:val="24"/>
        </w:rPr>
        <w:t>I. Overview</w:t>
      </w:r>
    </w:p>
    <w:p>
      <w:pPr>
        <w:spacing w:line="240" w:lineRule="auto" w:after="160"/>
        <w:jc w:val="both"/>
      </w:pPr>
      <w:r>
        <w:rPr>
          <w:rFonts w:ascii="Times New Roman" w:hAnsi="Times New Roman" w:cs="Times New Roman"/>
          <w:b w:val="0"/>
          <w:i w:val="0"/>
          <w:sz w:val="24"/>
        </w:rPr>
        <w:t>We are filing Meridian's Rule 12(b)(6) motion to dismiss all five counts of Arcadia's First Amended Complaint on or before the January 15, 2024 dispositive-motion deadline. The motion is strong on the merits: Counts II–V each fail on multiple independent legal grounds, and Count I is subject to powerful contractual defenses. Before we file, however, several threshold issues warrant your attention. The most significant—by far—is a likely defect in subject-matter jurisdiction that could moot the motion and remand the case to state court.</w:t>
      </w:r>
    </w:p>
    <w:p>
      <w:pPr>
        <w:spacing w:line="240" w:lineRule="auto" w:after="160"/>
        <w:jc w:val="both"/>
      </w:pPr>
      <w:r>
        <w:rPr>
          <w:rFonts w:ascii="Times New Roman" w:hAnsi="Times New Roman" w:cs="Times New Roman"/>
          <w:b w:val="0"/>
          <w:i w:val="0"/>
          <w:sz w:val="24"/>
        </w:rPr>
        <w:t>This memo flags (1) the diversity-jurisdiction problem; (2) the post-answer 12(b)(6) procedural posture; (3) choice-of-law exposure on the torts; (4) the DTPA pre-suit-notice and exemption issues; (5) the jury-trial waiver; (6) the risk profile of dismissing Count I; (7) the limits of the 12(b)(6) record; and (8) the damages-cap calculation. Recommendations appear in Part X.</w:t>
      </w:r>
    </w:p>
    <w:p>
      <w:pPr>
        <w:spacing w:line="240" w:lineRule="auto" w:before="240" w:after="80"/>
        <w:jc w:val="left"/>
      </w:pPr>
      <w:r>
        <w:rPr>
          <w:rFonts w:ascii="Times New Roman" w:hAnsi="Times New Roman" w:cs="Times New Roman"/>
          <w:b/>
          <w:i w:val="0"/>
          <w:sz w:val="24"/>
        </w:rPr>
        <w:t>II. Threshold Issue #1 — Subject-Matter Jurisdiction: Complete Diversity Appears Destroyed (CRITICAL)</w:t>
      </w:r>
    </w:p>
    <w:p>
      <w:pPr>
        <w:spacing w:line="240" w:lineRule="auto" w:after="160"/>
        <w:jc w:val="both"/>
      </w:pPr>
      <w:r>
        <w:rPr>
          <w:rFonts w:ascii="Times New Roman" w:hAnsi="Times New Roman" w:cs="Times New Roman"/>
          <w:b w:val="0"/>
          <w:i w:val="0"/>
          <w:sz w:val="24"/>
        </w:rPr>
        <w:t>This is the issue that keeps me up at night. Our own removal petition may have been wrong about diversity, and the defect appears on the face of the operative complaint.</w:t>
      </w:r>
    </w:p>
    <w:p>
      <w:pPr>
        <w:spacing w:line="240" w:lineRule="auto" w:after="160"/>
        <w:jc w:val="both"/>
      </w:pPr>
      <w:r>
        <w:rPr>
          <w:rFonts w:ascii="Times New Roman" w:hAnsi="Times New Roman" w:cs="Times New Roman"/>
          <w:b/>
          <w:i w:val="0"/>
          <w:sz w:val="24"/>
        </w:rPr>
        <w:t>The analysis.</w:t>
      </w:r>
      <w:r>
        <w:rPr>
          <w:rFonts w:ascii="Times New Roman" w:hAnsi="Times New Roman" w:cs="Times New Roman"/>
          <w:b w:val="0"/>
          <w:i w:val="0"/>
          <w:sz w:val="24"/>
        </w:rPr>
        <w:t xml:space="preserve"> For diversity purposes: Meridian is a citizen of Delaware (state of incorporation) and Texas (principal place of business—Austin). 28 U.S.C. § 1332(c)(1). Arcadia is a Texas LLC. An LLC's citizenship is determined by the citizenship of all its members. </w:t>
      </w:r>
      <w:r>
        <w:rPr>
          <w:rFonts w:ascii="Times New Roman" w:hAnsi="Times New Roman" w:cs="Times New Roman"/>
          <w:b w:val="0"/>
          <w:i/>
          <w:sz w:val="24"/>
        </w:rPr>
        <w:t>Harvey v. Grey Wolf Drilling Co.</w:t>
      </w:r>
      <w:r>
        <w:rPr>
          <w:rFonts w:ascii="Times New Roman" w:hAnsi="Times New Roman" w:cs="Times New Roman"/>
          <w:b w:val="0"/>
          <w:i w:val="0"/>
          <w:sz w:val="24"/>
        </w:rPr>
        <w:t xml:space="preserve">, 542 F.3d 1077, 1080 (5th Cir. 2008). Per the operating agreement (Exhibit A) and the FAC (¶¶ 7–8), Arcadia's members are: (a) Dr. Rachel Okonkwo (Texas); (b) Martin Schreiber (Texas); and (c) Apex Medical Ventures, LP, a Delaware limited partnership. A partnership's citizenship includes all its partners, </w:t>
      </w:r>
      <w:r>
        <w:rPr>
          <w:rFonts w:ascii="Times New Roman" w:hAnsi="Times New Roman" w:cs="Times New Roman"/>
          <w:b w:val="0"/>
          <w:i/>
          <w:sz w:val="24"/>
        </w:rPr>
        <w:t>Carden v. Arkoma Assocs.</w:t>
      </w:r>
      <w:r>
        <w:rPr>
          <w:rFonts w:ascii="Times New Roman" w:hAnsi="Times New Roman" w:cs="Times New Roman"/>
          <w:b w:val="0"/>
          <w:i w:val="0"/>
          <w:sz w:val="24"/>
        </w:rPr>
        <w:t>, 494 U.S. 185, 195–96 (1990)—here, Apex Medical Ventures GP, Inc., a Delaware corporation with its principal place of business in Wilmington, Delaware (a Delaware citizen), and the Okonkwo Family Trust (a Texas citizen).</w:t>
      </w:r>
    </w:p>
    <w:p>
      <w:pPr>
        <w:spacing w:line="240" w:lineRule="auto" w:after="160"/>
        <w:jc w:val="both"/>
      </w:pPr>
      <w:r>
        <w:rPr>
          <w:rFonts w:ascii="Times New Roman" w:hAnsi="Times New Roman" w:cs="Times New Roman"/>
          <w:b/>
          <w:i w:val="0"/>
          <w:sz w:val="24"/>
        </w:rPr>
        <w:t>The problem.</w:t>
      </w:r>
      <w:r>
        <w:rPr>
          <w:rFonts w:ascii="Times New Roman" w:hAnsi="Times New Roman" w:cs="Times New Roman"/>
          <w:b w:val="0"/>
          <w:i w:val="0"/>
          <w:sz w:val="24"/>
        </w:rPr>
        <w:t xml:space="preserve"> Because Apex Medical Ventures GP, Inc. is a Delaware citizen, Arcadia is a citizen of Delaware (as well as Texas). Meridian is also a citizen of Delaware (and Texas). The parties therefore share citizenship in both Delaware and Texas. Complete diversity is destroyed. </w:t>
      </w:r>
      <w:r>
        <w:rPr>
          <w:rFonts w:ascii="Times New Roman" w:hAnsi="Times New Roman" w:cs="Times New Roman"/>
          <w:b w:val="0"/>
          <w:i/>
          <w:sz w:val="24"/>
        </w:rPr>
        <w:t>Strawbridge v. Curtiss</w:t>
      </w:r>
      <w:r>
        <w:rPr>
          <w:rFonts w:ascii="Times New Roman" w:hAnsi="Times New Roman" w:cs="Times New Roman"/>
          <w:b w:val="0"/>
          <w:i w:val="0"/>
          <w:sz w:val="24"/>
        </w:rPr>
        <w:t>, 7 U.S. (3 Cranch) 267 (1806).</w:t>
      </w:r>
    </w:p>
    <w:p>
      <w:pPr>
        <w:spacing w:line="240" w:lineRule="auto" w:after="160"/>
        <w:jc w:val="both"/>
      </w:pPr>
      <w:r>
        <w:rPr>
          <w:rFonts w:ascii="Times New Roman" w:hAnsi="Times New Roman" w:cs="Times New Roman"/>
          <w:b/>
          <w:i w:val="0"/>
          <w:sz w:val="24"/>
        </w:rPr>
        <w:t>How we got here.</w:t>
      </w:r>
      <w:r>
        <w:rPr>
          <w:rFonts w:ascii="Times New Roman" w:hAnsi="Times New Roman" w:cs="Times New Roman"/>
          <w:b w:val="0"/>
          <w:i w:val="0"/>
          <w:sz w:val="24"/>
        </w:rPr>
        <w:t xml:space="preserve"> The Notice of Removal (¶¶ 12–14) analyzed Arcadia's citizenship by looking only at its managing member, Dr. Okonkwo (a Texas citizen), and concluded Arcadia is a citizen of Texas only. That is not the law for LLCs—every member's citizenship counts, and the citizenship of an LP member runs up through its general partner. Critically, the FAC itself (¶¶ 7–8) discloses Apex and its Delaware general partner, so the diversity-destroying facts are on the face of the operative pleading.</w:t>
      </w:r>
    </w:p>
    <w:p>
      <w:pPr>
        <w:spacing w:line="240" w:lineRule="auto" w:after="160"/>
        <w:jc w:val="both"/>
      </w:pPr>
      <w:r>
        <w:rPr>
          <w:rFonts w:ascii="Times New Roman" w:hAnsi="Times New Roman" w:cs="Times New Roman"/>
          <w:b/>
          <w:i w:val="0"/>
          <w:sz w:val="24"/>
        </w:rPr>
        <w:t>Consequences.</w:t>
      </w:r>
      <w:r>
        <w:rPr>
          <w:rFonts w:ascii="Times New Roman" w:hAnsi="Times New Roman" w:cs="Times New Roman"/>
          <w:b w:val="0"/>
          <w:i w:val="0"/>
          <w:sz w:val="24"/>
        </w:rPr>
        <w:t xml:space="preserve"> Subject-matter jurisdiction cannot be waived and may be raised at any time by any party or sua sponte by the Court. </w:t>
      </w:r>
      <w:r>
        <w:rPr>
          <w:rFonts w:ascii="Times New Roman" w:hAnsi="Times New Roman" w:cs="Times New Roman"/>
          <w:b w:val="0"/>
          <w:i/>
          <w:sz w:val="24"/>
        </w:rPr>
        <w:t>Arbaugh v. Y &amp; H Corp.</w:t>
      </w:r>
      <w:r>
        <w:rPr>
          <w:rFonts w:ascii="Times New Roman" w:hAnsi="Times New Roman" w:cs="Times New Roman"/>
          <w:b w:val="0"/>
          <w:i w:val="0"/>
          <w:sz w:val="24"/>
        </w:rPr>
        <w:t>, 546 U.S. 500, 514 (2006). If the Court acts, the case must be remanded. 28 U.S.C. § 1447(c). That would moot our 12(b)(6) motion (the state court would rule on it under Texas pleading standards, or we would re-file there).</w:t>
      </w:r>
    </w:p>
    <w:p>
      <w:pPr>
        <w:spacing w:line="240" w:lineRule="auto" w:after="160"/>
        <w:jc w:val="both"/>
      </w:pPr>
      <w:r>
        <w:rPr>
          <w:rFonts w:ascii="Times New Roman" w:hAnsi="Times New Roman" w:cs="Times New Roman"/>
          <w:b/>
          <w:i w:val="0"/>
          <w:sz w:val="24"/>
        </w:rPr>
        <w:t>Two wrinkles to resolve before we decide what to do:</w:t>
      </w:r>
    </w:p>
    <w:p>
      <w:pPr>
        <w:spacing w:line="240" w:lineRule="auto" w:after="120"/>
        <w:ind w:left="576" w:hanging="360"/>
        <w:jc w:val="both"/>
      </w:pPr>
      <w:r>
        <w:rPr>
          <w:rFonts w:ascii="Times New Roman" w:hAnsi="Times New Roman" w:cs="Times New Roman"/>
          <w:b w:val="0"/>
          <w:i w:val="0"/>
          <w:sz w:val="24"/>
        </w:rPr>
        <w:t xml:space="preserve">•  </w:t>
      </w:r>
      <w:r>
        <w:rPr>
          <w:rFonts w:ascii="Times New Roman" w:hAnsi="Times New Roman" w:cs="Times New Roman"/>
          <w:b/>
          <w:i w:val="0"/>
          <w:sz w:val="24"/>
        </w:rPr>
        <w:t>Trust characterization.</w:t>
      </w:r>
      <w:r>
        <w:rPr>
          <w:rFonts w:ascii="Times New Roman" w:hAnsi="Times New Roman" w:cs="Times New Roman"/>
          <w:b w:val="0"/>
          <w:i w:val="0"/>
          <w:sz w:val="24"/>
        </w:rPr>
        <w:t xml:space="preserve"> The FAC (¶ 8) calls the Okonkwo Family Trust “irrevocable,” while the operating agreement (Exhibit A, note 3(b)) calls it a “revocable inter vivos trust.” The discrepancy does not change the bottom line—Dr. Okonkwo is both trustee and primary beneficiary and is a Texas domiciliary, so the trust is a Texas citizen either way—but we should reconcile it and confirm the trust documents.</w:t>
      </w:r>
    </w:p>
    <w:p>
      <w:pPr>
        <w:spacing w:line="240" w:lineRule="auto" w:after="120"/>
        <w:ind w:left="576" w:hanging="360"/>
        <w:jc w:val="both"/>
      </w:pPr>
      <w:r>
        <w:rPr>
          <w:rFonts w:ascii="Times New Roman" w:hAnsi="Times New Roman" w:cs="Times New Roman"/>
          <w:b w:val="0"/>
          <w:i w:val="0"/>
          <w:sz w:val="24"/>
        </w:rPr>
        <w:t xml:space="preserve">•  </w:t>
      </w:r>
      <w:r>
        <w:rPr>
          <w:rFonts w:ascii="Times New Roman" w:hAnsi="Times New Roman" w:cs="Times New Roman"/>
          <w:b/>
          <w:i w:val="0"/>
          <w:sz w:val="24"/>
        </w:rPr>
        <w:t>Apex's partnership agreement.</w:t>
      </w:r>
      <w:r>
        <w:rPr>
          <w:rFonts w:ascii="Times New Roman" w:hAnsi="Times New Roman" w:cs="Times New Roman"/>
          <w:b w:val="0"/>
          <w:i w:val="0"/>
          <w:sz w:val="24"/>
        </w:rPr>
        <w:t xml:space="preserve"> We should confirm Apex Medical Ventures GP, Inc.'s state of incorporation and principal place of business from Apex's partnership agreement (not just the operating agreement's recital). If the GP's PPB is somewhere other than Delaware, the analysis could shift—but the FAC and operating agreement both place it in Wilmington, Delaware.</w:t>
      </w:r>
    </w:p>
    <w:p>
      <w:pPr>
        <w:spacing w:line="240" w:lineRule="auto" w:after="160"/>
        <w:jc w:val="both"/>
      </w:pPr>
      <w:r>
        <w:rPr>
          <w:rFonts w:ascii="Times New Roman" w:hAnsi="Times New Roman" w:cs="Times New Roman"/>
          <w:b/>
          <w:i w:val="0"/>
          <w:sz w:val="24"/>
        </w:rPr>
        <w:t>Strategic considerations.</w:t>
      </w:r>
      <w:r>
        <w:rPr>
          <w:rFonts w:ascii="Times New Roman" w:hAnsi="Times New Roman" w:cs="Times New Roman"/>
          <w:b w:val="0"/>
          <w:i w:val="0"/>
          <w:sz w:val="24"/>
        </w:rPr>
        <w:t xml:space="preserve"> This is delicate because we removed the case. Options:</w:t>
      </w:r>
    </w:p>
    <w:p>
      <w:pPr>
        <w:spacing w:line="240" w:lineRule="auto" w:after="120"/>
        <w:ind w:left="576" w:hanging="360"/>
        <w:jc w:val="both"/>
      </w:pPr>
      <w:r>
        <w:rPr>
          <w:rFonts w:ascii="Times New Roman" w:hAnsi="Times New Roman" w:cs="Times New Roman"/>
          <w:b w:val="0"/>
          <w:i w:val="0"/>
          <w:sz w:val="24"/>
        </w:rPr>
        <w:t xml:space="preserve">•  (a) </w:t>
      </w:r>
      <w:r>
        <w:rPr>
          <w:rFonts w:ascii="Times New Roman" w:hAnsi="Times New Roman" w:cs="Times New Roman"/>
          <w:b/>
          <w:i w:val="0"/>
          <w:sz w:val="24"/>
        </w:rPr>
        <w:t>File a separate Rule 12(b)(1) motion / alert the Court.</w:t>
      </w:r>
      <w:r>
        <w:rPr>
          <w:rFonts w:ascii="Times New Roman" w:hAnsi="Times New Roman" w:cs="Times New Roman"/>
          <w:b w:val="0"/>
          <w:i w:val="0"/>
          <w:sz w:val="24"/>
        </w:rPr>
        <w:t xml:space="preserve"> Candid and avoids the embarrassment of the Court (or Arcadia) surfacing it later, but it is awkward to attack our own removal and could hand Arcadia a remand it may want.</w:t>
      </w:r>
    </w:p>
    <w:p>
      <w:pPr>
        <w:spacing w:line="240" w:lineRule="auto" w:after="120"/>
        <w:ind w:left="576" w:hanging="360"/>
        <w:jc w:val="both"/>
      </w:pPr>
      <w:r>
        <w:rPr>
          <w:rFonts w:ascii="Times New Roman" w:hAnsi="Times New Roman" w:cs="Times New Roman"/>
          <w:b w:val="0"/>
          <w:i w:val="0"/>
          <w:sz w:val="24"/>
        </w:rPr>
        <w:t xml:space="preserve">•  (b) </w:t>
      </w:r>
      <w:r>
        <w:rPr>
          <w:rFonts w:ascii="Times New Roman" w:hAnsi="Times New Roman" w:cs="Times New Roman"/>
          <w:b/>
          <w:i w:val="0"/>
          <w:sz w:val="24"/>
        </w:rPr>
        <w:t>File the 12(b)(6) and say nothing; let the jurisdictional issue lie.</w:t>
      </w:r>
      <w:r>
        <w:rPr>
          <w:rFonts w:ascii="Times New Roman" w:hAnsi="Times New Roman" w:cs="Times New Roman"/>
          <w:b w:val="0"/>
          <w:i w:val="0"/>
          <w:sz w:val="24"/>
        </w:rPr>
        <w:t xml:space="preserve"> Risky—the Court may notice it (the FAC discloses the Delaware GP), and Arcadia can move to remand at any time before final judgment. § 1447(c).</w:t>
      </w:r>
    </w:p>
    <w:p>
      <w:pPr>
        <w:spacing w:line="240" w:lineRule="auto" w:after="120"/>
        <w:ind w:left="576" w:hanging="360"/>
        <w:jc w:val="both"/>
      </w:pPr>
      <w:r>
        <w:rPr>
          <w:rFonts w:ascii="Times New Roman" w:hAnsi="Times New Roman" w:cs="Times New Roman"/>
          <w:b w:val="0"/>
          <w:i w:val="0"/>
          <w:sz w:val="24"/>
        </w:rPr>
        <w:t xml:space="preserve">•  (c) </w:t>
      </w:r>
      <w:r>
        <w:rPr>
          <w:rFonts w:ascii="Times New Roman" w:hAnsi="Times New Roman" w:cs="Times New Roman"/>
          <w:b/>
          <w:i w:val="0"/>
          <w:sz w:val="24"/>
        </w:rPr>
        <w:t>Proceed with the 12(b)(6) now</w:t>
      </w:r>
      <w:r>
        <w:rPr>
          <w:rFonts w:ascii="Times New Roman" w:hAnsi="Times New Roman" w:cs="Times New Roman"/>
          <w:b w:val="0"/>
          <w:i w:val="0"/>
          <w:sz w:val="24"/>
        </w:rPr>
        <w:t xml:space="preserve"> (to meet the deadline and preserve our defenses) and address jurisdiction separately after we confirm the facts.</w:t>
      </w:r>
    </w:p>
    <w:p>
      <w:pPr>
        <w:spacing w:line="240" w:lineRule="auto" w:after="160"/>
        <w:jc w:val="both"/>
      </w:pPr>
      <w:r>
        <w:rPr>
          <w:rFonts w:ascii="Times New Roman" w:hAnsi="Times New Roman" w:cs="Times New Roman"/>
          <w:b w:val="0"/>
          <w:i w:val="0"/>
          <w:sz w:val="24"/>
        </w:rPr>
        <w:t xml:space="preserve">Forum preference matters here. Federal court has been favorable to us: Judge Alvarez applies rigorous pleading standards (helpful on the fraud/DTPA counts), and the jury-trial waiver (§ 12.9) means a bench trial. If remanded, the case goes to state court in Austin/Travis County (per the § 12.8 forum-selection clause); the contractual defenses still apply, but Texas pleading standards are more permissive and the jury-waiver issue may be re-litigated. </w:t>
      </w:r>
      <w:r>
        <w:rPr>
          <w:rFonts w:ascii="Times New Roman" w:hAnsi="Times New Roman" w:cs="Times New Roman"/>
          <w:b/>
          <w:i w:val="0"/>
          <w:sz w:val="24"/>
        </w:rPr>
        <w:t>My lean:</w:t>
      </w:r>
      <w:r>
        <w:rPr>
          <w:rFonts w:ascii="Times New Roman" w:hAnsi="Times New Roman" w:cs="Times New Roman"/>
          <w:b w:val="0"/>
          <w:i w:val="0"/>
          <w:sz w:val="24"/>
        </w:rPr>
        <w:t xml:space="preserve"> confirm the citizenship facts immediately; if the defect is real, we should weigh whether federal or state forum is more advantageous before deciding whether to surface the issue. We should not let the 12(b)(6) deadline pass in the meantime.</w:t>
      </w:r>
    </w:p>
    <w:p>
      <w:pPr>
        <w:spacing w:line="240" w:lineRule="auto" w:before="240" w:after="80"/>
        <w:jc w:val="left"/>
      </w:pPr>
      <w:r>
        <w:rPr>
          <w:rFonts w:ascii="Times New Roman" w:hAnsi="Times New Roman" w:cs="Times New Roman"/>
          <w:b/>
          <w:i w:val="0"/>
          <w:sz w:val="24"/>
        </w:rPr>
        <w:t>III. Threshold Issue #2 — Post-Answer 12(b)(6) Procedural Posture</w:t>
      </w:r>
    </w:p>
    <w:p>
      <w:pPr>
        <w:spacing w:line="240" w:lineRule="auto" w:after="160"/>
        <w:jc w:val="both"/>
      </w:pPr>
      <w:r>
        <w:rPr>
          <w:rFonts w:ascii="Times New Roman" w:hAnsi="Times New Roman" w:cs="Times New Roman"/>
          <w:b/>
          <w:i w:val="0"/>
          <w:sz w:val="24"/>
        </w:rPr>
        <w:t>We preserved the defense.</w:t>
      </w:r>
      <w:r>
        <w:rPr>
          <w:rFonts w:ascii="Times New Roman" w:hAnsi="Times New Roman" w:cs="Times New Roman"/>
          <w:b w:val="0"/>
          <w:i w:val="0"/>
          <w:sz w:val="24"/>
        </w:rPr>
        <w:t xml:space="preserve"> The Answer (First Affirmative Defense and Section III) expressly preserved Rule 12(b)(6), and we gave the November 8, 2023 notice-of-intent letter. The Standing Order (§ 3.4) permits post-answer 12(b)(6) motions where the defense is preserved in the answer. Good.</w:t>
      </w:r>
    </w:p>
    <w:p>
      <w:pPr>
        <w:spacing w:line="240" w:lineRule="auto" w:after="160"/>
        <w:jc w:val="both"/>
      </w:pPr>
      <w:r>
        <w:rPr>
          <w:rFonts w:ascii="Times New Roman" w:hAnsi="Times New Roman" w:cs="Times New Roman"/>
          <w:b/>
          <w:i w:val="0"/>
          <w:sz w:val="24"/>
        </w:rPr>
        <w:t>One tension to flag.</w:t>
      </w:r>
      <w:r>
        <w:rPr>
          <w:rFonts w:ascii="Times New Roman" w:hAnsi="Times New Roman" w:cs="Times New Roman"/>
          <w:b w:val="0"/>
          <w:i w:val="0"/>
          <w:sz w:val="24"/>
        </w:rPr>
        <w:t xml:space="preserve"> The Standing Order (§ 3.4) says a preserved post-answer motion “will be treated as a Rule 12(b)(6) motion.” The Scheduling Order says the Court “will treat any such motion as a Rule 12(c) motion ... evaluated under the same standard as a Rule 12(b)(6) motion.” The standard is identical (Twombly/Iqbal), so the distinction is largely cosmetic, but I have framed the motion as a 12(b)(6) motion (per the Standing Order and our preservation) while noting that the same standard governs if the Court treats it as 12(c). We should be prepared for the Court to denominate it as 12(c).</w:t>
      </w:r>
    </w:p>
    <w:p>
      <w:pPr>
        <w:spacing w:line="240" w:lineRule="auto" w:after="160"/>
        <w:jc w:val="both"/>
      </w:pPr>
      <w:r>
        <w:rPr>
          <w:rFonts w:ascii="Times New Roman" w:hAnsi="Times New Roman" w:cs="Times New Roman"/>
          <w:b/>
          <w:i w:val="0"/>
          <w:sz w:val="24"/>
        </w:rPr>
        <w:t>Certificate of conference.</w:t>
      </w:r>
      <w:r>
        <w:rPr>
          <w:rFonts w:ascii="Times New Roman" w:hAnsi="Times New Roman" w:cs="Times New Roman"/>
          <w:b w:val="0"/>
          <w:i w:val="0"/>
          <w:sz w:val="24"/>
        </w:rPr>
        <w:t xml:space="preserve"> The Standing Order (§ 3.1) requires a good-faith certificate of conference for dispositive motions, filed as a separate document. I conferred with Breckenridge on January 8, 2024; Arcadia opposes dismissal of all counts. The certificate is included in the motion.</w:t>
      </w:r>
    </w:p>
    <w:p>
      <w:pPr>
        <w:spacing w:line="240" w:lineRule="auto" w:after="160"/>
        <w:jc w:val="both"/>
      </w:pPr>
      <w:r>
        <w:rPr>
          <w:rFonts w:ascii="Times New Roman" w:hAnsi="Times New Roman" w:cs="Times New Roman"/>
          <w:b/>
          <w:i w:val="0"/>
          <w:sz w:val="24"/>
        </w:rPr>
        <w:t>Deadline.</w:t>
      </w:r>
      <w:r>
        <w:rPr>
          <w:rFonts w:ascii="Times New Roman" w:hAnsi="Times New Roman" w:cs="Times New Roman"/>
          <w:b w:val="0"/>
          <w:i w:val="0"/>
          <w:sz w:val="24"/>
        </w:rPr>
        <w:t xml:space="preserve"> The dispositive-motion deadline is January 15, 2024. We are filing January 12, 2024. Safe.</w:t>
      </w:r>
    </w:p>
    <w:p>
      <w:pPr>
        <w:spacing w:line="240" w:lineRule="auto" w:before="240" w:after="80"/>
        <w:jc w:val="left"/>
      </w:pPr>
      <w:r>
        <w:rPr>
          <w:rFonts w:ascii="Times New Roman" w:hAnsi="Times New Roman" w:cs="Times New Roman"/>
          <w:b/>
          <w:i w:val="0"/>
          <w:sz w:val="24"/>
        </w:rPr>
        <w:t>IV. Threshold Issue #3 — Choice of Law on the Torts</w:t>
      </w:r>
    </w:p>
    <w:p>
      <w:pPr>
        <w:spacing w:line="240" w:lineRule="auto" w:after="160"/>
        <w:jc w:val="both"/>
      </w:pPr>
      <w:r>
        <w:rPr>
          <w:rFonts w:ascii="Times New Roman" w:hAnsi="Times New Roman" w:cs="Times New Roman"/>
          <w:b w:val="0"/>
          <w:i w:val="0"/>
          <w:sz w:val="24"/>
        </w:rPr>
        <w:t>Section 12.7 designates Delaware law for the MSLSA, so Count I is governed by Delaware law. The torts (Counts II, III) are another matter. A federal court sitting in diversity applies the forum state's choice-of-law rules. Under Texas's “most significant relationship” test, Texas law likely governs the torts (the alleged misrepresentations were made in Texas/the parties' dealings centered on Texas; Arcadia is a Texas entity; the injury was suffered in Texas). I have argued the torts fail under both Delaware and Texas law (economic loss doctrine, puffery, no justifiable reliance) so that the motion succeeds regardless of the choice-of-law outcome. We should be prepared to brief Delaware tort law in the alternative if Arcadia contests it. The Delaware authorities (</w:t>
      </w:r>
      <w:r>
        <w:rPr>
          <w:rFonts w:ascii="Times New Roman" w:hAnsi="Times New Roman" w:cs="Times New Roman"/>
          <w:b w:val="0"/>
          <w:i/>
          <w:sz w:val="24"/>
        </w:rPr>
        <w:t>Brasby</w:t>
      </w:r>
      <w:r>
        <w:rPr>
          <w:rFonts w:ascii="Times New Roman" w:hAnsi="Times New Roman" w:cs="Times New Roman"/>
          <w:b w:val="0"/>
          <w:i w:val="0"/>
          <w:sz w:val="24"/>
        </w:rPr>
        <w:t xml:space="preserve">, </w:t>
      </w:r>
      <w:r>
        <w:rPr>
          <w:rFonts w:ascii="Times New Roman" w:hAnsi="Times New Roman" w:cs="Times New Roman"/>
          <w:b w:val="0"/>
          <w:i/>
          <w:sz w:val="24"/>
        </w:rPr>
        <w:t>Eagle Industries</w:t>
      </w:r>
      <w:r>
        <w:rPr>
          <w:rFonts w:ascii="Times New Roman" w:hAnsi="Times New Roman" w:cs="Times New Roman"/>
          <w:b w:val="0"/>
          <w:i w:val="0"/>
          <w:sz w:val="24"/>
        </w:rPr>
        <w:t xml:space="preserve">, </w:t>
      </w:r>
      <w:r>
        <w:rPr>
          <w:rFonts w:ascii="Times New Roman" w:hAnsi="Times New Roman" w:cs="Times New Roman"/>
          <w:b w:val="0"/>
          <w:i/>
          <w:sz w:val="24"/>
        </w:rPr>
        <w:t>SIGA</w:t>
      </w:r>
      <w:r>
        <w:rPr>
          <w:rFonts w:ascii="Times New Roman" w:hAnsi="Times New Roman" w:cs="Times New Roman"/>
          <w:b w:val="0"/>
          <w:i w:val="0"/>
          <w:sz w:val="24"/>
        </w:rPr>
        <w:t>) are strong and, if applied, give us broader anti-reliance and economic-loss protection than Texas law.</w:t>
      </w:r>
    </w:p>
    <w:p>
      <w:pPr>
        <w:spacing w:line="240" w:lineRule="auto" w:before="240" w:after="80"/>
        <w:jc w:val="left"/>
      </w:pPr>
      <w:r>
        <w:rPr>
          <w:rFonts w:ascii="Times New Roman" w:hAnsi="Times New Roman" w:cs="Times New Roman"/>
          <w:b/>
          <w:i w:val="0"/>
          <w:sz w:val="24"/>
        </w:rPr>
        <w:t>V. Threshold Issue #4 — DTPA: § 17.505 Pre-Suit Notice and the § 17.49(f) Exemption</w:t>
      </w:r>
    </w:p>
    <w:p>
      <w:pPr>
        <w:spacing w:line="240" w:lineRule="auto" w:after="160"/>
        <w:jc w:val="both"/>
      </w:pPr>
      <w:r>
        <w:rPr>
          <w:rFonts w:ascii="Times New Roman" w:hAnsi="Times New Roman" w:cs="Times New Roman"/>
          <w:b w:val="0"/>
          <w:i w:val="0"/>
          <w:sz w:val="24"/>
        </w:rPr>
        <w:t>The § 17.49(f) exemption is our strongest DTPA argument and is dispositive: total consideration of $17.05 million, Arcadia is an LLC (not an individual). I have led with that in the motion. Two secondary points to keep in your back pocket:</w:t>
      </w:r>
    </w:p>
    <w:p>
      <w:pPr>
        <w:spacing w:line="240" w:lineRule="auto" w:after="120"/>
        <w:ind w:left="576" w:hanging="360"/>
        <w:jc w:val="both"/>
      </w:pPr>
      <w:r>
        <w:rPr>
          <w:rFonts w:ascii="Times New Roman" w:hAnsi="Times New Roman" w:cs="Times New Roman"/>
          <w:b w:val="0"/>
          <w:i w:val="0"/>
          <w:sz w:val="24"/>
        </w:rPr>
        <w:t xml:space="preserve">•  </w:t>
      </w:r>
      <w:r>
        <w:rPr>
          <w:rFonts w:ascii="Times New Roman" w:hAnsi="Times New Roman" w:cs="Times New Roman"/>
          <w:b/>
          <w:i w:val="0"/>
          <w:sz w:val="24"/>
        </w:rPr>
        <w:t>Pre-suit notice (§ 17.505(a)).</w:t>
      </w:r>
      <w:r>
        <w:rPr>
          <w:rFonts w:ascii="Times New Roman" w:hAnsi="Times New Roman" w:cs="Times New Roman"/>
          <w:b w:val="0"/>
          <w:i w:val="0"/>
          <w:sz w:val="24"/>
        </w:rPr>
        <w:t xml:space="preserve"> The DTPA requires written notice at least 60 days before suit. Arcadia's demand letter is dated June 15, 2023 (though our July 10, 2023 response refers to a letter “dated June 26, 2023”—a discrepancy we should reconcile). The original petition was filed August 7, 2023. If the demand was June 15, that is only 53 days before filing; if June 26, only 42 days. Either way, Arcadia may not have satisfied the 60-day requirement before filing the original petition. A § 17.505 violation typically results in abatement, not dismissal, so I have not made it a primary ground—but it is worth raising in the reply if Arcadia contests the exemption, and it may support a stay/abatement in the alternative.</w:t>
      </w:r>
    </w:p>
    <w:p>
      <w:pPr>
        <w:spacing w:line="240" w:lineRule="auto" w:after="120"/>
        <w:ind w:left="576" w:hanging="360"/>
        <w:jc w:val="both"/>
      </w:pPr>
      <w:r>
        <w:rPr>
          <w:rFonts w:ascii="Times New Roman" w:hAnsi="Times New Roman" w:cs="Times New Roman"/>
          <w:b w:val="0"/>
          <w:i w:val="0"/>
          <w:sz w:val="24"/>
        </w:rPr>
        <w:t xml:space="preserve">•  </w:t>
      </w:r>
      <w:r>
        <w:rPr>
          <w:rFonts w:ascii="Times New Roman" w:hAnsi="Times New Roman" w:cs="Times New Roman"/>
          <w:b/>
          <w:i w:val="0"/>
          <w:sz w:val="24"/>
        </w:rPr>
        <w:t>Asset threshold.</w:t>
      </w:r>
      <w:r>
        <w:rPr>
          <w:rFonts w:ascii="Times New Roman" w:hAnsi="Times New Roman" w:cs="Times New Roman"/>
          <w:b w:val="0"/>
          <w:i w:val="0"/>
          <w:sz w:val="24"/>
        </w:rPr>
        <w:t xml:space="preserve"> To the extent any asset-based component of § 17.49(f) applies, Arcadia's assets almost certainly exceed $25 million (~$62M revenue; 23 hospitals/140+ clinics; $30M+ deployment). We requested documentation in the July 10 letter. We should follow up in discovery.</w:t>
      </w:r>
    </w:p>
    <w:p>
      <w:pPr>
        <w:spacing w:line="240" w:lineRule="auto" w:before="240" w:after="80"/>
        <w:jc w:val="left"/>
      </w:pPr>
      <w:r>
        <w:rPr>
          <w:rFonts w:ascii="Times New Roman" w:hAnsi="Times New Roman" w:cs="Times New Roman"/>
          <w:b/>
          <w:i w:val="0"/>
          <w:sz w:val="24"/>
        </w:rPr>
        <w:t>VI. Threshold Issue #5 — Jury-Trial Waiver vs. Jury Demand</w:t>
      </w:r>
    </w:p>
    <w:p>
      <w:pPr>
        <w:spacing w:line="240" w:lineRule="auto" w:after="160"/>
        <w:jc w:val="both"/>
      </w:pPr>
      <w:r>
        <w:rPr>
          <w:rFonts w:ascii="Times New Roman" w:hAnsi="Times New Roman" w:cs="Times New Roman"/>
          <w:b w:val="0"/>
          <w:i w:val="0"/>
          <w:sz w:val="24"/>
        </w:rPr>
        <w:t>Section 12.9 of the MSLSA waives jury trial. The FAC demands a jury (¶ 122), and our Answer conditionally demands a jury “to the extent the Court determines the jury trial waiver ... is not enforceable.” The Scheduling Order already provides that the case will be tried to the bench. This appears resolved in our favor, but Arcadia may challenge the waiver's enforceability later. Flagging so we are not surprised; it does not affect the motion to dismiss.</w:t>
      </w:r>
    </w:p>
    <w:p>
      <w:pPr>
        <w:spacing w:line="240" w:lineRule="auto" w:before="240" w:after="80"/>
        <w:jc w:val="left"/>
      </w:pPr>
      <w:r>
        <w:rPr>
          <w:rFonts w:ascii="Times New Roman" w:hAnsi="Times New Roman" w:cs="Times New Roman"/>
          <w:b/>
          <w:i w:val="0"/>
          <w:sz w:val="24"/>
        </w:rPr>
        <w:t>VII. Threshold Issue #6 — Count I: Dismissal Risk and the Alternative Damages Limitation</w:t>
      </w:r>
    </w:p>
    <w:p>
      <w:pPr>
        <w:spacing w:line="240" w:lineRule="auto" w:after="160"/>
        <w:jc w:val="both"/>
      </w:pPr>
      <w:r>
        <w:rPr>
          <w:rFonts w:ascii="Times New Roman" w:hAnsi="Times New Roman" w:cs="Times New Roman"/>
          <w:b w:val="0"/>
          <w:i w:val="0"/>
          <w:sz w:val="24"/>
        </w:rPr>
        <w:t>Full dismissal of the breach-of-contract count is our most aggressive ask and the most likely to be denied at the pleading stage. The deemed-acceptance (§ 5.3) and warranty-expiration (§ 9.1) arguments are strong and based on the FAC's own timeline plus the contract, but a court may view them as affirmative defenses better resolved on summary judgment (with a developed record on whether Meridian concealed defects during the testing window). I have argued dismissal in the primary brief and requested, in the alternative, that the Court strike the consequential damages and cap recovery under §§ 8.1–8.3. The alternative relief is highly likely to succeed and is valuable even if Count I survives: it would eliminate roughly $32.6 million of the $47.3 million demand (lost profits, operating costs, reputational harm, and punitive/treble damages) and cap the remainder. We should be prepared for the Court to deny full dismissal of Count I and grant the alternative damages limitation.</w:t>
      </w:r>
    </w:p>
    <w:p>
      <w:pPr>
        <w:spacing w:line="240" w:lineRule="auto" w:before="240" w:after="80"/>
        <w:jc w:val="left"/>
      </w:pPr>
      <w:r>
        <w:rPr>
          <w:rFonts w:ascii="Times New Roman" w:hAnsi="Times New Roman" w:cs="Times New Roman"/>
          <w:b/>
          <w:i w:val="0"/>
          <w:sz w:val="24"/>
        </w:rPr>
        <w:t>VIII. Threshold Issue #7 — Limits of the 12(b)(6) Record</w:t>
      </w:r>
    </w:p>
    <w:p>
      <w:pPr>
        <w:spacing w:line="240" w:lineRule="auto" w:after="160"/>
        <w:jc w:val="both"/>
      </w:pPr>
      <w:r>
        <w:rPr>
          <w:rFonts w:ascii="Times New Roman" w:hAnsi="Times New Roman" w:cs="Times New Roman"/>
          <w:b w:val="0"/>
          <w:i w:val="0"/>
          <w:sz w:val="24"/>
        </w:rPr>
        <w:t xml:space="preserve">On a 12(b)(6) motion, we accept the FAC's well-pleaded facts as true and may consider only the FAC plus documents referenced in and central to the claims (the MSLSA, SOW-1, Change Orders). </w:t>
      </w:r>
      <w:r>
        <w:rPr>
          <w:rFonts w:ascii="Times New Roman" w:hAnsi="Times New Roman" w:cs="Times New Roman"/>
          <w:b w:val="0"/>
          <w:i/>
          <w:sz w:val="24"/>
        </w:rPr>
        <w:t>Lormand</w:t>
      </w:r>
      <w:r>
        <w:rPr>
          <w:rFonts w:ascii="Times New Roman" w:hAnsi="Times New Roman" w:cs="Times New Roman"/>
          <w:b w:val="0"/>
          <w:i w:val="0"/>
          <w:sz w:val="24"/>
        </w:rPr>
        <w:t>, 565 F.3d at 232. Several of our strongest factual points are outside that record and must be reserved for summary judgment:</w:t>
      </w:r>
    </w:p>
    <w:p>
      <w:pPr>
        <w:spacing w:line="240" w:lineRule="auto" w:after="120"/>
        <w:ind w:left="576" w:hanging="360"/>
        <w:jc w:val="both"/>
      </w:pPr>
      <w:r>
        <w:rPr>
          <w:rFonts w:ascii="Times New Roman" w:hAnsi="Times New Roman" w:cs="Times New Roman"/>
          <w:b w:val="0"/>
          <w:i w:val="0"/>
          <w:sz w:val="24"/>
        </w:rPr>
        <w:t>•  Arcadia's 45-day project-manager gap and 75-day API-specification delay (from the August 25, 2022 status report and SOW-1 milestones);</w:t>
      </w:r>
    </w:p>
    <w:p>
      <w:pPr>
        <w:spacing w:line="240" w:lineRule="auto" w:after="120"/>
        <w:ind w:left="576" w:hanging="360"/>
        <w:jc w:val="both"/>
      </w:pPr>
      <w:r>
        <w:rPr>
          <w:rFonts w:ascii="Times New Roman" w:hAnsi="Times New Roman" w:cs="Times New Roman"/>
          <w:b w:val="0"/>
          <w:i w:val="0"/>
          <w:sz w:val="24"/>
        </w:rPr>
        <w:t>•  Linden Park's data-migration errors (12 of 47 support tickets; CO-004);</w:t>
      </w:r>
    </w:p>
    <w:p>
      <w:pPr>
        <w:spacing w:line="240" w:lineRule="auto" w:after="120"/>
        <w:ind w:left="576" w:hanging="360"/>
        <w:jc w:val="both"/>
      </w:pPr>
      <w:r>
        <w:rPr>
          <w:rFonts w:ascii="Times New Roman" w:hAnsi="Times New Roman" w:cs="Times New Roman"/>
          <w:b w:val="0"/>
          <w:i w:val="0"/>
          <w:sz w:val="24"/>
        </w:rPr>
        <w:t>•  Poletti's contemporaneous notes (which, per our Answer, show his actual statement was “designed to integrate ... subject to proper configuration,” not “will integrate seamlessly with any EHR platform”).</w:t>
      </w:r>
    </w:p>
    <w:p>
      <w:pPr>
        <w:spacing w:line="240" w:lineRule="auto" w:after="160"/>
        <w:jc w:val="both"/>
      </w:pPr>
      <w:r>
        <w:rPr>
          <w:rFonts w:ascii="Times New Roman" w:hAnsi="Times New Roman" w:cs="Times New Roman"/>
          <w:b w:val="0"/>
          <w:i w:val="0"/>
          <w:sz w:val="24"/>
        </w:rPr>
        <w:t xml:space="preserve">I have been careful in the brief to rely on the FAC + contract for the dismissal arguments and to reference the Arcadia-fault facts only as “obvious alternative explanations” that undermine plausibility (per </w:t>
      </w:r>
      <w:r>
        <w:rPr>
          <w:rFonts w:ascii="Times New Roman" w:hAnsi="Times New Roman" w:cs="Times New Roman"/>
          <w:b w:val="0"/>
          <w:i/>
          <w:sz w:val="24"/>
        </w:rPr>
        <w:t>Iqbal</w:t>
      </w:r>
      <w:r>
        <w:rPr>
          <w:rFonts w:ascii="Times New Roman" w:hAnsi="Times New Roman" w:cs="Times New Roman"/>
          <w:b w:val="0"/>
          <w:i w:val="0"/>
          <w:sz w:val="24"/>
        </w:rPr>
        <w:t>), not as established facts. The Poletti notes in particular are powerful for summary judgment and for defeating reliance, but we cannot use them to contradict the FAC at the pleading stage. We should begin assembling the summary-judgment record now (status report, ticket logs, Poletti's notes, Linden Park's deliverables).</w:t>
      </w:r>
    </w:p>
    <w:p>
      <w:pPr>
        <w:spacing w:line="240" w:lineRule="auto" w:before="240" w:after="80"/>
        <w:jc w:val="left"/>
      </w:pPr>
      <w:r>
        <w:rPr>
          <w:rFonts w:ascii="Times New Roman" w:hAnsi="Times New Roman" w:cs="Times New Roman"/>
          <w:b/>
          <w:i w:val="0"/>
          <w:sz w:val="24"/>
        </w:rPr>
        <w:t>IX. Threshold Issue #8 — Damages-Cap Calculation (§ 8.1)</w:t>
      </w:r>
    </w:p>
    <w:p>
      <w:pPr>
        <w:spacing w:line="240" w:lineRule="auto" w:after="160"/>
        <w:jc w:val="both"/>
      </w:pPr>
      <w:r>
        <w:rPr>
          <w:rFonts w:ascii="Times New Roman" w:hAnsi="Times New Roman" w:cs="Times New Roman"/>
          <w:b w:val="0"/>
          <w:i w:val="0"/>
          <w:sz w:val="24"/>
        </w:rPr>
        <w:t>If Count I survives and we pursue the alternative cap, we need Meridian's billing records to compute the § 8.1 cap (aggregate liability = fees paid or payable in the 12 months preceding the “event giving rise to liability”). Two open questions: (1) what is the “event giving rise to liability”—Go-Live, the deemed-acceptance date, the warranty expiration, or the date of a specific breach?; and (2) what fees were “paid or payable” in the preceding 12 months (license, implementation, maintenance, training, data-migration advisory, and Change Orders)? We should get the billing data and a proposed cap calculation from Meridian's finance team before the summary-judgment phase.</w:t>
      </w:r>
    </w:p>
    <w:p>
      <w:pPr>
        <w:spacing w:line="240" w:lineRule="auto" w:before="240" w:after="80"/>
        <w:jc w:val="left"/>
      </w:pPr>
      <w:r>
        <w:rPr>
          <w:rFonts w:ascii="Times New Roman" w:hAnsi="Times New Roman" w:cs="Times New Roman"/>
          <w:b/>
          <w:i w:val="0"/>
          <w:sz w:val="24"/>
        </w:rPr>
        <w:t>X. Recommendations</w:t>
      </w:r>
    </w:p>
    <w:p>
      <w:pPr>
        <w:spacing w:line="240" w:lineRule="auto" w:after="120"/>
        <w:ind w:left="576" w:hanging="360"/>
        <w:jc w:val="both"/>
      </w:pPr>
      <w:r>
        <w:rPr>
          <w:rFonts w:ascii="Times New Roman" w:hAnsi="Times New Roman" w:cs="Times New Roman"/>
          <w:b w:val="0"/>
          <w:i w:val="0"/>
          <w:sz w:val="24"/>
        </w:rPr>
        <w:t xml:space="preserve">•  </w:t>
      </w:r>
      <w:r>
        <w:rPr>
          <w:rFonts w:ascii="Times New Roman" w:hAnsi="Times New Roman" w:cs="Times New Roman"/>
          <w:b/>
          <w:i w:val="0"/>
          <w:sz w:val="24"/>
        </w:rPr>
        <w:t>File the 12(b)(6) motion by January 12, 2024</w:t>
      </w:r>
      <w:r>
        <w:rPr>
          <w:rFonts w:ascii="Times New Roman" w:hAnsi="Times New Roman" w:cs="Times New Roman"/>
          <w:b w:val="0"/>
          <w:i w:val="0"/>
          <w:sz w:val="24"/>
        </w:rPr>
        <w:t xml:space="preserve"> (ahead of the January 15 deadline). The merits arguments are strong, particularly on Counts II–V.</w:t>
      </w:r>
    </w:p>
    <w:p>
      <w:pPr>
        <w:spacing w:line="240" w:lineRule="auto" w:after="120"/>
        <w:ind w:left="576" w:hanging="360"/>
        <w:jc w:val="both"/>
      </w:pPr>
      <w:r>
        <w:rPr>
          <w:rFonts w:ascii="Times New Roman" w:hAnsi="Times New Roman" w:cs="Times New Roman"/>
          <w:b w:val="0"/>
          <w:i w:val="0"/>
          <w:sz w:val="24"/>
        </w:rPr>
        <w:t xml:space="preserve">•  </w:t>
      </w:r>
      <w:r>
        <w:rPr>
          <w:rFonts w:ascii="Times New Roman" w:hAnsi="Times New Roman" w:cs="Times New Roman"/>
          <w:b/>
          <w:i w:val="0"/>
          <w:sz w:val="24"/>
        </w:rPr>
        <w:t>Immediately confirm the diversity analysis:</w:t>
      </w:r>
      <w:r>
        <w:rPr>
          <w:rFonts w:ascii="Times New Roman" w:hAnsi="Times New Roman" w:cs="Times New Roman"/>
          <w:b w:val="0"/>
          <w:i w:val="0"/>
          <w:sz w:val="24"/>
        </w:rPr>
        <w:t xml:space="preserve"> obtain Apex Medical Ventures, LP's partnership agreement and the Okonkwo Family Trust documents; reconcile the irrevocable/revocable discrepancy. If the Delaware-citizenship defect is confirmed, we should make a strategic call on whether to surface the jurisdictional issue (separate 12(b)(1) motion or notice to the Court) versus letting it lie—weighing the federal-forum benefits (Judge Alvarez's pleading standards, bench trial) against the remand risk. This decision should be made at the partner level.</w:t>
      </w:r>
    </w:p>
    <w:p>
      <w:pPr>
        <w:spacing w:line="240" w:lineRule="auto" w:after="120"/>
        <w:ind w:left="576" w:hanging="360"/>
        <w:jc w:val="both"/>
      </w:pPr>
      <w:r>
        <w:rPr>
          <w:rFonts w:ascii="Times New Roman" w:hAnsi="Times New Roman" w:cs="Times New Roman"/>
          <w:b w:val="0"/>
          <w:i w:val="0"/>
          <w:sz w:val="24"/>
        </w:rPr>
        <w:t xml:space="preserve">•  </w:t>
      </w:r>
      <w:r>
        <w:rPr>
          <w:rFonts w:ascii="Times New Roman" w:hAnsi="Times New Roman" w:cs="Times New Roman"/>
          <w:b/>
          <w:i w:val="0"/>
          <w:sz w:val="24"/>
        </w:rPr>
        <w:t>Be prepared for the Court to treat the motion as 12(c)</w:t>
      </w:r>
      <w:r>
        <w:rPr>
          <w:rFonts w:ascii="Times New Roman" w:hAnsi="Times New Roman" w:cs="Times New Roman"/>
          <w:b w:val="0"/>
          <w:i w:val="0"/>
          <w:sz w:val="24"/>
        </w:rPr>
        <w:t xml:space="preserve"> (same standard) and to deny full dismissal of Count I while granting the alternative damages limitation.</w:t>
      </w:r>
    </w:p>
    <w:p>
      <w:pPr>
        <w:spacing w:line="240" w:lineRule="auto" w:after="120"/>
        <w:ind w:left="576" w:hanging="360"/>
        <w:jc w:val="both"/>
      </w:pPr>
      <w:r>
        <w:rPr>
          <w:rFonts w:ascii="Times New Roman" w:hAnsi="Times New Roman" w:cs="Times New Roman"/>
          <w:b w:val="0"/>
          <w:i w:val="0"/>
          <w:sz w:val="24"/>
        </w:rPr>
        <w:t xml:space="preserve">•  </w:t>
      </w:r>
      <w:r>
        <w:rPr>
          <w:rFonts w:ascii="Times New Roman" w:hAnsi="Times New Roman" w:cs="Times New Roman"/>
          <w:b/>
          <w:i w:val="0"/>
          <w:sz w:val="24"/>
        </w:rPr>
        <w:t>Begin building the summary-judgment record now</w:t>
      </w:r>
      <w:r>
        <w:rPr>
          <w:rFonts w:ascii="Times New Roman" w:hAnsi="Times New Roman" w:cs="Times New Roman"/>
          <w:b w:val="0"/>
          <w:i w:val="0"/>
          <w:sz w:val="24"/>
        </w:rPr>
        <w:t xml:space="preserve"> (August 25, 2022 status report; support-ticket logs; Poletti's contemporaneous notes; Linden Park deliverables; Meridian billing data for the § 8.1 cap).</w:t>
      </w:r>
    </w:p>
    <w:p>
      <w:pPr>
        <w:spacing w:line="240" w:lineRule="auto" w:after="120"/>
        <w:ind w:left="576" w:hanging="360"/>
        <w:jc w:val="both"/>
      </w:pPr>
      <w:r>
        <w:rPr>
          <w:rFonts w:ascii="Times New Roman" w:hAnsi="Times New Roman" w:cs="Times New Roman"/>
          <w:b w:val="0"/>
          <w:i w:val="0"/>
          <w:sz w:val="24"/>
        </w:rPr>
        <w:t xml:space="preserve">•  </w:t>
      </w:r>
      <w:r>
        <w:rPr>
          <w:rFonts w:ascii="Times New Roman" w:hAnsi="Times New Roman" w:cs="Times New Roman"/>
          <w:b/>
          <w:i w:val="0"/>
          <w:sz w:val="24"/>
        </w:rPr>
        <w:t>Follow up on the § 17.49(f) asset documentation</w:t>
      </w:r>
      <w:r>
        <w:rPr>
          <w:rFonts w:ascii="Times New Roman" w:hAnsi="Times New Roman" w:cs="Times New Roman"/>
          <w:b w:val="0"/>
          <w:i w:val="0"/>
          <w:sz w:val="24"/>
        </w:rPr>
        <w:t xml:space="preserve"> and reconcile the DTPA demand-letter date discrepancy; hold the § 17.505 abatement argument in reserve for the reply if needed.</w:t>
      </w:r>
    </w:p>
    <w:p>
      <w:pPr>
        <w:spacing w:line="240" w:lineRule="auto"/>
      </w:pPr>
    </w:p>
    <w:p>
      <w:pPr>
        <w:spacing w:line="240" w:lineRule="auto" w:after="160"/>
        <w:jc w:val="both"/>
      </w:pPr>
      <w:r>
        <w:rPr>
          <w:rFonts w:ascii="Times New Roman" w:hAnsi="Times New Roman" w:cs="Times New Roman"/>
          <w:b w:val="0"/>
          <w:i w:val="0"/>
          <w:sz w:val="24"/>
        </w:rPr>
        <w:t>I am available to discuss, particularly the jurisdictional issue, before we file.</w:t>
      </w:r>
    </w:p>
    <w:p>
      <w:pPr>
        <w:spacing w:line="240" w:lineRule="auto"/>
      </w:pPr>
    </w:p>
    <w:p>
      <w:pPr>
        <w:spacing w:line="240" w:lineRule="auto" w:after="0"/>
        <w:jc w:val="left"/>
      </w:pPr>
      <w:r>
        <w:rPr>
          <w:rFonts w:ascii="Times New Roman" w:hAnsi="Times New Roman" w:cs="Times New Roman"/>
          <w:b w:val="0"/>
          <w:i w:val="0"/>
          <w:sz w:val="24"/>
        </w:rPr>
        <w:t>/s/ David Arsenault</w:t>
      </w:r>
    </w:p>
    <w:p>
      <w:pPr>
        <w:spacing w:line="240" w:lineRule="auto" w:after="0"/>
        <w:jc w:val="left"/>
      </w:pPr>
      <w:r>
        <w:rPr>
          <w:rFonts w:ascii="Times New Roman" w:hAnsi="Times New Roman" w:cs="Times New Roman"/>
          <w:b w:val="0"/>
          <w:i w:val="0"/>
          <w:sz w:val="24"/>
        </w:rPr>
        <w:t>David Arsenault</w:t>
      </w:r>
    </w:p>
    <w:p>
      <w:pPr>
        <w:spacing w:line="240" w:lineRule="auto" w:after="0"/>
        <w:jc w:val="left"/>
      </w:pPr>
      <w:r>
        <w:rPr>
          <w:rFonts w:ascii="Times New Roman" w:hAnsi="Times New Roman" w:cs="Times New Roman"/>
          <w:b w:val="0"/>
          <w:i w:val="0"/>
          <w:sz w:val="24"/>
        </w:rPr>
        <w:t>Senior Associate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