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jc w:val="center"/>
      </w:pPr>
      <w:r>
        <w:rPr>
          <w:rFonts w:ascii="Times New Roman" w:hAnsi="Times New Roman" w:cs="Times New Roman"/>
          <w:b/>
          <w:i w:val="0"/>
          <w:sz w:val="24"/>
        </w:rPr>
        <w:t>UNITED STATES DISTRICT COURT</w:t>
      </w:r>
    </w:p>
    <w:p>
      <w:pPr>
        <w:spacing w:line="240" w:lineRule="auto" w:after="0"/>
        <w:jc w:val="center"/>
      </w:pPr>
      <w:r>
        <w:rPr>
          <w:rFonts w:ascii="Times New Roman" w:hAnsi="Times New Roman" w:cs="Times New Roman"/>
          <w:b/>
          <w:i w:val="0"/>
          <w:sz w:val="24"/>
        </w:rPr>
        <w:t>WESTERN DISTRICT OF TEXAS</w:t>
      </w:r>
    </w:p>
    <w:p>
      <w:pPr>
        <w:spacing w:line="240" w:lineRule="auto" w:after="0"/>
        <w:jc w:val="center"/>
      </w:pPr>
      <w:r>
        <w:rPr>
          <w:rFonts w:ascii="Times New Roman" w:hAnsi="Times New Roman" w:cs="Times New Roman"/>
          <w:b/>
          <w:i w:val="0"/>
          <w:sz w:val="24"/>
        </w:rPr>
        <w:t>AUSTIN DIVISION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6336"/>
          </w:tcPr>
          <w:p>
            <w:pPr>
              <w:spacing w:line="240" w:lineRule="auto" w:after="0"/>
            </w:pPr>
            <w:r>
              <w:rPr>
                <w:rFonts w:ascii="Times New Roman" w:hAnsi="Times New Roman" w:cs="Times New Roman"/>
                <w:b w:val="0"/>
                <w:i w:val="0"/>
                <w:sz w:val="24"/>
              </w:rPr>
              <w:t>ARCADIA HEALTH SYSTEMS, LLC,</w:t>
            </w:r>
          </w:p>
        </w:tc>
        <w:tc>
          <w:tcPr>
            <w:tcW w:type="dxa" w:w="432"/>
          </w:tcPr>
          <w:p>
            <w:pPr>
              <w:spacing w:line="240" w:lineRule="auto" w:after="0"/>
              <w:jc w:val="center"/>
            </w:pPr>
            <w:r>
              <w:rPr>
                <w:rFonts w:ascii="Times New Roman" w:hAnsi="Times New Roman" w:cs="Times New Roman"/>
                <w:b w:val="0"/>
                <w:i w:val="0"/>
                <w:sz w:val="24"/>
              </w:rPr>
              <w:t>)</w:t>
            </w:r>
          </w:p>
        </w:tc>
        <w:tc>
          <w:tcPr>
            <w:tcW w:type="dxa" w:w="2592"/>
          </w:tcPr>
          <w:p>
            <w:pPr>
              <w:spacing w:line="240" w:lineRule="auto" w:after="0"/>
              <w:jc w:val="left"/>
            </w:pPr>
            <w:r>
              <w:rPr>
                <w:rFonts w:ascii="Times New Roman" w:hAnsi="Times New Roman" w:cs="Times New Roman"/>
                <w:b w:val="0"/>
                <w:i w:val="0"/>
                <w:sz w:val="24"/>
              </w:rPr>
              <w:t>Case No. 1:23-cv-00847-CMA</w:t>
            </w:r>
          </w:p>
        </w:tc>
      </w:tr>
      <w:tr>
        <w:tc>
          <w:tcPr>
            <w:tcW w:type="dxa" w:w="6336"/>
          </w:tcPr>
          <w:p>
            <w:pPr>
              <w:spacing w:line="240" w:lineRule="auto" w:after="0"/>
            </w:pPr>
          </w:p>
        </w:tc>
        <w:tc>
          <w:tcPr>
            <w:tcW w:type="dxa" w:w="432"/>
          </w:tcPr>
          <w:p>
            <w:pPr>
              <w:spacing w:line="240" w:lineRule="auto" w:after="0"/>
              <w:jc w:val="center"/>
            </w:pPr>
          </w:p>
        </w:tc>
        <w:tc>
          <w:tcPr>
            <w:tcW w:type="dxa" w:w="2592"/>
          </w:tcPr>
          <w:p>
            <w:pPr>
              <w:spacing w:line="240" w:lineRule="auto" w:after="0"/>
              <w:jc w:val="left"/>
            </w:pPr>
          </w:p>
        </w:tc>
      </w:tr>
      <w:tr>
        <w:tc>
          <w:tcPr>
            <w:tcW w:type="dxa" w:w="6336"/>
          </w:tcPr>
          <w:p>
            <w:pPr>
              <w:spacing w:line="240" w:lineRule="auto" w:after="0"/>
            </w:pPr>
            <w:r>
              <w:rPr>
                <w:rFonts w:ascii="Times New Roman" w:hAnsi="Times New Roman" w:cs="Times New Roman"/>
                <w:b w:val="0"/>
                <w:i w:val="0"/>
                <w:sz w:val="24"/>
              </w:rPr>
              <w:t>Plaintiff,</w:t>
            </w:r>
          </w:p>
        </w:tc>
        <w:tc>
          <w:tcPr>
            <w:tcW w:type="dxa" w:w="432"/>
          </w:tcPr>
          <w:p>
            <w:pPr>
              <w:spacing w:line="240" w:lineRule="auto" w:after="0"/>
              <w:jc w:val="center"/>
            </w:pPr>
            <w:r>
              <w:rPr>
                <w:rFonts w:ascii="Times New Roman" w:hAnsi="Times New Roman" w:cs="Times New Roman"/>
                <w:b w:val="0"/>
                <w:i w:val="0"/>
                <w:sz w:val="24"/>
              </w:rPr>
              <w:t>)</w:t>
            </w:r>
          </w:p>
        </w:tc>
        <w:tc>
          <w:tcPr>
            <w:tcW w:type="dxa" w:w="2592"/>
          </w:tcPr>
          <w:p>
            <w:pPr>
              <w:spacing w:line="240" w:lineRule="auto" w:after="0"/>
              <w:jc w:val="left"/>
            </w:pPr>
          </w:p>
        </w:tc>
      </w:tr>
      <w:tr>
        <w:tc>
          <w:tcPr>
            <w:tcW w:type="dxa" w:w="6336"/>
          </w:tcPr>
          <w:p>
            <w:pPr>
              <w:spacing w:line="240" w:lineRule="auto" w:after="0"/>
            </w:pPr>
          </w:p>
        </w:tc>
        <w:tc>
          <w:tcPr>
            <w:tcW w:type="dxa" w:w="432"/>
          </w:tcPr>
          <w:p>
            <w:pPr>
              <w:spacing w:line="240" w:lineRule="auto" w:after="0"/>
              <w:jc w:val="center"/>
            </w:pPr>
          </w:p>
        </w:tc>
        <w:tc>
          <w:tcPr>
            <w:tcW w:type="dxa" w:w="2592"/>
          </w:tcPr>
          <w:p>
            <w:pPr>
              <w:spacing w:line="240" w:lineRule="auto" w:after="0"/>
              <w:jc w:val="left"/>
            </w:pPr>
            <w:r>
              <w:rPr>
                <w:rFonts w:ascii="Times New Roman" w:hAnsi="Times New Roman" w:cs="Times New Roman"/>
                <w:b w:val="0"/>
                <w:i w:val="0"/>
                <w:sz w:val="24"/>
              </w:rPr>
              <w:t>THE HONORABLE CATHERINE M. ALVAREZ</w:t>
            </w:r>
          </w:p>
        </w:tc>
      </w:tr>
      <w:tr>
        <w:tc>
          <w:tcPr>
            <w:tcW w:type="dxa" w:w="6336"/>
          </w:tcPr>
          <w:p>
            <w:pPr>
              <w:spacing w:line="240" w:lineRule="auto" w:after="0"/>
            </w:pPr>
            <w:r>
              <w:rPr>
                <w:rFonts w:ascii="Times New Roman" w:hAnsi="Times New Roman" w:cs="Times New Roman"/>
                <w:b w:val="0"/>
                <w:i w:val="0"/>
                <w:sz w:val="24"/>
              </w:rPr>
              <w:t>v.</w:t>
            </w:r>
          </w:p>
        </w:tc>
        <w:tc>
          <w:tcPr>
            <w:tcW w:type="dxa" w:w="432"/>
          </w:tcPr>
          <w:p>
            <w:pPr>
              <w:spacing w:line="240" w:lineRule="auto" w:after="0"/>
              <w:jc w:val="center"/>
            </w:pPr>
            <w:r>
              <w:rPr>
                <w:rFonts w:ascii="Times New Roman" w:hAnsi="Times New Roman" w:cs="Times New Roman"/>
                <w:b w:val="0"/>
                <w:i w:val="0"/>
                <w:sz w:val="24"/>
              </w:rPr>
              <w:t>)</w:t>
            </w:r>
          </w:p>
        </w:tc>
        <w:tc>
          <w:tcPr>
            <w:tcW w:type="dxa" w:w="2592"/>
          </w:tcPr>
          <w:p>
            <w:pPr>
              <w:spacing w:line="240" w:lineRule="auto" w:after="0"/>
              <w:jc w:val="left"/>
            </w:pPr>
          </w:p>
        </w:tc>
      </w:tr>
      <w:tr>
        <w:tc>
          <w:tcPr>
            <w:tcW w:type="dxa" w:w="6336"/>
          </w:tcPr>
          <w:p>
            <w:pPr>
              <w:spacing w:line="240" w:lineRule="auto" w:after="0"/>
            </w:pPr>
          </w:p>
        </w:tc>
        <w:tc>
          <w:tcPr>
            <w:tcW w:type="dxa" w:w="432"/>
          </w:tcPr>
          <w:p>
            <w:pPr>
              <w:spacing w:line="240" w:lineRule="auto" w:after="0"/>
              <w:jc w:val="center"/>
            </w:pPr>
          </w:p>
        </w:tc>
        <w:tc>
          <w:tcPr>
            <w:tcW w:type="dxa" w:w="2592"/>
          </w:tcPr>
          <w:p>
            <w:pPr>
              <w:spacing w:line="240" w:lineRule="auto" w:after="0"/>
              <w:jc w:val="left"/>
            </w:pPr>
          </w:p>
        </w:tc>
      </w:tr>
      <w:tr>
        <w:tc>
          <w:tcPr>
            <w:tcW w:type="dxa" w:w="6336"/>
          </w:tcPr>
          <w:p>
            <w:pPr>
              <w:spacing w:line="240" w:lineRule="auto" w:after="0"/>
            </w:pPr>
            <w:r>
              <w:rPr>
                <w:rFonts w:ascii="Times New Roman" w:hAnsi="Times New Roman" w:cs="Times New Roman"/>
                <w:b w:val="0"/>
                <w:i w:val="0"/>
                <w:sz w:val="24"/>
              </w:rPr>
              <w:t>MERIDIAN CLOUD SOLUTIONS, INC.,</w:t>
            </w:r>
          </w:p>
        </w:tc>
        <w:tc>
          <w:tcPr>
            <w:tcW w:type="dxa" w:w="432"/>
          </w:tcPr>
          <w:p>
            <w:pPr>
              <w:spacing w:line="240" w:lineRule="auto" w:after="0"/>
              <w:jc w:val="center"/>
            </w:pPr>
            <w:r>
              <w:rPr>
                <w:rFonts w:ascii="Times New Roman" w:hAnsi="Times New Roman" w:cs="Times New Roman"/>
                <w:b w:val="0"/>
                <w:i w:val="0"/>
                <w:sz w:val="24"/>
              </w:rPr>
              <w:t>)</w:t>
            </w:r>
          </w:p>
        </w:tc>
        <w:tc>
          <w:tcPr>
            <w:tcW w:type="dxa" w:w="2592"/>
          </w:tcPr>
          <w:p>
            <w:pPr>
              <w:spacing w:line="240" w:lineRule="auto" w:after="0"/>
              <w:jc w:val="left"/>
            </w:pPr>
          </w:p>
        </w:tc>
      </w:tr>
      <w:tr>
        <w:tc>
          <w:tcPr>
            <w:tcW w:type="dxa" w:w="6336"/>
          </w:tcPr>
          <w:p>
            <w:pPr>
              <w:spacing w:line="240" w:lineRule="auto" w:after="0"/>
            </w:pPr>
          </w:p>
        </w:tc>
        <w:tc>
          <w:tcPr>
            <w:tcW w:type="dxa" w:w="432"/>
          </w:tcPr>
          <w:p>
            <w:pPr>
              <w:spacing w:line="240" w:lineRule="auto" w:after="0"/>
              <w:jc w:val="center"/>
            </w:pPr>
          </w:p>
        </w:tc>
        <w:tc>
          <w:tcPr>
            <w:tcW w:type="dxa" w:w="2592"/>
          </w:tcPr>
          <w:p>
            <w:pPr>
              <w:spacing w:line="240" w:lineRule="auto" w:after="0"/>
              <w:jc w:val="left"/>
            </w:pPr>
          </w:p>
        </w:tc>
      </w:tr>
      <w:tr>
        <w:tc>
          <w:tcPr>
            <w:tcW w:type="dxa" w:w="6336"/>
          </w:tcPr>
          <w:p>
            <w:pPr>
              <w:spacing w:line="240" w:lineRule="auto" w:after="0"/>
            </w:pPr>
            <w:r>
              <w:rPr>
                <w:rFonts w:ascii="Times New Roman" w:hAnsi="Times New Roman" w:cs="Times New Roman"/>
                <w:b w:val="0"/>
                <w:i w:val="0"/>
                <w:sz w:val="24"/>
              </w:rPr>
              <w:t>Defendant.</w:t>
            </w:r>
          </w:p>
        </w:tc>
        <w:tc>
          <w:tcPr>
            <w:tcW w:type="dxa" w:w="432"/>
          </w:tcPr>
          <w:p>
            <w:pPr>
              <w:spacing w:line="240" w:lineRule="auto" w:after="0"/>
              <w:jc w:val="center"/>
            </w:pPr>
            <w:r>
              <w:rPr>
                <w:rFonts w:ascii="Times New Roman" w:hAnsi="Times New Roman" w:cs="Times New Roman"/>
                <w:b w:val="0"/>
                <w:i w:val="0"/>
                <w:sz w:val="24"/>
              </w:rPr>
              <w:t>)</w:t>
            </w:r>
          </w:p>
        </w:tc>
        <w:tc>
          <w:tcPr>
            <w:tcW w:type="dxa" w:w="2592"/>
          </w:tcPr>
          <w:p>
            <w:pPr>
              <w:spacing w:line="240" w:lineRule="auto" w:after="0"/>
              <w:jc w:val="left"/>
            </w:pPr>
          </w:p>
        </w:tc>
      </w:tr>
    </w:tbl>
    <w:p>
      <w:pPr>
        <w:spacing w:line="480" w:lineRule="auto" w:before="200" w:after="40"/>
        <w:jc w:val="center"/>
      </w:pPr>
      <w:r>
        <w:rPr>
          <w:rFonts w:ascii="Times New Roman" w:hAnsi="Times New Roman" w:cs="Times New Roman"/>
          <w:b/>
          <w:i w:val="0"/>
          <w:sz w:val="24"/>
        </w:rPr>
        <w:t>DEFENDANT MERIDIAN CLOUD SOLUTIONS, INC.'S MOTION TO DISMISS</w:t>
        <w:br/>
        <w:t>PURSUANT TO FEDERAL RULE OF CIVIL PROCEDURE 12(b)(6) AND BRIEF IN SUPPORT</w:t>
      </w:r>
    </w:p>
    <w:p>
      <w:pPr>
        <w:spacing w:line="240" w:lineRule="auto" w:after="40"/>
        <w:jc w:val="center"/>
      </w:pPr>
      <w:r>
        <w:rPr>
          <w:rFonts w:ascii="Times New Roman" w:hAnsi="Times New Roman" w:cs="Times New Roman"/>
          <w:b w:val="0"/>
          <w:i/>
          <w:sz w:val="24"/>
        </w:rPr>
        <w:t>Plaintiff's response is due on or before February 2, 2024.</w:t>
      </w:r>
    </w:p>
    <w:p>
      <w:pPr>
        <w:spacing w:line="240" w:lineRule="auto" w:before="40" w:after="120"/>
        <w:pBdr>
          <w:bottom w:val="single" w:sz="6" w:space="1" w:color="000000"/>
        </w:pBdr>
      </w:pPr>
    </w:p>
    <w:p>
      <w:pPr>
        <w:spacing w:line="480" w:lineRule="auto"/>
        <w:jc w:val="both"/>
      </w:pPr>
      <w:r>
        <w:rPr>
          <w:rFonts w:ascii="Times New Roman" w:hAnsi="Times New Roman" w:cs="Times New Roman"/>
          <w:b w:val="0"/>
          <w:i w:val="0"/>
          <w:sz w:val="24"/>
        </w:rPr>
        <w:t xml:space="preserve">Pursuant to Federal Rule of Civil Procedure 12(b)(6) and Section 3.4 of the Court's Standing Order on Motion Practice, Defendant Meridian Cloud Solutions, Inc. ("Meridian") moves to dismiss all five counts of Plaintiff Arcadia Health Systems, LLC's ("Arcadia") First Amended Complaint (Dkt. No. 12) (the "FAC") for failure to state a claim upon which relief may be granted. Meridian preserved the Rule 12(b)(6) defense in its Answer (Dkt. No. [__])—both as its First Affirmative Defense and in Section III's express reservation of rights—and files this motion within the January 15, 2024 dispositive-motion deadline set by the Scheduling Order (Dkt. No. [__]). To the extent the Court elects to treat this post-answer motion as one for judgment on the pleadings under Rule 12(c), the same plausibility standard governs. </w:t>
      </w:r>
      <w:r>
        <w:rPr>
          <w:rFonts w:ascii="Times New Roman" w:hAnsi="Times New Roman" w:cs="Times New Roman"/>
          <w:b w:val="0"/>
          <w:i/>
          <w:sz w:val="24"/>
        </w:rPr>
        <w:t>Ashcroft v. Iqbal</w:t>
      </w:r>
      <w:r>
        <w:rPr>
          <w:rFonts w:ascii="Times New Roman" w:hAnsi="Times New Roman" w:cs="Times New Roman"/>
          <w:b w:val="0"/>
          <w:i w:val="0"/>
          <w:sz w:val="24"/>
        </w:rPr>
        <w:t>, 556 U.S. 662, 678–79 (2009).</w:t>
      </w:r>
    </w:p>
    <w:p>
      <w:pPr>
        <w:spacing w:line="480" w:lineRule="auto"/>
        <w:ind w:firstLine="720"/>
        <w:jc w:val="both"/>
      </w:pPr>
      <w:r>
        <w:rPr>
          <w:rFonts w:ascii="Times New Roman" w:hAnsi="Times New Roman" w:cs="Times New Roman"/>
          <w:b w:val="0"/>
          <w:i w:val="0"/>
          <w:sz w:val="24"/>
        </w:rPr>
        <w:t>The parties conferred in good faith regarding this motion on January 8, 2024. Arcadia's counsel confirmed that Arcadia opposes dismissal of every count and declined to narrow or voluntarily dismiss any claim. The parties were therefore unable to reach agreement, and further conferral would be futile. A separate Certificate of Conference accompanies this motion.</w:t>
      </w:r>
    </w:p>
    <w:p>
      <w:pPr>
        <w:spacing w:line="480" w:lineRule="auto" w:before="280" w:after="120"/>
        <w:jc w:val="center"/>
      </w:pPr>
      <w:r>
        <w:rPr>
          <w:rFonts w:ascii="Times New Roman" w:hAnsi="Times New Roman" w:cs="Times New Roman"/>
          <w:b/>
          <w:i w:val="0"/>
          <w:sz w:val="24"/>
        </w:rPr>
        <w:t>I. INTRODUCTION</w:t>
      </w:r>
    </w:p>
    <w:p>
      <w:pPr>
        <w:spacing w:line="480" w:lineRule="auto"/>
        <w:ind w:firstLine="720"/>
        <w:jc w:val="both"/>
      </w:pPr>
      <w:r>
        <w:rPr>
          <w:rFonts w:ascii="Times New Roman" w:hAnsi="Times New Roman" w:cs="Times New Roman"/>
          <w:b w:val="0"/>
          <w:i w:val="0"/>
          <w:sz w:val="24"/>
        </w:rPr>
        <w:t>This is a commercial contract dispute dressed up as a tort and consumer-protection case. Arcadia—a sophisticated healthcare-IT company with approximately $62 million in annual revenue, represented throughout by experienced outside counsel—negotiated and executed a $14.7 million enterprise-software agreement (the "MSLSA") at arm's length. When the implementation did not go as Arcadia hoped, Arcadia filed a five-count complaint seeking $47.3 million—more than three times the contract's value—by repackaging a single breach-of-contract grievance as fraud, negligent misrepresentation, unjust enrichment, and a Texas Deceptive Trade Practices Act ("DTPA") claim, and by demanding damages the contract expressly forecloses. Each theory fails as a matter of law.</w:t>
      </w:r>
    </w:p>
    <w:p>
      <w:pPr>
        <w:spacing w:line="480" w:lineRule="auto"/>
        <w:ind w:firstLine="720"/>
        <w:jc w:val="both"/>
      </w:pPr>
      <w:r>
        <w:rPr>
          <w:rFonts w:ascii="Times New Roman" w:hAnsi="Times New Roman" w:cs="Times New Roman"/>
          <w:b w:val="0"/>
          <w:i w:val="0"/>
          <w:sz w:val="24"/>
        </w:rPr>
        <w:t>The FAC cannot survive because:</w:t>
      </w:r>
    </w:p>
    <w:p>
      <w:pPr>
        <w:spacing w:line="480" w:lineRule="auto"/>
        <w:ind w:left="720" w:hanging="360"/>
        <w:jc w:val="both"/>
      </w:pPr>
      <w:r>
        <w:rPr>
          <w:rFonts w:ascii="Times New Roman" w:hAnsi="Times New Roman" w:cs="Times New Roman"/>
          <w:b w:val="0"/>
          <w:i w:val="0"/>
          <w:sz w:val="24"/>
        </w:rPr>
        <w:t xml:space="preserve">•  </w:t>
      </w:r>
      <w:r>
        <w:rPr>
          <w:rFonts w:ascii="Times New Roman" w:hAnsi="Times New Roman" w:cs="Times New Roman"/>
          <w:b/>
          <w:i w:val="0"/>
          <w:sz w:val="24"/>
        </w:rPr>
        <w:t>Count V (DTPA)</w:t>
      </w:r>
      <w:r>
        <w:rPr>
          <w:rFonts w:ascii="Times New Roman" w:hAnsi="Times New Roman" w:cs="Times New Roman"/>
          <w:b w:val="0"/>
          <w:i w:val="0"/>
          <w:sz w:val="24"/>
        </w:rPr>
        <w:t xml:space="preserve"> is statutorily exempt. The transaction exceeds $500,000 in total consideration, and Arcadia is a limited liability company, not an individual. </w:t>
      </w:r>
      <w:r>
        <w:rPr>
          <w:rFonts w:ascii="Times New Roman" w:hAnsi="Times New Roman" w:cs="Times New Roman"/>
          <w:b w:val="0"/>
          <w:i/>
          <w:sz w:val="24"/>
        </w:rPr>
        <w:t>Tex. Bus. &amp; Com. Code</w:t>
      </w:r>
      <w:r>
        <w:rPr>
          <w:rFonts w:ascii="Times New Roman" w:hAnsi="Times New Roman" w:cs="Times New Roman"/>
          <w:b w:val="0"/>
          <w:i w:val="0"/>
          <w:sz w:val="24"/>
        </w:rPr>
        <w:t xml:space="preserve"> § 17.49(f).</w:t>
      </w:r>
    </w:p>
    <w:p>
      <w:pPr>
        <w:spacing w:line="480" w:lineRule="auto"/>
        <w:ind w:left="720" w:hanging="360"/>
        <w:jc w:val="both"/>
      </w:pPr>
      <w:r>
        <w:rPr>
          <w:rFonts w:ascii="Times New Roman" w:hAnsi="Times New Roman" w:cs="Times New Roman"/>
          <w:b w:val="0"/>
          <w:i w:val="0"/>
          <w:sz w:val="24"/>
        </w:rPr>
        <w:t xml:space="preserve">•  </w:t>
      </w:r>
      <w:r>
        <w:rPr>
          <w:rFonts w:ascii="Times New Roman" w:hAnsi="Times New Roman" w:cs="Times New Roman"/>
          <w:b/>
          <w:i w:val="0"/>
          <w:sz w:val="24"/>
        </w:rPr>
        <w:t>Count IV (unjust enrichment)</w:t>
      </w:r>
      <w:r>
        <w:rPr>
          <w:rFonts w:ascii="Times New Roman" w:hAnsi="Times New Roman" w:cs="Times New Roman"/>
          <w:b w:val="0"/>
          <w:i w:val="0"/>
          <w:sz w:val="24"/>
        </w:rPr>
        <w:t xml:space="preserve"> is barred because an express, valid contract—the MSLSA—governs the identical subject matter.</w:t>
      </w:r>
    </w:p>
    <w:p>
      <w:pPr>
        <w:spacing w:line="480" w:lineRule="auto"/>
        <w:ind w:left="720" w:hanging="360"/>
        <w:jc w:val="both"/>
      </w:pPr>
      <w:r>
        <w:rPr>
          <w:rFonts w:ascii="Times New Roman" w:hAnsi="Times New Roman" w:cs="Times New Roman"/>
          <w:b w:val="0"/>
          <w:i w:val="0"/>
          <w:sz w:val="24"/>
        </w:rPr>
        <w:t xml:space="preserve">•  </w:t>
      </w:r>
      <w:r>
        <w:rPr>
          <w:rFonts w:ascii="Times New Roman" w:hAnsi="Times New Roman" w:cs="Times New Roman"/>
          <w:b/>
          <w:i w:val="0"/>
          <w:sz w:val="24"/>
        </w:rPr>
        <w:t>Count II (fraud)</w:t>
      </w:r>
      <w:r>
        <w:rPr>
          <w:rFonts w:ascii="Times New Roman" w:hAnsi="Times New Roman" w:cs="Times New Roman"/>
          <w:b w:val="0"/>
          <w:i w:val="0"/>
          <w:sz w:val="24"/>
        </w:rPr>
        <w:t xml:space="preserve"> fails on five independent grounds: Rule 9(b) particularity, the puffery doctrine, the economic loss doctrine, the MSLSA's integration clause, and the absence of justifiable reliance.</w:t>
      </w:r>
    </w:p>
    <w:p>
      <w:pPr>
        <w:spacing w:line="480" w:lineRule="auto"/>
        <w:ind w:left="720" w:hanging="360"/>
        <w:jc w:val="both"/>
      </w:pPr>
      <w:r>
        <w:rPr>
          <w:rFonts w:ascii="Times New Roman" w:hAnsi="Times New Roman" w:cs="Times New Roman"/>
          <w:b w:val="0"/>
          <w:i w:val="0"/>
          <w:sz w:val="24"/>
        </w:rPr>
        <w:t xml:space="preserve">•  </w:t>
      </w:r>
      <w:r>
        <w:rPr>
          <w:rFonts w:ascii="Times New Roman" w:hAnsi="Times New Roman" w:cs="Times New Roman"/>
          <w:b/>
          <w:i w:val="0"/>
          <w:sz w:val="24"/>
        </w:rPr>
        <w:t>Count III (negligent misrepresentation)</w:t>
      </w:r>
      <w:r>
        <w:rPr>
          <w:rFonts w:ascii="Times New Roman" w:hAnsi="Times New Roman" w:cs="Times New Roman"/>
          <w:b w:val="0"/>
          <w:i w:val="0"/>
          <w:sz w:val="24"/>
        </w:rPr>
        <w:t xml:space="preserve"> fails because Meridian owes no duty independent of the MSLSA, the economic loss doctrine applies, and the claim sounds in fraud and must satisfy Rule 9(b).</w:t>
      </w:r>
    </w:p>
    <w:p>
      <w:pPr>
        <w:spacing w:line="480" w:lineRule="auto"/>
        <w:ind w:left="720" w:hanging="360"/>
        <w:jc w:val="both"/>
      </w:pPr>
      <w:r>
        <w:rPr>
          <w:rFonts w:ascii="Times New Roman" w:hAnsi="Times New Roman" w:cs="Times New Roman"/>
          <w:b w:val="0"/>
          <w:i w:val="0"/>
          <w:sz w:val="24"/>
        </w:rPr>
        <w:t xml:space="preserve">•  </w:t>
      </w:r>
      <w:r>
        <w:rPr>
          <w:rFonts w:ascii="Times New Roman" w:hAnsi="Times New Roman" w:cs="Times New Roman"/>
          <w:b/>
          <w:i w:val="0"/>
          <w:sz w:val="24"/>
        </w:rPr>
        <w:t>Count I (breach of contract)</w:t>
      </w:r>
      <w:r>
        <w:rPr>
          <w:rFonts w:ascii="Times New Roman" w:hAnsi="Times New Roman" w:cs="Times New Roman"/>
          <w:b w:val="0"/>
          <w:i w:val="0"/>
          <w:sz w:val="24"/>
        </w:rPr>
        <w:t xml:space="preserve"> fails because Arcadia deemed-accepted the software under Section 5.3, the limited warranty expired, and the damages sought are barred by Sections 8.1–8.3.</w:t>
      </w:r>
    </w:p>
    <w:p>
      <w:pPr>
        <w:spacing w:line="480" w:lineRule="auto"/>
        <w:ind w:firstLine="720"/>
        <w:jc w:val="both"/>
      </w:pPr>
      <w:r>
        <w:rPr>
          <w:rFonts w:ascii="Times New Roman" w:hAnsi="Times New Roman" w:cs="Times New Roman"/>
          <w:b w:val="0"/>
          <w:i w:val="0"/>
          <w:sz w:val="24"/>
        </w:rPr>
        <w:t>The Court should dismiss the FAC in its entirety with prejudice.</w:t>
      </w:r>
    </w:p>
    <w:p>
      <w:pPr>
        <w:spacing w:line="480" w:lineRule="auto" w:before="280" w:after="120"/>
        <w:jc w:val="center"/>
      </w:pPr>
      <w:r>
        <w:rPr>
          <w:rFonts w:ascii="Times New Roman" w:hAnsi="Times New Roman" w:cs="Times New Roman"/>
          <w:b/>
          <w:i w:val="0"/>
          <w:sz w:val="24"/>
        </w:rPr>
        <w:t>II. FACTUAL BACKGROUND</w:t>
      </w:r>
    </w:p>
    <w:p>
      <w:pPr>
        <w:spacing w:line="480" w:lineRule="auto"/>
        <w:ind w:firstLine="720"/>
        <w:jc w:val="both"/>
      </w:pPr>
      <w:r>
        <w:rPr>
          <w:rFonts w:ascii="Times New Roman" w:hAnsi="Times New Roman" w:cs="Times New Roman"/>
          <w:b w:val="0"/>
          <w:i w:val="0"/>
          <w:sz w:val="24"/>
        </w:rPr>
        <w:t xml:space="preserve">In resolving this motion, the Court may consider the FAC, the MSLSA and its Statement of Work #1 ("SOW-1"), and the four Change Orders ("CO-001" through "CO-004"), all of which are referenced in the FAC and central to Arcadia's claims. </w:t>
      </w:r>
      <w:r>
        <w:rPr>
          <w:rFonts w:ascii="Times New Roman" w:hAnsi="Times New Roman" w:cs="Times New Roman"/>
          <w:b w:val="0"/>
          <w:i/>
          <w:sz w:val="24"/>
        </w:rPr>
        <w:t>Lormand v. US Unwired, Inc.</w:t>
      </w:r>
      <w:r>
        <w:rPr>
          <w:rFonts w:ascii="Times New Roman" w:hAnsi="Times New Roman" w:cs="Times New Roman"/>
          <w:b w:val="0"/>
          <w:i w:val="0"/>
          <w:sz w:val="24"/>
        </w:rPr>
        <w:t xml:space="preserve">, 565 F.3d 228, 232 (5th Cir. 2009). The well-pleaded facts are accepted as true, but legal conclusions and facts contradicted by the documents central to the claims are not. </w:t>
      </w:r>
      <w:r>
        <w:rPr>
          <w:rFonts w:ascii="Times New Roman" w:hAnsi="Times New Roman" w:cs="Times New Roman"/>
          <w:b w:val="0"/>
          <w:i/>
          <w:sz w:val="24"/>
        </w:rPr>
        <w:t>Id</w:t>
      </w:r>
      <w:r>
        <w:rPr>
          <w:rFonts w:ascii="Times New Roman" w:hAnsi="Times New Roman" w:cs="Times New Roman"/>
          <w:b w:val="0"/>
          <w:i w:val="0"/>
          <w:sz w:val="24"/>
        </w:rPr>
        <w:t>. at 255.</w:t>
      </w:r>
    </w:p>
    <w:p>
      <w:pPr>
        <w:spacing w:line="480" w:lineRule="auto" w:before="200" w:after="80"/>
        <w:jc w:val="left"/>
      </w:pPr>
      <w:r>
        <w:rPr>
          <w:rFonts w:ascii="Times New Roman" w:hAnsi="Times New Roman" w:cs="Times New Roman"/>
          <w:b/>
          <w:i w:val="0"/>
          <w:sz w:val="24"/>
        </w:rPr>
        <w:t>A. The parties and the contract.</w:t>
      </w:r>
    </w:p>
    <w:p>
      <w:pPr>
        <w:spacing w:line="480" w:lineRule="auto"/>
        <w:ind w:firstLine="720"/>
        <w:jc w:val="both"/>
      </w:pPr>
      <w:r>
        <w:rPr>
          <w:rFonts w:ascii="Times New Roman" w:hAnsi="Times New Roman" w:cs="Times New Roman"/>
          <w:b w:val="0"/>
          <w:i w:val="0"/>
          <w:sz w:val="24"/>
        </w:rPr>
        <w:t>Meridian is a Delaware corporation that licenses its NexusCore cloud platform. FAC ¶¶ 5–7. Arcadia is a Texas limited liability company that operates electronic-health-record integration and analytics platforms for 23 hospitals and over 140 clinics, with annual revenue of approximately $62 million. FAC ¶¶ 3–4. On March 15, 2022, after months of pre-sale discussions, due diligence, and negotiation, the parties executed the MSLSA and SOW-1 for the NexusCore Healthcare Analytics Module. FAC ¶¶ 11, 16. The total contract value was $14,700,000. FAC ¶ 12. Four mutually executed Change Orders added $2,350,000 in scope. FAC ¶ 46.</w:t>
      </w:r>
    </w:p>
    <w:p>
      <w:pPr>
        <w:spacing w:line="480" w:lineRule="auto" w:before="200" w:after="80"/>
        <w:jc w:val="left"/>
      </w:pPr>
      <w:r>
        <w:rPr>
          <w:rFonts w:ascii="Times New Roman" w:hAnsi="Times New Roman" w:cs="Times New Roman"/>
          <w:b/>
          <w:i w:val="0"/>
          <w:sz w:val="24"/>
        </w:rPr>
        <w:t>B. The MSLSA is a fully integrated, sophisticated commercial agreement that allocates risk.</w:t>
      </w:r>
    </w:p>
    <w:p>
      <w:pPr>
        <w:spacing w:line="480" w:lineRule="auto"/>
        <w:ind w:firstLine="720"/>
        <w:jc w:val="both"/>
      </w:pPr>
      <w:r>
        <w:rPr>
          <w:rFonts w:ascii="Times New Roman" w:hAnsi="Times New Roman" w:cs="Times New Roman"/>
          <w:b w:val="0"/>
          <w:i w:val="0"/>
          <w:sz w:val="24"/>
        </w:rPr>
        <w:t>The MSLSA is a comprehensive, negotiated agreement that governs every aspect of the parties' relationship. Among its risk-allocation provisions:</w:t>
      </w:r>
    </w:p>
    <w:p>
      <w:pPr>
        <w:spacing w:line="480" w:lineRule="auto"/>
        <w:ind w:left="720" w:hanging="360"/>
        <w:jc w:val="both"/>
      </w:pPr>
      <w:r>
        <w:rPr>
          <w:rFonts w:ascii="Times New Roman" w:hAnsi="Times New Roman" w:cs="Times New Roman"/>
          <w:b w:val="0"/>
          <w:i w:val="0"/>
          <w:sz w:val="24"/>
        </w:rPr>
        <w:t xml:space="preserve">•  </w:t>
      </w:r>
      <w:r>
        <w:rPr>
          <w:rFonts w:ascii="Times New Roman" w:hAnsi="Times New Roman" w:cs="Times New Roman"/>
          <w:b/>
          <w:i w:val="0"/>
          <w:sz w:val="24"/>
        </w:rPr>
        <w:t>Integration clause (§ 12.1).</w:t>
      </w:r>
      <w:r>
        <w:rPr>
          <w:rFonts w:ascii="Times New Roman" w:hAnsi="Times New Roman" w:cs="Times New Roman"/>
          <w:b w:val="0"/>
          <w:i w:val="0"/>
          <w:sz w:val="24"/>
        </w:rPr>
        <w:t xml:space="preserve"> The MSLSA "constitutes the entire agreement between the parties and supersedes all prior and contemporaneous agreements, proposals, representations, and understandings, whether oral or written."</w:t>
      </w:r>
    </w:p>
    <w:p>
      <w:pPr>
        <w:spacing w:line="480" w:lineRule="auto"/>
        <w:ind w:left="720" w:hanging="360"/>
        <w:jc w:val="both"/>
      </w:pPr>
      <w:r>
        <w:rPr>
          <w:rFonts w:ascii="Times New Roman" w:hAnsi="Times New Roman" w:cs="Times New Roman"/>
          <w:b w:val="0"/>
          <w:i w:val="0"/>
          <w:sz w:val="24"/>
        </w:rPr>
        <w:t xml:space="preserve">•  </w:t>
      </w:r>
      <w:r>
        <w:rPr>
          <w:rFonts w:ascii="Times New Roman" w:hAnsi="Times New Roman" w:cs="Times New Roman"/>
          <w:b/>
          <w:i w:val="0"/>
          <w:sz w:val="24"/>
        </w:rPr>
        <w:t>Governing law (§ 12.7).</w:t>
      </w:r>
      <w:r>
        <w:rPr>
          <w:rFonts w:ascii="Times New Roman" w:hAnsi="Times New Roman" w:cs="Times New Roman"/>
          <w:b w:val="0"/>
          <w:i w:val="0"/>
          <w:sz w:val="24"/>
        </w:rPr>
        <w:t xml:space="preserve"> Delaware law governs.</w:t>
      </w:r>
    </w:p>
    <w:p>
      <w:pPr>
        <w:spacing w:line="480" w:lineRule="auto"/>
        <w:ind w:left="720" w:hanging="360"/>
        <w:jc w:val="both"/>
      </w:pPr>
      <w:r>
        <w:rPr>
          <w:rFonts w:ascii="Times New Roman" w:hAnsi="Times New Roman" w:cs="Times New Roman"/>
          <w:b w:val="0"/>
          <w:i w:val="0"/>
          <w:sz w:val="24"/>
        </w:rPr>
        <w:t xml:space="preserve">•  </w:t>
      </w:r>
      <w:r>
        <w:rPr>
          <w:rFonts w:ascii="Times New Roman" w:hAnsi="Times New Roman" w:cs="Times New Roman"/>
          <w:b/>
          <w:i w:val="0"/>
          <w:sz w:val="24"/>
        </w:rPr>
        <w:t>Acceptance testing (§ 5.3).</w:t>
      </w:r>
      <w:r>
        <w:rPr>
          <w:rFonts w:ascii="Times New Roman" w:hAnsi="Times New Roman" w:cs="Times New Roman"/>
          <w:b w:val="0"/>
          <w:i w:val="0"/>
          <w:sz w:val="24"/>
        </w:rPr>
        <w:t xml:space="preserve"> Arcadia had 30 days following Go-Live to deliver written notice of any material nonconformity; absent timely notice, "acceptance ... shall be deemed granted."</w:t>
      </w:r>
    </w:p>
    <w:p>
      <w:pPr>
        <w:spacing w:line="480" w:lineRule="auto"/>
        <w:ind w:left="720" w:hanging="360"/>
        <w:jc w:val="both"/>
      </w:pPr>
      <w:r>
        <w:rPr>
          <w:rFonts w:ascii="Times New Roman" w:hAnsi="Times New Roman" w:cs="Times New Roman"/>
          <w:b w:val="0"/>
          <w:i w:val="0"/>
          <w:sz w:val="24"/>
        </w:rPr>
        <w:t xml:space="preserve">•  </w:t>
      </w:r>
      <w:r>
        <w:rPr>
          <w:rFonts w:ascii="Times New Roman" w:hAnsi="Times New Roman" w:cs="Times New Roman"/>
          <w:b/>
          <w:i w:val="0"/>
          <w:sz w:val="24"/>
        </w:rPr>
        <w:t>Limited warranty (§ 9.1).</w:t>
      </w:r>
      <w:r>
        <w:rPr>
          <w:rFonts w:ascii="Times New Roman" w:hAnsi="Times New Roman" w:cs="Times New Roman"/>
          <w:b w:val="0"/>
          <w:i w:val="0"/>
          <w:sz w:val="24"/>
        </w:rPr>
        <w:t xml:space="preserve"> Meridian warranted that the software would "perform substantially in accordance with the Documentation" for 90 days following Go-Live. The sole remedy for breach is repair, replacement, or—if Meridian cannot cure within 60 days—a pro-rata refund of prepaid license fees.</w:t>
      </w:r>
    </w:p>
    <w:p>
      <w:pPr>
        <w:spacing w:line="480" w:lineRule="auto"/>
        <w:ind w:left="720" w:hanging="360"/>
        <w:jc w:val="both"/>
      </w:pPr>
      <w:r>
        <w:rPr>
          <w:rFonts w:ascii="Times New Roman" w:hAnsi="Times New Roman" w:cs="Times New Roman"/>
          <w:b w:val="0"/>
          <w:i w:val="0"/>
          <w:sz w:val="24"/>
        </w:rPr>
        <w:t xml:space="preserve">•  </w:t>
      </w:r>
      <w:r>
        <w:rPr>
          <w:rFonts w:ascii="Times New Roman" w:hAnsi="Times New Roman" w:cs="Times New Roman"/>
          <w:b/>
          <w:i w:val="0"/>
          <w:sz w:val="24"/>
        </w:rPr>
        <w:t>Warranty disclaimer (§ 9.4).</w:t>
      </w:r>
      <w:r>
        <w:rPr>
          <w:rFonts w:ascii="Times New Roman" w:hAnsi="Times New Roman" w:cs="Times New Roman"/>
          <w:b w:val="0"/>
          <w:i w:val="0"/>
          <w:sz w:val="24"/>
        </w:rPr>
        <w:t xml:space="preserve"> All warranties other than the limited warranty are disclaimed, including implied warranties of merchantability and fitness for a particular purpose.</w:t>
      </w:r>
    </w:p>
    <w:p>
      <w:pPr>
        <w:spacing w:line="480" w:lineRule="auto"/>
        <w:ind w:left="720" w:hanging="360"/>
        <w:jc w:val="both"/>
      </w:pPr>
      <w:r>
        <w:rPr>
          <w:rFonts w:ascii="Times New Roman" w:hAnsi="Times New Roman" w:cs="Times New Roman"/>
          <w:b w:val="0"/>
          <w:i w:val="0"/>
          <w:sz w:val="24"/>
        </w:rPr>
        <w:t xml:space="preserve">•  </w:t>
      </w:r>
      <w:r>
        <w:rPr>
          <w:rFonts w:ascii="Times New Roman" w:hAnsi="Times New Roman" w:cs="Times New Roman"/>
          <w:b/>
          <w:i w:val="0"/>
          <w:sz w:val="24"/>
        </w:rPr>
        <w:t>Liability cap (§ 8.1).</w:t>
      </w:r>
      <w:r>
        <w:rPr>
          <w:rFonts w:ascii="Times New Roman" w:hAnsi="Times New Roman" w:cs="Times New Roman"/>
          <w:b w:val="0"/>
          <w:i w:val="0"/>
          <w:sz w:val="24"/>
        </w:rPr>
        <w:t xml:space="preserve"> Neither party's aggregate liability exceeds the total fees paid or payable in the 12 months preceding the event giving rise to liability.</w:t>
      </w:r>
    </w:p>
    <w:p>
      <w:pPr>
        <w:spacing w:line="480" w:lineRule="auto"/>
        <w:ind w:left="720" w:hanging="360"/>
        <w:jc w:val="both"/>
      </w:pPr>
      <w:r>
        <w:rPr>
          <w:rFonts w:ascii="Times New Roman" w:hAnsi="Times New Roman" w:cs="Times New Roman"/>
          <w:b w:val="0"/>
          <w:i w:val="0"/>
          <w:sz w:val="24"/>
        </w:rPr>
        <w:t xml:space="preserve">•  </w:t>
      </w:r>
      <w:r>
        <w:rPr>
          <w:rFonts w:ascii="Times New Roman" w:hAnsi="Times New Roman" w:cs="Times New Roman"/>
          <w:b/>
          <w:i w:val="0"/>
          <w:sz w:val="24"/>
        </w:rPr>
        <w:t>Consequential damages waiver (§ 8.2).</w:t>
      </w:r>
      <w:r>
        <w:rPr>
          <w:rFonts w:ascii="Times New Roman" w:hAnsi="Times New Roman" w:cs="Times New Roman"/>
          <w:b w:val="0"/>
          <w:i w:val="0"/>
          <w:sz w:val="24"/>
        </w:rPr>
        <w:t xml:space="preserve"> Neither party is liable for indirect, incidental, special, consequential, punitive, or exemplary damages, including lost profits, goodwill, and reputational harm.</w:t>
      </w:r>
    </w:p>
    <w:p>
      <w:pPr>
        <w:spacing w:line="480" w:lineRule="auto"/>
        <w:ind w:left="720" w:hanging="360"/>
        <w:jc w:val="both"/>
      </w:pPr>
      <w:r>
        <w:rPr>
          <w:rFonts w:ascii="Times New Roman" w:hAnsi="Times New Roman" w:cs="Times New Roman"/>
          <w:b w:val="0"/>
          <w:i w:val="0"/>
          <w:sz w:val="24"/>
        </w:rPr>
        <w:t xml:space="preserve">•  </w:t>
      </w:r>
      <w:r>
        <w:rPr>
          <w:rFonts w:ascii="Times New Roman" w:hAnsi="Times New Roman" w:cs="Times New Roman"/>
          <w:b/>
          <w:i w:val="0"/>
          <w:sz w:val="24"/>
        </w:rPr>
        <w:t>Exclusive remedies (§ 8.3).</w:t>
      </w:r>
      <w:r>
        <w:rPr>
          <w:rFonts w:ascii="Times New Roman" w:hAnsi="Times New Roman" w:cs="Times New Roman"/>
          <w:b w:val="0"/>
          <w:i w:val="0"/>
          <w:sz w:val="24"/>
        </w:rPr>
        <w:t xml:space="preserve"> The MSLSA's remedies are the licensee's sole and exclusive remedies.</w:t>
      </w:r>
    </w:p>
    <w:p>
      <w:pPr>
        <w:spacing w:line="480" w:lineRule="auto"/>
        <w:ind w:left="720" w:hanging="360"/>
        <w:jc w:val="both"/>
      </w:pPr>
      <w:r>
        <w:rPr>
          <w:rFonts w:ascii="Times New Roman" w:hAnsi="Times New Roman" w:cs="Times New Roman"/>
          <w:b w:val="0"/>
          <w:i w:val="0"/>
          <w:sz w:val="24"/>
        </w:rPr>
        <w:t xml:space="preserve">•  </w:t>
      </w:r>
      <w:r>
        <w:rPr>
          <w:rFonts w:ascii="Times New Roman" w:hAnsi="Times New Roman" w:cs="Times New Roman"/>
          <w:b/>
          <w:i w:val="0"/>
          <w:sz w:val="24"/>
        </w:rPr>
        <w:t>Data migration (SOW-1 § 3.2).</w:t>
      </w:r>
      <w:r>
        <w:rPr>
          <w:rFonts w:ascii="Times New Roman" w:hAnsi="Times New Roman" w:cs="Times New Roman"/>
          <w:b w:val="0"/>
          <w:i w:val="0"/>
          <w:sz w:val="24"/>
        </w:rPr>
        <w:t xml:space="preserve"> Arcadia "shall be solely responsible for all data migration activities," and Meridian's role is limited to advisory consulting with "no responsibility for the accuracy, completeness, or integrity of migrated data."</w:t>
      </w:r>
    </w:p>
    <w:p>
      <w:pPr>
        <w:spacing w:line="480" w:lineRule="auto" w:before="200" w:after="80"/>
        <w:jc w:val="left"/>
      </w:pPr>
      <w:r>
        <w:rPr>
          <w:rFonts w:ascii="Times New Roman" w:hAnsi="Times New Roman" w:cs="Times New Roman"/>
          <w:b/>
          <w:i w:val="0"/>
          <w:sz w:val="24"/>
        </w:rPr>
        <w:t>C. Arcadia is a sophisticated party that conducted extensive due diligence.</w:t>
      </w:r>
    </w:p>
    <w:p>
      <w:pPr>
        <w:spacing w:line="480" w:lineRule="auto"/>
        <w:ind w:firstLine="720"/>
        <w:jc w:val="both"/>
      </w:pPr>
      <w:r>
        <w:rPr>
          <w:rFonts w:ascii="Times New Roman" w:hAnsi="Times New Roman" w:cs="Times New Roman"/>
          <w:b w:val="0"/>
          <w:i w:val="0"/>
          <w:sz w:val="24"/>
        </w:rPr>
        <w:t>Arcadia did not rely on sales talk. Its Chief Technology Officer, Martin Schreiber, conducted an independent technical review that included reference calls with two existing Meridian healthcare clients and a two-week proof-of-concept trial. FAC ¶ 21. Schreiber's January 19, 2022 internal memorandum—prepared before contract execution—concluded that "NexusCore appears well-suited to our needs" but that "[i]ntegration complexity is manageable but will require a skilled SI partner," and recommended that Arcadia retain an independent systems integrator for data migration and engage outside counsel to negotiate the MSLSA. Arcadia did both: it retained Linden Park Consulting, LLC ("Linden Park") for data migration and was represented by Wexford Hale LLP in negotiating the MSLSA. FAC ¶ 21.</w:t>
      </w:r>
    </w:p>
    <w:p>
      <w:pPr>
        <w:spacing w:line="480" w:lineRule="auto"/>
        <w:ind w:firstLine="720"/>
        <w:jc w:val="both"/>
      </w:pPr>
      <w:r>
        <w:rPr>
          <w:rFonts w:ascii="Times New Roman" w:hAnsi="Times New Roman" w:cs="Times New Roman"/>
          <w:b w:val="0"/>
          <w:i w:val="0"/>
          <w:sz w:val="24"/>
        </w:rPr>
        <w:t>Meridian's December 9, 2021 written proposal—delivered before execution—expressly disclaimed that "[e]stimated timelines and performance metrics are provided for planning purposes only and do not constitute guarantees," and that "Meridian does not warrant that integration with any particular EHR system will be seamless, error-free, or achievable within any specific timeframe." FAC ¶ 20.</w:t>
      </w:r>
    </w:p>
    <w:p>
      <w:pPr>
        <w:spacing w:line="480" w:lineRule="auto" w:before="200" w:after="80"/>
        <w:jc w:val="left"/>
      </w:pPr>
      <w:r>
        <w:rPr>
          <w:rFonts w:ascii="Times New Roman" w:hAnsi="Times New Roman" w:cs="Times New Roman"/>
          <w:b/>
          <w:i w:val="0"/>
          <w:sz w:val="24"/>
        </w:rPr>
        <w:t>D. Go-Live, deemed acceptance, and the warranty period.</w:t>
      </w:r>
    </w:p>
    <w:p>
      <w:pPr>
        <w:spacing w:line="480" w:lineRule="auto"/>
        <w:ind w:firstLine="720"/>
        <w:jc w:val="both"/>
      </w:pPr>
      <w:r>
        <w:rPr>
          <w:rFonts w:ascii="Times New Roman" w:hAnsi="Times New Roman" w:cs="Times New Roman"/>
          <w:b w:val="0"/>
          <w:i w:val="0"/>
          <w:sz w:val="24"/>
        </w:rPr>
        <w:t>The NexusCore Healthcare Analytics Module achieved Go-Live on January 15, 2023. FAC ¶ 15. Under § 5.3, the 30-day acceptance-testing window closed on February 14, 2023. The FAC does not allege that Arcadia delivered any written notice of nonconformity within that period. Arcadia's first written complaint—a March 8, 2023 email from Dr. Okonkwo reporting "intermittent latency issues" and "occasional report generation errors"—came 22 days after the window closed. FAC ¶ 50. The 90-day limited warranty expired on April 15, 2023. FAC ¶ 51.</w:t>
      </w:r>
    </w:p>
    <w:p>
      <w:pPr>
        <w:spacing w:line="480" w:lineRule="auto" w:before="200" w:after="80"/>
        <w:jc w:val="left"/>
      </w:pPr>
      <w:r>
        <w:rPr>
          <w:rFonts w:ascii="Times New Roman" w:hAnsi="Times New Roman" w:cs="Times New Roman"/>
          <w:b/>
          <w:i w:val="0"/>
          <w:sz w:val="24"/>
        </w:rPr>
        <w:t>E. The damages Arcadia seeks.</w:t>
      </w:r>
    </w:p>
    <w:p>
      <w:pPr>
        <w:spacing w:line="480" w:lineRule="auto"/>
        <w:ind w:firstLine="720"/>
        <w:jc w:val="both"/>
      </w:pPr>
      <w:r>
        <w:rPr>
          <w:rFonts w:ascii="Times New Roman" w:hAnsi="Times New Roman" w:cs="Times New Roman"/>
          <w:b w:val="0"/>
          <w:i w:val="0"/>
          <w:sz w:val="24"/>
        </w:rPr>
        <w:t>Arcadia demands $47,300,000: $14,700,000 in "contract restitution"; $18,400,000 in lost profits; $6,700,000 in increased operating costs; $5,000,000 in reputational harm; and $2,500,000 in DTPA treble damages. FAC ¶¶ 31–36. Every category of damages other than the contract value is a consequential or speculative loss that the MSLSA expressly excludes.</w:t>
      </w:r>
    </w:p>
    <w:p>
      <w:pPr>
        <w:spacing w:line="480" w:lineRule="auto" w:before="280" w:after="120"/>
        <w:jc w:val="center"/>
      </w:pPr>
      <w:r>
        <w:rPr>
          <w:rFonts w:ascii="Times New Roman" w:hAnsi="Times New Roman" w:cs="Times New Roman"/>
          <w:b/>
          <w:i w:val="0"/>
          <w:sz w:val="24"/>
        </w:rPr>
        <w:t>III. LEGAL STANDARD</w:t>
      </w:r>
    </w:p>
    <w:p>
      <w:pPr>
        <w:spacing w:line="480" w:lineRule="auto" w:before="200" w:after="80"/>
        <w:jc w:val="left"/>
      </w:pPr>
      <w:r>
        <w:rPr>
          <w:rFonts w:ascii="Times New Roman" w:hAnsi="Times New Roman" w:cs="Times New Roman"/>
          <w:b/>
          <w:i w:val="0"/>
          <w:sz w:val="24"/>
        </w:rPr>
        <w:t>A. Rule 12(b)(6) / plausibility.</w:t>
      </w:r>
    </w:p>
    <w:p>
      <w:pPr>
        <w:spacing w:line="480" w:lineRule="auto"/>
        <w:ind w:firstLine="720"/>
        <w:jc w:val="both"/>
      </w:pPr>
      <w:r>
        <w:rPr>
          <w:rFonts w:ascii="Times New Roman" w:hAnsi="Times New Roman" w:cs="Times New Roman"/>
          <w:b w:val="0"/>
          <w:i w:val="0"/>
          <w:sz w:val="24"/>
        </w:rPr>
        <w:t xml:space="preserve">A complaint must contain "a short and plain statement ... showing that the pleader is entitled to relief." Fed. R. Civ. P. 8(a)(2). To survive a motion to dismiss, a plaintiff must plead "enough facts to state a claim to relief that is plausible on its face." </w:t>
      </w:r>
      <w:r>
        <w:rPr>
          <w:rFonts w:ascii="Times New Roman" w:hAnsi="Times New Roman" w:cs="Times New Roman"/>
          <w:b w:val="0"/>
          <w:i/>
          <w:sz w:val="24"/>
        </w:rPr>
        <w:t>Bell Atlantic Corp. v. Twombly</w:t>
      </w:r>
      <w:r>
        <w:rPr>
          <w:rFonts w:ascii="Times New Roman" w:hAnsi="Times New Roman" w:cs="Times New Roman"/>
          <w:b w:val="0"/>
          <w:i w:val="0"/>
          <w:sz w:val="24"/>
        </w:rPr>
        <w:t xml:space="preserve">, 550 U.S. 544, 570 (2007). "A claim has facial plausibility when the plaintiff pleads factual content that allows the court to draw the reasonable inference that the defendant is liable for the misconduct alleged." </w:t>
      </w:r>
      <w:r>
        <w:rPr>
          <w:rFonts w:ascii="Times New Roman" w:hAnsi="Times New Roman" w:cs="Times New Roman"/>
          <w:b w:val="0"/>
          <w:i/>
          <w:sz w:val="24"/>
        </w:rPr>
        <w:t>Iqbal</w:t>
      </w:r>
      <w:r>
        <w:rPr>
          <w:rFonts w:ascii="Times New Roman" w:hAnsi="Times New Roman" w:cs="Times New Roman"/>
          <w:b w:val="0"/>
          <w:i w:val="0"/>
          <w:sz w:val="24"/>
        </w:rPr>
        <w:t xml:space="preserve">, 556 U.S. at 678. The Court accepts well-pleaded facts as true but "need not accept ... legal conclusions ... or threadbare recitals of the elements of a cause of action, supported by mere conclusory statements." </w:t>
      </w:r>
      <w:r>
        <w:rPr>
          <w:rFonts w:ascii="Times New Roman" w:hAnsi="Times New Roman" w:cs="Times New Roman"/>
          <w:b w:val="0"/>
          <w:i/>
          <w:sz w:val="24"/>
        </w:rPr>
        <w:t>Id</w:t>
      </w:r>
      <w:r>
        <w:rPr>
          <w:rFonts w:ascii="Times New Roman" w:hAnsi="Times New Roman" w:cs="Times New Roman"/>
          <w:b w:val="0"/>
          <w:i w:val="0"/>
          <w:sz w:val="24"/>
        </w:rPr>
        <w:t xml:space="preserve">. at 678–79. "Determining whether a complaint states a plausible claim for relief [is] a context-specific task that requires the reviewing court to draw on its judicial experience and common sense." </w:t>
      </w:r>
      <w:r>
        <w:rPr>
          <w:rFonts w:ascii="Times New Roman" w:hAnsi="Times New Roman" w:cs="Times New Roman"/>
          <w:b w:val="0"/>
          <w:i/>
          <w:sz w:val="24"/>
        </w:rPr>
        <w:t>Id</w:t>
      </w:r>
      <w:r>
        <w:rPr>
          <w:rFonts w:ascii="Times New Roman" w:hAnsi="Times New Roman" w:cs="Times New Roman"/>
          <w:b w:val="0"/>
          <w:i w:val="0"/>
          <w:sz w:val="24"/>
        </w:rPr>
        <w:t>. at 679.</w:t>
      </w:r>
    </w:p>
    <w:p>
      <w:pPr>
        <w:spacing w:line="480" w:lineRule="auto" w:before="200" w:after="80"/>
        <w:jc w:val="left"/>
      </w:pPr>
      <w:r>
        <w:rPr>
          <w:rFonts w:ascii="Times New Roman" w:hAnsi="Times New Roman" w:cs="Times New Roman"/>
          <w:b/>
          <w:i w:val="0"/>
          <w:sz w:val="24"/>
        </w:rPr>
        <w:t>B. The Court may consider the MSLSA and related documents.</w:t>
      </w:r>
    </w:p>
    <w:p>
      <w:pPr>
        <w:spacing w:line="480" w:lineRule="auto"/>
        <w:ind w:firstLine="720"/>
        <w:jc w:val="both"/>
      </w:pPr>
      <w:r>
        <w:rPr>
          <w:rFonts w:ascii="Times New Roman" w:hAnsi="Times New Roman" w:cs="Times New Roman"/>
          <w:b w:val="0"/>
          <w:i w:val="0"/>
          <w:sz w:val="24"/>
        </w:rPr>
        <w:t xml:space="preserve">A court may consider documents "attached to [the] complaint, incorporated by reference, or ... central to the plaintiff's claim" without converting a Rule 12(b)(6) motion into one for summary judgment. </w:t>
      </w:r>
      <w:r>
        <w:rPr>
          <w:rFonts w:ascii="Times New Roman" w:hAnsi="Times New Roman" w:cs="Times New Roman"/>
          <w:b w:val="0"/>
          <w:i/>
          <w:sz w:val="24"/>
        </w:rPr>
        <w:t>Lormand</w:t>
      </w:r>
      <w:r>
        <w:rPr>
          <w:rFonts w:ascii="Times New Roman" w:hAnsi="Times New Roman" w:cs="Times New Roman"/>
          <w:b w:val="0"/>
          <w:i w:val="0"/>
          <w:sz w:val="24"/>
        </w:rPr>
        <w:t xml:space="preserve">, 565 F.3d at 232; </w:t>
      </w:r>
      <w:r>
        <w:rPr>
          <w:rFonts w:ascii="Times New Roman" w:hAnsi="Times New Roman" w:cs="Times New Roman"/>
          <w:b w:val="0"/>
          <w:i/>
          <w:sz w:val="24"/>
        </w:rPr>
        <w:t>Causey v. Sewell Cadillac-Chevrolet, Inc.</w:t>
      </w:r>
      <w:r>
        <w:rPr>
          <w:rFonts w:ascii="Times New Roman" w:hAnsi="Times New Roman" w:cs="Times New Roman"/>
          <w:b w:val="0"/>
          <w:i w:val="0"/>
          <w:sz w:val="24"/>
        </w:rPr>
        <w:t xml:space="preserve">, 194 F. Supp. 2d 575, 578 (E.D. La. 2002). The MSLSA, SOW-1, and Change Orders are referenced throughout the FAC and form the basis of every count. They are properly before the Court. To the extent the FAC's allegations conflict with the MSLSA's express terms, the MSLSA controls. </w:t>
      </w:r>
      <w:r>
        <w:rPr>
          <w:rFonts w:ascii="Times New Roman" w:hAnsi="Times New Roman" w:cs="Times New Roman"/>
          <w:b w:val="0"/>
          <w:i/>
          <w:sz w:val="24"/>
        </w:rPr>
        <w:t>Lormand</w:t>
      </w:r>
      <w:r>
        <w:rPr>
          <w:rFonts w:ascii="Times New Roman" w:hAnsi="Times New Roman" w:cs="Times New Roman"/>
          <w:b w:val="0"/>
          <w:i w:val="0"/>
          <w:sz w:val="24"/>
        </w:rPr>
        <w:t>, 565 F.3d at 255.</w:t>
      </w:r>
    </w:p>
    <w:p>
      <w:pPr>
        <w:spacing w:line="480" w:lineRule="auto" w:before="200" w:after="80"/>
        <w:jc w:val="left"/>
      </w:pPr>
      <w:r>
        <w:rPr>
          <w:rFonts w:ascii="Times New Roman" w:hAnsi="Times New Roman" w:cs="Times New Roman"/>
          <w:b/>
          <w:i w:val="0"/>
          <w:sz w:val="24"/>
        </w:rPr>
        <w:t>C. Rule 9(b) governs the fraud-based counts.</w:t>
      </w:r>
    </w:p>
    <w:p>
      <w:pPr>
        <w:spacing w:line="480" w:lineRule="auto"/>
        <w:ind w:firstLine="720"/>
        <w:jc w:val="both"/>
      </w:pPr>
      <w:r>
        <w:rPr>
          <w:rFonts w:ascii="Times New Roman" w:hAnsi="Times New Roman" w:cs="Times New Roman"/>
          <w:b w:val="0"/>
          <w:i w:val="0"/>
          <w:sz w:val="24"/>
        </w:rPr>
        <w:t xml:space="preserve">Fraud must be pleaded with particularity: "the who, what, when, where, and how of the alleged fraud." </w:t>
      </w:r>
      <w:r>
        <w:rPr>
          <w:rFonts w:ascii="Times New Roman" w:hAnsi="Times New Roman" w:cs="Times New Roman"/>
          <w:b w:val="0"/>
          <w:i/>
          <w:sz w:val="24"/>
        </w:rPr>
        <w:t>Benchmark Elecs., Inc. v. J.M. Huber Corp.</w:t>
      </w:r>
      <w:r>
        <w:rPr>
          <w:rFonts w:ascii="Times New Roman" w:hAnsi="Times New Roman" w:cs="Times New Roman"/>
          <w:b w:val="0"/>
          <w:i w:val="0"/>
          <w:sz w:val="24"/>
        </w:rPr>
        <w:t xml:space="preserve">, 343 F.3d 719, 724 (5th Cir. 2003). Rule 9(b) applies to any claim "sounding in fraud," including negligent misrepresentation predicated on the same alleged misstatements. </w:t>
      </w:r>
      <w:r>
        <w:rPr>
          <w:rFonts w:ascii="Times New Roman" w:hAnsi="Times New Roman" w:cs="Times New Roman"/>
          <w:b w:val="0"/>
          <w:i/>
          <w:sz w:val="24"/>
        </w:rPr>
        <w:t>Id</w:t>
      </w:r>
      <w:r>
        <w:rPr>
          <w:rFonts w:ascii="Times New Roman" w:hAnsi="Times New Roman" w:cs="Times New Roman"/>
          <w:b w:val="0"/>
          <w:i w:val="0"/>
          <w:sz w:val="24"/>
        </w:rPr>
        <w:t>. at 723–24.</w:t>
      </w:r>
    </w:p>
    <w:p>
      <w:pPr>
        <w:spacing w:line="480" w:lineRule="auto" w:before="280" w:after="120"/>
        <w:jc w:val="center"/>
      </w:pPr>
      <w:r>
        <w:rPr>
          <w:rFonts w:ascii="Times New Roman" w:hAnsi="Times New Roman" w:cs="Times New Roman"/>
          <w:b/>
          <w:i w:val="0"/>
          <w:sz w:val="24"/>
        </w:rPr>
        <w:t>IV. ARGUMENT</w:t>
      </w:r>
    </w:p>
    <w:p>
      <w:pPr>
        <w:spacing w:line="480" w:lineRule="auto" w:before="200" w:after="80"/>
        <w:jc w:val="left"/>
      </w:pPr>
      <w:r>
        <w:rPr>
          <w:rFonts w:ascii="Times New Roman" w:hAnsi="Times New Roman" w:cs="Times New Roman"/>
          <w:b/>
          <w:i w:val="0"/>
          <w:sz w:val="24"/>
        </w:rPr>
        <w:t>A. Count V (DTPA) is barred by the § 17.49(f) exemption.</w:t>
      </w:r>
    </w:p>
    <w:p>
      <w:pPr>
        <w:spacing w:line="480" w:lineRule="auto"/>
        <w:ind w:firstLine="720"/>
        <w:jc w:val="both"/>
      </w:pPr>
      <w:r>
        <w:rPr>
          <w:rFonts w:ascii="Times New Roman" w:hAnsi="Times New Roman" w:cs="Times New Roman"/>
          <w:b w:val="0"/>
          <w:i w:val="0"/>
          <w:sz w:val="24"/>
        </w:rPr>
        <w:t xml:space="preserve">Count V fails at the threshold because the DTPA does not apply to this transaction. Section 17.49(f) of the Texas Business and Commerce Code provides that the DTPA "does not apply to a cause of action arising from a transaction, a project, or a set of transactions relating to the same project, involving total consideration by the consumer of more than $500,000," unless the consumer is an individual. </w:t>
      </w:r>
      <w:r>
        <w:rPr>
          <w:rFonts w:ascii="Times New Roman" w:hAnsi="Times New Roman" w:cs="Times New Roman"/>
          <w:b w:val="0"/>
          <w:i/>
          <w:sz w:val="24"/>
        </w:rPr>
        <w:t>Tex. Bus. &amp; Com. Code</w:t>
      </w:r>
      <w:r>
        <w:rPr>
          <w:rFonts w:ascii="Times New Roman" w:hAnsi="Times New Roman" w:cs="Times New Roman"/>
          <w:b w:val="0"/>
          <w:i w:val="0"/>
          <w:sz w:val="24"/>
        </w:rPr>
        <w:t xml:space="preserve"> § 17.49(f). Both conditions for exemption are satisfied here.</w:t>
      </w:r>
    </w:p>
    <w:p>
      <w:pPr>
        <w:spacing w:line="480" w:lineRule="auto"/>
        <w:ind w:firstLine="720"/>
        <w:jc w:val="both"/>
      </w:pPr>
      <w:r>
        <w:rPr>
          <w:rFonts w:ascii="Times New Roman" w:hAnsi="Times New Roman" w:cs="Times New Roman"/>
          <w:b w:val="0"/>
          <w:i w:val="0"/>
          <w:sz w:val="24"/>
        </w:rPr>
        <w:t xml:space="preserve">First, the total consideration far exceeds $500,000. The MSLSA alone involved $14,700,000 in consideration. FAC ¶ 12. The four Change Orders added $2,350,000. FAC ¶ 46. Total consideration was therefore $17,050,000—more than thirty-four times the statutory threshold. The exemption turns on consideration paid at the time of the transaction, not on the damages a plaintiff later demands. </w:t>
      </w:r>
      <w:r>
        <w:rPr>
          <w:rFonts w:ascii="Times New Roman" w:hAnsi="Times New Roman" w:cs="Times New Roman"/>
          <w:b w:val="0"/>
          <w:i/>
          <w:sz w:val="24"/>
        </w:rPr>
        <w:t>PPG Indus., Inc. v. JMB/CTX-Foley St. Louis</w:t>
      </w:r>
      <w:r>
        <w:rPr>
          <w:rFonts w:ascii="Times New Roman" w:hAnsi="Times New Roman" w:cs="Times New Roman"/>
          <w:b w:val="0"/>
          <w:i w:val="0"/>
          <w:sz w:val="24"/>
        </w:rPr>
        <w:t>, 960 S.W.2d 929, 931 (Tex. App.—Texarkana 1998, no pet.).</w:t>
      </w:r>
    </w:p>
    <w:p>
      <w:pPr>
        <w:spacing w:line="480" w:lineRule="auto"/>
        <w:ind w:firstLine="720"/>
        <w:jc w:val="both"/>
      </w:pPr>
      <w:r>
        <w:rPr>
          <w:rFonts w:ascii="Times New Roman" w:hAnsi="Times New Roman" w:cs="Times New Roman"/>
          <w:b w:val="0"/>
          <w:i w:val="0"/>
          <w:sz w:val="24"/>
        </w:rPr>
        <w:t xml:space="preserve">Second, Arcadia is not an individual. Arcadia is a Texas limited liability company. FAC ¶ 3. The § 17.49(f) exemption for non-individual consumers in large transactions is categorical; it does not turn on the sophistication of the entity or the nature of the goods. </w:t>
      </w:r>
      <w:r>
        <w:rPr>
          <w:rFonts w:ascii="Times New Roman" w:hAnsi="Times New Roman" w:cs="Times New Roman"/>
          <w:b w:val="0"/>
          <w:i/>
          <w:sz w:val="24"/>
        </w:rPr>
        <w:t>Cf.</w:t>
      </w:r>
      <w:r>
        <w:rPr>
          <w:rFonts w:ascii="Times New Roman" w:hAnsi="Times New Roman" w:cs="Times New Roman"/>
          <w:b w:val="0"/>
          <w:i w:val="0"/>
          <w:sz w:val="24"/>
        </w:rPr>
        <w:t xml:space="preserve"> </w:t>
      </w:r>
      <w:r>
        <w:rPr>
          <w:rFonts w:ascii="Times New Roman" w:hAnsi="Times New Roman" w:cs="Times New Roman"/>
          <w:b w:val="0"/>
          <w:i/>
          <w:sz w:val="24"/>
        </w:rPr>
        <w:t>Rotherham v. United States</w:t>
      </w:r>
      <w:r>
        <w:rPr>
          <w:rFonts w:ascii="Times New Roman" w:hAnsi="Times New Roman" w:cs="Times New Roman"/>
          <w:b w:val="0"/>
          <w:i w:val="0"/>
          <w:sz w:val="24"/>
        </w:rPr>
        <w:t>, 2015 WL 12836464, at *3 (N.D. Tex. Apr. 15, 2015) (applying § 17.49(f) to bar DTPA claim by corporate consumer in multi-million-dollar transaction).</w:t>
      </w:r>
    </w:p>
    <w:p>
      <w:pPr>
        <w:spacing w:line="480" w:lineRule="auto"/>
        <w:ind w:firstLine="720"/>
        <w:jc w:val="both"/>
      </w:pPr>
      <w:r>
        <w:rPr>
          <w:rFonts w:ascii="Times New Roman" w:hAnsi="Times New Roman" w:cs="Times New Roman"/>
          <w:b w:val="0"/>
          <w:i w:val="0"/>
          <w:sz w:val="24"/>
        </w:rPr>
        <w:t>In the alternative, even under any asset-based component of the exemption, Arcadia's assets plainly exceed $25 million: Arcadia reports approximately $62 million in annual revenue, operates across 23 hospitals and over 140 clinics, and committed over $30 million to the NexusCore deployment and supporting infrastructure. FAC ¶¶ 4, 12, 46. Meridian has requested documentation of Arcadia's total assets as of March 15, 2022.</w:t>
      </w:r>
    </w:p>
    <w:p>
      <w:pPr>
        <w:spacing w:line="480" w:lineRule="auto"/>
        <w:ind w:firstLine="720"/>
        <w:jc w:val="both"/>
      </w:pPr>
      <w:r>
        <w:rPr>
          <w:rFonts w:ascii="Times New Roman" w:hAnsi="Times New Roman" w:cs="Times New Roman"/>
          <w:b w:val="0"/>
          <w:i w:val="0"/>
          <w:sz w:val="24"/>
        </w:rPr>
        <w:t xml:space="preserve">Because the § 17.49(f) exemption is dispositive, Count V must be dismissed. The Court need not reach Arcadia's questionable "consumer" status, but Meridian notes that a $17 million enterprise-software transaction negotiated at arm's length between two commercial entities, each represented by counsel, is not the consumer transaction the DTPA was enacted to protect. </w:t>
      </w:r>
      <w:r>
        <w:rPr>
          <w:rFonts w:ascii="Times New Roman" w:hAnsi="Times New Roman" w:cs="Times New Roman"/>
          <w:b w:val="0"/>
          <w:i/>
          <w:sz w:val="24"/>
        </w:rPr>
        <w:t>See Riverside Nat'l Bank v. Lewis</w:t>
      </w:r>
      <w:r>
        <w:rPr>
          <w:rFonts w:ascii="Times New Roman" w:hAnsi="Times New Roman" w:cs="Times New Roman"/>
          <w:b w:val="0"/>
          <w:i w:val="0"/>
          <w:sz w:val="24"/>
        </w:rPr>
        <w:t>, 603 S.W.2d 169, 173–75 (Tex. 1980).</w:t>
      </w:r>
    </w:p>
    <w:p>
      <w:pPr>
        <w:spacing w:line="480" w:lineRule="auto" w:before="200" w:after="80"/>
        <w:jc w:val="left"/>
      </w:pPr>
      <w:r>
        <w:rPr>
          <w:rFonts w:ascii="Times New Roman" w:hAnsi="Times New Roman" w:cs="Times New Roman"/>
          <w:b/>
          <w:i w:val="0"/>
          <w:sz w:val="24"/>
        </w:rPr>
        <w:t>B. Count IV (unjust enrichment) is barred by the express contract.</w:t>
      </w:r>
    </w:p>
    <w:p>
      <w:pPr>
        <w:spacing w:line="480" w:lineRule="auto"/>
        <w:ind w:firstLine="720"/>
        <w:jc w:val="both"/>
      </w:pPr>
      <w:r>
        <w:rPr>
          <w:rFonts w:ascii="Times New Roman" w:hAnsi="Times New Roman" w:cs="Times New Roman"/>
          <w:b w:val="0"/>
          <w:i w:val="0"/>
          <w:sz w:val="24"/>
        </w:rPr>
        <w:t xml:space="preserve">Unjust enrichment is an equitable remedy, not an independent cause of action, and is unavailable where an express contract governs the subject matter of the dispute. </w:t>
      </w:r>
      <w:r>
        <w:rPr>
          <w:rFonts w:ascii="Times New Roman" w:hAnsi="Times New Roman" w:cs="Times New Roman"/>
          <w:b w:val="0"/>
          <w:i/>
          <w:sz w:val="24"/>
        </w:rPr>
        <w:t>Fortune Prod. Co. v. Conoco, Inc.</w:t>
      </w:r>
      <w:r>
        <w:rPr>
          <w:rFonts w:ascii="Times New Roman" w:hAnsi="Times New Roman" w:cs="Times New Roman"/>
          <w:b w:val="0"/>
          <w:i w:val="0"/>
          <w:sz w:val="24"/>
        </w:rPr>
        <w:t xml:space="preserve">, 52 S.W.3d 671, 684 (Tex. 2000); </w:t>
      </w:r>
      <w:r>
        <w:rPr>
          <w:rFonts w:ascii="Times New Roman" w:hAnsi="Times New Roman" w:cs="Times New Roman"/>
          <w:b w:val="0"/>
          <w:i/>
          <w:sz w:val="24"/>
        </w:rPr>
        <w:t>Excess Underwriters at Lloyd's, London v. Frank's Casing Crew &amp; Rental Tools, Inc.</w:t>
      </w:r>
      <w:r>
        <w:rPr>
          <w:rFonts w:ascii="Times New Roman" w:hAnsi="Times New Roman" w:cs="Times New Roman"/>
          <w:b w:val="0"/>
          <w:i w:val="0"/>
          <w:sz w:val="24"/>
        </w:rPr>
        <w:t xml:space="preserve">, 246 S.W.3d 42, 46 (Tex. 2008). "Where a valid contract addresses the subject matter, equitable remedies are not available." </w:t>
      </w:r>
      <w:r>
        <w:rPr>
          <w:rFonts w:ascii="Times New Roman" w:hAnsi="Times New Roman" w:cs="Times New Roman"/>
          <w:b w:val="0"/>
          <w:i/>
          <w:sz w:val="24"/>
        </w:rPr>
        <w:t>Excess Underwriters</w:t>
      </w:r>
      <w:r>
        <w:rPr>
          <w:rFonts w:ascii="Times New Roman" w:hAnsi="Times New Roman" w:cs="Times New Roman"/>
          <w:b w:val="0"/>
          <w:i w:val="0"/>
          <w:sz w:val="24"/>
        </w:rPr>
        <w:t>, 246 S.W.3d at 46.</w:t>
      </w:r>
    </w:p>
    <w:p>
      <w:pPr>
        <w:spacing w:line="480" w:lineRule="auto"/>
        <w:ind w:firstLine="720"/>
        <w:jc w:val="both"/>
      </w:pPr>
      <w:r>
        <w:rPr>
          <w:rFonts w:ascii="Times New Roman" w:hAnsi="Times New Roman" w:cs="Times New Roman"/>
          <w:b w:val="0"/>
          <w:i w:val="0"/>
          <w:sz w:val="24"/>
        </w:rPr>
        <w:t xml:space="preserve">The MSLSA is a valid, express contract that governs the software license, implementation services, training, support, and data-migration advisory at issue in this case. Arcadia pleads as much: Count I is a breach-of-contract claim on the MSLSA, and Count IV is expressly pleaded "in the alternative to the breach of contract claim." FAC ¶ 99. Arcadia does not allege that the MSLSA is void, voidable, or unenforceable. To the contrary, Arcadia seeks to enforce it. Having sued on the contract, Arcadia cannot simultaneously recover in quasi-contract for the same subject matter. </w:t>
      </w:r>
      <w:r>
        <w:rPr>
          <w:rFonts w:ascii="Times New Roman" w:hAnsi="Times New Roman" w:cs="Times New Roman"/>
          <w:b w:val="0"/>
          <w:i/>
          <w:sz w:val="24"/>
        </w:rPr>
        <w:t>Fortune Prod.</w:t>
      </w:r>
      <w:r>
        <w:rPr>
          <w:rFonts w:ascii="Times New Roman" w:hAnsi="Times New Roman" w:cs="Times New Roman"/>
          <w:b w:val="0"/>
          <w:i w:val="0"/>
          <w:sz w:val="24"/>
        </w:rPr>
        <w:t>, 52 S.W.3d at 684.</w:t>
      </w:r>
    </w:p>
    <w:p>
      <w:pPr>
        <w:spacing w:line="480" w:lineRule="auto"/>
        <w:ind w:firstLine="720"/>
        <w:jc w:val="both"/>
      </w:pPr>
      <w:r>
        <w:rPr>
          <w:rFonts w:ascii="Times New Roman" w:hAnsi="Times New Roman" w:cs="Times New Roman"/>
          <w:b w:val="0"/>
          <w:i w:val="0"/>
          <w:sz w:val="24"/>
        </w:rPr>
        <w:t xml:space="preserve">Arcadia's only possible theory—that the contractual limitations (§§ 8.1–8.3) leave it undercompensated—does not create a "gap" that equity may fill. "Equity follows the law," and a party may not use unjust enrichment to evade the risk-allocation terms it bargained for. </w:t>
      </w:r>
      <w:r>
        <w:rPr>
          <w:rFonts w:ascii="Times New Roman" w:hAnsi="Times New Roman" w:cs="Times New Roman"/>
          <w:b w:val="0"/>
          <w:i/>
          <w:sz w:val="24"/>
        </w:rPr>
        <w:t>Excess Underwriters</w:t>
      </w:r>
      <w:r>
        <w:rPr>
          <w:rFonts w:ascii="Times New Roman" w:hAnsi="Times New Roman" w:cs="Times New Roman"/>
          <w:b w:val="0"/>
          <w:i w:val="0"/>
          <w:sz w:val="24"/>
        </w:rPr>
        <w:t>, 246 S.W.3d at 46. Count IV fails as a matter of law.</w:t>
      </w:r>
    </w:p>
    <w:p>
      <w:pPr>
        <w:spacing w:line="480" w:lineRule="auto" w:before="200" w:after="80"/>
        <w:jc w:val="left"/>
      </w:pPr>
      <w:r>
        <w:rPr>
          <w:rFonts w:ascii="Times New Roman" w:hAnsi="Times New Roman" w:cs="Times New Roman"/>
          <w:b/>
          <w:i w:val="0"/>
          <w:sz w:val="24"/>
        </w:rPr>
        <w:t>C. Count II (fraud) fails on five independent grounds.</w:t>
      </w:r>
    </w:p>
    <w:p>
      <w:pPr>
        <w:spacing w:line="480" w:lineRule="auto" w:before="160" w:after="40"/>
        <w:jc w:val="left"/>
      </w:pPr>
      <w:r>
        <w:rPr>
          <w:rFonts w:ascii="Times New Roman" w:hAnsi="Times New Roman" w:cs="Times New Roman"/>
          <w:b/>
          <w:i/>
          <w:sz w:val="24"/>
        </w:rPr>
        <w:t>1. The FAC does not satisfy Rule 9(b).</w:t>
      </w:r>
    </w:p>
    <w:p>
      <w:pPr>
        <w:spacing w:line="480" w:lineRule="auto"/>
        <w:ind w:firstLine="720"/>
        <w:jc w:val="both"/>
      </w:pPr>
      <w:r>
        <w:rPr>
          <w:rFonts w:ascii="Times New Roman" w:hAnsi="Times New Roman" w:cs="Times New Roman"/>
          <w:b w:val="0"/>
          <w:i w:val="0"/>
          <w:sz w:val="24"/>
        </w:rPr>
        <w:t xml:space="preserve">Rule 9(b) requires a plaintiff to plead "the who, what, when, where, and how" of the alleged fraud. </w:t>
      </w:r>
      <w:r>
        <w:rPr>
          <w:rFonts w:ascii="Times New Roman" w:hAnsi="Times New Roman" w:cs="Times New Roman"/>
          <w:b w:val="0"/>
          <w:i/>
          <w:sz w:val="24"/>
        </w:rPr>
        <w:t>Benchmark Elecs.</w:t>
      </w:r>
      <w:r>
        <w:rPr>
          <w:rFonts w:ascii="Times New Roman" w:hAnsi="Times New Roman" w:cs="Times New Roman"/>
          <w:b w:val="0"/>
          <w:i w:val="0"/>
          <w:sz w:val="24"/>
        </w:rPr>
        <w:t xml:space="preserve">, 343 F.3d at 724. The FAC identifies the speaker (Poletti) and the dates (October 12 and November 18, 2021) of two statements, but it does not plead the most critical element: why the statements were false when made. </w:t>
      </w:r>
      <w:r>
        <w:rPr>
          <w:rFonts w:ascii="Times New Roman" w:hAnsi="Times New Roman" w:cs="Times New Roman"/>
          <w:b w:val="0"/>
          <w:i/>
          <w:sz w:val="24"/>
        </w:rPr>
        <w:t>See</w:t>
      </w:r>
      <w:r>
        <w:rPr>
          <w:rFonts w:ascii="Times New Roman" w:hAnsi="Times New Roman" w:cs="Times New Roman"/>
          <w:b w:val="0"/>
          <w:i w:val="0"/>
          <w:sz w:val="24"/>
        </w:rPr>
        <w:t xml:space="preserve"> </w:t>
      </w:r>
      <w:r>
        <w:rPr>
          <w:rFonts w:ascii="Times New Roman" w:hAnsi="Times New Roman" w:cs="Times New Roman"/>
          <w:b w:val="0"/>
          <w:i/>
          <w:sz w:val="24"/>
        </w:rPr>
        <w:t>Dorsey v. Portfolio Equities, Inc.</w:t>
      </w:r>
      <w:r>
        <w:rPr>
          <w:rFonts w:ascii="Times New Roman" w:hAnsi="Times New Roman" w:cs="Times New Roman"/>
          <w:b w:val="0"/>
          <w:i w:val="0"/>
          <w:sz w:val="24"/>
        </w:rPr>
        <w:t xml:space="preserve">, 540 F.3d 333, 339 (5th Cir. 2008) (plaintiff must "set forth ... why the statement was false when made"). Instead, the FAC reasons backward from the product's post-deployment performance: because NexusCore allegedly malfunctioned after Go-Live, the pre-sale statements must have been false. That is not particularity; it is an inference from a subsequent event. </w:t>
      </w:r>
      <w:r>
        <w:rPr>
          <w:rFonts w:ascii="Times New Roman" w:hAnsi="Times New Roman" w:cs="Times New Roman"/>
          <w:b w:val="0"/>
          <w:i/>
          <w:sz w:val="24"/>
        </w:rPr>
        <w:t>Cf.</w:t>
      </w:r>
      <w:r>
        <w:rPr>
          <w:rFonts w:ascii="Times New Roman" w:hAnsi="Times New Roman" w:cs="Times New Roman"/>
          <w:b w:val="0"/>
          <w:i w:val="0"/>
          <w:sz w:val="24"/>
        </w:rPr>
        <w:t xml:space="preserve"> </w:t>
      </w:r>
      <w:r>
        <w:rPr>
          <w:rFonts w:ascii="Times New Roman" w:hAnsi="Times New Roman" w:cs="Times New Roman"/>
          <w:b w:val="0"/>
          <w:i/>
          <w:sz w:val="24"/>
        </w:rPr>
        <w:t>Flaherty &amp; Crumrine Preferred &amp; Income Secs. Fund, Inc. v. Barclays Bank PLC</w:t>
      </w:r>
      <w:r>
        <w:rPr>
          <w:rFonts w:ascii="Times New Roman" w:hAnsi="Times New Roman" w:cs="Times New Roman"/>
          <w:b w:val="0"/>
          <w:i w:val="0"/>
          <w:sz w:val="24"/>
        </w:rPr>
        <w:t>, 2013 WL 850031, at *6 (S.D.N.Y. Mar. 6, 2013) (post-hoc failure does not support inference of knowledge at time of representation).</w:t>
      </w:r>
    </w:p>
    <w:p>
      <w:pPr>
        <w:spacing w:line="480" w:lineRule="auto"/>
        <w:ind w:firstLine="720"/>
        <w:jc w:val="both"/>
      </w:pPr>
      <w:r>
        <w:rPr>
          <w:rFonts w:ascii="Times New Roman" w:hAnsi="Times New Roman" w:cs="Times New Roman"/>
          <w:b w:val="0"/>
          <w:i w:val="0"/>
          <w:sz w:val="24"/>
        </w:rPr>
        <w:t xml:space="preserve">The FAC's scienter allegations are equally conclusory. Arcadia alleges only that Poletti "knew or should have known" the statements were false, "on information and belief." FAC ¶¶ 41, 42. "Information and belief" pleading does not satisfy Rule 9(b) absent supporting factual particulars. </w:t>
      </w:r>
      <w:r>
        <w:rPr>
          <w:rFonts w:ascii="Times New Roman" w:hAnsi="Times New Roman" w:cs="Times New Roman"/>
          <w:b w:val="0"/>
          <w:i/>
          <w:sz w:val="24"/>
        </w:rPr>
        <w:t>Benchmark Elecs.</w:t>
      </w:r>
      <w:r>
        <w:rPr>
          <w:rFonts w:ascii="Times New Roman" w:hAnsi="Times New Roman" w:cs="Times New Roman"/>
          <w:b w:val="0"/>
          <w:i w:val="0"/>
          <w:sz w:val="24"/>
        </w:rPr>
        <w:t>, 343 F.3d at 724.</w:t>
      </w:r>
    </w:p>
    <w:p>
      <w:pPr>
        <w:spacing w:line="480" w:lineRule="auto" w:before="160" w:after="40"/>
        <w:jc w:val="left"/>
      </w:pPr>
      <w:r>
        <w:rPr>
          <w:rFonts w:ascii="Times New Roman" w:hAnsi="Times New Roman" w:cs="Times New Roman"/>
          <w:b/>
          <w:i/>
          <w:sz w:val="24"/>
        </w:rPr>
        <w:t>2. The alleged statements are non-actionable puffery.</w:t>
      </w:r>
    </w:p>
    <w:p>
      <w:pPr>
        <w:spacing w:line="480" w:lineRule="auto"/>
        <w:ind w:firstLine="720"/>
        <w:jc w:val="both"/>
      </w:pPr>
      <w:r>
        <w:rPr>
          <w:rFonts w:ascii="Times New Roman" w:hAnsi="Times New Roman" w:cs="Times New Roman"/>
          <w:b w:val="0"/>
          <w:i w:val="0"/>
          <w:sz w:val="24"/>
        </w:rPr>
        <w:t xml:space="preserve">The statements on which Count II rests are classic puffery and forward-looking projections, not actionable representations of fact. "Industry-leading performance for healthcare analytics" is a general claim of superiority. </w:t>
      </w:r>
      <w:r>
        <w:rPr>
          <w:rFonts w:ascii="Times New Roman" w:hAnsi="Times New Roman" w:cs="Times New Roman"/>
          <w:b w:val="0"/>
          <w:i/>
          <w:sz w:val="24"/>
        </w:rPr>
        <w:t>See</w:t>
      </w:r>
      <w:r>
        <w:rPr>
          <w:rFonts w:ascii="Times New Roman" w:hAnsi="Times New Roman" w:cs="Times New Roman"/>
          <w:b w:val="0"/>
          <w:i w:val="0"/>
          <w:sz w:val="24"/>
        </w:rPr>
        <w:t xml:space="preserve"> </w:t>
      </w:r>
      <w:r>
        <w:rPr>
          <w:rFonts w:ascii="Times New Roman" w:hAnsi="Times New Roman" w:cs="Times New Roman"/>
          <w:b w:val="0"/>
          <w:i/>
          <w:sz w:val="24"/>
        </w:rPr>
        <w:t>Pizza Hut, Inc. v. Papa John's Int'l, Inc.</w:t>
      </w:r>
      <w:r>
        <w:rPr>
          <w:rFonts w:ascii="Times New Roman" w:hAnsi="Times New Roman" w:cs="Times New Roman"/>
          <w:b w:val="0"/>
          <w:i w:val="0"/>
          <w:sz w:val="24"/>
        </w:rPr>
        <w:t xml:space="preserve">, 227 F.3d 489, 496–97 (5th Cir. 2000) (general claims of superiority are puffery). "Clients typically see 30–40% improvement in reporting efficiency" is a forward-looking projection of typical results, not a guarantee. </w:t>
      </w:r>
      <w:r>
        <w:rPr>
          <w:rFonts w:ascii="Times New Roman" w:hAnsi="Times New Roman" w:cs="Times New Roman"/>
          <w:b w:val="0"/>
          <w:i/>
          <w:sz w:val="24"/>
        </w:rPr>
        <w:t>See</w:t>
      </w:r>
      <w:r>
        <w:rPr>
          <w:rFonts w:ascii="Times New Roman" w:hAnsi="Times New Roman" w:cs="Times New Roman"/>
          <w:b w:val="0"/>
          <w:i w:val="0"/>
          <w:sz w:val="24"/>
        </w:rPr>
        <w:t xml:space="preserve"> </w:t>
      </w:r>
      <w:r>
        <w:rPr>
          <w:rFonts w:ascii="Times New Roman" w:hAnsi="Times New Roman" w:cs="Times New Roman"/>
          <w:b w:val="0"/>
          <w:i/>
          <w:sz w:val="24"/>
        </w:rPr>
        <w:t>Castrol, Inc. v. Pennzoil Co.</w:t>
      </w:r>
      <w:r>
        <w:rPr>
          <w:rFonts w:ascii="Times New Roman" w:hAnsi="Times New Roman" w:cs="Times New Roman"/>
          <w:b w:val="0"/>
          <w:i w:val="0"/>
          <w:sz w:val="24"/>
        </w:rPr>
        <w:t xml:space="preserve">, 987 F.2d 1139, 1145 (5th Cir. 1993). And the December 9, 2021 proposal expressly disclaimed that its performance metrics and timelines were "for planning purposes only" and "do not constitute guarantees." FAC ¶ 20. A sophisticated commercial buyer cannot transform general marketing statements into actionable fraud. </w:t>
      </w:r>
      <w:r>
        <w:rPr>
          <w:rFonts w:ascii="Times New Roman" w:hAnsi="Times New Roman" w:cs="Times New Roman"/>
          <w:b w:val="0"/>
          <w:i/>
          <w:sz w:val="24"/>
        </w:rPr>
        <w:t>See</w:t>
      </w:r>
      <w:r>
        <w:rPr>
          <w:rFonts w:ascii="Times New Roman" w:hAnsi="Times New Roman" w:cs="Times New Roman"/>
          <w:b w:val="0"/>
          <w:i w:val="0"/>
          <w:sz w:val="24"/>
        </w:rPr>
        <w:t xml:space="preserve"> </w:t>
      </w:r>
      <w:r>
        <w:rPr>
          <w:rFonts w:ascii="Times New Roman" w:hAnsi="Times New Roman" w:cs="Times New Roman"/>
          <w:b w:val="0"/>
          <w:i/>
          <w:sz w:val="24"/>
        </w:rPr>
        <w:t>Presidio Enters., Inc. v. Warner Bros. Distrib. Corp.</w:t>
      </w:r>
      <w:r>
        <w:rPr>
          <w:rFonts w:ascii="Times New Roman" w:hAnsi="Times New Roman" w:cs="Times New Roman"/>
          <w:b w:val="0"/>
          <w:i w:val="0"/>
          <w:sz w:val="24"/>
        </w:rPr>
        <w:t>, 784 F.2d 674, 679 (5th Cir. 1986).</w:t>
      </w:r>
    </w:p>
    <w:p>
      <w:pPr>
        <w:spacing w:line="480" w:lineRule="auto" w:before="160" w:after="40"/>
        <w:jc w:val="left"/>
      </w:pPr>
      <w:r>
        <w:rPr>
          <w:rFonts w:ascii="Times New Roman" w:hAnsi="Times New Roman" w:cs="Times New Roman"/>
          <w:b/>
          <w:i/>
          <w:sz w:val="24"/>
        </w:rPr>
        <w:t>3. The economic loss doctrine bars the fraud claim.</w:t>
      </w:r>
    </w:p>
    <w:p>
      <w:pPr>
        <w:spacing w:line="480" w:lineRule="auto"/>
        <w:ind w:firstLine="720"/>
        <w:jc w:val="both"/>
      </w:pPr>
      <w:r>
        <w:rPr>
          <w:rFonts w:ascii="Times New Roman" w:hAnsi="Times New Roman" w:cs="Times New Roman"/>
          <w:b w:val="0"/>
          <w:i w:val="0"/>
          <w:sz w:val="24"/>
        </w:rPr>
        <w:t xml:space="preserve">Under both Delaware and Texas law, the economic loss doctrine bars tort claims that seek only economic losses arising from a contractual relationship, absent an independent duty of care. </w:t>
      </w:r>
      <w:r>
        <w:rPr>
          <w:rFonts w:ascii="Times New Roman" w:hAnsi="Times New Roman" w:cs="Times New Roman"/>
          <w:b w:val="0"/>
          <w:i/>
          <w:sz w:val="24"/>
        </w:rPr>
        <w:t>Brasby v. Monsanto Co.</w:t>
      </w:r>
      <w:r>
        <w:rPr>
          <w:rFonts w:ascii="Times New Roman" w:hAnsi="Times New Roman" w:cs="Times New Roman"/>
          <w:b w:val="0"/>
          <w:i w:val="0"/>
          <w:sz w:val="24"/>
        </w:rPr>
        <w:t xml:space="preserve">, 2005 WL 3436518, at *5 (Del. Super. Ct. Dec. 13, 2005); </w:t>
      </w:r>
      <w:r>
        <w:rPr>
          <w:rFonts w:ascii="Times New Roman" w:hAnsi="Times New Roman" w:cs="Times New Roman"/>
          <w:b w:val="0"/>
          <w:i/>
          <w:sz w:val="24"/>
        </w:rPr>
        <w:t>Sharyland Water Supply Corp. v. City of Alton</w:t>
      </w:r>
      <w:r>
        <w:rPr>
          <w:rFonts w:ascii="Times New Roman" w:hAnsi="Times New Roman" w:cs="Times New Roman"/>
          <w:b w:val="0"/>
          <w:i w:val="0"/>
          <w:sz w:val="24"/>
        </w:rPr>
        <w:t xml:space="preserve">, 354 S.W.3d 407, 418 (Tex. 2011). Every dollar Arcadia seeks is an economic loss flowing from the alleged failure of NexusCore—the very subject of the MSLSA. The fraud claim is a repackaging of Arcadia's contract claim: Arcadia complains that NexusCore did not perform as Arcadia expected, and seeks the same benefit-of-the-bargain damages available (and limited) under the MSLSA. </w:t>
      </w:r>
      <w:r>
        <w:rPr>
          <w:rFonts w:ascii="Times New Roman" w:hAnsi="Times New Roman" w:cs="Times New Roman"/>
          <w:b w:val="0"/>
          <w:i/>
          <w:sz w:val="24"/>
        </w:rPr>
        <w:t>See</w:t>
      </w:r>
      <w:r>
        <w:rPr>
          <w:rFonts w:ascii="Times New Roman" w:hAnsi="Times New Roman" w:cs="Times New Roman"/>
          <w:b w:val="0"/>
          <w:i w:val="0"/>
          <w:sz w:val="24"/>
        </w:rPr>
        <w:t xml:space="preserve"> </w:t>
      </w:r>
      <w:r>
        <w:rPr>
          <w:rFonts w:ascii="Times New Roman" w:hAnsi="Times New Roman" w:cs="Times New Roman"/>
          <w:b w:val="0"/>
          <w:i/>
          <w:sz w:val="24"/>
        </w:rPr>
        <w:t>Sharyland</w:t>
      </w:r>
      <w:r>
        <w:rPr>
          <w:rFonts w:ascii="Times New Roman" w:hAnsi="Times New Roman" w:cs="Times New Roman"/>
          <w:b w:val="0"/>
          <w:i w:val="0"/>
          <w:sz w:val="24"/>
        </w:rPr>
        <w:t xml:space="preserve">, 354 S.W.3d at 418 (economic loss rule precludes tort recovery where "the plaintiff's damages are solely economic and arise from the failure of the subject of a contract"). Because the MSLSA governs the quality and performance of the software, and Arcadia alleges no independent duty, the economic loss doctrine bars Count II. </w:t>
      </w:r>
      <w:r>
        <w:rPr>
          <w:rFonts w:ascii="Times New Roman" w:hAnsi="Times New Roman" w:cs="Times New Roman"/>
          <w:b w:val="0"/>
          <w:i/>
          <w:sz w:val="24"/>
        </w:rPr>
        <w:t>Chapman Custom Adver., Inc. v. Samsung Telecomms. Am., L.L.C.</w:t>
      </w:r>
      <w:r>
        <w:rPr>
          <w:rFonts w:ascii="Times New Roman" w:hAnsi="Times New Roman" w:cs="Times New Roman"/>
          <w:b w:val="0"/>
          <w:i w:val="0"/>
          <w:sz w:val="24"/>
        </w:rPr>
        <w:t>, 2013 WL 5532189, at *4 (N.D. Tex. Oct. 7, 2013).</w:t>
      </w:r>
    </w:p>
    <w:p>
      <w:pPr>
        <w:spacing w:line="480" w:lineRule="auto" w:before="160" w:after="40"/>
        <w:jc w:val="left"/>
      </w:pPr>
      <w:r>
        <w:rPr>
          <w:rFonts w:ascii="Times New Roman" w:hAnsi="Times New Roman" w:cs="Times New Roman"/>
          <w:b/>
          <w:i/>
          <w:sz w:val="24"/>
        </w:rPr>
        <w:t>4. The integration clause precludes reliance on extra-contractual representations.</w:t>
      </w:r>
    </w:p>
    <w:p>
      <w:pPr>
        <w:spacing w:line="480" w:lineRule="auto"/>
        <w:ind w:firstLine="720"/>
        <w:jc w:val="both"/>
      </w:pPr>
      <w:r>
        <w:rPr>
          <w:rFonts w:ascii="Times New Roman" w:hAnsi="Times New Roman" w:cs="Times New Roman"/>
          <w:b w:val="0"/>
          <w:i w:val="0"/>
          <w:sz w:val="24"/>
        </w:rPr>
        <w:t xml:space="preserve">Section 12.1 of the MSLSA provides that the agreement "supersedes all prior and contemporaneous agreements, proposals, representations, and understandings, whether oral or written." Under Delaware law—which governs the MSLSA (§ 12.7)—a merger clause of this breadth, in a fully negotiated agreement between sophisticated parties represented by counsel, precludes fraud claims based on extra-contractual representations. </w:t>
      </w:r>
      <w:r>
        <w:rPr>
          <w:rFonts w:ascii="Times New Roman" w:hAnsi="Times New Roman" w:cs="Times New Roman"/>
          <w:b w:val="0"/>
          <w:i/>
          <w:sz w:val="24"/>
        </w:rPr>
        <w:t>Eagle Indus., Inc. v. DeVilbiss Health Care, Inc.</w:t>
      </w:r>
      <w:r>
        <w:rPr>
          <w:rFonts w:ascii="Times New Roman" w:hAnsi="Times New Roman" w:cs="Times New Roman"/>
          <w:b w:val="0"/>
          <w:i w:val="0"/>
          <w:sz w:val="24"/>
        </w:rPr>
        <w:t xml:space="preserve">, 702 A.2d 1228, 1233 (Del. 1997); </w:t>
      </w:r>
      <w:r>
        <w:rPr>
          <w:rFonts w:ascii="Times New Roman" w:hAnsi="Times New Roman" w:cs="Times New Roman"/>
          <w:b w:val="0"/>
          <w:i/>
          <w:sz w:val="24"/>
        </w:rPr>
        <w:t>SIGA Techs., Inc. v. PharmAthene, Inc.</w:t>
      </w:r>
      <w:r>
        <w:rPr>
          <w:rFonts w:ascii="Times New Roman" w:hAnsi="Times New Roman" w:cs="Times New Roman"/>
          <w:b w:val="0"/>
          <w:i w:val="0"/>
          <w:sz w:val="24"/>
        </w:rPr>
        <w:t xml:space="preserve">, 67 A.3d 330, 353 (Del. 2013). Delaware's anti-reliance doctrine holds that a sophisticated party cannot justifiably rely on oral representations that contradict a written integration clause it negotiated. </w:t>
      </w:r>
      <w:r>
        <w:rPr>
          <w:rFonts w:ascii="Times New Roman" w:hAnsi="Times New Roman" w:cs="Times New Roman"/>
          <w:b w:val="0"/>
          <w:i/>
          <w:sz w:val="24"/>
        </w:rPr>
        <w:t>Eagle Indus.</w:t>
      </w:r>
      <w:r>
        <w:rPr>
          <w:rFonts w:ascii="Times New Roman" w:hAnsi="Times New Roman" w:cs="Times New Roman"/>
          <w:b w:val="0"/>
          <w:i w:val="0"/>
          <w:sz w:val="24"/>
        </w:rPr>
        <w:t>, 702 A.2d at 1233. Arcadia's fraud claim rests entirely on pre-contractual statements superseded by § 12.1.</w:t>
      </w:r>
    </w:p>
    <w:p>
      <w:pPr>
        <w:spacing w:line="480" w:lineRule="auto" w:before="160" w:after="40"/>
        <w:jc w:val="left"/>
      </w:pPr>
      <w:r>
        <w:rPr>
          <w:rFonts w:ascii="Times New Roman" w:hAnsi="Times New Roman" w:cs="Times New Roman"/>
          <w:b/>
          <w:i/>
          <w:sz w:val="24"/>
        </w:rPr>
        <w:t>5. Arcadia cannot establish justifiable reliance.</w:t>
      </w:r>
    </w:p>
    <w:p>
      <w:pPr>
        <w:spacing w:line="480" w:lineRule="auto"/>
        <w:ind w:firstLine="720"/>
        <w:jc w:val="both"/>
      </w:pPr>
      <w:r>
        <w:rPr>
          <w:rFonts w:ascii="Times New Roman" w:hAnsi="Times New Roman" w:cs="Times New Roman"/>
          <w:b w:val="0"/>
          <w:i w:val="0"/>
          <w:sz w:val="24"/>
        </w:rPr>
        <w:t xml:space="preserve">Even setting aside the integration clause, Arcadia's reliance was not justifiable as a matter of law. Arcadia conducted its own independent due diligence—reference calls and a two-week proof-of-concept trial—and its CTO concluded in writing that integration "will require a skilled SI partner." FAC ¶ 21. Arcadia was represented by experienced counsel who negotiated the MSLSA's terms. And Meridian's written proposal expressly disclaimed the very guarantees Arcadia now says it relied upon. FAC ¶ 20. A sophisticated party that investigates, obtains disclaimers, and negotiates an integration clause cannot claim justifiable reliance on general sales statements. </w:t>
      </w:r>
      <w:r>
        <w:rPr>
          <w:rFonts w:ascii="Times New Roman" w:hAnsi="Times New Roman" w:cs="Times New Roman"/>
          <w:b w:val="0"/>
          <w:i/>
          <w:sz w:val="24"/>
        </w:rPr>
        <w:t>Presidio</w:t>
      </w:r>
      <w:r>
        <w:rPr>
          <w:rFonts w:ascii="Times New Roman" w:hAnsi="Times New Roman" w:cs="Times New Roman"/>
          <w:b w:val="0"/>
          <w:i w:val="0"/>
          <w:sz w:val="24"/>
        </w:rPr>
        <w:t xml:space="preserve">, 784 F.2d at 679; </w:t>
      </w:r>
      <w:r>
        <w:rPr>
          <w:rFonts w:ascii="Times New Roman" w:hAnsi="Times New Roman" w:cs="Times New Roman"/>
          <w:b w:val="0"/>
          <w:i/>
          <w:sz w:val="24"/>
        </w:rPr>
        <w:t>Hollcroft v. Foster</w:t>
      </w:r>
      <w:r>
        <w:rPr>
          <w:rFonts w:ascii="Times New Roman" w:hAnsi="Times New Roman" w:cs="Times New Roman"/>
          <w:b w:val="0"/>
          <w:i w:val="0"/>
          <w:sz w:val="24"/>
        </w:rPr>
        <w:t>, 2000 WL 1611093, at *7 (Tex. App.—Houston [14th Dist.] Oct. 31, 2000, no pet.).</w:t>
      </w:r>
    </w:p>
    <w:p>
      <w:pPr>
        <w:spacing w:line="480" w:lineRule="auto"/>
        <w:ind w:firstLine="720"/>
        <w:jc w:val="both"/>
      </w:pPr>
      <w:r>
        <w:rPr>
          <w:rFonts w:ascii="Times New Roman" w:hAnsi="Times New Roman" w:cs="Times New Roman"/>
          <w:b w:val="0"/>
          <w:i w:val="0"/>
          <w:sz w:val="24"/>
        </w:rPr>
        <w:t>Because Count II fails on each of these independent grounds, it must be dismissed.</w:t>
      </w:r>
    </w:p>
    <w:p>
      <w:pPr>
        <w:spacing w:line="480" w:lineRule="auto" w:before="200" w:after="80"/>
        <w:jc w:val="left"/>
      </w:pPr>
      <w:r>
        <w:rPr>
          <w:rFonts w:ascii="Times New Roman" w:hAnsi="Times New Roman" w:cs="Times New Roman"/>
          <w:b/>
          <w:i w:val="0"/>
          <w:sz w:val="24"/>
        </w:rPr>
        <w:t>D. Count III (negligent misrepresentation) fails for four independent reasons.</w:t>
      </w:r>
    </w:p>
    <w:p>
      <w:pPr>
        <w:spacing w:line="480" w:lineRule="auto" w:before="160" w:after="40"/>
        <w:jc w:val="left"/>
      </w:pPr>
      <w:r>
        <w:rPr>
          <w:rFonts w:ascii="Times New Roman" w:hAnsi="Times New Roman" w:cs="Times New Roman"/>
          <w:b/>
          <w:i/>
          <w:sz w:val="24"/>
        </w:rPr>
        <w:t>1. Meridian owes no duty independent of the MSLSA.</w:t>
      </w:r>
    </w:p>
    <w:p>
      <w:pPr>
        <w:spacing w:line="480" w:lineRule="auto"/>
        <w:ind w:firstLine="720"/>
        <w:jc w:val="both"/>
      </w:pPr>
      <w:r>
        <w:rPr>
          <w:rFonts w:ascii="Times New Roman" w:hAnsi="Times New Roman" w:cs="Times New Roman"/>
          <w:b w:val="0"/>
          <w:i w:val="0"/>
          <w:sz w:val="24"/>
        </w:rPr>
        <w:t xml:space="preserve">Negligent misrepresentation requires a duty to communicate information "in the course of a business transaction" that is independent of the parties' contract. </w:t>
      </w:r>
      <w:r>
        <w:rPr>
          <w:rFonts w:ascii="Times New Roman" w:hAnsi="Times New Roman" w:cs="Times New Roman"/>
          <w:b w:val="0"/>
          <w:i/>
          <w:sz w:val="24"/>
        </w:rPr>
        <w:t>McCamish, Martin, Brown &amp; Loeffler v. F.E. Appling Interests</w:t>
      </w:r>
      <w:r>
        <w:rPr>
          <w:rFonts w:ascii="Times New Roman" w:hAnsi="Times New Roman" w:cs="Times New Roman"/>
          <w:b w:val="0"/>
          <w:i w:val="0"/>
          <w:sz w:val="24"/>
        </w:rPr>
        <w:t xml:space="preserve">, 991 S.W.2d 787, 792 (Tex. 1999). Meridian's relationship with Arcadia is purely contractual. The MSLSA defines the scope of Meridian's obligations—through the limited warranty (§ 9.1), the warranty disclaimer (§ 9.4), and the exclusive remedies (§ 8.3)—and nothing in the FAC suggests a fiduciary, professional, or statutory duty apart from the contract. Where "the only duty breached is one created by the contract," a negligent-misrepresentation claim cannot survive. </w:t>
      </w:r>
      <w:r>
        <w:rPr>
          <w:rFonts w:ascii="Times New Roman" w:hAnsi="Times New Roman" w:cs="Times New Roman"/>
          <w:b w:val="0"/>
          <w:i/>
          <w:sz w:val="24"/>
        </w:rPr>
        <w:t>See</w:t>
      </w:r>
      <w:r>
        <w:rPr>
          <w:rFonts w:ascii="Times New Roman" w:hAnsi="Times New Roman" w:cs="Times New Roman"/>
          <w:b w:val="0"/>
          <w:i w:val="0"/>
          <w:sz w:val="24"/>
        </w:rPr>
        <w:t xml:space="preserve"> </w:t>
      </w:r>
      <w:r>
        <w:rPr>
          <w:rFonts w:ascii="Times New Roman" w:hAnsi="Times New Roman" w:cs="Times New Roman"/>
          <w:b w:val="0"/>
          <w:i/>
          <w:sz w:val="24"/>
        </w:rPr>
        <w:t>Sharyland</w:t>
      </w:r>
      <w:r>
        <w:rPr>
          <w:rFonts w:ascii="Times New Roman" w:hAnsi="Times New Roman" w:cs="Times New Roman"/>
          <w:b w:val="0"/>
          <w:i w:val="0"/>
          <w:sz w:val="24"/>
        </w:rPr>
        <w:t>, 354 S.W.3d at 418.</w:t>
      </w:r>
    </w:p>
    <w:p>
      <w:pPr>
        <w:spacing w:line="480" w:lineRule="auto" w:before="160" w:after="40"/>
        <w:jc w:val="left"/>
      </w:pPr>
      <w:r>
        <w:rPr>
          <w:rFonts w:ascii="Times New Roman" w:hAnsi="Times New Roman" w:cs="Times New Roman"/>
          <w:b/>
          <w:i/>
          <w:sz w:val="24"/>
        </w:rPr>
        <w:t>2. The economic loss doctrine bars Count III.</w:t>
      </w:r>
    </w:p>
    <w:p>
      <w:pPr>
        <w:spacing w:line="480" w:lineRule="auto"/>
        <w:ind w:firstLine="720"/>
        <w:jc w:val="both"/>
      </w:pPr>
      <w:r>
        <w:rPr>
          <w:rFonts w:ascii="Times New Roman" w:hAnsi="Times New Roman" w:cs="Times New Roman"/>
          <w:b w:val="0"/>
          <w:i w:val="0"/>
          <w:sz w:val="24"/>
        </w:rPr>
        <w:t xml:space="preserve">For the same reasons discussed above, the economic loss doctrine bars Arcadia's negligent-misrepresentation claim. Arcadia's damages are purely economic, arise from the failure of the subject of the MSLSA, and implicate no independent duty. </w:t>
      </w:r>
      <w:r>
        <w:rPr>
          <w:rFonts w:ascii="Times New Roman" w:hAnsi="Times New Roman" w:cs="Times New Roman"/>
          <w:b w:val="0"/>
          <w:i/>
          <w:sz w:val="24"/>
        </w:rPr>
        <w:t>Sharyland</w:t>
      </w:r>
      <w:r>
        <w:rPr>
          <w:rFonts w:ascii="Times New Roman" w:hAnsi="Times New Roman" w:cs="Times New Roman"/>
          <w:b w:val="0"/>
          <w:i w:val="0"/>
          <w:sz w:val="24"/>
        </w:rPr>
        <w:t xml:space="preserve">, 354 S.W.3d at 418; </w:t>
      </w:r>
      <w:r>
        <w:rPr>
          <w:rFonts w:ascii="Times New Roman" w:hAnsi="Times New Roman" w:cs="Times New Roman"/>
          <w:b w:val="0"/>
          <w:i/>
          <w:sz w:val="24"/>
        </w:rPr>
        <w:t>Brasby</w:t>
      </w:r>
      <w:r>
        <w:rPr>
          <w:rFonts w:ascii="Times New Roman" w:hAnsi="Times New Roman" w:cs="Times New Roman"/>
          <w:b w:val="0"/>
          <w:i w:val="0"/>
          <w:sz w:val="24"/>
        </w:rPr>
        <w:t>, 2005 WL 3436518, at *5.</w:t>
      </w:r>
    </w:p>
    <w:p>
      <w:pPr>
        <w:spacing w:line="480" w:lineRule="auto" w:before="160" w:after="40"/>
        <w:jc w:val="left"/>
      </w:pPr>
      <w:r>
        <w:rPr>
          <w:rFonts w:ascii="Times New Roman" w:hAnsi="Times New Roman" w:cs="Times New Roman"/>
          <w:b/>
          <w:i/>
          <w:sz w:val="24"/>
        </w:rPr>
        <w:t>3. Arcadia's damages are contractual, not out-of-pocket reliance losses.</w:t>
      </w:r>
    </w:p>
    <w:p>
      <w:pPr>
        <w:spacing w:line="480" w:lineRule="auto"/>
        <w:ind w:firstLine="720"/>
        <w:jc w:val="both"/>
      </w:pPr>
      <w:r>
        <w:rPr>
          <w:rFonts w:ascii="Times New Roman" w:hAnsi="Times New Roman" w:cs="Times New Roman"/>
          <w:b w:val="0"/>
          <w:i w:val="0"/>
          <w:sz w:val="24"/>
        </w:rPr>
        <w:t xml:space="preserve">Negligent misrepresentation permits recovery of out-of-pocket reliance losses, not benefit-of-the-bargain damages. </w:t>
      </w:r>
      <w:r>
        <w:rPr>
          <w:rFonts w:ascii="Times New Roman" w:hAnsi="Times New Roman" w:cs="Times New Roman"/>
          <w:b w:val="0"/>
          <w:i/>
          <w:sz w:val="24"/>
        </w:rPr>
        <w:t>Sloane v. St. Mary's Univ.</w:t>
      </w:r>
      <w:r>
        <w:rPr>
          <w:rFonts w:ascii="Times New Roman" w:hAnsi="Times New Roman" w:cs="Times New Roman"/>
          <w:b w:val="0"/>
          <w:i w:val="0"/>
          <w:sz w:val="24"/>
        </w:rPr>
        <w:t xml:space="preserve">, 2014 WL 2936604, at *5 (W.D. Tex. June 27, 2014). Arcadia does not seek reliance damages; it seeks the contract value, lost profits, and operating costs—classic benefit-of-the-bargain damages recoverable only in contract. </w:t>
      </w:r>
      <w:r>
        <w:rPr>
          <w:rFonts w:ascii="Times New Roman" w:hAnsi="Times New Roman" w:cs="Times New Roman"/>
          <w:b w:val="0"/>
          <w:i/>
          <w:sz w:val="24"/>
        </w:rPr>
        <w:t>Id</w:t>
      </w:r>
      <w:r>
        <w:rPr>
          <w:rFonts w:ascii="Times New Roman" w:hAnsi="Times New Roman" w:cs="Times New Roman"/>
          <w:b w:val="0"/>
          <w:i w:val="0"/>
          <w:sz w:val="24"/>
        </w:rPr>
        <w:t>. Count III is therefore duplicative of Count I and fails as a matter of law.</w:t>
      </w:r>
    </w:p>
    <w:p>
      <w:pPr>
        <w:spacing w:line="480" w:lineRule="auto" w:before="160" w:after="40"/>
        <w:jc w:val="left"/>
      </w:pPr>
      <w:r>
        <w:rPr>
          <w:rFonts w:ascii="Times New Roman" w:hAnsi="Times New Roman" w:cs="Times New Roman"/>
          <w:b/>
          <w:i/>
          <w:sz w:val="24"/>
        </w:rPr>
        <w:t>4. Count III must satisfy Rule 9(b).</w:t>
      </w:r>
    </w:p>
    <w:p>
      <w:pPr>
        <w:spacing w:line="480" w:lineRule="auto"/>
        <w:ind w:firstLine="720"/>
        <w:jc w:val="both"/>
      </w:pPr>
      <w:r>
        <w:rPr>
          <w:rFonts w:ascii="Times New Roman" w:hAnsi="Times New Roman" w:cs="Times New Roman"/>
          <w:b w:val="0"/>
          <w:i w:val="0"/>
          <w:sz w:val="24"/>
        </w:rPr>
        <w:t xml:space="preserve">Because Count III is predicated on the same alleged misrepresentations as Count II, it "sounds in fraud" and must meet Rule 9(b)'s particularity requirement. </w:t>
      </w:r>
      <w:r>
        <w:rPr>
          <w:rFonts w:ascii="Times New Roman" w:hAnsi="Times New Roman" w:cs="Times New Roman"/>
          <w:b w:val="0"/>
          <w:i/>
          <w:sz w:val="24"/>
        </w:rPr>
        <w:t>Benchmark Elecs.</w:t>
      </w:r>
      <w:r>
        <w:rPr>
          <w:rFonts w:ascii="Times New Roman" w:hAnsi="Times New Roman" w:cs="Times New Roman"/>
          <w:b w:val="0"/>
          <w:i w:val="0"/>
          <w:sz w:val="24"/>
        </w:rPr>
        <w:t>, 343 F.3d at 723–24. For the reasons stated in Section IV.C.1, it does not.</w:t>
      </w:r>
    </w:p>
    <w:p>
      <w:pPr>
        <w:spacing w:line="480" w:lineRule="auto" w:before="200" w:after="80"/>
        <w:jc w:val="left"/>
      </w:pPr>
      <w:r>
        <w:rPr>
          <w:rFonts w:ascii="Times New Roman" w:hAnsi="Times New Roman" w:cs="Times New Roman"/>
          <w:b/>
          <w:i w:val="0"/>
          <w:sz w:val="24"/>
        </w:rPr>
        <w:t>E. Count I (breach of contract) fails because Arcadia deemed-accepted the software and the damages sought are contractually barred.</w:t>
      </w:r>
    </w:p>
    <w:p>
      <w:pPr>
        <w:spacing w:line="480" w:lineRule="auto" w:before="160" w:after="40"/>
        <w:jc w:val="left"/>
      </w:pPr>
      <w:r>
        <w:rPr>
          <w:rFonts w:ascii="Times New Roman" w:hAnsi="Times New Roman" w:cs="Times New Roman"/>
          <w:b/>
          <w:i/>
          <w:sz w:val="24"/>
        </w:rPr>
        <w:t>1. Arcadia deemed-accepted the software under § 5.3.</w:t>
      </w:r>
    </w:p>
    <w:p>
      <w:pPr>
        <w:spacing w:line="480" w:lineRule="auto"/>
        <w:ind w:firstLine="720"/>
        <w:jc w:val="both"/>
      </w:pPr>
      <w:r>
        <w:rPr>
          <w:rFonts w:ascii="Times New Roman" w:hAnsi="Times New Roman" w:cs="Times New Roman"/>
          <w:b w:val="0"/>
          <w:i w:val="0"/>
          <w:sz w:val="24"/>
        </w:rPr>
        <w:t>Section 5.3 gave Arcadia 30 days following Go-Live to deliver written notice of any material nonconformity; absent timely notice, "acceptance ... shall be deemed granted." Go-Live occurred on January 15, 2023, so the acceptance window closed on February 14, 2023. FAC ¶¶ 15, 50. The FAC does not allege that Arcadia delivered any Nonconformity Notice within that period. Arcadia's first written complaint—Dr. Okonkwo's March 8, 2023 email—arrived 22 days late. FAC ¶ 50. Acceptance was therefore deemed granted as of February 14, 2023.</w:t>
      </w:r>
    </w:p>
    <w:p>
      <w:pPr>
        <w:spacing w:line="480" w:lineRule="auto"/>
        <w:ind w:firstLine="720"/>
        <w:jc w:val="both"/>
      </w:pPr>
      <w:r>
        <w:rPr>
          <w:rFonts w:ascii="Times New Roman" w:hAnsi="Times New Roman" w:cs="Times New Roman"/>
          <w:b w:val="0"/>
          <w:i w:val="0"/>
          <w:sz w:val="24"/>
        </w:rPr>
        <w:t xml:space="preserve">Deemed acceptance forecloses rejection-based breach theories. </w:t>
      </w:r>
      <w:r>
        <w:rPr>
          <w:rFonts w:ascii="Times New Roman" w:hAnsi="Times New Roman" w:cs="Times New Roman"/>
          <w:b w:val="0"/>
          <w:i/>
          <w:sz w:val="24"/>
        </w:rPr>
        <w:t>Simulados Software, Ltd. v. Daicel Chiral Techs. (USA), Inc.</w:t>
      </w:r>
      <w:r>
        <w:rPr>
          <w:rFonts w:ascii="Times New Roman" w:hAnsi="Times New Roman" w:cs="Times New Roman"/>
          <w:b w:val="0"/>
          <w:i w:val="0"/>
          <w:sz w:val="24"/>
        </w:rPr>
        <w:t xml:space="preserve">, 2010 WL 4812776, at *5 (W.D. Tex. Nov. 19, 2010) (deemed-acceptance provision enforced where licensee failed to provide timely notice of nonconformity); </w:t>
      </w:r>
      <w:r>
        <w:rPr>
          <w:rFonts w:ascii="Times New Roman" w:hAnsi="Times New Roman" w:cs="Times New Roman"/>
          <w:b w:val="0"/>
          <w:i/>
          <w:sz w:val="24"/>
        </w:rPr>
        <w:t>Precision Healthcare Servs., LLC v. NextGen Healthcare Info. Sys., Inc.</w:t>
      </w:r>
      <w:r>
        <w:rPr>
          <w:rFonts w:ascii="Times New Roman" w:hAnsi="Times New Roman" w:cs="Times New Roman"/>
          <w:b w:val="0"/>
          <w:i w:val="0"/>
          <w:sz w:val="24"/>
        </w:rPr>
        <w:t xml:space="preserve">, 2014 WL 1286049, at *4 (N.D. Tex. Mar. 31, 2014) (deemed acceptance applies to both patent and latent defects; risk of inadequate testing falls on licensee). The FAC does not allege that Meridian concealed defects to prevent their discovery during the testing period—the only recognized exception. </w:t>
      </w:r>
      <w:r>
        <w:rPr>
          <w:rFonts w:ascii="Times New Roman" w:hAnsi="Times New Roman" w:cs="Times New Roman"/>
          <w:b w:val="0"/>
          <w:i/>
          <w:sz w:val="24"/>
        </w:rPr>
        <w:t>Precision Healthcare</w:t>
      </w:r>
      <w:r>
        <w:rPr>
          <w:rFonts w:ascii="Times New Roman" w:hAnsi="Times New Roman" w:cs="Times New Roman"/>
          <w:b w:val="0"/>
          <w:i w:val="0"/>
          <w:sz w:val="24"/>
        </w:rPr>
        <w:t>, 2014 WL 1286049, at *4. Once the software was accepted, Arcadia's remedy for any nonconformance channeled exclusively through the limited warranty.</w:t>
      </w:r>
    </w:p>
    <w:p>
      <w:pPr>
        <w:spacing w:line="480" w:lineRule="auto" w:before="160" w:after="40"/>
        <w:jc w:val="left"/>
      </w:pPr>
      <w:r>
        <w:rPr>
          <w:rFonts w:ascii="Times New Roman" w:hAnsi="Times New Roman" w:cs="Times New Roman"/>
          <w:b/>
          <w:i/>
          <w:sz w:val="24"/>
        </w:rPr>
        <w:t>2. The limited warranty expired, and its remedy is exclusive.</w:t>
      </w:r>
    </w:p>
    <w:p>
      <w:pPr>
        <w:spacing w:line="480" w:lineRule="auto"/>
        <w:ind w:firstLine="720"/>
        <w:jc w:val="both"/>
      </w:pPr>
      <w:r>
        <w:rPr>
          <w:rFonts w:ascii="Times New Roman" w:hAnsi="Times New Roman" w:cs="Times New Roman"/>
          <w:b w:val="0"/>
          <w:i w:val="0"/>
          <w:sz w:val="24"/>
        </w:rPr>
        <w:t xml:space="preserve">Section 9.1's limited warranty expired 90 days after Go-Live—on April 15, 2023. FAC ¶ 51. The sole remedy for breach of that warranty is repair, replacement, or a pro-rata refund if Meridian cannot cure within 60 days. § 9.1; § 8.3 (exclusive remedies). Arcadia's $47.3 million demand bears no relationship to the contractual remedy. And to the extent the FAC premises breach on data-migration failures (FAC ¶ 43(d)), that theory fails because SOW-1 § 3.2 makes data migration Arcadia's sole responsibility, with Meridian's role limited to advisory consulting. The FAC's contrary allegation that Meridian was "responsible for ... data migration" (FAC ¶ 42) is directly contradicted by the contract and cannot be credited. </w:t>
      </w:r>
      <w:r>
        <w:rPr>
          <w:rFonts w:ascii="Times New Roman" w:hAnsi="Times New Roman" w:cs="Times New Roman"/>
          <w:b w:val="0"/>
          <w:i/>
          <w:sz w:val="24"/>
        </w:rPr>
        <w:t>Lormand</w:t>
      </w:r>
      <w:r>
        <w:rPr>
          <w:rFonts w:ascii="Times New Roman" w:hAnsi="Times New Roman" w:cs="Times New Roman"/>
          <w:b w:val="0"/>
          <w:i w:val="0"/>
          <w:sz w:val="24"/>
        </w:rPr>
        <w:t>, 565 F.3d at 255.</w:t>
      </w:r>
    </w:p>
    <w:p>
      <w:pPr>
        <w:spacing w:line="480" w:lineRule="auto" w:before="160" w:after="40"/>
        <w:jc w:val="left"/>
      </w:pPr>
      <w:r>
        <w:rPr>
          <w:rFonts w:ascii="Times New Roman" w:hAnsi="Times New Roman" w:cs="Times New Roman"/>
          <w:b/>
          <w:i/>
          <w:sz w:val="24"/>
        </w:rPr>
        <w:t>3. The damages sought are barred by §§ 8.1–8.3.</w:t>
      </w:r>
    </w:p>
    <w:p>
      <w:pPr>
        <w:spacing w:line="480" w:lineRule="auto"/>
        <w:ind w:firstLine="720"/>
        <w:jc w:val="both"/>
      </w:pPr>
      <w:r>
        <w:rPr>
          <w:rFonts w:ascii="Times New Roman" w:hAnsi="Times New Roman" w:cs="Times New Roman"/>
          <w:b w:val="0"/>
          <w:i w:val="0"/>
          <w:sz w:val="24"/>
        </w:rPr>
        <w:t xml:space="preserve">Even if some breach theory survived, the damages Arcadia seeks are contractually barred. Section 8.2 waives all consequential damages—including the $18.4 million in lost profits, $6.7 million in increased operating costs, $5 million in reputational harm, and any punitive or treble damages. FAC ¶¶ 33–36. Section 8.1 caps aggregate liability at the fees paid or payable in the 12 months preceding the event. And § 8.3 makes the MSLSA's remedies exclusive. Courts in this circuit and in Delaware routinely enforce such limitations in negotiated commercial software agreements between sophisticated parties. </w:t>
      </w:r>
      <w:r>
        <w:rPr>
          <w:rFonts w:ascii="Times New Roman" w:hAnsi="Times New Roman" w:cs="Times New Roman"/>
          <w:b w:val="0"/>
          <w:i/>
          <w:sz w:val="24"/>
        </w:rPr>
        <w:t>Dresser-Rand Co. v. Virtual Pipeline Integration, Inc.</w:t>
      </w:r>
      <w:r>
        <w:rPr>
          <w:rFonts w:ascii="Times New Roman" w:hAnsi="Times New Roman" w:cs="Times New Roman"/>
          <w:b w:val="0"/>
          <w:i w:val="0"/>
          <w:sz w:val="24"/>
        </w:rPr>
        <w:t xml:space="preserve">, 361 F. App'x 508, 516 (5th Cir. 2010); </w:t>
      </w:r>
      <w:r>
        <w:rPr>
          <w:rFonts w:ascii="Times New Roman" w:hAnsi="Times New Roman" w:cs="Times New Roman"/>
          <w:b w:val="0"/>
          <w:i/>
          <w:sz w:val="24"/>
        </w:rPr>
        <w:t>Kana Software, Inc. v. Bread Crumb Corp.</w:t>
      </w:r>
      <w:r>
        <w:rPr>
          <w:rFonts w:ascii="Times New Roman" w:hAnsi="Times New Roman" w:cs="Times New Roman"/>
          <w:b w:val="0"/>
          <w:i w:val="0"/>
          <w:sz w:val="24"/>
        </w:rPr>
        <w:t xml:space="preserve">, 2011 WL 845920, at *5 (Del. Ch. Mar. 8, 2011). The consequential-damages waiver is independently enforceable even if the liability cap were unenforceable. </w:t>
      </w:r>
      <w:r>
        <w:rPr>
          <w:rFonts w:ascii="Times New Roman" w:hAnsi="Times New Roman" w:cs="Times New Roman"/>
          <w:b w:val="0"/>
          <w:i/>
          <w:sz w:val="24"/>
        </w:rPr>
        <w:t>Dresser-Rand</w:t>
      </w:r>
      <w:r>
        <w:rPr>
          <w:rFonts w:ascii="Times New Roman" w:hAnsi="Times New Roman" w:cs="Times New Roman"/>
          <w:b w:val="0"/>
          <w:i w:val="0"/>
          <w:sz w:val="24"/>
        </w:rPr>
        <w:t>, 361 F. App'x at 516.</w:t>
      </w:r>
    </w:p>
    <w:p>
      <w:pPr>
        <w:spacing w:line="480" w:lineRule="auto" w:before="160" w:after="40"/>
        <w:jc w:val="left"/>
      </w:pPr>
      <w:r>
        <w:rPr>
          <w:rFonts w:ascii="Times New Roman" w:hAnsi="Times New Roman" w:cs="Times New Roman"/>
          <w:b/>
          <w:i/>
          <w:sz w:val="24"/>
        </w:rPr>
        <w:t>4. In the alternative, the damages must be limited.</w:t>
      </w:r>
    </w:p>
    <w:p>
      <w:pPr>
        <w:spacing w:line="480" w:lineRule="auto"/>
        <w:ind w:firstLine="720"/>
        <w:jc w:val="both"/>
      </w:pPr>
      <w:r>
        <w:rPr>
          <w:rFonts w:ascii="Times New Roman" w:hAnsi="Times New Roman" w:cs="Times New Roman"/>
          <w:b w:val="0"/>
          <w:i w:val="0"/>
          <w:sz w:val="24"/>
        </w:rPr>
        <w:t>Should the Court decline to dismiss Count I in full, Meridian respectfully requests that the Court strike the consequential damages (lost profits, increased operating costs, reputational harm, and punitive/treble damages) as barred by § 8.2 and limit any recovery to the § 8.1 cap and the § 8.3 exclusive remedies.</w:t>
      </w:r>
    </w:p>
    <w:p>
      <w:pPr>
        <w:spacing w:line="480" w:lineRule="auto" w:before="280" w:after="120"/>
        <w:jc w:val="center"/>
      </w:pPr>
      <w:r>
        <w:rPr>
          <w:rFonts w:ascii="Times New Roman" w:hAnsi="Times New Roman" w:cs="Times New Roman"/>
          <w:b/>
          <w:i w:val="0"/>
          <w:sz w:val="24"/>
        </w:rPr>
        <w:t>V. CONCLUSION</w:t>
      </w:r>
    </w:p>
    <w:p>
      <w:pPr>
        <w:spacing w:line="480" w:lineRule="auto"/>
        <w:ind w:firstLine="720"/>
        <w:jc w:val="both"/>
      </w:pPr>
      <w:r>
        <w:rPr>
          <w:rFonts w:ascii="Times New Roman" w:hAnsi="Times New Roman" w:cs="Times New Roman"/>
          <w:b w:val="0"/>
          <w:i w:val="0"/>
          <w:sz w:val="24"/>
        </w:rPr>
        <w:t>For the foregoing reasons, Meridian respectfully requests that the Court grant this motion and dismiss all five counts of the First Amended Complaint with prejudice, and enter judgment in favor of Meridian. In the alternative, as to Count I, the Court should strike the consequential damages and limit any recovery to the contractual cap and exclusive remedies set forth in §§ 8.1–8.3 of the MSLSA.</w:t>
      </w:r>
    </w:p>
    <w:p>
      <w:pPr>
        <w:spacing w:line="240" w:lineRule="auto"/>
      </w:pPr>
    </w:p>
    <w:p>
      <w:pPr>
        <w:spacing w:line="480" w:lineRule="auto"/>
        <w:jc w:val="both"/>
      </w:pPr>
      <w:r>
        <w:rPr>
          <w:rFonts w:ascii="Times New Roman" w:hAnsi="Times New Roman" w:cs="Times New Roman"/>
          <w:b w:val="0"/>
          <w:i w:val="0"/>
          <w:sz w:val="24"/>
        </w:rPr>
        <w:t>Respectfully submitted,</w:t>
      </w:r>
    </w:p>
    <w:p>
      <w:pPr>
        <w:spacing w:line="240" w:lineRule="auto"/>
      </w:pPr>
    </w:p>
    <w:p>
      <w:pPr>
        <w:spacing w:line="240" w:lineRule="auto" w:after="0"/>
        <w:jc w:val="left"/>
      </w:pPr>
      <w:r>
        <w:rPr>
          <w:rFonts w:ascii="Times New Roman" w:hAnsi="Times New Roman" w:cs="Times New Roman"/>
          <w:b/>
          <w:i w:val="0"/>
          <w:sz w:val="24"/>
        </w:rPr>
        <w:t>STONEBRIDGE &amp; CALLOWAY LLP</w:t>
      </w:r>
    </w:p>
    <w:p>
      <w:pPr>
        <w:spacing w:line="240" w:lineRule="auto"/>
      </w:pPr>
    </w:p>
    <w:p>
      <w:pPr>
        <w:spacing w:line="240" w:lineRule="auto" w:after="0"/>
        <w:jc w:val="left"/>
      </w:pPr>
      <w:r>
        <w:rPr>
          <w:rFonts w:ascii="Times New Roman" w:hAnsi="Times New Roman" w:cs="Times New Roman"/>
          <w:b w:val="0"/>
          <w:i w:val="0"/>
          <w:sz w:val="24"/>
        </w:rPr>
        <w:t>/s/ Margaret "Meg" Calloway</w:t>
      </w:r>
    </w:p>
    <w:p>
      <w:pPr>
        <w:spacing w:line="240" w:lineRule="auto" w:after="0"/>
        <w:jc w:val="left"/>
      </w:pPr>
      <w:r>
        <w:rPr>
          <w:rFonts w:ascii="Times New Roman" w:hAnsi="Times New Roman" w:cs="Times New Roman"/>
          <w:b w:val="0"/>
          <w:i w:val="0"/>
          <w:sz w:val="24"/>
        </w:rPr>
        <w:t>Margaret "Meg" Calloway</w:t>
      </w:r>
    </w:p>
    <w:p>
      <w:pPr>
        <w:spacing w:line="240" w:lineRule="auto" w:after="0"/>
        <w:jc w:val="left"/>
      </w:pPr>
      <w:r>
        <w:rPr>
          <w:rFonts w:ascii="Times New Roman" w:hAnsi="Times New Roman" w:cs="Times New Roman"/>
          <w:b w:val="0"/>
          <w:i w:val="0"/>
          <w:sz w:val="24"/>
        </w:rPr>
        <w:t>Texas State Bar No. 24037891</w:t>
      </w:r>
    </w:p>
    <w:p>
      <w:pPr>
        <w:spacing w:line="240" w:lineRule="auto" w:after="0"/>
        <w:jc w:val="left"/>
      </w:pPr>
      <w:r>
        <w:rPr>
          <w:rFonts w:ascii="Times New Roman" w:hAnsi="Times New Roman" w:cs="Times New Roman"/>
          <w:b w:val="0"/>
          <w:i w:val="0"/>
          <w:sz w:val="24"/>
        </w:rPr>
        <w:t>David Arsenault</w:t>
      </w:r>
    </w:p>
    <w:p>
      <w:pPr>
        <w:spacing w:line="240" w:lineRule="auto" w:after="0"/>
        <w:jc w:val="left"/>
      </w:pPr>
      <w:r>
        <w:rPr>
          <w:rFonts w:ascii="Times New Roman" w:hAnsi="Times New Roman" w:cs="Times New Roman"/>
          <w:b w:val="0"/>
          <w:i w:val="0"/>
          <w:sz w:val="24"/>
        </w:rPr>
        <w:t>Texas State Bar No. 24098254</w:t>
      </w:r>
    </w:p>
    <w:p>
      <w:pPr>
        <w:spacing w:line="240" w:lineRule="auto" w:after="0"/>
        <w:jc w:val="left"/>
      </w:pPr>
      <w:r>
        <w:rPr>
          <w:rFonts w:ascii="Times New Roman" w:hAnsi="Times New Roman" w:cs="Times New Roman"/>
          <w:b w:val="0"/>
          <w:i w:val="0"/>
          <w:sz w:val="24"/>
        </w:rPr>
        <w:t>600 Congress Avenue, Suite 2800</w:t>
      </w:r>
    </w:p>
    <w:p>
      <w:pPr>
        <w:spacing w:line="240" w:lineRule="auto" w:after="0"/>
        <w:jc w:val="left"/>
      </w:pPr>
      <w:r>
        <w:rPr>
          <w:rFonts w:ascii="Times New Roman" w:hAnsi="Times New Roman" w:cs="Times New Roman"/>
          <w:b w:val="0"/>
          <w:i w:val="0"/>
          <w:sz w:val="24"/>
        </w:rPr>
        <w:t>Austin, Texas 78701</w:t>
      </w:r>
    </w:p>
    <w:p>
      <w:pPr>
        <w:spacing w:line="240" w:lineRule="auto" w:after="0"/>
        <w:jc w:val="left"/>
      </w:pPr>
      <w:r>
        <w:rPr>
          <w:rFonts w:ascii="Times New Roman" w:hAnsi="Times New Roman" w:cs="Times New Roman"/>
          <w:b w:val="0"/>
          <w:i w:val="0"/>
          <w:sz w:val="24"/>
        </w:rPr>
        <w:t>Telephone: (512) 555-4200</w:t>
      </w:r>
    </w:p>
    <w:p>
      <w:pPr>
        <w:spacing w:line="240" w:lineRule="auto" w:after="0"/>
        <w:jc w:val="left"/>
      </w:pPr>
      <w:r>
        <w:rPr>
          <w:rFonts w:ascii="Times New Roman" w:hAnsi="Times New Roman" w:cs="Times New Roman"/>
          <w:b w:val="0"/>
          <w:i w:val="0"/>
          <w:sz w:val="24"/>
        </w:rPr>
        <w:t>Facsimile: (512) 555-4201</w:t>
      </w:r>
    </w:p>
    <w:p>
      <w:pPr>
        <w:spacing w:line="240" w:lineRule="auto" w:after="0"/>
        <w:jc w:val="left"/>
      </w:pPr>
      <w:r>
        <w:rPr>
          <w:rFonts w:ascii="Times New Roman" w:hAnsi="Times New Roman" w:cs="Times New Roman"/>
          <w:b w:val="0"/>
          <w:i w:val="0"/>
          <w:sz w:val="24"/>
        </w:rPr>
        <w:t>mcalloway@stonebridgecalloway.com</w:t>
      </w:r>
    </w:p>
    <w:p>
      <w:pPr>
        <w:spacing w:line="240" w:lineRule="auto" w:after="0"/>
        <w:jc w:val="left"/>
      </w:pPr>
      <w:r>
        <w:rPr>
          <w:rFonts w:ascii="Times New Roman" w:hAnsi="Times New Roman" w:cs="Times New Roman"/>
          <w:b w:val="0"/>
          <w:i w:val="0"/>
          <w:sz w:val="24"/>
        </w:rPr>
        <w:t>darsenault@stonebridgecalloway.com</w:t>
      </w:r>
    </w:p>
    <w:p>
      <w:pPr>
        <w:spacing w:line="240" w:lineRule="auto"/>
      </w:pPr>
    </w:p>
    <w:p>
      <w:pPr>
        <w:spacing w:line="240" w:lineRule="auto" w:after="0"/>
        <w:jc w:val="left"/>
      </w:pPr>
      <w:r>
        <w:rPr>
          <w:rFonts w:ascii="Times New Roman" w:hAnsi="Times New Roman" w:cs="Times New Roman"/>
          <w:b w:val="0"/>
          <w:i w:val="0"/>
          <w:sz w:val="24"/>
        </w:rPr>
        <w:t>Attorneys for Defendant</w:t>
      </w:r>
    </w:p>
    <w:p>
      <w:pPr>
        <w:spacing w:line="240" w:lineRule="auto" w:after="0"/>
        <w:jc w:val="left"/>
      </w:pPr>
      <w:r>
        <w:rPr>
          <w:rFonts w:ascii="Times New Roman" w:hAnsi="Times New Roman" w:cs="Times New Roman"/>
          <w:b w:val="0"/>
          <w:i w:val="0"/>
          <w:sz w:val="24"/>
        </w:rPr>
        <w:t>Meridian Cloud Solutions, Inc.</w:t>
      </w:r>
    </w:p>
    <w:p>
      <w:pPr>
        <w:spacing w:line="240" w:lineRule="auto"/>
      </w:pPr>
    </w:p>
    <w:p>
      <w:pPr>
        <w:spacing w:line="240" w:lineRule="auto" w:before="40" w:after="120"/>
        <w:pBdr>
          <w:bottom w:val="single" w:sz="6" w:space="1" w:color="000000"/>
        </w:pBdr>
      </w:pPr>
    </w:p>
    <w:p>
      <w:pPr>
        <w:spacing w:line="480" w:lineRule="auto" w:before="200" w:after="80"/>
        <w:jc w:val="left"/>
      </w:pPr>
      <w:r>
        <w:rPr>
          <w:rFonts w:ascii="Times New Roman" w:hAnsi="Times New Roman" w:cs="Times New Roman"/>
          <w:b/>
          <w:i w:val="0"/>
          <w:sz w:val="24"/>
        </w:rPr>
        <w:t>CERTIFICATE OF CONFERENCE</w:t>
      </w:r>
    </w:p>
    <w:p>
      <w:pPr>
        <w:spacing w:line="480" w:lineRule="auto"/>
        <w:ind w:firstLine="720"/>
        <w:jc w:val="both"/>
      </w:pPr>
      <w:r>
        <w:rPr>
          <w:rFonts w:ascii="Times New Roman" w:hAnsi="Times New Roman" w:cs="Times New Roman"/>
          <w:b w:val="0"/>
          <w:i w:val="0"/>
          <w:sz w:val="24"/>
        </w:rPr>
        <w:t>Pursuant to Section 3.1 of the Court's Standing Order on Motion Practice, the undersigned certifies that, on January 8, 2024, undersigned counsel conferred in good faith by telephone with Jonathan Breckenridge, Esq., counsel for Plaintiff Arcadia Health Systems, LLC, regarding the relief requested in this motion. Plaintiff's counsel stated that Plaintiff opposes dismissal of all counts and declined to agree to any narrowing or voluntary dismissal of any claim. The parties were therefore unable to reach agreement, and further conferral on the legal questions presented was not practicable.</w:t>
      </w:r>
    </w:p>
    <w:p>
      <w:pPr>
        <w:spacing w:line="240" w:lineRule="auto"/>
      </w:pPr>
    </w:p>
    <w:p>
      <w:pPr>
        <w:spacing w:line="240" w:lineRule="auto" w:after="0"/>
        <w:jc w:val="left"/>
      </w:pPr>
      <w:r>
        <w:rPr>
          <w:rFonts w:ascii="Times New Roman" w:hAnsi="Times New Roman" w:cs="Times New Roman"/>
          <w:b w:val="0"/>
          <w:i w:val="0"/>
          <w:sz w:val="24"/>
        </w:rPr>
        <w:t>/s/ Margaret "Meg" Calloway</w:t>
      </w:r>
    </w:p>
    <w:p>
      <w:pPr>
        <w:spacing w:line="240" w:lineRule="auto" w:after="0"/>
        <w:jc w:val="left"/>
      </w:pPr>
      <w:r>
        <w:rPr>
          <w:rFonts w:ascii="Times New Roman" w:hAnsi="Times New Roman" w:cs="Times New Roman"/>
          <w:b w:val="0"/>
          <w:i w:val="0"/>
          <w:sz w:val="24"/>
        </w:rPr>
        <w:t>Margaret "Meg" Calloway</w:t>
      </w:r>
    </w:p>
    <w:p>
      <w:pPr>
        <w:spacing w:line="240" w:lineRule="auto"/>
      </w:pPr>
    </w:p>
    <w:p>
      <w:pPr>
        <w:spacing w:line="240" w:lineRule="auto" w:before="40" w:after="120"/>
        <w:pBdr>
          <w:bottom w:val="single" w:sz="6" w:space="1" w:color="000000"/>
        </w:pBdr>
      </w:pPr>
    </w:p>
    <w:p>
      <w:pPr>
        <w:spacing w:line="480" w:lineRule="auto" w:before="200" w:after="80"/>
        <w:jc w:val="left"/>
      </w:pPr>
      <w:r>
        <w:rPr>
          <w:rFonts w:ascii="Times New Roman" w:hAnsi="Times New Roman" w:cs="Times New Roman"/>
          <w:b/>
          <w:i w:val="0"/>
          <w:sz w:val="24"/>
        </w:rPr>
        <w:t>CERTIFICATE OF SERVICE</w:t>
      </w:r>
    </w:p>
    <w:p>
      <w:pPr>
        <w:spacing w:line="480" w:lineRule="auto"/>
        <w:ind w:firstLine="720"/>
        <w:jc w:val="both"/>
      </w:pPr>
      <w:r>
        <w:rPr>
          <w:rFonts w:ascii="Times New Roman" w:hAnsi="Times New Roman" w:cs="Times New Roman"/>
          <w:b w:val="0"/>
          <w:i w:val="0"/>
          <w:sz w:val="24"/>
        </w:rPr>
        <w:t>I hereby certify that on January 12, 2024, I electronically filed the foregoing Defendant Meridian Cloud Solutions, Inc.'s Motion to Dismiss Pursuant to Federal Rule of Civil Procedure 12(b)(6) and Brief in Support with the Clerk of Court using the Court's CM/ECF system, which will send notification of such filing to all counsel of record, including: Jonathan Breckenridge, Esq., Wexford Hale LLP, 300 West 6th Street, Suite 1500, Austin, Texas 78701, jbreckenridge@wexfordhale.com, counsel for Plaintiff Arcadia Health Systems, LLC.</w:t>
      </w:r>
    </w:p>
    <w:p>
      <w:pPr>
        <w:spacing w:line="240" w:lineRule="auto"/>
      </w:pPr>
    </w:p>
    <w:p>
      <w:pPr>
        <w:spacing w:line="240" w:lineRule="auto" w:after="0"/>
        <w:jc w:val="left"/>
      </w:pPr>
      <w:r>
        <w:rPr>
          <w:rFonts w:ascii="Times New Roman" w:hAnsi="Times New Roman" w:cs="Times New Roman"/>
          <w:b w:val="0"/>
          <w:i w:val="0"/>
          <w:sz w:val="24"/>
        </w:rPr>
        <w:t>/s/ Margaret "Meg" Calloway</w:t>
      </w:r>
    </w:p>
    <w:p>
      <w:pPr>
        <w:spacing w:line="240" w:lineRule="auto" w:after="0"/>
        <w:jc w:val="left"/>
      </w:pPr>
      <w:r>
        <w:rPr>
          <w:rFonts w:ascii="Times New Roman" w:hAnsi="Times New Roman" w:cs="Times New Roman"/>
          <w:b w:val="0"/>
          <w:i w:val="0"/>
          <w:sz w:val="24"/>
        </w:rPr>
        <w:t>Margaret "Meg" Calloway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