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jc w:val="center"/>
      </w:pPr>
      <w:r>
        <w:rPr>
          <w:rFonts w:ascii="Times New Roman" w:hAnsi="Times New Roman"/>
          <w:b/>
          <w:i w:val="0"/>
          <w:sz w:val="24"/>
          <w:u w:val="none"/>
        </w:rPr>
        <w:t>STONEBRIDGE &amp; CALLOWAY LLP</w:t>
      </w:r>
    </w:p>
    <w:p>
      <w:pPr>
        <w:spacing w:line="240" w:lineRule="auto" w:after="120" w:before="0"/>
        <w:jc w:val="center"/>
      </w:pPr>
      <w:r>
        <w:rPr>
          <w:rFonts w:ascii="Times New Roman" w:hAnsi="Times New Roman"/>
          <w:b w:val="0"/>
          <w:i w:val="0"/>
          <w:sz w:val="24"/>
          <w:u w:val="none"/>
        </w:rPr>
        <w:t>600 Congress Avenue, Suite 2800  |  Austin, Texas 78701</w:t>
      </w:r>
    </w:p>
    <w:p>
      <w:pPr>
        <w:spacing w:line="240" w:lineRule="auto" w:after="120"/>
        <w:pBdr>
          <w:bottom w:val="single" w:sz="6" w:space="1" w:color="auto"/>
        </w:pBdr>
      </w:pPr>
    </w:p>
    <w:p>
      <w:pPr>
        <w:spacing w:line="480" w:lineRule="auto" w:after="240" w:before="0"/>
        <w:jc w:val="center"/>
      </w:pPr>
      <w:r>
        <w:rPr>
          <w:rFonts w:ascii="Times New Roman" w:hAnsi="Times New Roman"/>
          <w:b/>
          <w:i w:val="0"/>
          <w:sz w:val="24"/>
          <w:u w:val="none"/>
        </w:rPr>
        <w:t>PRIVILEGED &amp; CONFIDENTIAL  |  ATTORNEY WORK PRODUCT</w:t>
      </w:r>
    </w:p>
    <w:p>
      <w:pPr>
        <w:spacing w:line="480" w:lineRule="auto" w:after="240" w:before="0"/>
        <w:jc w:val="center"/>
      </w:pPr>
      <w:r>
        <w:rPr>
          <w:rFonts w:ascii="Times New Roman" w:hAnsi="Times New Roman"/>
          <w:b/>
          <w:i w:val="0"/>
          <w:sz w:val="24"/>
          <w:u w:val="none"/>
        </w:rPr>
        <w:t>MEMORANDUM</w:t>
      </w:r>
    </w:p>
    <w:p>
      <w:pPr>
        <w:spacing w:line="240" w:lineRule="auto" w:after="40"/>
        <w:ind w:left="1440" w:hanging="1440"/>
      </w:pPr>
      <w:r>
        <w:rPr>
          <w:rFonts w:ascii="Times New Roman" w:hAnsi="Times New Roman"/>
          <w:b/>
          <w:sz w:val="24"/>
        </w:rPr>
        <w:t xml:space="preserve">TO:  </w:t>
      </w:r>
      <w:r>
        <w:rPr>
          <w:rFonts w:ascii="Times New Roman" w:hAnsi="Times New Roman"/>
          <w:sz w:val="24"/>
        </w:rPr>
        <w:t>Margaret “Meg” Calloway, Lead Partner; David Arsenault, Senior Associate</w:t>
      </w:r>
    </w:p>
    <w:p>
      <w:pPr>
        <w:spacing w:line="240" w:lineRule="auto" w:after="40"/>
        <w:ind w:left="1440" w:hanging="1440"/>
      </w:pPr>
      <w:r>
        <w:rPr>
          <w:rFonts w:ascii="Times New Roman" w:hAnsi="Times New Roman"/>
          <w:b/>
          <w:sz w:val="24"/>
        </w:rPr>
        <w:t xml:space="preserve">FROM:  </w:t>
      </w:r>
      <w:r>
        <w:rPr>
          <w:rFonts w:ascii="Times New Roman" w:hAnsi="Times New Roman"/>
          <w:sz w:val="24"/>
        </w:rPr>
        <w:t>Litigation Team, Stonebridge &amp; Calloway LLP</w:t>
      </w:r>
    </w:p>
    <w:p>
      <w:pPr>
        <w:spacing w:line="240" w:lineRule="auto" w:after="40"/>
        <w:ind w:left="1440" w:hanging="1440"/>
      </w:pPr>
      <w:r>
        <w:rPr>
          <w:rFonts w:ascii="Times New Roman" w:hAnsi="Times New Roman"/>
          <w:b/>
          <w:sz w:val="24"/>
        </w:rPr>
        <w:t xml:space="preserve">DATE:  </w:t>
      </w:r>
      <w:r>
        <w:rPr>
          <w:rFonts w:ascii="Times New Roman" w:hAnsi="Times New Roman"/>
          <w:sz w:val="24"/>
        </w:rPr>
        <w:t>January 12, 2024</w:t>
      </w:r>
    </w:p>
    <w:p>
      <w:pPr>
        <w:spacing w:line="240" w:lineRule="auto" w:after="40"/>
        <w:ind w:left="1440" w:hanging="1440"/>
      </w:pPr>
      <w:r>
        <w:rPr>
          <w:rFonts w:ascii="Times New Roman" w:hAnsi="Times New Roman"/>
          <w:b/>
          <w:sz w:val="24"/>
        </w:rPr>
        <w:t xml:space="preserve">RE:  </w:t>
      </w:r>
      <w:r>
        <w:rPr>
          <w:rFonts w:ascii="Times New Roman" w:hAnsi="Times New Roman"/>
          <w:sz w:val="24"/>
        </w:rPr>
        <w:t>Threshold issues and strategic flags — Defendant’s Rule 12(b)(6) Motion to Dismiss, Arcadia Health Systems, LLC v. Meridian Cloud Solutions, Inc., No. 1:23-cv-00847-CMA (W.D. Tex., Austin Div.; Hon. Catherine M. Alvarez)</w:t>
      </w:r>
    </w:p>
    <w:p>
      <w:pPr>
        <w:spacing w:line="240" w:lineRule="auto" w:after="120"/>
        <w:pBdr>
          <w:bottom w:val="single" w:sz="6" w:space="1" w:color="auto"/>
        </w:pBdr>
      </w:pPr>
    </w:p>
    <w:p>
      <w:pPr>
        <w:spacing w:line="480" w:lineRule="auto" w:after="0" w:before="0"/>
      </w:pPr>
      <w:r>
        <w:rPr>
          <w:rFonts w:ascii="Times New Roman" w:hAnsi="Times New Roman"/>
          <w:b w:val="0"/>
          <w:i w:val="0"/>
          <w:sz w:val="24"/>
          <w:u w:val="none"/>
        </w:rPr>
        <w:t>This memorandum flags threshold issues that the team should resolve before or concurrently with filing the attached motion to dismiss, proposed order, and certificate of conference. The motion is drafted on the merits and is ready to file; the items below do not change the substantive arguments but may affect filing strategy, captioning, and the relief we can realistically obtain. They are listed in rough order of importance.</w:t>
      </w:r>
    </w:p>
    <w:p>
      <w:pPr>
        <w:keepNext/>
        <w:spacing w:line="480" w:lineRule="auto" w:after="120" w:before="240"/>
      </w:pPr>
      <w:r>
        <w:rPr>
          <w:rFonts w:ascii="Times New Roman" w:hAnsi="Times New Roman"/>
          <w:b/>
          <w:i w:val="0"/>
          <w:sz w:val="24"/>
          <w:u w:val="single"/>
        </w:rPr>
        <w:t>1.  Subject-matter jurisdiction — a likely complete-diversity defect (HIGHEST PRIORITY)</w:t>
      </w:r>
    </w:p>
    <w:p>
      <w:pPr>
        <w:spacing w:line="480" w:lineRule="auto" w:after="0" w:before="0"/>
      </w:pPr>
      <w:r>
        <w:rPr>
          <w:rFonts w:ascii="Times New Roman" w:hAnsi="Times New Roman"/>
          <w:b w:val="0"/>
          <w:i w:val="0"/>
          <w:sz w:val="24"/>
          <w:u w:val="none"/>
        </w:rPr>
        <w:t>The most significant threshold issue is that the Court may lack subject-matter jurisdiction. The Notice of Removal (Dkt. No. 1 ¶ 14) treated Arcadia as a citizen of Texas only, apparently considering only Dr. Okonkwo’s citizenship. That analysis is incomplete. An LLC’s citizenship is traced to all of its members, and a partnership’s citizenship is traced to all of its partners. Harvey v. Grey Wolf Drilling Co., 542 F.3d 1077, 1080 (5th Cir. 2008); Carden v. Arkoma Assocs., 494 U.S. 185, 195–96 (1990).</w:t>
      </w:r>
    </w:p>
    <w:p>
      <w:pPr>
        <w:spacing w:line="480" w:lineRule="auto" w:after="0" w:before="0"/>
      </w:pPr>
      <w:r>
        <w:rPr>
          <w:rFonts w:ascii="Times New Roman" w:hAnsi="Times New Roman"/>
          <w:b w:val="0"/>
          <w:i w:val="0"/>
          <w:sz w:val="24"/>
          <w:u w:val="none"/>
        </w:rPr>
        <w:t>Arcadia’s operating agreement (produced as Exhibit 7 to Plaintiff’s initial disclosures) shows three members: Dr. Okonkwo (Texas), Martin Schreiber (Texas), and Apex Medical Ventures, LP (a Delaware limited partnership). Apex’s general partner is Apex Medical Ventures GP, Inc., a Delaware corporation with its principal place of business in Wilmington, Delaware—a citizen of Delaware. Apex’s limited partner is the Okonkwo Family Trust (beneficiary domiciled in Texas). Arcadia is therefore a citizen of both Texas and Delaware. Meridian is a citizen of Delaware (incorporation) and Texas (principal place of business, Austin). Because both parties are citizens of Delaware, complete diversity is destroyed, and the Court likely lacks jurisdiction under 28 U.S.C. § 1332(a). Subject-matter jurisdiction cannot be waived and may be raised sua sponte at any time. Arbaugh v. Y &amp; H Corp., 546 U.S. 500, 514 (2006).</w:t>
      </w:r>
    </w:p>
    <w:p>
      <w:pPr>
        <w:spacing w:line="480" w:lineRule="auto" w:after="0" w:before="0"/>
      </w:pPr>
      <w:r>
        <w:rPr>
          <w:rFonts w:ascii="Times New Roman" w:hAnsi="Times New Roman"/>
          <w:b w:val="0"/>
          <w:i w:val="0"/>
          <w:sz w:val="24"/>
          <w:u w:val="none"/>
        </w:rPr>
        <w:t>Strategic considerations. This is delicate because Meridian invoked federal jurisdiction by removing. There is a voluntary-invocation / judicial-estoppel concern about Meridian challenging the very jurisdiction it sought, although jurisdiction can be raised by Arcadia or the Court independently. Options to discuss with the client:</w:t>
      </w:r>
    </w:p>
    <w:p>
      <w:pPr>
        <w:spacing w:line="480" w:lineRule="auto" w:after="0" w:before="0"/>
        <w:ind w:left="720" w:hanging="360"/>
      </w:pPr>
      <w:r>
        <w:rPr>
          <w:rFonts w:ascii="Times New Roman" w:hAnsi="Times New Roman"/>
          <w:b w:val="0"/>
          <w:i w:val="0"/>
          <w:sz w:val="24"/>
          <w:u w:val="none"/>
        </w:rPr>
        <w:t>(a) Do nothing on jurisdiction and proceed on the merits, accepting the risk that the Court raises the defect sua sponte (which would moot the motion and likely trigger remand);</w:t>
      </w:r>
    </w:p>
    <w:p>
      <w:pPr>
        <w:spacing w:line="480" w:lineRule="auto" w:after="0" w:before="0"/>
        <w:ind w:left="720" w:hanging="360"/>
      </w:pPr>
      <w:r>
        <w:rPr>
          <w:rFonts w:ascii="Times New Roman" w:hAnsi="Times New Roman"/>
          <w:b w:val="0"/>
          <w:i w:val="0"/>
          <w:sz w:val="24"/>
          <w:u w:val="none"/>
        </w:rPr>
        <w:t>(b) Quietly verify the analysis (confirm Apex GP, Inc.’s citizenship and the trust’s citizenship under Fifth Circuit trust-citizenship rules) before deciding;</w:t>
      </w:r>
    </w:p>
    <w:p>
      <w:pPr>
        <w:spacing w:line="480" w:lineRule="auto" w:after="0" w:before="0"/>
        <w:ind w:left="720" w:hanging="360"/>
      </w:pPr>
      <w:r>
        <w:rPr>
          <w:rFonts w:ascii="Times New Roman" w:hAnsi="Times New Roman"/>
          <w:b w:val="0"/>
          <w:i w:val="0"/>
          <w:sz w:val="24"/>
          <w:u w:val="none"/>
        </w:rPr>
        <w:t>(c) Consider whether Meridian actually prefers federal court (Judge Alvarez’s rigorous pleading standards, the bench trial under the § 12.9 jury waiver) versus state court, and whether a remand to Bexar/Travis County state court is strategically worse. Note: if remanded, the § 12.9 jury waiver and the § 12.8 Austin forum-selection clause would still apply, but the procedural posture and judge would change.</w:t>
      </w:r>
    </w:p>
    <w:p>
      <w:pPr>
        <w:spacing w:line="480" w:lineRule="auto" w:after="0" w:before="0"/>
      </w:pPr>
      <w:r>
        <w:rPr>
          <w:rFonts w:ascii="Times New Roman" w:hAnsi="Times New Roman"/>
          <w:b w:val="0"/>
          <w:i w:val="0"/>
          <w:sz w:val="24"/>
          <w:u w:val="none"/>
        </w:rPr>
        <w:t>Recommendation: Confirm the citizenship analysis immediately. If the defect is real, decide with the client whether to (i) let the Court/Plaintiff raise it, or (ii) address it proactively. The attached motion is drafted on the merits and does not raise jurisdiction; we should not embed a 12(b)(1) argument in a 12(b)(6) brief unless we make a deliberate strategic decision to do so.</w:t>
      </w:r>
    </w:p>
    <w:p>
      <w:pPr>
        <w:keepNext/>
        <w:spacing w:line="480" w:lineRule="auto" w:after="120" w:before="240"/>
      </w:pPr>
      <w:r>
        <w:rPr>
          <w:rFonts w:ascii="Times New Roman" w:hAnsi="Times New Roman"/>
          <w:b/>
          <w:i w:val="0"/>
          <w:sz w:val="24"/>
          <w:u w:val="single"/>
        </w:rPr>
        <w:t>2.  Post-answer motion: Rule 12(b)(6) vs. Rule 12(c) caption</w:t>
      </w:r>
    </w:p>
    <w:p>
      <w:pPr>
        <w:spacing w:line="480" w:lineRule="auto" w:after="0" w:before="0"/>
      </w:pPr>
      <w:r>
        <w:rPr>
          <w:rFonts w:ascii="Times New Roman" w:hAnsi="Times New Roman"/>
          <w:b w:val="0"/>
          <w:i w:val="0"/>
          <w:sz w:val="24"/>
          <w:u w:val="none"/>
        </w:rPr>
        <w:t>The Standing Order § 3.4 says the Court will treat a preserved post-answer motion as a Rule 12(b)(6) motion (not 12(c)) if the conditions are met. The Scheduling Order (Dkt. No. 24 ¶ III.A) says the Court “will treat any such motion as a Rule 12(c) motion … evaluated under the same standard as a Rule 12(b)(6) motion.” These conflict. The Scheduling Order is more recent and case-specific, so the Court will likely apply 12(c). The standard is identical (Twombly/Iqbal), so the substantive analysis is unaffected. The attached motion is captioned to invoke both rules (“12(b)(6), or, in the alternative, 12(c)”) to hedge. The preservation requirement is satisfied: the Answer’s First Affirmative Defense and Section III expressly preserved the 12(b)(6) defense, and Meridian notified counsel and the Court by letter dated November 8, 2023.</w:t>
      </w:r>
    </w:p>
    <w:p>
      <w:pPr>
        <w:keepNext/>
        <w:spacing w:line="480" w:lineRule="auto" w:after="120" w:before="240"/>
      </w:pPr>
      <w:r>
        <w:rPr>
          <w:rFonts w:ascii="Times New Roman" w:hAnsi="Times New Roman"/>
          <w:b/>
          <w:i w:val="0"/>
          <w:sz w:val="24"/>
          <w:u w:val="single"/>
        </w:rPr>
        <w:t>3.  DTPA § 17.49(f) — contested statutory reading and the $25 million asset issue</w:t>
      </w:r>
    </w:p>
    <w:p>
      <w:pPr>
        <w:spacing w:line="480" w:lineRule="auto" w:after="0" w:before="0"/>
      </w:pPr>
      <w:r>
        <w:rPr>
          <w:rFonts w:ascii="Times New Roman" w:hAnsi="Times New Roman"/>
          <w:b w:val="0"/>
          <w:i w:val="0"/>
          <w:sz w:val="24"/>
          <w:u w:val="none"/>
        </w:rPr>
        <w:t>The motion leads with § 17.49(f), which exempts transactions involving total consideration over $500,000 unless the consumer is an individual. On the face of the FAC, that is dispositive: $17.05 million in consideration and Arcadia is an LLC. However, Arcadia’s counsel (July 25, 2023 letter) has argued that § 17.49(f) is “conjunctive” and also requires the consumer to have assets of $25 million or more, and has asserted that Arcadia’s total assets were only $23.8 million as of FY 2022 year-end—below the threshold.</w:t>
      </w:r>
    </w:p>
    <w:p>
      <w:pPr>
        <w:spacing w:line="480" w:lineRule="auto" w:after="0" w:before="0"/>
      </w:pPr>
      <w:r>
        <w:rPr>
          <w:rFonts w:ascii="Times New Roman" w:hAnsi="Times New Roman"/>
          <w:b w:val="0"/>
          <w:i w:val="0"/>
          <w:sz w:val="24"/>
          <w:u w:val="none"/>
        </w:rPr>
        <w:t>Our research indicates the $25 million asset test actually appears in § 17.45(4) (the “consumer” definition, which excludes businesses with $25M+ assets seeking goods for business use) and § 17.49(b) (limiting additional/treble damages), not in § 17.49(f). Arcadia’s “conjunctive” reading appears to conflate these provisions. We should be prepared to clarify the statutory text in briefing. That said, two cautions:</w:t>
      </w:r>
    </w:p>
    <w:p>
      <w:pPr>
        <w:spacing w:line="480" w:lineRule="auto" w:after="0" w:before="0"/>
        <w:ind w:left="720" w:hanging="360"/>
      </w:pPr>
      <w:r>
        <w:rPr>
          <w:rFonts w:ascii="Times New Roman" w:hAnsi="Times New Roman"/>
          <w:b w:val="0"/>
          <w:i w:val="0"/>
          <w:sz w:val="24"/>
          <w:u w:val="none"/>
        </w:rPr>
        <w:t>(a) The burden of proving any DTPA exemption is on the party asserting it (Meridian). Cameron v. Terrell &amp; Garrett, Inc., 618 S.W.2d 535, 541 (Tex. 1981). If the Court reads § 17.49(f) to require a $25M asset showing, that becomes a fact question (Arcadia’s assets as of the relevant date) that may not be resolvable on 12(b)(6) and could require conversion to summary judgment or limited discovery.</w:t>
      </w:r>
    </w:p>
    <w:p>
      <w:pPr>
        <w:spacing w:line="480" w:lineRule="auto" w:after="0" w:before="0"/>
        <w:ind w:left="720" w:hanging="360"/>
      </w:pPr>
      <w:r>
        <w:rPr>
          <w:rFonts w:ascii="Times New Roman" w:hAnsi="Times New Roman"/>
          <w:b w:val="0"/>
          <w:i w:val="0"/>
          <w:sz w:val="24"/>
          <w:u w:val="none"/>
        </w:rPr>
        <w:t>(b) Arcadia’s $23.8 million figure is unverified. Meridian demanded production of audited financial statements in its July 10, 2023 letter; Arcadia offered to produce them. We should obtain and analyze those statements, and also investigate the “owned by a person with assets of $25 million or more” prong of § 17.45(4)—i.e., whether Apex Medical Ventures, LP or its partners have $25M+ assets, which could independently exclude Arcadia from “consumer” status.</w:t>
      </w:r>
    </w:p>
    <w:p>
      <w:pPr>
        <w:spacing w:line="480" w:lineRule="auto" w:after="0" w:before="0"/>
      </w:pPr>
      <w:r>
        <w:rPr>
          <w:rFonts w:ascii="Times New Roman" w:hAnsi="Times New Roman"/>
          <w:b w:val="0"/>
          <w:i w:val="0"/>
          <w:sz w:val="24"/>
          <w:u w:val="none"/>
        </w:rPr>
        <w:t>The motion also pleads puffery and producing-cause as independent alternative grounds for dismissing Count V, so the DTPA count is not dependent solely on § 17.49(f).</w:t>
      </w:r>
    </w:p>
    <w:p>
      <w:pPr>
        <w:keepNext/>
        <w:spacing w:line="480" w:lineRule="auto" w:after="120" w:before="240"/>
      </w:pPr>
      <w:r>
        <w:rPr>
          <w:rFonts w:ascii="Times New Roman" w:hAnsi="Times New Roman"/>
          <w:b/>
          <w:i w:val="0"/>
          <w:sz w:val="24"/>
          <w:u w:val="single"/>
        </w:rPr>
        <w:t>4.  DTPA pre-suit notice — possible 60-day timing defect</w:t>
      </w:r>
    </w:p>
    <w:p>
      <w:pPr>
        <w:spacing w:line="480" w:lineRule="auto" w:after="0" w:before="0"/>
      </w:pPr>
      <w:r>
        <w:rPr>
          <w:rFonts w:ascii="Times New Roman" w:hAnsi="Times New Roman"/>
          <w:b w:val="0"/>
          <w:i w:val="0"/>
          <w:sz w:val="24"/>
          <w:u w:val="none"/>
        </w:rPr>
        <w:t>Section 17.505(a) requires a consumer to give written notice “not later than the 60th day before filing the suit.” Arcadia’s pre-suit demand is dated June 15, 2023; the original petition was filed August 7, 2023—only 53 days later, which appears short of the 60-day requirement. (The First Amended Complaint was filed September 18, 2023, more than 60 days after the demand.) Caveats: (a) there is a date discrepancy in the correspondence (Meridian’s July 10, 2023 response cites the demand as “June 26, 2023,” which would make the gap even shorter); (b) it is unclear whether the 60-day period runs to the original petition or may be satisfied by the operative FAC; and (c) the consequence of noncompliance is disputed—§ 17.505(d) provides that failure to give notice is not a jurisdictional defect but may preclude “additional damages” (treble damages) under § 17.50(b)(1). For these reasons the motion raises the notice issue only briefly as an alternative; it is not a clean basis for full dismissal of Count V. We should verify the actual demand date and the contents of the original state-court petition.</w:t>
      </w:r>
    </w:p>
    <w:p>
      <w:pPr>
        <w:keepNext/>
        <w:spacing w:line="480" w:lineRule="auto" w:after="120" w:before="240"/>
      </w:pPr>
      <w:r>
        <w:rPr>
          <w:rFonts w:ascii="Times New Roman" w:hAnsi="Times New Roman"/>
          <w:b/>
          <w:i w:val="0"/>
          <w:sz w:val="24"/>
          <w:u w:val="single"/>
        </w:rPr>
        <w:t>5.  Choice of law</w:t>
      </w:r>
    </w:p>
    <w:p>
      <w:pPr>
        <w:spacing w:line="480" w:lineRule="auto" w:after="0" w:before="0"/>
      </w:pPr>
      <w:r>
        <w:rPr>
          <w:rFonts w:ascii="Times New Roman" w:hAnsi="Times New Roman"/>
          <w:b w:val="0"/>
          <w:i w:val="0"/>
          <w:sz w:val="24"/>
          <w:u w:val="none"/>
        </w:rPr>
        <w:t>The MSLSA § 12.7 selects Delaware law (without conflicts principles) to govern “this Agreement.” Count I is therefore governed by Delaware law. The tort claims (Counts II, III) are likely governed by Texas law under the most-significant-relationship test (misrepresentations made and received in Texas; injury in Texas), although a broad reading of § 12.7 could extend Delaware law to torts arising from the agreement. The DTPA (Count V) is Texas law regardless. The motion argues the tort claims under both Delaware and Texas law in the alternative (economic loss doctrine, integration/anti-reliance, puffery, and no-justifiable-reliance all yield dismissal under either body of law), so the choice-of-law ambiguity does not change the result. We should be prepared to address choice of law if the Court raises it at argument.</w:t>
      </w:r>
    </w:p>
    <w:p>
      <w:pPr>
        <w:keepNext/>
        <w:spacing w:line="480" w:lineRule="auto" w:after="120" w:before="240"/>
      </w:pPr>
      <w:r>
        <w:rPr>
          <w:rFonts w:ascii="Times New Roman" w:hAnsi="Times New Roman"/>
          <w:b/>
          <w:i w:val="0"/>
          <w:sz w:val="24"/>
          <w:u w:val="single"/>
        </w:rPr>
        <w:t>6.  Deemed-acceptance and warranty dates — confirm against the record</w:t>
      </w:r>
    </w:p>
    <w:p>
      <w:pPr>
        <w:spacing w:line="480" w:lineRule="auto" w:after="0" w:before="0"/>
      </w:pPr>
      <w:r>
        <w:rPr>
          <w:rFonts w:ascii="Times New Roman" w:hAnsi="Times New Roman"/>
          <w:b w:val="0"/>
          <w:i w:val="0"/>
          <w:sz w:val="24"/>
          <w:u w:val="none"/>
        </w:rPr>
        <w:t>The motion relies on these dates: Go-Live January 15, 2023; 30-day acceptance window closing February 14, 2023; first written complaint (Dr. Okonkwo’s email) March 8, 2023 (22 days late); limited warranty expiring April 15, 2023 (90 days after Go-Live). These are confirmed by the March 8, 2023 email (Exhibit F to the FAC) and by Meridian’s Answer (¶¶ 27–30). Confirm that no earlier written Nonconformity Notice exists in the record before filing. Also confirm the support-ticket breakdown (31 within SLA / 12 data-quality / 4 patched) is supported by the support-ticket summary report.</w:t>
      </w:r>
    </w:p>
    <w:p>
      <w:pPr>
        <w:keepNext/>
        <w:spacing w:line="480" w:lineRule="auto" w:after="120" w:before="240"/>
      </w:pPr>
      <w:r>
        <w:rPr>
          <w:rFonts w:ascii="Times New Roman" w:hAnsi="Times New Roman"/>
          <w:b/>
          <w:i w:val="0"/>
          <w:sz w:val="24"/>
          <w:u w:val="single"/>
        </w:rPr>
        <w:t>7.  Section 8.1 liability cap — “event giving rise to liability” is ambiguous</w:t>
      </w:r>
    </w:p>
    <w:p>
      <w:pPr>
        <w:spacing w:line="480" w:lineRule="auto" w:after="0" w:before="0"/>
      </w:pPr>
      <w:r>
        <w:rPr>
          <w:rFonts w:ascii="Times New Roman" w:hAnsi="Times New Roman"/>
          <w:b w:val="0"/>
          <w:i w:val="0"/>
          <w:sz w:val="24"/>
          <w:u w:val="none"/>
        </w:rPr>
        <w:t>Section 8.1 caps aggregate liability at fees paid or payable in the 12 months preceding “the event giving rise to such liability.” The “event” is ambiguous: it could be the pre-sale misrepresentations (October–November 2021, before any fees were payable), the Go-Live date (January 15, 2023), or the first complaint (March 8, 2023). The cap amount differs materially depending on which event applies and what fees were paid in the relevant 12-month window. Obtain Meridian’s billing records to compute the cap under each reading. This affects the alternative damages-limitation argument for Count I but not the dismissal arguments for Counts II–V.</w:t>
      </w:r>
    </w:p>
    <w:p>
      <w:pPr>
        <w:keepNext/>
        <w:spacing w:line="480" w:lineRule="auto" w:after="120" w:before="240"/>
      </w:pPr>
      <w:r>
        <w:rPr>
          <w:rFonts w:ascii="Times New Roman" w:hAnsi="Times New Roman"/>
          <w:b/>
          <w:i w:val="0"/>
          <w:sz w:val="24"/>
          <w:u w:val="single"/>
        </w:rPr>
        <w:t>8.  Dismissal with prejudice vs. leave to amend</w:t>
      </w:r>
    </w:p>
    <w:p>
      <w:pPr>
        <w:spacing w:line="480" w:lineRule="auto" w:after="0" w:before="0"/>
      </w:pPr>
      <w:r>
        <w:rPr>
          <w:rFonts w:ascii="Times New Roman" w:hAnsi="Times New Roman"/>
          <w:b w:val="0"/>
          <w:i w:val="0"/>
          <w:sz w:val="24"/>
          <w:u w:val="none"/>
        </w:rPr>
        <w:t>The motion requests dismissal with prejudice. Be prepared for the possibility that the Court dismisses some counts without prejudice and grants leave to amend, particularly the fraud count (Rule 9(b) dismissals frequently come with leave to amend) and the DTPA count. If the Court signals willingness to grant leave, consider whether a more targeted request (dismiss Counts II–V with prejudice; limit Count I damages) is more achievable than all-counts dismissal. The proposed order grants full dismissal with prejudice and includes a leave-to-amend deadline as a safeguard; we can adjust based on the Court’s indications at argument.</w:t>
      </w:r>
    </w:p>
    <w:p>
      <w:pPr>
        <w:keepNext/>
        <w:spacing w:line="480" w:lineRule="auto" w:after="120" w:before="240"/>
      </w:pPr>
      <w:r>
        <w:rPr>
          <w:rFonts w:ascii="Times New Roman" w:hAnsi="Times New Roman"/>
          <w:b/>
          <w:i w:val="0"/>
          <w:sz w:val="24"/>
          <w:u w:val="single"/>
        </w:rPr>
        <w:t>9.  Procedural / housekeeping items</w:t>
      </w:r>
    </w:p>
    <w:p>
      <w:pPr>
        <w:spacing w:line="480" w:lineRule="auto" w:after="0" w:before="0"/>
        <w:ind w:left="720" w:hanging="360"/>
      </w:pPr>
      <w:r>
        <w:rPr>
          <w:rFonts w:ascii="Times New Roman" w:hAnsi="Times New Roman"/>
          <w:b w:val="0"/>
          <w:i w:val="0"/>
          <w:sz w:val="24"/>
          <w:u w:val="none"/>
        </w:rPr>
        <w:t>Certificate of conference. Standing Order § 3.1 requires a certificate of conference as a separate document filed concurrently with the motion. The attached motion includes a certificate of conference section; for filing, split it into a separate docket entry. Confirm the actual conferral date and method with opposing counsel and update the certificate accordingly (the motion uses a placeholder of January 8, 2024).</w:t>
      </w:r>
    </w:p>
    <w:p>
      <w:pPr>
        <w:spacing w:line="480" w:lineRule="auto" w:after="0" w:before="0"/>
        <w:ind w:left="720" w:hanging="360"/>
      </w:pPr>
      <w:r>
        <w:rPr>
          <w:rFonts w:ascii="Times New Roman" w:hAnsi="Times New Roman"/>
          <w:b w:val="0"/>
          <w:i w:val="0"/>
          <w:sz w:val="24"/>
          <w:u w:val="none"/>
        </w:rPr>
        <w:t>Proposed order. Standing Order § 3.5 requires the proposed order as a separate .docx filing, not attached to the motion. The attached proposed order is provided separately. Update the docket-entry number placeholder (“Dkt. No. [__]”) within one business day of filing the motion.</w:t>
      </w:r>
    </w:p>
    <w:p>
      <w:pPr>
        <w:spacing w:line="480" w:lineRule="auto" w:after="0" w:before="0"/>
        <w:ind w:left="720" w:hanging="360"/>
      </w:pPr>
      <w:r>
        <w:rPr>
          <w:rFonts w:ascii="Times New Roman" w:hAnsi="Times New Roman"/>
          <w:b w:val="0"/>
          <w:i w:val="0"/>
          <w:sz w:val="24"/>
          <w:u w:val="none"/>
        </w:rPr>
        <w:t>Page limit. The motion’s substantive content is within the 25-page limit (caption, table of authorities, signature block, and certificates are excluded under Standing Order § 3.2). Verify the final page count after any edits.</w:t>
      </w:r>
    </w:p>
    <w:p>
      <w:pPr>
        <w:spacing w:line="480" w:lineRule="auto" w:after="0" w:before="0"/>
        <w:ind w:left="720" w:hanging="360"/>
      </w:pPr>
      <w:r>
        <w:rPr>
          <w:rFonts w:ascii="Times New Roman" w:hAnsi="Times New Roman"/>
          <w:b w:val="0"/>
          <w:i w:val="0"/>
          <w:sz w:val="24"/>
          <w:u w:val="none"/>
        </w:rPr>
        <w:t>Bar numbers. There is an inconsistency in the record: the Notice of Removal lists Calloway Bar No. 24078153 / Arsenault 24112490, while the Answer lists Calloway 24037891 / Arsenault 24098254. The motion uses the Answer’s numbers (the most recent pleading). Confirm the correct bar numbers before filing.</w:t>
      </w:r>
    </w:p>
    <w:p>
      <w:pPr>
        <w:spacing w:line="480" w:lineRule="auto" w:after="0" w:before="0"/>
        <w:ind w:left="720" w:hanging="360"/>
      </w:pPr>
      <w:r>
        <w:rPr>
          <w:rFonts w:ascii="Times New Roman" w:hAnsi="Times New Roman"/>
          <w:b w:val="0"/>
          <w:i w:val="0"/>
          <w:sz w:val="24"/>
          <w:u w:val="none"/>
        </w:rPr>
        <w:t>Jury waiver. Section 12.9 waives jury trial; the Scheduling Order confirms a bench trial. If the jurisdictional issue results in remand to state court, confirm whether the § 12.9 waiver remains enforceable in the state forum.</w:t>
      </w:r>
    </w:p>
    <w:p>
      <w:pPr>
        <w:keepNext/>
        <w:spacing w:line="480" w:lineRule="auto" w:after="120" w:before="240"/>
      </w:pPr>
      <w:r>
        <w:rPr>
          <w:rFonts w:ascii="Times New Roman" w:hAnsi="Times New Roman"/>
          <w:b/>
          <w:i w:val="0"/>
          <w:sz w:val="24"/>
          <w:u w:val="single"/>
        </w:rPr>
        <w:t>10.  Bottom line</w:t>
      </w:r>
    </w:p>
    <w:p>
      <w:pPr>
        <w:spacing w:line="480" w:lineRule="auto" w:after="0" w:before="0"/>
      </w:pPr>
      <w:r>
        <w:rPr>
          <w:rFonts w:ascii="Times New Roman" w:hAnsi="Times New Roman"/>
          <w:b w:val="0"/>
          <w:i w:val="0"/>
          <w:sz w:val="24"/>
          <w:u w:val="none"/>
        </w:rPr>
        <w:t>The motion is strong on the merits, particularly as to Counts II–V. The two items that most warrant immediate attention are (1) the diversity-jurisdiction defect, which could supersede the entire motion, and (2) the § 17.49(f) asset-threshold dispute, which could weaken our cleanest DTPA argument if the Court adopts Arcadia’s reading. Neither requires rewriting the motion, but both require a client-level strategic decision before filing.</w:t>
      </w:r>
    </w:p>
    <w:p>
      <w:pPr>
        <w:spacing w:line="480" w:lineRule="auto" w:after="120" w:before="0"/>
      </w:pPr>
    </w:p>
    <w:p>
      <w:pPr>
        <w:spacing w:line="480" w:lineRule="auto" w:after="0" w:before="240"/>
        <w:jc w:val="center"/>
      </w:pPr>
      <w:r>
        <w:rPr>
          <w:rFonts w:ascii="Times New Roman" w:hAnsi="Times New Roman"/>
          <w:b/>
          <w:i w:val="0"/>
          <w:sz w:val="24"/>
          <w:u w:val="none"/>
        </w:rPr>
        <w:t>PRIVILEGED &amp; CONFIDENTIAL  |  ATTORNEY WORK PRODUCT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