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line="240" w:lineRule="auto" w:after="0" w:before="0"/>
        <w:jc w:val="center"/>
      </w:pPr>
      <w:r>
        <w:rPr>
          <w:rFonts w:ascii="Times New Roman" w:hAnsi="Times New Roman"/>
          <w:b/>
          <w:i w:val="0"/>
          <w:sz w:val="24"/>
          <w:u w:val="none"/>
        </w:rPr>
        <w:t>UNITED STATES DISTRICT COURT</w:t>
      </w:r>
    </w:p>
    <w:p>
      <w:pPr>
        <w:spacing w:line="240" w:lineRule="auto" w:after="0" w:before="0"/>
        <w:jc w:val="center"/>
      </w:pPr>
      <w:r>
        <w:rPr>
          <w:rFonts w:ascii="Times New Roman" w:hAnsi="Times New Roman"/>
          <w:b/>
          <w:i w:val="0"/>
          <w:sz w:val="24"/>
          <w:u w:val="none"/>
        </w:rPr>
        <w:t>WESTERN DISTRICT OF TEXAS</w:t>
      </w:r>
    </w:p>
    <w:p>
      <w:pPr>
        <w:spacing w:line="240" w:lineRule="auto" w:after="0" w:before="0"/>
        <w:jc w:val="center"/>
      </w:pPr>
      <w:r>
        <w:rPr>
          <w:rFonts w:ascii="Times New Roman" w:hAnsi="Times New Roman"/>
          <w:b/>
          <w:i w:val="0"/>
          <w:sz w:val="24"/>
          <w:u w:val="none"/>
        </w:rPr>
        <w:t>AUSTIN DIVISION</w:t>
      </w:r>
    </w:p>
    <w:p/>
    <w:tbl>
      <w:tblPr>
        <w:tblStyle w:val="TableGrid"/>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896"/>
          </w:tcPr>
          <w:p>
            <w:pPr>
              <w:tabs>
                <w:tab w:pos="4752" w:val="right"/>
              </w:tabs>
              <w:spacing w:line="240" w:lineRule="auto" w:after="0"/>
            </w:pPr>
            <w:r/>
            <w:r>
              <w:rPr>
                <w:rFonts w:ascii="Times New Roman" w:hAnsi="Times New Roman"/>
                <w:sz w:val="24"/>
              </w:rPr>
              <w:t>ARCADIA HEALTH SYSTEMS, LLC,</w:t>
              <w:tab/>
              <w:t>)</w:t>
            </w:r>
          </w:p>
          <w:p>
            <w:pPr>
              <w:tabs>
                <w:tab w:pos="4752" w:val="right"/>
              </w:tabs>
              <w:spacing w:line="240" w:lineRule="auto" w:after="0"/>
            </w:pPr>
            <w:r>
              <w:rPr>
                <w:rFonts w:ascii="Times New Roman" w:hAnsi="Times New Roman"/>
                <w:sz w:val="24"/>
              </w:rPr>
              <w:tab/>
              <w:t>)</w:t>
            </w:r>
          </w:p>
          <w:p>
            <w:pPr>
              <w:tabs>
                <w:tab w:pos="4752" w:val="right"/>
              </w:tabs>
              <w:spacing w:line="240" w:lineRule="auto" w:after="0"/>
            </w:pPr>
            <w:r>
              <w:rPr>
                <w:rFonts w:ascii="Times New Roman" w:hAnsi="Times New Roman"/>
                <w:sz w:val="24"/>
              </w:rPr>
              <w:t xml:space="preserve">        Plaintiff,</w:t>
              <w:tab/>
              <w:t>)</w:t>
            </w:r>
          </w:p>
          <w:p>
            <w:pPr>
              <w:tabs>
                <w:tab w:pos="4752" w:val="right"/>
              </w:tabs>
              <w:spacing w:line="240" w:lineRule="auto" w:after="0"/>
            </w:pPr>
            <w:r>
              <w:rPr>
                <w:rFonts w:ascii="Times New Roman" w:hAnsi="Times New Roman"/>
                <w:sz w:val="24"/>
              </w:rPr>
              <w:tab/>
              <w:t>)</w:t>
            </w:r>
          </w:p>
          <w:p>
            <w:pPr>
              <w:tabs>
                <w:tab w:pos="4752" w:val="right"/>
              </w:tabs>
              <w:spacing w:line="240" w:lineRule="auto" w:after="0"/>
            </w:pPr>
            <w:r>
              <w:rPr>
                <w:rFonts w:ascii="Times New Roman" w:hAnsi="Times New Roman"/>
                <w:sz w:val="24"/>
              </w:rPr>
              <w:t>v.</w:t>
              <w:tab/>
              <w:t>)</w:t>
            </w:r>
          </w:p>
          <w:p>
            <w:pPr>
              <w:tabs>
                <w:tab w:pos="4752" w:val="right"/>
              </w:tabs>
              <w:spacing w:line="240" w:lineRule="auto" w:after="0"/>
            </w:pPr>
            <w:r>
              <w:rPr>
                <w:rFonts w:ascii="Times New Roman" w:hAnsi="Times New Roman"/>
                <w:sz w:val="24"/>
              </w:rPr>
              <w:tab/>
              <w:t>)</w:t>
            </w:r>
          </w:p>
          <w:p>
            <w:pPr>
              <w:tabs>
                <w:tab w:pos="4752" w:val="right"/>
              </w:tabs>
              <w:spacing w:line="240" w:lineRule="auto" w:after="0"/>
            </w:pPr>
            <w:r>
              <w:rPr>
                <w:rFonts w:ascii="Times New Roman" w:hAnsi="Times New Roman"/>
                <w:sz w:val="24"/>
              </w:rPr>
              <w:t>MERIDIAN CLOUD SOLUTIONS, INC.,</w:t>
              <w:tab/>
              <w:t>)</w:t>
            </w:r>
          </w:p>
          <w:p>
            <w:pPr>
              <w:tabs>
                <w:tab w:pos="4752" w:val="right"/>
              </w:tabs>
              <w:spacing w:line="240" w:lineRule="auto" w:after="0"/>
            </w:pPr>
            <w:r>
              <w:rPr>
                <w:rFonts w:ascii="Times New Roman" w:hAnsi="Times New Roman"/>
                <w:sz w:val="24"/>
              </w:rPr>
              <w:tab/>
              <w:t>)</w:t>
            </w:r>
          </w:p>
          <w:p>
            <w:pPr>
              <w:tabs>
                <w:tab w:pos="4752" w:val="right"/>
              </w:tabs>
              <w:spacing w:line="240" w:lineRule="auto" w:after="0"/>
            </w:pPr>
            <w:r>
              <w:rPr>
                <w:rFonts w:ascii="Times New Roman" w:hAnsi="Times New Roman"/>
                <w:sz w:val="24"/>
              </w:rPr>
              <w:t xml:space="preserve">        Defendant.</w:t>
              <w:tab/>
              <w:t>)</w:t>
            </w:r>
          </w:p>
        </w:tc>
        <w:tc>
          <w:tcPr>
            <w:tcW w:type="dxa" w:w="4464"/>
          </w:tcPr>
          <w:p>
            <w:pPr>
              <w:spacing w:line="240" w:lineRule="auto" w:after="120"/>
            </w:pPr>
            <w:r/>
            <w:r>
              <w:rPr>
                <w:rFonts w:ascii="Times New Roman" w:hAnsi="Times New Roman"/>
                <w:b/>
                <w:sz w:val="24"/>
              </w:rPr>
              <w:t>Case No. 1:23-cv-00847-CMA</w:t>
            </w:r>
          </w:p>
          <w:p>
            <w:pPr>
              <w:spacing w:line="240" w:lineRule="auto" w:after="120"/>
            </w:pPr>
            <w:r>
              <w:rPr>
                <w:rFonts w:ascii="Times New Roman" w:hAnsi="Times New Roman"/>
                <w:i/>
                <w:sz w:val="24"/>
              </w:rPr>
              <w:t>(Jury Demand Waived Pursuant to MSLSA § 12.9)</w:t>
            </w:r>
          </w:p>
          <w:p>
            <w:pPr>
              <w:spacing w:line="240" w:lineRule="auto" w:before="200" w:after="0"/>
            </w:pPr>
            <w:r>
              <w:rPr>
                <w:rFonts w:ascii="Times New Roman" w:hAnsi="Times New Roman"/>
                <w:b/>
                <w:sz w:val="24"/>
              </w:rPr>
              <w:t>ORDER GRANTING DEFENDANT'S MOTION TO DISMISS</w:t>
            </w:r>
          </w:p>
        </w:tc>
      </w:tr>
    </w:tbl>
    <w:p/>
    <w:p>
      <w:pPr>
        <w:spacing w:line="480" w:lineRule="auto" w:after="120" w:before="0"/>
        <w:jc w:val="center"/>
      </w:pPr>
      <w:r>
        <w:rPr>
          <w:rFonts w:ascii="Times New Roman" w:hAnsi="Times New Roman"/>
          <w:b/>
          <w:i w:val="0"/>
          <w:sz w:val="24"/>
          <w:u w:val="none"/>
        </w:rPr>
        <w:t>ORDER</w:t>
      </w:r>
    </w:p>
    <w:p>
      <w:pPr>
        <w:spacing w:line="240" w:lineRule="auto" w:after="120"/>
        <w:pBdr>
          <w:bottom w:val="single" w:sz="6" w:space="1" w:color="auto"/>
        </w:pBdr>
      </w:pPr>
    </w:p>
    <w:p>
      <w:pPr>
        <w:spacing w:line="480" w:lineRule="auto" w:after="0" w:before="0"/>
      </w:pPr>
      <w:r>
        <w:rPr>
          <w:rFonts w:ascii="Times New Roman" w:hAnsi="Times New Roman"/>
          <w:b w:val="0"/>
          <w:i w:val="0"/>
          <w:sz w:val="24"/>
          <w:u w:val="none"/>
        </w:rPr>
        <w:t>On this day came on to be considered Defendant Meridian Cloud Solutions, Inc.’s Motion to Dismiss Pursuant to Federal Rule of Civil Procedure 12(b)(6), or, in the Alternative, for Judgment on the Pleadings Pursuant to Rule 12(c) (Dkt. No. [__]), together with the response and reply filed herein. The Court, having reviewed the motion, the responsive pleadings, the applicable law, and being fully advised in the premises, is of the opinion that the motion should be granted.</w:t>
      </w:r>
    </w:p>
    <w:p>
      <w:pPr>
        <w:spacing w:line="480" w:lineRule="auto" w:after="0" w:before="0"/>
      </w:pPr>
      <w:r>
        <w:rPr>
          <w:rFonts w:ascii="Times New Roman" w:hAnsi="Times New Roman"/>
          <w:b w:val="0"/>
          <w:i w:val="0"/>
          <w:sz w:val="24"/>
          <w:u w:val="none"/>
        </w:rPr>
        <w:t>IT IS THEREFORE ORDERED, ADJUDGED, and DECREED that:</w:t>
      </w:r>
    </w:p>
    <w:p>
      <w:pPr>
        <w:spacing w:line="480" w:lineRule="auto" w:after="0" w:before="0"/>
        <w:ind w:left="720" w:hanging="360"/>
      </w:pPr>
      <w:r>
        <w:rPr>
          <w:rFonts w:ascii="Times New Roman" w:hAnsi="Times New Roman"/>
          <w:b w:val="0"/>
          <w:i w:val="0"/>
          <w:sz w:val="24"/>
          <w:u w:val="none"/>
        </w:rPr>
        <w:t>1.  Defendant Meridian Cloud Solutions, Inc.’s Motion to Dismiss Pursuant to Federal Rule of Civil Procedure 12(b)(6), or, in the Alternative, for Judgment on the Pleadings Pursuant to Rule 12(c) (Dkt. No. [__]) is GRANTED.</w:t>
      </w:r>
    </w:p>
    <w:p>
      <w:pPr>
        <w:spacing w:line="480" w:lineRule="auto" w:after="0" w:before="0"/>
        <w:ind w:left="720" w:hanging="360"/>
      </w:pPr>
      <w:r>
        <w:rPr>
          <w:rFonts w:ascii="Times New Roman" w:hAnsi="Times New Roman"/>
          <w:b w:val="0"/>
          <w:i w:val="0"/>
          <w:sz w:val="24"/>
          <w:u w:val="none"/>
        </w:rPr>
        <w:t>2.  All counts of Plaintiff Arcadia Health Systems, LLC’s First Amended Complaint (Dkt. No. 12)—Count I (Breach of Contract), Count II (Fraud), Count III (Negligent Misrepresentation), Count IV (Unjust Enrichment), and Count V (Violation of the Texas Deceptive Trade Practices–Consumer Protection Act)—are DISMISSED WITH PREJUDICE.</w:t>
      </w:r>
    </w:p>
    <w:p>
      <w:pPr>
        <w:spacing w:line="480" w:lineRule="auto" w:after="0" w:before="0"/>
        <w:ind w:left="720" w:hanging="360"/>
      </w:pPr>
      <w:r>
        <w:rPr>
          <w:rFonts w:ascii="Times New Roman" w:hAnsi="Times New Roman"/>
          <w:b w:val="0"/>
          <w:i w:val="0"/>
          <w:sz w:val="24"/>
          <w:u w:val="none"/>
        </w:rPr>
        <w:t>3.  All relief requested by Plaintiff Arcadia Health Systems, LLC in its First Amended Complaint is DENIED.</w:t>
      </w:r>
    </w:p>
    <w:p>
      <w:pPr>
        <w:spacing w:line="480" w:lineRule="auto" w:after="0" w:before="0"/>
        <w:ind w:left="720" w:hanging="360"/>
      </w:pPr>
      <w:r>
        <w:rPr>
          <w:rFonts w:ascii="Times New Roman" w:hAnsi="Times New Roman"/>
          <w:b w:val="0"/>
          <w:i w:val="0"/>
          <w:sz w:val="24"/>
          <w:u w:val="none"/>
        </w:rPr>
        <w:t>4.  The Clerk of Court is directed to CLOSE this civil action.</w:t>
      </w:r>
    </w:p>
    <w:p>
      <w:pPr>
        <w:spacing w:line="480" w:lineRule="auto" w:after="0" w:before="0"/>
        <w:ind w:left="720" w:hanging="360"/>
      </w:pPr>
      <w:r>
        <w:rPr>
          <w:rFonts w:ascii="Times New Roman" w:hAnsi="Times New Roman"/>
          <w:b w:val="0"/>
          <w:i w:val="0"/>
          <w:sz w:val="24"/>
          <w:u w:val="none"/>
        </w:rPr>
        <w:t>5.  Any motion by Plaintiff for leave to amend shall be filed, if at all, no later than twenty-one (21) days after the entry of this Order, and shall comply with Federal Rule of Civil Procedure 15 and the Court’s Scheduling Order.</w:t>
      </w:r>
    </w:p>
    <w:p>
      <w:pPr>
        <w:spacing w:line="480" w:lineRule="auto" w:after="0" w:before="0"/>
      </w:pPr>
      <w:r>
        <w:rPr>
          <w:rFonts w:ascii="Times New Roman" w:hAnsi="Times New Roman"/>
          <w:b w:val="0"/>
          <w:i w:val="0"/>
          <w:sz w:val="24"/>
          <w:u w:val="none"/>
        </w:rPr>
        <w:t>IT IS SO ORDERED.</w:t>
      </w:r>
    </w:p>
    <w:p/>
    <w:p>
      <w:pPr>
        <w:spacing w:line="480" w:lineRule="auto" w:after="0" w:before="240"/>
      </w:pPr>
      <w:r>
        <w:rPr>
          <w:rFonts w:ascii="Times New Roman" w:hAnsi="Times New Roman"/>
          <w:b w:val="0"/>
          <w:i w:val="0"/>
          <w:sz w:val="24"/>
          <w:u w:val="none"/>
        </w:rPr>
        <w:t>SIGNED this _____ day of ____________, 2024.</w:t>
      </w:r>
    </w:p>
    <w:p/>
    <w:p>
      <w:pPr>
        <w:spacing w:line="480" w:lineRule="auto" w:after="0" w:before="0"/>
      </w:pPr>
      <w:r>
        <w:rPr>
          <w:rFonts w:ascii="Times New Roman" w:hAnsi="Times New Roman"/>
          <w:b w:val="0"/>
          <w:i w:val="0"/>
          <w:sz w:val="24"/>
          <w:u w:val="none"/>
        </w:rPr>
        <w:t>_______________________________________</w:t>
      </w:r>
    </w:p>
    <w:p>
      <w:pPr>
        <w:spacing w:line="480" w:lineRule="auto" w:after="0" w:before="0"/>
      </w:pPr>
      <w:r>
        <w:rPr>
          <w:rFonts w:ascii="Times New Roman" w:hAnsi="Times New Roman"/>
          <w:b/>
          <w:i w:val="0"/>
          <w:sz w:val="24"/>
          <w:u w:val="none"/>
        </w:rPr>
        <w:t>THE HONORABLE CATHERINE M. ALVAREZ</w:t>
      </w:r>
    </w:p>
    <w:p>
      <w:pPr>
        <w:spacing w:line="480" w:lineRule="auto" w:after="0" w:before="0"/>
      </w:pPr>
      <w:r>
        <w:rPr>
          <w:rFonts w:ascii="Times New Roman" w:hAnsi="Times New Roman"/>
          <w:b w:val="0"/>
          <w:i w:val="0"/>
          <w:sz w:val="24"/>
          <w:u w:val="none"/>
        </w:rPr>
        <w:t>United States District Judge</w:t>
      </w:r>
    </w:p>
    <w:p>
      <w:pPr>
        <w:spacing w:line="480" w:lineRule="auto" w:after="0" w:before="0"/>
      </w:pPr>
      <w:r>
        <w:rPr>
          <w:rFonts w:ascii="Times New Roman" w:hAnsi="Times New Roman"/>
          <w:b w:val="0"/>
          <w:i w:val="0"/>
          <w:sz w:val="24"/>
          <w:u w:val="none"/>
        </w:rPr>
        <w:t>Western District of Texas</w:t>
      </w:r>
    </w:p>
    <w:p>
      <w:pPr>
        <w:spacing w:line="480" w:lineRule="auto" w:after="0" w:before="0"/>
      </w:pPr>
      <w:r>
        <w:rPr>
          <w:rFonts w:ascii="Times New Roman" w:hAnsi="Times New Roman"/>
          <w:b w:val="0"/>
          <w:i w:val="0"/>
          <w:sz w:val="24"/>
          <w:u w:val="none"/>
        </w:rPr>
        <w:t>Austin Division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