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76" w:lineRule="auto"/>
        <w:jc w:val="center"/>
      </w:pPr>
      <w:r>
        <w:rPr>
          <w:rFonts w:ascii="Times New Roman" w:hAnsi="Times New Roman" w:cs="Times New Roman"/>
          <w:b/>
          <w:i w:val="0"/>
          <w:sz w:val="24"/>
          <w:u w:val="none"/>
        </w:rPr>
        <w:t>STONEBRIDGE &amp; CALLOWAY LLP</w:t>
      </w:r>
    </w:p>
    <w:p>
      <w:pPr>
        <w:keepNext w:val="0"/>
        <w:spacing w:before="0" w:after="40" w:line="276" w:lineRule="auto"/>
        <w:jc w:val="center"/>
      </w:pPr>
      <w:r>
        <w:rPr>
          <w:rFonts w:ascii="Times New Roman" w:hAnsi="Times New Roman" w:cs="Times New Roman"/>
          <w:b w:val="0"/>
          <w:i w:val="0"/>
          <w:sz w:val="22"/>
          <w:u w:val="none"/>
        </w:rPr>
        <w:t>600 Congress Avenue, Suite 2800  •  Austin, Texas 78701</w:t>
      </w:r>
    </w:p>
    <w:p>
      <w:pPr>
        <w:keepNext w:val="0"/>
        <w:spacing w:before="0" w:after="120" w:line="240" w:lineRule="auto"/>
        <w:pBdr>
          <w:bottom w:val="single" w:sz="6" w:space="1" w:color="auto"/>
        </w:pBdr>
      </w:pPr>
    </w:p>
    <w:p>
      <w:pPr>
        <w:keepNext w:val="0"/>
        <w:spacing w:before="0" w:after="40" w:line="276" w:lineRule="auto"/>
        <w:jc w:val="center"/>
      </w:pPr>
      <w:r>
        <w:rPr>
          <w:rFonts w:ascii="Times New Roman" w:hAnsi="Times New Roman" w:cs="Times New Roman"/>
          <w:b/>
          <w:i w:val="0"/>
          <w:sz w:val="22"/>
          <w:u w:val="none"/>
        </w:rPr>
        <w:t>PRIVILEGED &amp; CONFIDENTIAL  —  ATTORNEY WORK PRODUCT</w:t>
      </w:r>
    </w:p>
    <w:p>
      <w:pPr>
        <w:keepNext w:val="0"/>
        <w:spacing w:before="0" w:after="160" w:line="276" w:lineRule="auto"/>
        <w:jc w:val="center"/>
      </w:pPr>
      <w:r>
        <w:rPr>
          <w:rFonts w:ascii="Times New Roman" w:hAnsi="Times New Roman" w:cs="Times New Roman"/>
          <w:b/>
          <w:i w:val="0"/>
          <w:sz w:val="24"/>
          <w:u w:val="none"/>
        </w:rPr>
        <w:t>INTERNAL MEMORANDUM</w:t>
      </w:r>
    </w:p>
    <w:p>
      <w:pPr>
        <w:keepNext w:val="0"/>
        <w:spacing w:before="0" w:after="40" w:line="276" w:lineRule="auto"/>
      </w:pPr>
      <w:r>
        <w:rPr>
          <w:rFonts w:ascii="Times New Roman" w:hAnsi="Times New Roman" w:cs="Times New Roman"/>
          <w:b/>
          <w:i w:val="0"/>
          <w:sz w:val="24"/>
          <w:u w:val="none"/>
        </w:rPr>
        <w:t xml:space="preserve">TO: </w:t>
      </w:r>
      <w:r>
        <w:rPr>
          <w:rFonts w:ascii="Times New Roman" w:hAnsi="Times New Roman" w:cs="Times New Roman"/>
          <w:b w:val="0"/>
          <w:i w:val="0"/>
          <w:sz w:val="24"/>
          <w:u w:val="none"/>
        </w:rPr>
        <w:t>Margaret “Meg” Calloway, Lead Partner; David Arsenault, Senior Associate</w:t>
      </w:r>
    </w:p>
    <w:p>
      <w:pPr>
        <w:keepNext w:val="0"/>
        <w:spacing w:before="0" w:after="40" w:line="276" w:lineRule="auto"/>
      </w:pPr>
      <w:r>
        <w:rPr>
          <w:rFonts w:ascii="Times New Roman" w:hAnsi="Times New Roman" w:cs="Times New Roman"/>
          <w:b/>
          <w:i w:val="0"/>
          <w:sz w:val="24"/>
          <w:u w:val="none"/>
        </w:rPr>
        <w:t xml:space="preserve">FROM: </w:t>
      </w:r>
      <w:r>
        <w:rPr>
          <w:rFonts w:ascii="Times New Roman" w:hAnsi="Times New Roman" w:cs="Times New Roman"/>
          <w:b w:val="0"/>
          <w:i w:val="0"/>
          <w:sz w:val="24"/>
          <w:u w:val="none"/>
        </w:rPr>
        <w:t>Litigation Team, Stonebridge &amp; Calloway LLP</w:t>
      </w:r>
    </w:p>
    <w:p>
      <w:pPr>
        <w:keepNext w:val="0"/>
        <w:spacing w:before="0" w:after="40" w:line="276" w:lineRule="auto"/>
      </w:pPr>
      <w:r>
        <w:rPr>
          <w:rFonts w:ascii="Times New Roman" w:hAnsi="Times New Roman" w:cs="Times New Roman"/>
          <w:b/>
          <w:i w:val="0"/>
          <w:sz w:val="24"/>
          <w:u w:val="none"/>
        </w:rPr>
        <w:t xml:space="preserve">DATE: </w:t>
      </w:r>
      <w:r>
        <w:rPr>
          <w:rFonts w:ascii="Times New Roman" w:hAnsi="Times New Roman" w:cs="Times New Roman"/>
          <w:b w:val="0"/>
          <w:i w:val="0"/>
          <w:sz w:val="24"/>
          <w:u w:val="none"/>
        </w:rPr>
        <w:t>January 12, 2024</w:t>
      </w:r>
    </w:p>
    <w:p>
      <w:pPr>
        <w:keepNext w:val="0"/>
        <w:spacing w:before="0" w:after="40" w:line="276" w:lineRule="auto"/>
      </w:pPr>
      <w:r>
        <w:rPr>
          <w:rFonts w:ascii="Times New Roman" w:hAnsi="Times New Roman" w:cs="Times New Roman"/>
          <w:b/>
          <w:i w:val="0"/>
          <w:sz w:val="24"/>
          <w:u w:val="none"/>
        </w:rPr>
        <w:t xml:space="preserve">RE: </w:t>
      </w:r>
      <w:r>
        <w:rPr>
          <w:rFonts w:ascii="Times New Roman" w:hAnsi="Times New Roman" w:cs="Times New Roman"/>
          <w:b w:val="0"/>
          <w:i w:val="0"/>
          <w:sz w:val="24"/>
          <w:u w:val="none"/>
        </w:rPr>
        <w:t xml:space="preserve">Threshold Issues — Rule 12(b)(6) Motion to Dismiss, </w:t>
      </w:r>
      <w:r>
        <w:rPr>
          <w:rFonts w:ascii="Times New Roman" w:hAnsi="Times New Roman" w:cs="Times New Roman"/>
          <w:b w:val="0"/>
          <w:i/>
          <w:sz w:val="24"/>
          <w:u w:val="none"/>
        </w:rPr>
        <w:t>Arcadia Health Systems, LLC v. Meridian Cloud Solutions, Inc.</w:t>
      </w:r>
      <w:r>
        <w:rPr>
          <w:rFonts w:ascii="Times New Roman" w:hAnsi="Times New Roman" w:cs="Times New Roman"/>
          <w:b w:val="0"/>
          <w:i w:val="0"/>
          <w:sz w:val="24"/>
          <w:u w:val="none"/>
        </w:rPr>
        <w:t>, No. 1:23-cv-00847-CMA (W.D. Tex. Austin Division)</w:t>
      </w:r>
    </w:p>
    <w:p>
      <w:pPr>
        <w:keepNext w:val="0"/>
        <w:spacing w:before="0" w:after="160" w:line="240" w:lineRule="auto"/>
        <w:pBdr>
          <w:bottom w:val="single" w:sz="6" w:space="1" w:color="auto"/>
        </w:pBdr>
      </w:pPr>
    </w:p>
    <w:p>
      <w:pPr>
        <w:keepNext w:val="0"/>
        <w:spacing w:before="0" w:after="0" w:line="480" w:lineRule="auto"/>
        <w:ind w:firstLine="720"/>
        <w:jc w:val="both"/>
      </w:pPr>
      <w:r>
        <w:rPr>
          <w:rFonts w:ascii="Times New Roman" w:hAnsi="Times New Roman" w:cs="Times New Roman"/>
          <w:b w:val="0"/>
          <w:i w:val="0"/>
          <w:sz w:val="24"/>
          <w:u w:val="none"/>
        </w:rPr>
        <w:t>This memorandum flags threshold issues that the team should resolve before filing the Rule 12(b)(6) motion to dismiss (the “Motion”), currently scheduled for filing on January 15, 2024. The Motion, proposed order, and this memo are attached. The issues below are listed in order of urgency. The first—a potential subject-matter-jurisdiction defect—is dispositive and may require a change in strategy before we file anything on the merits.</w:t>
      </w:r>
    </w:p>
    <w:p>
      <w:pPr>
        <w:keepNext/>
        <w:spacing w:before="240" w:after="120" w:line="480" w:lineRule="auto"/>
        <w:jc w:val="left"/>
      </w:pPr>
      <w:r>
        <w:rPr>
          <w:rFonts w:ascii="Times New Roman" w:hAnsi="Times New Roman" w:cs="Times New Roman"/>
          <w:b/>
          <w:i w:val="0"/>
          <w:sz w:val="24"/>
          <w:u w:val="none"/>
        </w:rPr>
        <w:t>1.  Subject-Matter Jurisdiction — A Likely Complete-Diversity Defect (HIGHEST PRIORITY)</w:t>
      </w:r>
    </w:p>
    <w:p>
      <w:pPr>
        <w:keepNext w:val="0"/>
        <w:spacing w:before="0" w:after="0" w:line="480" w:lineRule="auto"/>
        <w:ind w:firstLine="720"/>
        <w:jc w:val="both"/>
      </w:pPr>
      <w:r>
        <w:rPr>
          <w:rFonts w:ascii="Times New Roman" w:hAnsi="Times New Roman" w:cs="Times New Roman"/>
          <w:b w:val="0"/>
          <w:i w:val="0"/>
          <w:sz w:val="24"/>
          <w:u w:val="none"/>
        </w:rPr>
        <w:t xml:space="preserve">Our Notice of Removal asserted diversity jurisdiction under 28 U.S.C. § 1332(a) but analyzed Arcadia's citizenship based solely on its managing member, Dr. Okonkwo (a Texas citizen). Notice of Removal ¶¶ 13–14. That analysis is incomplete. An LLC's citizenship is determined by the citizenship of </w:t>
      </w:r>
      <w:r>
        <w:rPr>
          <w:rFonts w:ascii="Times New Roman" w:hAnsi="Times New Roman" w:cs="Times New Roman"/>
          <w:b w:val="0"/>
          <w:i/>
          <w:sz w:val="24"/>
          <w:u w:val="none"/>
        </w:rPr>
        <w:t>all</w:t>
      </w:r>
      <w:r>
        <w:rPr>
          <w:rFonts w:ascii="Times New Roman" w:hAnsi="Times New Roman" w:cs="Times New Roman"/>
          <w:b w:val="0"/>
          <w:i w:val="0"/>
          <w:sz w:val="24"/>
          <w:u w:val="none"/>
        </w:rPr>
        <w:t xml:space="preserve"> of its members. </w:t>
      </w:r>
      <w:r>
        <w:rPr>
          <w:rFonts w:ascii="Times New Roman" w:hAnsi="Times New Roman" w:cs="Times New Roman"/>
          <w:b w:val="0"/>
          <w:i/>
          <w:sz w:val="24"/>
          <w:u w:val="none"/>
        </w:rPr>
        <w:t>Harvey v. Grey Wolf Drilling Co.</w:t>
      </w:r>
      <w:r>
        <w:rPr>
          <w:rFonts w:ascii="Times New Roman" w:hAnsi="Times New Roman" w:cs="Times New Roman"/>
          <w:b w:val="0"/>
          <w:i w:val="0"/>
          <w:sz w:val="24"/>
          <w:u w:val="none"/>
        </w:rPr>
        <w:t>, 542 F.3d 1077, 1080 (5th Cir. 2008). The FAC and Arcadia's Operating Agreement disclose three members: (a) Dr. Rachel Okonkwo (Texas); (b) Martin Schreiber (Texas); and (c) Apex Medical Ventures, LP, a Delaware limited partnership holding a 30% interest. FAC ¶¶ 7–8; Operating Agreement Ex. A.</w:t>
      </w:r>
    </w:p>
    <w:p>
      <w:pPr>
        <w:keepNext w:val="0"/>
        <w:spacing w:before="0" w:after="0" w:line="480" w:lineRule="auto"/>
        <w:ind w:firstLine="720"/>
        <w:jc w:val="both"/>
      </w:pPr>
      <w:r>
        <w:rPr>
          <w:rFonts w:ascii="Times New Roman" w:hAnsi="Times New Roman" w:cs="Times New Roman"/>
          <w:b w:val="0"/>
          <w:i w:val="0"/>
          <w:sz w:val="24"/>
          <w:u w:val="none"/>
        </w:rPr>
        <w:t xml:space="preserve">Apex's citizenship, in turn, is determined by the citizenship of its partners. </w:t>
      </w:r>
      <w:r>
        <w:rPr>
          <w:rFonts w:ascii="Times New Roman" w:hAnsi="Times New Roman" w:cs="Times New Roman"/>
          <w:b w:val="0"/>
          <w:i/>
          <w:sz w:val="24"/>
          <w:u w:val="none"/>
        </w:rPr>
        <w:t>Carden v. Arkoma Assocs., Ltd.</w:t>
      </w:r>
      <w:r>
        <w:rPr>
          <w:rFonts w:ascii="Times New Roman" w:hAnsi="Times New Roman" w:cs="Times New Roman"/>
          <w:b w:val="0"/>
          <w:i w:val="0"/>
          <w:sz w:val="24"/>
          <w:u w:val="none"/>
        </w:rPr>
        <w:t xml:space="preserve">, 494 U.S. 185, 195–96 (1990). Apex's general partner is Apex Medical Ventures GP, Inc., a Delaware corporation with its principal place of business in Wilmington, Delaware—making it a citizen of Delaware. Operating Agreement Ex. A, Note 3(a). Meridian is also a citizen of Delaware (incorporation) and Texas (principal place of business, Austin). FAC ¶ 9; Notice of Removal ¶¶ 9–11. Because both Arcadia (through Apex's Delaware general partner) and Meridian are citizens of Delaware, complete diversity is destroyed. </w:t>
      </w:r>
      <w:r>
        <w:rPr>
          <w:rFonts w:ascii="Times New Roman" w:hAnsi="Times New Roman" w:cs="Times New Roman"/>
          <w:b w:val="0"/>
          <w:i/>
          <w:sz w:val="24"/>
          <w:u w:val="none"/>
        </w:rPr>
        <w:t>Strawbridge v. Curtiss</w:t>
      </w:r>
      <w:r>
        <w:rPr>
          <w:rFonts w:ascii="Times New Roman" w:hAnsi="Times New Roman" w:cs="Times New Roman"/>
          <w:b w:val="0"/>
          <w:i w:val="0"/>
          <w:sz w:val="24"/>
          <w:u w:val="none"/>
        </w:rPr>
        <w:t>, 7 U.S. (3 Cranch) 267 (1806).</w:t>
      </w:r>
    </w:p>
    <w:p>
      <w:pPr>
        <w:keepNext w:val="0"/>
        <w:spacing w:before="0" w:after="0" w:line="480" w:lineRule="auto"/>
        <w:ind w:firstLine="720"/>
        <w:jc w:val="both"/>
      </w:pPr>
      <w:r>
        <w:rPr>
          <w:rFonts w:ascii="Times New Roman" w:hAnsi="Times New Roman" w:cs="Times New Roman"/>
          <w:b w:val="0"/>
          <w:i w:val="0"/>
          <w:sz w:val="24"/>
          <w:u w:val="none"/>
        </w:rPr>
        <w:t xml:space="preserve">Subject-matter jurisdiction cannot be waived and may be raised at any time, by a party or sua sponte by the Court. </w:t>
      </w:r>
      <w:r>
        <w:rPr>
          <w:rFonts w:ascii="Times New Roman" w:hAnsi="Times New Roman" w:cs="Times New Roman"/>
          <w:b w:val="0"/>
          <w:i/>
          <w:sz w:val="24"/>
          <w:u w:val="none"/>
        </w:rPr>
        <w:t>Arbaugh v. Y &amp; H Corp.</w:t>
      </w:r>
      <w:r>
        <w:rPr>
          <w:rFonts w:ascii="Times New Roman" w:hAnsi="Times New Roman" w:cs="Times New Roman"/>
          <w:b w:val="0"/>
          <w:i w:val="0"/>
          <w:sz w:val="24"/>
          <w:u w:val="none"/>
        </w:rPr>
        <w:t>, 546 U.S. 500, 514 (2006). If the defect is confirmed, the Court lacks jurisdiction and the case must be remanded to Bexar County state court. This could render the Rule 12(b)(6) Motion moot.</w:t>
      </w:r>
    </w:p>
    <w:p>
      <w:pPr>
        <w:keepNext w:val="0"/>
        <w:spacing w:before="0" w:after="0" w:line="480" w:lineRule="auto"/>
        <w:ind w:firstLine="720"/>
        <w:jc w:val="both"/>
      </w:pPr>
      <w:r>
        <w:rPr>
          <w:rFonts w:ascii="Times New Roman" w:hAnsi="Times New Roman" w:cs="Times New Roman"/>
          <w:b w:val="0"/>
          <w:i w:val="0"/>
          <w:sz w:val="24"/>
          <w:u w:val="none"/>
        </w:rPr>
        <w:t xml:space="preserve">Recommended action: (i) Confirm the citizenship analysis by obtaining the Apex Medical Ventures, LP partnership agreement (we have the Operating Agreement, which is sufficient to confirm the GP's Delaware citizenship, but the partnership agreement would lock it down); (ii) Decide strategically whether Meridian is better off in federal court (Judge Alvarez's rigorous pleading standards, bench trial, Delaware choice of law) or state court (Bexar County, possible jury). If we conclude the diversity defect is real, we should consider moving to remand </w:t>
      </w:r>
      <w:r>
        <w:rPr>
          <w:rFonts w:ascii="Times New Roman" w:hAnsi="Times New Roman" w:cs="Times New Roman"/>
          <w:b w:val="0"/>
          <w:i/>
          <w:sz w:val="24"/>
          <w:u w:val="none"/>
        </w:rPr>
        <w:t>before</w:t>
      </w:r>
      <w:r>
        <w:rPr>
          <w:rFonts w:ascii="Times New Roman" w:hAnsi="Times New Roman" w:cs="Times New Roman"/>
          <w:b w:val="0"/>
          <w:i w:val="0"/>
          <w:sz w:val="24"/>
          <w:u w:val="none"/>
        </w:rPr>
        <w:t xml:space="preserve"> filing the 12(b)(6) Motion—or at minimum be prepared for the Court to raise jurisdiction sua sponte. Filing a merits motion in a court that may lack jurisdiction is not ideal, but the jurisdictional issue is independent of the merits and can be raised separately. We should flag this for the client immediately.</w:t>
      </w:r>
    </w:p>
    <w:p>
      <w:pPr>
        <w:keepNext/>
        <w:spacing w:before="240" w:after="120" w:line="480" w:lineRule="auto"/>
        <w:jc w:val="left"/>
      </w:pPr>
      <w:r>
        <w:rPr>
          <w:rFonts w:ascii="Times New Roman" w:hAnsi="Times New Roman" w:cs="Times New Roman"/>
          <w:b/>
          <w:i w:val="0"/>
          <w:sz w:val="24"/>
          <w:u w:val="none"/>
        </w:rPr>
        <w:t>2.  Post-Answer Motion — Rule 12(b)(6) vs. Rule 12(c)</w:t>
      </w:r>
    </w:p>
    <w:p>
      <w:pPr>
        <w:keepNext w:val="0"/>
        <w:spacing w:before="0" w:after="0" w:line="480" w:lineRule="auto"/>
        <w:ind w:firstLine="720"/>
        <w:jc w:val="both"/>
      </w:pPr>
      <w:r>
        <w:rPr>
          <w:rFonts w:ascii="Times New Roman" w:hAnsi="Times New Roman" w:cs="Times New Roman"/>
          <w:b w:val="0"/>
          <w:i w:val="0"/>
          <w:sz w:val="24"/>
          <w:u w:val="none"/>
        </w:rPr>
        <w:t>Meridian already filed its Answer (Oct. 2, 2023) and preserved the Rule 12(b)(6) defense (First Affirmative Defense; § III, Reservation of Rights; Nov. 8, 2023 notice letter). The Standing Order (§ 3.4) permits post-answer Rule 12(b)(6) motions where the defense is preserved and says the Court will treat them as Rule 12(b)(6) motions. The Scheduling Order, however, states the Court “will treat any such motion as a Rule 12(c) motion for judgment on the pleadings, evaluated under the same standard as a Rule 12(b)(6) motion.” There is a tension, but it is immaterial: the plausibility standard is identical under either rule, and the same documents may be considered. The Motion is captioned as a Rule 12(b)(6) motion per the Standing Order and the task; the standard section notes that the same analysis applies under Rule 12(c). No change needed, but be prepared to address the characterization if the Court raises it.</w:t>
      </w:r>
    </w:p>
    <w:p>
      <w:pPr>
        <w:keepNext/>
        <w:spacing w:before="240" w:after="120" w:line="480" w:lineRule="auto"/>
        <w:jc w:val="left"/>
      </w:pPr>
      <w:r>
        <w:rPr>
          <w:rFonts w:ascii="Times New Roman" w:hAnsi="Times New Roman" w:cs="Times New Roman"/>
          <w:b/>
          <w:i w:val="0"/>
          <w:sz w:val="24"/>
          <w:u w:val="none"/>
        </w:rPr>
        <w:t>3.  Choice of Law — Delaware (contract) vs. Texas (tort/DTPA)</w:t>
      </w:r>
    </w:p>
    <w:p>
      <w:pPr>
        <w:keepNext w:val="0"/>
        <w:spacing w:before="0" w:after="0" w:line="480" w:lineRule="auto"/>
        <w:ind w:firstLine="720"/>
        <w:jc w:val="both"/>
      </w:pPr>
      <w:r>
        <w:rPr>
          <w:rFonts w:ascii="Times New Roman" w:hAnsi="Times New Roman" w:cs="Times New Roman"/>
          <w:b w:val="0"/>
          <w:i w:val="0"/>
          <w:sz w:val="24"/>
          <w:u w:val="none"/>
        </w:rPr>
        <w:t>Section 12.7 of the MSLSA selects Delaware law (without conflicts principles) to govern “this Agreement.” Count I (breach of contract) is governed by Delaware law, and the Motion relies on Delaware authority (</w:t>
      </w:r>
      <w:r>
        <w:rPr>
          <w:rFonts w:ascii="Times New Roman" w:hAnsi="Times New Roman" w:cs="Times New Roman"/>
          <w:b w:val="0"/>
          <w:i/>
          <w:sz w:val="24"/>
          <w:u w:val="none"/>
        </w:rPr>
        <w:t>Kana Software</w:t>
      </w:r>
      <w:r>
        <w:rPr>
          <w:rFonts w:ascii="Times New Roman" w:hAnsi="Times New Roman" w:cs="Times New Roman"/>
          <w:b w:val="0"/>
          <w:i w:val="0"/>
          <w:sz w:val="24"/>
          <w:u w:val="none"/>
        </w:rPr>
        <w:t xml:space="preserve">, </w:t>
      </w:r>
      <w:r>
        <w:rPr>
          <w:rFonts w:ascii="Times New Roman" w:hAnsi="Times New Roman" w:cs="Times New Roman"/>
          <w:b w:val="0"/>
          <w:i/>
          <w:sz w:val="24"/>
          <w:u w:val="none"/>
        </w:rPr>
        <w:t>Brasby</w:t>
      </w:r>
      <w:r>
        <w:rPr>
          <w:rFonts w:ascii="Times New Roman" w:hAnsi="Times New Roman" w:cs="Times New Roman"/>
          <w:b w:val="0"/>
          <w:i w:val="0"/>
          <w:sz w:val="24"/>
          <w:u w:val="none"/>
        </w:rPr>
        <w:t xml:space="preserve">, </w:t>
      </w:r>
      <w:r>
        <w:rPr>
          <w:rFonts w:ascii="Times New Roman" w:hAnsi="Times New Roman" w:cs="Times New Roman"/>
          <w:b w:val="0"/>
          <w:i/>
          <w:sz w:val="24"/>
          <w:u w:val="none"/>
        </w:rPr>
        <w:t>Kuhn</w:t>
      </w:r>
      <w:r>
        <w:rPr>
          <w:rFonts w:ascii="Times New Roman" w:hAnsi="Times New Roman" w:cs="Times New Roman"/>
          <w:b w:val="0"/>
          <w:i w:val="0"/>
          <w:sz w:val="24"/>
          <w:u w:val="none"/>
        </w:rPr>
        <w:t xml:space="preserve">, </w:t>
      </w:r>
      <w:r>
        <w:rPr>
          <w:rFonts w:ascii="Times New Roman" w:hAnsi="Times New Roman" w:cs="Times New Roman"/>
          <w:b w:val="0"/>
          <w:i/>
          <w:sz w:val="24"/>
          <w:u w:val="none"/>
        </w:rPr>
        <w:t>Eagle Industries</w:t>
      </w:r>
      <w:r>
        <w:rPr>
          <w:rFonts w:ascii="Times New Roman" w:hAnsi="Times New Roman" w:cs="Times New Roman"/>
          <w:b w:val="0"/>
          <w:i w:val="0"/>
          <w:sz w:val="24"/>
          <w:u w:val="none"/>
        </w:rPr>
        <w:t xml:space="preserve">, </w:t>
      </w:r>
      <w:r>
        <w:rPr>
          <w:rFonts w:ascii="Times New Roman" w:hAnsi="Times New Roman" w:cs="Times New Roman"/>
          <w:b w:val="0"/>
          <w:i/>
          <w:sz w:val="24"/>
          <w:u w:val="none"/>
        </w:rPr>
        <w:t>SIGA</w:t>
      </w:r>
      <w:r>
        <w:rPr>
          <w:rFonts w:ascii="Times New Roman" w:hAnsi="Times New Roman" w:cs="Times New Roman"/>
          <w:b w:val="0"/>
          <w:i w:val="0"/>
          <w:sz w:val="24"/>
          <w:u w:val="none"/>
        </w:rPr>
        <w:t xml:space="preserve">) for the contractual limitations, deemed acceptance, and economic-loss arguments. For the tort claims (Counts II–III), the scope of § 12.7 is debatable; Texas courts apply the most-significant-relationship test, and all contacts point to Texas. The Motion therefore argues the tort claims fail under </w:t>
      </w:r>
      <w:r>
        <w:rPr>
          <w:rFonts w:ascii="Times New Roman" w:hAnsi="Times New Roman" w:cs="Times New Roman"/>
          <w:b w:val="0"/>
          <w:i/>
          <w:sz w:val="24"/>
          <w:u w:val="none"/>
        </w:rPr>
        <w:t>both</w:t>
      </w:r>
      <w:r>
        <w:rPr>
          <w:rFonts w:ascii="Times New Roman" w:hAnsi="Times New Roman" w:cs="Times New Roman"/>
          <w:b w:val="0"/>
          <w:i w:val="0"/>
          <w:sz w:val="24"/>
          <w:u w:val="none"/>
        </w:rPr>
        <w:t xml:space="preserve"> Delaware and Texas law. The DTPA (Count V) is a Texas statute regardless. Unjust enrichment (Count IV) yields the same result under either body of law. We should be ready to brief choice of law more fully if Arcadia contests it, but the Motion's dual-track approach covers both outcomes.</w:t>
      </w:r>
    </w:p>
    <w:p>
      <w:pPr>
        <w:keepNext/>
        <w:spacing w:before="240" w:after="120" w:line="480" w:lineRule="auto"/>
        <w:jc w:val="left"/>
      </w:pPr>
      <w:r>
        <w:rPr>
          <w:rFonts w:ascii="Times New Roman" w:hAnsi="Times New Roman" w:cs="Times New Roman"/>
          <w:b/>
          <w:i w:val="0"/>
          <w:sz w:val="24"/>
          <w:u w:val="none"/>
        </w:rPr>
        <w:t>4.  DTPA Pre-Suit Notice — Possible § 17.505(a) Timing Defect</w:t>
      </w:r>
    </w:p>
    <w:p>
      <w:pPr>
        <w:keepNext w:val="0"/>
        <w:spacing w:before="0" w:after="0" w:line="480" w:lineRule="auto"/>
        <w:ind w:firstLine="720"/>
        <w:jc w:val="both"/>
      </w:pPr>
      <w:r>
        <w:rPr>
          <w:rFonts w:ascii="Times New Roman" w:hAnsi="Times New Roman" w:cs="Times New Roman"/>
          <w:b w:val="0"/>
          <w:i w:val="0"/>
          <w:sz w:val="24"/>
          <w:u w:val="none"/>
        </w:rPr>
        <w:t>Arcadia's DTPA pre-suit demand letter is dated June 15, 2023; suit was filed August 7, 2023—approximately 53 days later. Section 17.505(a) requires the consumer to give written notice “at least 60 days before filing the suit.” If the demand was received in mid-June, Arcadia may have filed before the 60-day period elapsed. (Note: Meridian's July 10, 2023 response letter references a demand “dated June 26, 2023,” which would make the shortfall even larger; the team should reconcile the dates.) The remedy for a § 17.505(a) violation is typically abatement rather than dismissal, so this is a secondary issue. The Motion leads with the § 17.49(f) exemption, which is dispositive and does not depend on the notice timing. We can raise the § 17.505(a) defect separately or in a reply if useful, but it should not displace the exemption argument.</w:t>
      </w:r>
    </w:p>
    <w:p>
      <w:pPr>
        <w:keepNext/>
        <w:spacing w:before="240" w:after="120" w:line="480" w:lineRule="auto"/>
        <w:jc w:val="left"/>
      </w:pPr>
      <w:r>
        <w:rPr>
          <w:rFonts w:ascii="Times New Roman" w:hAnsi="Times New Roman" w:cs="Times New Roman"/>
          <w:b/>
          <w:i w:val="0"/>
          <w:sz w:val="24"/>
          <w:u w:val="none"/>
        </w:rPr>
        <w:t>5.  Count I Strategy — Full Dismissal vs. Damages Limitation</w:t>
      </w:r>
    </w:p>
    <w:p>
      <w:pPr>
        <w:keepNext w:val="0"/>
        <w:spacing w:before="0" w:after="0" w:line="480" w:lineRule="auto"/>
        <w:ind w:firstLine="720"/>
        <w:jc w:val="both"/>
      </w:pPr>
      <w:r>
        <w:rPr>
          <w:rFonts w:ascii="Times New Roman" w:hAnsi="Times New Roman" w:cs="Times New Roman"/>
          <w:b w:val="0"/>
          <w:i w:val="0"/>
          <w:sz w:val="24"/>
          <w:u w:val="none"/>
        </w:rPr>
        <w:t>The Motion takes the aggressive position that Count I should be dismissed outright based on deemed acceptance (§ 5.3), the expired limited warranty (§ 9.1), and the exclusive remedies provision (§ 8.3), with the alternative that damages be limited to the contractual cap (§§ 8.1, 8.2). Full dismissal of a breach-of-contract claim at the 12(b)(6) stage is aggressive; courts are sometimes reluctant to dismiss contract claims where the deemed-acceptance and warranty arguments turn on the timing of notice. Here, however, the dates are undisputed on the face of the FAC (Go-Live Jan. 15; first written complaint Mar. 8) and the contract (30-day window; 90-day warranty), so the arguments are well-suited to resolution on the pleadings. The alternative damages-limitation argument preserves a strong fallback: even if the Court allows the contract claim to proceed, the $18.4M lost-profits, $6.7M operating-costs, and $5.0M reputational-harm components are consequential damages barred by § 8.2, and the remainder is capped by § 8.1. We should confirm the 12-month fee figure for the § 8.1 cap (see item 8 below).</w:t>
      </w:r>
    </w:p>
    <w:p>
      <w:pPr>
        <w:keepNext/>
        <w:spacing w:before="240" w:after="120" w:line="480" w:lineRule="auto"/>
        <w:jc w:val="left"/>
      </w:pPr>
      <w:r>
        <w:rPr>
          <w:rFonts w:ascii="Times New Roman" w:hAnsi="Times New Roman" w:cs="Times New Roman"/>
          <w:b/>
          <w:i w:val="0"/>
          <w:sz w:val="24"/>
          <w:u w:val="none"/>
        </w:rPr>
        <w:t>6.  Dismissal With vs. Without Prejudice</w:t>
      </w:r>
    </w:p>
    <w:p>
      <w:pPr>
        <w:keepNext w:val="0"/>
        <w:spacing w:before="0" w:after="0" w:line="480" w:lineRule="auto"/>
        <w:ind w:firstLine="720"/>
        <w:jc w:val="both"/>
      </w:pPr>
      <w:r>
        <w:rPr>
          <w:rFonts w:ascii="Times New Roman" w:hAnsi="Times New Roman" w:cs="Times New Roman"/>
          <w:b w:val="0"/>
          <w:i w:val="0"/>
          <w:sz w:val="24"/>
          <w:u w:val="none"/>
        </w:rPr>
        <w:t>The proposed order dismisses all counts with prejudice, consistent with the Answer's prayer. With prejudice is clearly appropriate for Count V (the § 17.49(f) exemption is a legal bar no amendment can cure) and Count IV (unjust enrichment is unavailable as a matter of law while the MSLSA governs). For Counts II and III, dismissal with prejudice is defensible because the defects are legal (puffery, economic-loss doctrine, integration clause, no independent duty) and not curable by additional facts, but the Court may grant leave to amend. For Count I, the Court may be inclined to allow amendment. We should be prepared to oppose any motion for leave to amend by arguing futility, but should not be surprised if the Court dismisses some counts without prejudice. Consider whether to request dismissal with prejudice in the Motion's prayer while acknowledging the Court's discretion—the current draft does so.</w:t>
      </w:r>
    </w:p>
    <w:p>
      <w:pPr>
        <w:keepNext/>
        <w:spacing w:before="240" w:after="120" w:line="480" w:lineRule="auto"/>
        <w:jc w:val="left"/>
      </w:pPr>
      <w:r>
        <w:rPr>
          <w:rFonts w:ascii="Times New Roman" w:hAnsi="Times New Roman" w:cs="Times New Roman"/>
          <w:b/>
          <w:i w:val="0"/>
          <w:sz w:val="24"/>
          <w:u w:val="none"/>
        </w:rPr>
        <w:t>7.  Scope of Materials Considered on the Motion — Avoid Conversion</w:t>
      </w:r>
    </w:p>
    <w:p>
      <w:pPr>
        <w:keepNext w:val="0"/>
        <w:spacing w:before="0" w:after="0" w:line="480" w:lineRule="auto"/>
        <w:ind w:firstLine="720"/>
        <w:jc w:val="both"/>
      </w:pPr>
      <w:r>
        <w:rPr>
          <w:rFonts w:ascii="Times New Roman" w:hAnsi="Times New Roman" w:cs="Times New Roman"/>
          <w:b w:val="0"/>
          <w:i w:val="0"/>
          <w:sz w:val="24"/>
          <w:u w:val="none"/>
        </w:rPr>
        <w:t xml:space="preserve">The Motion relies only on the FAC and documents referenced in and central to it: the MSLSA, SOW-1, the four Change Orders (including CO-004's admission that Linden Park caused the data issues), and the December 9, 2021 proposal (whose disclaimers the FAC itself acknowledges). This keeps the Motion within the Rule 12(b)(6) framework and avoids conversion to summary judgment under Rule 12(d). </w:t>
      </w:r>
      <w:r>
        <w:rPr>
          <w:rFonts w:ascii="Times New Roman" w:hAnsi="Times New Roman" w:cs="Times New Roman"/>
          <w:b w:val="0"/>
          <w:i/>
          <w:sz w:val="24"/>
          <w:u w:val="none"/>
        </w:rPr>
        <w:t>Lormand</w:t>
      </w:r>
      <w:r>
        <w:rPr>
          <w:rFonts w:ascii="Times New Roman" w:hAnsi="Times New Roman" w:cs="Times New Roman"/>
          <w:b w:val="0"/>
          <w:i w:val="0"/>
          <w:sz w:val="24"/>
          <w:u w:val="none"/>
        </w:rPr>
        <w:t xml:space="preserve">, 565 F.3d at 255–56. Critically, the Motion does </w:t>
      </w:r>
      <w:r>
        <w:rPr>
          <w:rFonts w:ascii="Times New Roman" w:hAnsi="Times New Roman" w:cs="Times New Roman"/>
          <w:b w:val="0"/>
          <w:i/>
          <w:sz w:val="24"/>
          <w:u w:val="none"/>
        </w:rPr>
        <w:t>not</w:t>
      </w:r>
      <w:r>
        <w:rPr>
          <w:rFonts w:ascii="Times New Roman" w:hAnsi="Times New Roman" w:cs="Times New Roman"/>
          <w:b w:val="0"/>
          <w:i w:val="0"/>
          <w:sz w:val="24"/>
          <w:u w:val="none"/>
        </w:rPr>
        <w:t xml:space="preserve"> rely on materials outside the pleadings—namely: Schreiber's January 19, 2022 internal due-diligence memo (which acknowledges integration complexity and recommends an SI partner), Poletti's contemporaneous notes of the Nov. 18, 2021 meeting, the support-ticket analysis (47 tickets; 31 in SLA; 12 traceable to Linden Park; 4 patched), and the Aug. 25, 2022 status report's root-cause findings (45-day PM gap; 75-day API-spec delay). These are powerful but extrinsic. They should be preserved and deployed at the summary-judgment stage, not in this Motion. Do not add them to the Motion or attach them as exhibits now.</w:t>
      </w:r>
    </w:p>
    <w:p>
      <w:pPr>
        <w:keepNext/>
        <w:spacing w:before="240" w:after="120" w:line="480" w:lineRule="auto"/>
        <w:jc w:val="left"/>
      </w:pPr>
      <w:r>
        <w:rPr>
          <w:rFonts w:ascii="Times New Roman" w:hAnsi="Times New Roman" w:cs="Times New Roman"/>
          <w:b/>
          <w:i w:val="0"/>
          <w:sz w:val="24"/>
          <w:u w:val="none"/>
        </w:rPr>
        <w:t>8.  Open Items to Resolve Before Filing</w:t>
      </w:r>
    </w:p>
    <w:p>
      <w:pPr>
        <w:keepNext w:val="0"/>
        <w:spacing w:before="0" w:after="0" w:line="480" w:lineRule="auto"/>
        <w:ind w:firstLine="720"/>
        <w:jc w:val="both"/>
      </w:pPr>
      <w:r>
        <w:rPr>
          <w:rFonts w:ascii="Times New Roman" w:hAnsi="Times New Roman" w:cs="Times New Roman"/>
          <w:b w:val="0"/>
          <w:i w:val="0"/>
          <w:sz w:val="24"/>
          <w:u w:val="none"/>
        </w:rPr>
        <w:t>(a) § 8.1 liability cap amount. The cap is “total fees paid or payable by Licensee during the twelve (12) month period immediately preceding the event giving rise to such liability.” We need Meridian's billing records to compute the exact figure, and we must identify the “event giving rise to liability” (the pre-sale representations in Oct.–Nov. 2021, the Jan. 15, 2023 Go-Live, or the Mar. 8, 2023 first complaint). This affects the alternative damages-limitation argument. The Motion references the cap generally; we can supply the figure in the reply if needed.</w:t>
      </w:r>
    </w:p>
    <w:p>
      <w:pPr>
        <w:keepNext w:val="0"/>
        <w:spacing w:before="0" w:after="0" w:line="480" w:lineRule="auto"/>
        <w:ind w:firstLine="720"/>
        <w:jc w:val="both"/>
      </w:pPr>
      <w:r>
        <w:rPr>
          <w:rFonts w:ascii="Times New Roman" w:hAnsi="Times New Roman" w:cs="Times New Roman"/>
          <w:b w:val="0"/>
          <w:i w:val="0"/>
          <w:sz w:val="24"/>
          <w:u w:val="none"/>
        </w:rPr>
        <w:t>(b) § 17.49(f) alternative “assets” basis. Section 17.49(f) also exempts transactions where the consumer's assets exceed $25 million. We requested Arcadia's financial documentation in our July 10, 2023 DTPA-response letter. If Arcadia's assets exceeded $25 million as of March 15, 2022 (likely, given ~$62M revenue and 23-hospital operations), this is an additional, independent basis for the exemption. Pursue this in discovery if the Court does not dismiss Count V on the $500,000 ground alone.</w:t>
      </w:r>
    </w:p>
    <w:p>
      <w:pPr>
        <w:keepNext w:val="0"/>
        <w:spacing w:before="0" w:after="0" w:line="480" w:lineRule="auto"/>
        <w:ind w:firstLine="720"/>
        <w:jc w:val="both"/>
      </w:pPr>
      <w:r>
        <w:rPr>
          <w:rFonts w:ascii="Times New Roman" w:hAnsi="Times New Roman" w:cs="Times New Roman"/>
          <w:b w:val="0"/>
          <w:i w:val="0"/>
          <w:sz w:val="24"/>
          <w:u w:val="none"/>
        </w:rPr>
        <w:t>(c) Certificate of conference. The Standing Order (§ 3.1) requires a certificate of conference and states it “shall be filed as a separate document concurrently with the motion.” The Motion includes a certificate-of-conference section, but per the Standing Order we should also file it as a separate docket entry. Complete the meet-and-confer with Breckenridge (we have the Nov. 8 letter and subsequent conferrals) and file the separate certificate alongside the Motion.</w:t>
      </w:r>
    </w:p>
    <w:p>
      <w:pPr>
        <w:keepNext w:val="0"/>
        <w:spacing w:before="0" w:after="0" w:line="480" w:lineRule="auto"/>
        <w:ind w:firstLine="720"/>
        <w:jc w:val="both"/>
      </w:pPr>
      <w:r>
        <w:rPr>
          <w:rFonts w:ascii="Times New Roman" w:hAnsi="Times New Roman" w:cs="Times New Roman"/>
          <w:b w:val="0"/>
          <w:i w:val="0"/>
          <w:sz w:val="24"/>
          <w:u w:val="none"/>
        </w:rPr>
        <w:t>(d) Proposed order docket number. The Standing Order (§ 3.5) requires the proposed order to identify the motion by docket entry number; if unknown at filing, counsel must update the proposed order with the correct number within one business day. The proposed order uses “Dkt. [__]” placeholders; update them once the Motion is docketed.</w:t>
      </w:r>
    </w:p>
    <w:p>
      <w:pPr>
        <w:keepNext w:val="0"/>
        <w:spacing w:before="0" w:after="0" w:line="480" w:lineRule="auto"/>
        <w:ind w:firstLine="720"/>
        <w:jc w:val="both"/>
      </w:pPr>
      <w:r>
        <w:rPr>
          <w:rFonts w:ascii="Times New Roman" w:hAnsi="Times New Roman" w:cs="Times New Roman"/>
          <w:b w:val="0"/>
          <w:i w:val="0"/>
          <w:sz w:val="24"/>
          <w:u w:val="none"/>
        </w:rPr>
        <w:t>(e) Page limits and formatting. The Motion is within the 25-page limit (exclusive of caption, signature block, and certificates). Confirm the final page count after rendering. Reply briefs are capped at 10 pages under the Scheduling Order (the Standing Order says 15; the Scheduling Order's 10-page figure controls as the case-specific order). Plan the reply accordingly.</w:t>
      </w:r>
    </w:p>
    <w:p>
      <w:pPr>
        <w:keepNext w:val="0"/>
        <w:spacing w:before="0" w:after="0" w:line="480" w:lineRule="auto"/>
        <w:ind w:firstLine="720"/>
        <w:jc w:val="both"/>
      </w:pPr>
      <w:r>
        <w:rPr>
          <w:rFonts w:ascii="Times New Roman" w:hAnsi="Times New Roman" w:cs="Times New Roman"/>
          <w:b w:val="0"/>
          <w:i w:val="0"/>
          <w:sz w:val="24"/>
          <w:u w:val="none"/>
        </w:rPr>
        <w:t>(f) Jury-trial waiver. Section 12.9 of the MSLSA waives jury trial; the Scheduling Order sets a bench trial. The FAC demands a jury and our Answer conditionally demands one. This is a trial-stage issue, not a threshold issue for the Motion, but note that the enforceability of the jury waiver under Delaware law (which governs the MSLSA) may be contested. No action needed for the Motion.</w:t>
      </w:r>
    </w:p>
    <w:p>
      <w:pPr>
        <w:keepNext/>
        <w:spacing w:before="240" w:after="120" w:line="480" w:lineRule="auto"/>
        <w:jc w:val="left"/>
      </w:pPr>
      <w:r>
        <w:rPr>
          <w:rFonts w:ascii="Times New Roman" w:hAnsi="Times New Roman" w:cs="Times New Roman"/>
          <w:b/>
          <w:i w:val="0"/>
          <w:sz w:val="24"/>
          <w:u w:val="none"/>
        </w:rPr>
        <w:t>9.  Bottom Line</w:t>
      </w:r>
    </w:p>
    <w:p>
      <w:pPr>
        <w:keepNext w:val="0"/>
        <w:spacing w:before="0" w:after="0" w:line="480" w:lineRule="auto"/>
        <w:ind w:firstLine="720"/>
        <w:jc w:val="both"/>
      </w:pPr>
      <w:r>
        <w:rPr>
          <w:rFonts w:ascii="Times New Roman" w:hAnsi="Times New Roman" w:cs="Times New Roman"/>
          <w:b w:val="0"/>
          <w:i w:val="0"/>
          <w:sz w:val="24"/>
          <w:u w:val="none"/>
        </w:rPr>
        <w:t>The Motion presents strong, well-supported arguments for dismissal of all five counts. The DTPA exemption (§ 17.49(f)) and the unjust-enrichment bar are clean legal rules that should result in dismissal. The fraud and negligent-misrepresentation claims fail under Rule 9(b), the puffery doctrine, the integration clause, and the economic-loss doctrine. The breach-of-contract claim is defeated by deemed acceptance and the expired exclusive warranty, with a robust alternative damages-limitation argument. The single most important item to resolve before filing is the diversity-jurisdiction defect (item 1), which is independent of the merits but could change where and how we litigate this case. Please advise on the jurisdictional strategy at your earliest convenience.</w:t>
      </w:r>
    </w:p>
    <w:p>
      <w:pPr>
        <w:keepNext w:val="0"/>
        <w:spacing w:before="0" w:after="120" w:line="240" w:lineRule="auto"/>
      </w:pPr>
    </w:p>
    <w:p>
      <w:pPr>
        <w:keepNext w:val="0"/>
        <w:spacing w:before="0" w:after="0" w:line="276" w:lineRule="auto"/>
      </w:pPr>
      <w:r>
        <w:rPr>
          <w:rFonts w:ascii="Times New Roman" w:hAnsi="Times New Roman" w:cs="Times New Roman"/>
          <w:b w:val="0"/>
          <w:i w:val="0"/>
          <w:sz w:val="24"/>
          <w:u w:val="none"/>
        </w:rPr>
        <w:t>Attachments: (1) Motion to Dismiss; (2) Proposed Order.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Times New Roman" w:hAnsi="Times New Roman" w:cs="Times New Roman"/>
        <w:b w:val="0"/>
        <w:i w:val="0"/>
        <w:sz w:val="24"/>
        <w:u w:val="none"/>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