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eastAsia="Times New Roman"/>
          <w:b/>
          <w:i w:val="0"/>
          <w:sz w:val="24"/>
          <w:u w:val="none"/>
        </w:rPr>
        <w:t>STONEBRIDGE &amp; CALLOWAY LLP</w:t>
      </w:r>
    </w:p>
    <w:p>
      <w:pPr>
        <w:spacing w:before="0" w:after="120" w:line="240" w:lineRule="auto"/>
        <w:jc w:val="center"/>
      </w:pPr>
      <w:r>
        <w:rPr>
          <w:rFonts w:ascii="Times New Roman" w:hAnsi="Times New Roman" w:eastAsia="Times New Roman"/>
          <w:b w:val="0"/>
          <w:i w:val="0"/>
          <w:sz w:val="24"/>
          <w:u w:val="none"/>
        </w:rPr>
        <w:t>600 Congress Avenue, Suite 2800  •  Austin, TX 78701</w:t>
      </w:r>
    </w:p>
    <w:p>
      <w:pPr>
        <w:spacing w:before="0" w:after="200" w:line="240" w:lineRule="auto"/>
        <w:jc w:val="center"/>
      </w:pPr>
      <w:r>
        <w:rPr>
          <w:rFonts w:ascii="Times New Roman" w:hAnsi="Times New Roman" w:eastAsia="Times New Roman"/>
          <w:b/>
          <w:i w:val="0"/>
          <w:sz w:val="24"/>
          <w:u w:val="none"/>
        </w:rPr>
        <w:t>PRIVILEGED &amp; CONFIDENTIAL  —  ATTORNEY WORK PRODUCT</w:t>
      </w:r>
    </w:p>
    <w:p>
      <w:pPr>
        <w:spacing w:before="0" w:after="200"/>
        <w:jc w:val="center"/>
      </w:pPr>
      <w:r>
        <w:rPr>
          <w:rFonts w:ascii="Times New Roman" w:hAnsi="Times New Roman" w:eastAsia="Times New Roman"/>
          <w:b/>
          <w:i w:val="0"/>
          <w:sz w:val="24"/>
          <w:u w:val="none"/>
        </w:rPr>
        <w:t>MEMORANDUM</w:t>
      </w:r>
    </w:p>
    <w:p>
      <w:pPr>
        <w:spacing w:after="0" w:line="240" w:lineRule="auto"/>
      </w:pPr>
      <w:r>
        <w:rPr>
          <w:rFonts w:ascii="Times New Roman" w:hAnsi="Times New Roman" w:eastAsia="Times New Roman"/>
          <w:b/>
          <w:i w:val="0"/>
          <w:sz w:val="24"/>
          <w:u w:val="none"/>
        </w:rPr>
        <w:t xml:space="preserve">TO:  </w:t>
      </w:r>
      <w:r>
        <w:rPr>
          <w:rFonts w:ascii="Times New Roman" w:hAnsi="Times New Roman" w:eastAsia="Times New Roman"/>
          <w:b w:val="0"/>
          <w:i w:val="0"/>
          <w:sz w:val="24"/>
          <w:u w:val="none"/>
        </w:rPr>
        <w:t>Margaret “Meg” Calloway, Lead Partner; Litigation Team File</w:t>
      </w:r>
    </w:p>
    <w:p>
      <w:pPr>
        <w:spacing w:after="0" w:line="240" w:lineRule="auto"/>
      </w:pPr>
      <w:r>
        <w:rPr>
          <w:rFonts w:ascii="Times New Roman" w:hAnsi="Times New Roman" w:eastAsia="Times New Roman"/>
          <w:b/>
          <w:i w:val="0"/>
          <w:sz w:val="24"/>
          <w:u w:val="none"/>
        </w:rPr>
        <w:t xml:space="preserve">FROM:  </w:t>
      </w:r>
      <w:r>
        <w:rPr>
          <w:rFonts w:ascii="Times New Roman" w:hAnsi="Times New Roman" w:eastAsia="Times New Roman"/>
          <w:b w:val="0"/>
          <w:i w:val="0"/>
          <w:sz w:val="24"/>
          <w:u w:val="none"/>
        </w:rPr>
        <w:t>David Arsenault, Senior Associate</w:t>
      </w:r>
    </w:p>
    <w:p>
      <w:pPr>
        <w:spacing w:after="0" w:line="240" w:lineRule="auto"/>
      </w:pPr>
      <w:r>
        <w:rPr>
          <w:rFonts w:ascii="Times New Roman" w:hAnsi="Times New Roman" w:eastAsia="Times New Roman"/>
          <w:b/>
          <w:i w:val="0"/>
          <w:sz w:val="24"/>
          <w:u w:val="none"/>
        </w:rPr>
        <w:t xml:space="preserve">DATE:  </w:t>
      </w:r>
      <w:r>
        <w:rPr>
          <w:rFonts w:ascii="Times New Roman" w:hAnsi="Times New Roman" w:eastAsia="Times New Roman"/>
          <w:b w:val="0"/>
          <w:i w:val="0"/>
          <w:sz w:val="24"/>
          <w:u w:val="none"/>
        </w:rPr>
        <w:t>January 12, 2024</w:t>
      </w:r>
    </w:p>
    <w:p>
      <w:pPr>
        <w:spacing w:after="0" w:line="240" w:lineRule="auto"/>
      </w:pPr>
      <w:r>
        <w:rPr>
          <w:rFonts w:ascii="Times New Roman" w:hAnsi="Times New Roman" w:eastAsia="Times New Roman"/>
          <w:b/>
          <w:i w:val="0"/>
          <w:sz w:val="24"/>
          <w:u w:val="none"/>
        </w:rPr>
        <w:t xml:space="preserve">RE:  </w:t>
      </w:r>
      <w:r>
        <w:rPr>
          <w:rFonts w:ascii="Times New Roman" w:hAnsi="Times New Roman" w:eastAsia="Times New Roman"/>
          <w:b w:val="0"/>
          <w:i w:val="0"/>
          <w:sz w:val="24"/>
          <w:u w:val="none"/>
        </w:rPr>
        <w:t>Threshold Issues — Defendant’s Rule 12(b)(6) Motion to Dismiss, Arcadia Health Systems, LLC v. Meridian Cloud Solutions, Inc., No. 1:23-cv-00847-CMA (W.D. Tex.)</w:t>
      </w:r>
    </w:p>
    <w:p>
      <w:pPr>
        <w:spacing w:before="0" w:after="120"/>
      </w:pPr>
    </w:p>
    <w:p>
      <w:pPr>
        <w:spacing w:before="0" w:after="0"/>
        <w:ind w:firstLine="720"/>
      </w:pPr>
      <w:r>
        <w:rPr>
          <w:rFonts w:ascii="Times New Roman" w:hAnsi="Times New Roman" w:eastAsia="Times New Roman"/>
          <w:b w:val="0"/>
          <w:i w:val="0"/>
          <w:sz w:val="24"/>
          <w:u w:val="none"/>
        </w:rPr>
        <w:t>This memorandum flags threshold issues that the team should resolve before the Rule 12(b)(6) motion is filed on January 15, 2024. The motion itself is attached as a separate deliverable. The issues below are listed in order of urgency. None should delay filing of the 12(b)(6) motion, which is timely under the Scheduling Order, but several require a strategic decision and at least one may ultimately supersede the motion.</w:t>
      </w:r>
    </w:p>
    <w:p>
      <w:pPr>
        <w:spacing w:before="240" w:after="120"/>
      </w:pPr>
      <w:r>
        <w:rPr>
          <w:rFonts w:ascii="Times New Roman" w:hAnsi="Times New Roman" w:eastAsia="Times New Roman"/>
          <w:b/>
          <w:i w:val="0"/>
          <w:sz w:val="24"/>
          <w:u w:val="single"/>
        </w:rPr>
        <w:t>1.  Diversity Jurisdiction Defect — Complete Diversity Likely Does Not Exist (CRITICAL)</w:t>
      </w:r>
    </w:p>
    <w:p>
      <w:pPr>
        <w:spacing w:before="0" w:after="0"/>
        <w:ind w:firstLine="720"/>
      </w:pPr>
      <w:r>
        <w:rPr>
          <w:rFonts w:ascii="Times New Roman" w:hAnsi="Times New Roman" w:eastAsia="Times New Roman"/>
          <w:b w:val="0"/>
          <w:i w:val="0"/>
          <w:sz w:val="24"/>
          <w:u w:val="none"/>
        </w:rPr>
        <w:t>This is the most significant threshold issue and may ultimately supersede the 12(b)(6) motion. Our own Notice of Removal (Dkt. No. 1) alleged that Arcadia is a citizen of Texas only, based solely on the domicile of its managing member, Dr. Okonkwo. That analysis is incomplete and, on the current record, incorrect.</w:t>
      </w:r>
    </w:p>
    <w:p>
      <w:pPr>
        <w:spacing w:before="0" w:after="0"/>
        <w:ind w:firstLine="720"/>
      </w:pPr>
      <w:r>
        <w:rPr>
          <w:rFonts w:ascii="Times New Roman" w:hAnsi="Times New Roman" w:eastAsia="Times New Roman"/>
          <w:b w:val="0"/>
          <w:i w:val="0"/>
          <w:sz w:val="24"/>
          <w:u w:val="none"/>
        </w:rPr>
        <w:t>An LLC’s citizenship for diversity purposes is determined by the citizenship of all of its members. Harvey v. Grey Wolf Drilling Co., 542 F.3d 1077, 1080 (5th Cir. 2008). Arcadia’s Operating Agreement (produced in initial disclosures, Ex. 7) identifies three members: (1) Dr. Rachel Okonkwo (Texas); (2) Martin Schreiber (Texas); and (3) Apex Medical Ventures, LP (a Delaware limited partnership, 30% interest). A limited partnership’s citizenship, in turn, is determined by the citizenship of all of its partners. Carden v. Arkoma Assocs., 494 U.S. 185, 195-96 (1990). Apex’s general partner is Apex Medical Ventures GP, Inc.—a Delaware corporation with its principal place of business in Wilmington, Delaware. That makes Apex a citizen of Delaware, which makes Arcadia a citizen of Delaware (in addition to Texas).</w:t>
      </w:r>
    </w:p>
    <w:p>
      <w:pPr>
        <w:spacing w:before="0" w:after="0"/>
        <w:ind w:firstLine="720"/>
      </w:pPr>
      <w:r>
        <w:rPr>
          <w:rFonts w:ascii="Times New Roman" w:hAnsi="Times New Roman" w:eastAsia="Times New Roman"/>
          <w:b w:val="0"/>
          <w:i w:val="0"/>
          <w:sz w:val="24"/>
          <w:u w:val="none"/>
        </w:rPr>
        <w:t>Meridian is a citizen of both Delaware (state of incorporation) and Texas (principal place of business in Austin). 28 U.S.C. § 1332(c)(1). Because both Arcadia and Meridian are citizens of Delaware and Texas, complete diversity does not exist. Strawbridge v. Curtiss, 7 U.S. (3 Cranch) 267 (1806). Subject-matter jurisdiction is therefore lacking under 28 U.S.C. § 1332(a). Subject-matter jurisdiction cannot be waived and may be raised by the Court sua sponte at any time. Arbaugh v. Y &amp; H Corp., 546 U.S. 500, 514 (2006). The Operating Agreement is now in the record via initial disclosures, so the Court has the materials to identify this defect on its own.</w:t>
      </w:r>
    </w:p>
    <w:p>
      <w:pPr>
        <w:spacing w:before="0" w:after="0"/>
        <w:ind w:firstLine="720"/>
      </w:pPr>
      <w:r>
        <w:rPr>
          <w:rFonts w:ascii="Times New Roman" w:hAnsi="Times New Roman" w:eastAsia="Times New Roman"/>
          <w:b w:val="0"/>
          <w:i w:val="0"/>
          <w:sz w:val="24"/>
          <w:u w:val="none"/>
        </w:rPr>
        <w:t>Strategic options: (a) File the 12(b)(6) motion now (it is timely and does not waive the jurisdictional defense, which Meridian expressly reserved in its Answer, Dkt. No. 15 ¶ 8), and separately evaluate whether to move to remand under 28 U.S.C. § 1447(c) or to alert the Court; (b) move to remand first, which would moot the 12(b)(6) motion and return the case to state court (73rd District Court, Bexar County); or (c) proceed in federal court and accept the risk that the Court raises the defect sua sponte. Note that Meridian removed this case, signaling a prior preference for federal court (Judge Alvarez’s rigorous pleading standards, bench trial per the jury waiver). Remand would send the case to Bexar County state court, though the MSLSA’s forum-selection clause (§ 12.8) designates Austin/Travis County, creating a venue question on remand. We need a client decision on preferred forum before the Court acts. Recommendation: file the 12(b)(6) motion on January 15 to preserve our rights and meet the deadline, and schedule a strategy conference with the client this week to decide whether to move to remand.</w:t>
      </w:r>
    </w:p>
    <w:p>
      <w:pPr>
        <w:spacing w:before="0" w:after="0"/>
        <w:ind w:firstLine="720"/>
      </w:pPr>
      <w:r>
        <w:rPr>
          <w:rFonts w:ascii="Times New Roman" w:hAnsi="Times New Roman" w:eastAsia="Times New Roman"/>
          <w:b w:val="0"/>
          <w:i w:val="0"/>
          <w:sz w:val="24"/>
          <w:u w:val="none"/>
        </w:rPr>
        <w:t>Action item: Confirm the citizenship analysis by reviewing the Apex Medical Ventures, LP partnership agreement (not yet produced) to verify that Apex Medical Ventures GP, Inc. is the sole general partner and that no other partner introduces additional citizenship. Also note a discrepancy in the record: the FAC (¶ 8) describes the Okonkwo Family Trust as “irrevocable,” while the Operating Agreement (Ex. A, Note 3(b)) describes it as a “revocable inter vivos trust.” The trust’s citizenship (and thus Apex’s) may turn on this distinction, but it is immaterial to the diversity defect because the Delaware GP alone destroys complete diversity.</w:t>
      </w:r>
    </w:p>
    <w:p>
      <w:pPr>
        <w:spacing w:before="240" w:after="120"/>
      </w:pPr>
      <w:r>
        <w:rPr>
          <w:rFonts w:ascii="Times New Roman" w:hAnsi="Times New Roman" w:eastAsia="Times New Roman"/>
          <w:b/>
          <w:i w:val="0"/>
          <w:sz w:val="24"/>
          <w:u w:val="single"/>
        </w:rPr>
        <w:t>2.  Post-Answer Procedural Posture — Standing Order vs. Scheduling Order Conflict</w:t>
      </w:r>
    </w:p>
    <w:p>
      <w:pPr>
        <w:spacing w:before="0" w:after="0"/>
        <w:ind w:firstLine="720"/>
      </w:pPr>
      <w:r>
        <w:rPr>
          <w:rFonts w:ascii="Times New Roman" w:hAnsi="Times New Roman" w:eastAsia="Times New Roman"/>
          <w:b w:val="0"/>
          <w:i w:val="0"/>
          <w:sz w:val="24"/>
          <w:u w:val="none"/>
        </w:rPr>
        <w:t>There is a direct conflict between the Court’s Standing Order § 3.4 and the Scheduling Order (Dkt. No. 18, ¶ III.A.4) regarding how a post-answer motion to dismiss is treated. The Standing Order states that the Court “shall treat such motion as a motion to dismiss, not as a motion for judgment on the pleadings under Rule 12(c).” The Scheduling Order states that “[t]he Court will treat any such motion as a Rule 12(c) motion for judgment on the pleadings, evaluated under the same standard as a Rule 12(b)(6) motion.”</w:t>
      </w:r>
    </w:p>
    <w:p>
      <w:pPr>
        <w:spacing w:before="0" w:after="0"/>
        <w:ind w:firstLine="720"/>
      </w:pPr>
      <w:r>
        <w:rPr>
          <w:rFonts w:ascii="Times New Roman" w:hAnsi="Times New Roman" w:eastAsia="Times New Roman"/>
          <w:b w:val="0"/>
          <w:i w:val="0"/>
          <w:sz w:val="24"/>
          <w:u w:val="none"/>
        </w:rPr>
        <w:t>The practical effect is minimal—both apply the Twombly/Iqbal standard, and the Rule 12(b)(6) defense is preserved under Rule 12(h)(2) regardless of label. The motion is captioned as a Rule 12(b)(6) motion (consistent with the Standing Order and the Answer’s express reservation, Dkt. No. 15 at 3), with a footnote acknowledging the Scheduling Order’s 12(c) treatment. We should be prepared to address the label if the Court raises it. No action required before filing, but flag for the reply brief if Plaintiff challenges our procedural posture.</w:t>
      </w:r>
    </w:p>
    <w:p>
      <w:pPr>
        <w:spacing w:before="240" w:after="120"/>
      </w:pPr>
      <w:r>
        <w:rPr>
          <w:rFonts w:ascii="Times New Roman" w:hAnsi="Times New Roman" w:eastAsia="Times New Roman"/>
          <w:b/>
          <w:i w:val="0"/>
          <w:sz w:val="24"/>
          <w:u w:val="single"/>
        </w:rPr>
        <w:t>3.  Choice of Law — Delaware (Contract) vs. Texas (Torts)</w:t>
      </w:r>
    </w:p>
    <w:p>
      <w:pPr>
        <w:spacing w:before="0" w:after="0"/>
        <w:ind w:firstLine="720"/>
      </w:pPr>
      <w:r>
        <w:rPr>
          <w:rFonts w:ascii="Times New Roman" w:hAnsi="Times New Roman" w:eastAsia="Times New Roman"/>
          <w:b w:val="0"/>
          <w:i w:val="0"/>
          <w:sz w:val="24"/>
          <w:u w:val="none"/>
        </w:rPr>
        <w:t>MSLSA § 12.7 designates Delaware law to govern the contract, without regard to conflict-of-law principles. The FAC, however, alleges that Texas law governs every count, including the breach-of-contract claim (FAC ¶ 76). The motion argues Delaware law governs Count I and addresses the tort counts under both Delaware and Texas law in the alternative. The choice-of-law question matters most for the economic loss rule (Delaware’s is broader and more robust, see Brasby and Kuhn) and for integration-clause enforcement (Delaware’s anti-reliance doctrine, see Eagle Industries). Under Texas’s most-significant-relationship test, Texas law likely governs the torts (all contacts point to Texas), but the tort claims fail under either body of law. No action required; the motion’s alternative approach covers both. We should be ready to develop the Delaware tort authorities further if the Court applies Delaware law broadly to all claims arising from the MSLSA.</w:t>
      </w:r>
    </w:p>
    <w:p>
      <w:pPr>
        <w:spacing w:before="240" w:after="120"/>
      </w:pPr>
      <w:r>
        <w:rPr>
          <w:rFonts w:ascii="Times New Roman" w:hAnsi="Times New Roman" w:eastAsia="Times New Roman"/>
          <w:b/>
          <w:i w:val="0"/>
          <w:sz w:val="24"/>
          <w:u w:val="single"/>
        </w:rPr>
        <w:t>4.  DTPA Pre-Suit Demand — Possible Timing Defect</w:t>
      </w:r>
    </w:p>
    <w:p>
      <w:pPr>
        <w:spacing w:before="0" w:after="0"/>
        <w:ind w:firstLine="720"/>
      </w:pPr>
      <w:r>
        <w:rPr>
          <w:rFonts w:ascii="Times New Roman" w:hAnsi="Times New Roman" w:eastAsia="Times New Roman"/>
          <w:b w:val="0"/>
          <w:i w:val="0"/>
          <w:sz w:val="24"/>
          <w:u w:val="none"/>
        </w:rPr>
        <w:t>Arcadia’s DTPA pre-suit demand letter is dated June 15, 2023, and the original petition was filed on August 7, 2023—only 53 days later. DTPA § 17.505(a) requires the consumer to give written notice at least 60 days before filing suit. If the 60-day period runs from receipt (a day or two after June 15), Arcadia may have filed before the statutory period elapsed. The FAC does not allege compliance with § 17.505. This is a potential additional ground for dismissal of Count V, but it turns on facts outside the complaint (date of receipt) and is therefore less clean than the § 17.49(f) exemption, which is purely legal and dispositive. The motion leads with § 17.49(f) and does not rely on the timing issue. Action item: confirm the certified-mail receipt date; if it confirms a sub-60-day gap, we can raise it in the reply or in a supplemental submission.</w:t>
      </w:r>
    </w:p>
    <w:p>
      <w:pPr>
        <w:spacing w:before="240" w:after="120"/>
      </w:pPr>
      <w:r>
        <w:rPr>
          <w:rFonts w:ascii="Times New Roman" w:hAnsi="Times New Roman" w:eastAsia="Times New Roman"/>
          <w:b/>
          <w:i w:val="0"/>
          <w:sz w:val="24"/>
          <w:u w:val="single"/>
        </w:rPr>
        <w:t>5.  Internal Inconsistency — Bar Numbers in Our Own Filings</w:t>
      </w:r>
    </w:p>
    <w:p>
      <w:pPr>
        <w:spacing w:before="0" w:after="0"/>
        <w:ind w:firstLine="720"/>
      </w:pPr>
      <w:r>
        <w:rPr>
          <w:rFonts w:ascii="Times New Roman" w:hAnsi="Times New Roman" w:eastAsia="Times New Roman"/>
          <w:b w:val="0"/>
          <w:i w:val="0"/>
          <w:sz w:val="24"/>
          <w:u w:val="none"/>
        </w:rPr>
        <w:t>Our two prior filings use different State Bar numbers for the same attorneys. The Notice of Removal (Dkt. No. 1) lists Margaret Calloway as No. 24078153 and David Arsenault as No. 24112490. The Answer (Dkt. No. 15) lists Margaret Calloway as No. 24037891 and David Arsenault as No. 24098254. The motion uses the Answer’s numbers (the more recent filing). Action item: verify the correct bar numbers with the firm’s records before filing and correct the motion if necessary. Inconsistent bar numbers across filings are a minor but avoidable embarrassment that Plaintiff’s counsel may note.</w:t>
      </w:r>
    </w:p>
    <w:p>
      <w:pPr>
        <w:spacing w:before="240" w:after="120"/>
      </w:pPr>
      <w:r>
        <w:rPr>
          <w:rFonts w:ascii="Times New Roman" w:hAnsi="Times New Roman" w:eastAsia="Times New Roman"/>
          <w:b/>
          <w:i w:val="0"/>
          <w:sz w:val="24"/>
          <w:u w:val="single"/>
        </w:rPr>
        <w:t>6.  Jury Trial Waiver vs. Jury Demand</w:t>
      </w:r>
    </w:p>
    <w:p>
      <w:pPr>
        <w:spacing w:before="0" w:after="0"/>
        <w:ind w:firstLine="720"/>
      </w:pPr>
      <w:r>
        <w:rPr>
          <w:rFonts w:ascii="Times New Roman" w:hAnsi="Times New Roman" w:eastAsia="Times New Roman"/>
          <w:b w:val="0"/>
          <w:i w:val="0"/>
          <w:sz w:val="24"/>
          <w:u w:val="none"/>
        </w:rPr>
        <w:t>The FAC demands a jury (FAC ¶ 122). MSLSA § 12.9 contains a mutual jury-trial waiver, which Arcadia’s counsel expressly agreed to during negotiations. The Scheduling Order states that the parties “have waived their right to a jury trial pursuant to Section 12.9” and that the case will be tried to the bench. Our Answer demands a jury only “to the extent that the Court determines the jury trial waiver in Section 12.9 is not enforceable.” This issue does not affect the 12(b)(6) motion, but it is relevant to trial strategy and to the forum decision in Issue 1. If the case is remanded to state court, the enforceability of the jury waiver under Texas law should be reassessed. No action required for the motion.</w:t>
      </w:r>
    </w:p>
    <w:p>
      <w:pPr>
        <w:spacing w:before="240" w:after="120"/>
      </w:pPr>
      <w:r>
        <w:rPr>
          <w:rFonts w:ascii="Times New Roman" w:hAnsi="Times New Roman" w:eastAsia="Times New Roman"/>
          <w:b/>
          <w:i w:val="0"/>
          <w:sz w:val="24"/>
          <w:u w:val="single"/>
        </w:rPr>
        <w:t>7.  Compliance with the Standing Order — Formatting and Filing Mechanics</w:t>
      </w:r>
    </w:p>
    <w:p>
      <w:pPr>
        <w:spacing w:before="0" w:after="0"/>
        <w:ind w:firstLine="720"/>
      </w:pPr>
      <w:r>
        <w:rPr>
          <w:rFonts w:ascii="Times New Roman" w:hAnsi="Times New Roman" w:eastAsia="Times New Roman"/>
          <w:b w:val="0"/>
          <w:i w:val="0"/>
          <w:sz w:val="24"/>
          <w:u w:val="none"/>
        </w:rPr>
        <w:t>The motion is formatted to comply with the Standing Order: 12-point Times New Roman, double-spaced, one-inch margins, page numbers at bottom center, 25-page substantive limit (exclusive of caption, table of contents, table of authorities, signature block, and certificates). Two filing-mechanic notes: (a) The Standing Order § 3.1 requires the certificate of conference to be filed as a separate document concurrently with the motion—it is included in the motion file for convenience but should be docketed as a separate entry on CM/ECF; and (b) the proposed order must be filed as a separate .docx (Standing Order § 3.5)—it is provided as a separate deliverable. The proposed order uses a placeholder for the docket entry number (Dkt. No. “__”); per the Standing Order, we must update it with the correct number within one business day of filing.</w:t>
      </w:r>
    </w:p>
    <w:p>
      <w:pPr>
        <w:spacing w:before="240" w:after="120"/>
      </w:pPr>
      <w:r>
        <w:rPr>
          <w:rFonts w:ascii="Times New Roman" w:hAnsi="Times New Roman" w:eastAsia="Times New Roman"/>
          <w:b/>
          <w:i w:val="0"/>
          <w:sz w:val="24"/>
          <w:u w:val="single"/>
        </w:rPr>
        <w:t>8.  Count I Strategy — Full Dismissal vs. Damages Limitation</w:t>
      </w:r>
    </w:p>
    <w:p>
      <w:pPr>
        <w:spacing w:before="0" w:after="0"/>
        <w:ind w:firstLine="720"/>
      </w:pPr>
      <w:r>
        <w:rPr>
          <w:rFonts w:ascii="Times New Roman" w:hAnsi="Times New Roman" w:eastAsia="Times New Roman"/>
          <w:b w:val="0"/>
          <w:i w:val="0"/>
          <w:sz w:val="24"/>
          <w:u w:val="none"/>
        </w:rPr>
        <w:t>Full dismissal of the breach-of-contract claim is the most aggressive posture. The deemed-acceptance and warranty-expiration arguments are strong (Simulados is directly on point from this District), but Judge Alvarez may be reluctant to dismiss a breach-of-contract claim entirely at the 12(b)(6) stage where the contract was admittedly performed imperfectly. The motion therefore presents full dismissal as the primary argument and damages limitation (Sections 8.1 and 8.2) as the alternative. If the Court is inclined to keep Count I alive, the alternative argument still eliminates roughly $30 million of the $47.3 million demand (lost profits, operating costs, and reputational harm are consequential damages waived by § 8.2) and caps the remainder at the 12-month fee cap under § 8.1. We should be prepared to press the alternative hard in the reply if the Court signals discomfort with full dismissal.</w:t>
      </w:r>
    </w:p>
    <w:p>
      <w:pPr>
        <w:spacing w:before="240" w:after="120"/>
      </w:pPr>
      <w:r>
        <w:rPr>
          <w:rFonts w:ascii="Times New Roman" w:hAnsi="Times New Roman" w:eastAsia="Times New Roman"/>
          <w:b/>
          <w:i w:val="0"/>
          <w:sz w:val="24"/>
          <w:u w:val="single"/>
        </w:rPr>
        <w:t>9.  Summary and Recommended Next Steps</w:t>
      </w:r>
    </w:p>
    <w:p>
      <w:pPr>
        <w:spacing w:before="0" w:after="0"/>
        <w:ind w:firstLine="720"/>
      </w:pPr>
      <w:r>
        <w:rPr>
          <w:rFonts w:ascii="Times New Roman" w:hAnsi="Times New Roman" w:eastAsia="Times New Roman"/>
          <w:b w:val="0"/>
          <w:i w:val="0"/>
          <w:sz w:val="24"/>
          <w:u w:val="none"/>
        </w:rPr>
        <w:t>The 12(b)(6) motion is ready to file on January 15, 2024 and presents strong, well-supported arguments for dismissal of all five counts. The § 17.49(f) DTPA exemption and the unjust-enrichment bar are clean and dispositive. The fraud and negligent-mispresentation arguments are robust under Rule 9(b), the economic loss rule, puffery, and the integration clause. The breach-of-contract arguments are strongest on deemed acceptance and damages limitation.</w:t>
      </w:r>
    </w:p>
    <w:p>
      <w:pPr>
        <w:spacing w:before="80" w:after="40"/>
      </w:pPr>
      <w:r>
        <w:rPr>
          <w:rFonts w:ascii="Times New Roman" w:hAnsi="Times New Roman" w:eastAsia="Times New Roman"/>
          <w:b/>
          <w:i w:val="0"/>
          <w:sz w:val="24"/>
          <w:u w:val="none"/>
        </w:rPr>
        <w:t>Recommended next steps:</w:t>
      </w:r>
    </w:p>
    <w:p>
      <w:pPr>
        <w:spacing w:before="0" w:after="0"/>
        <w:ind w:left="720"/>
      </w:pPr>
      <w:r>
        <w:rPr>
          <w:rFonts w:ascii="Times New Roman" w:hAnsi="Times New Roman" w:eastAsia="Times New Roman"/>
          <w:b w:val="0"/>
          <w:i w:val="0"/>
          <w:sz w:val="24"/>
          <w:u w:val="none"/>
        </w:rPr>
        <w:t>(a)  File the 12(b)(6) motion, certificate of conference, and proposed order on January 15, 2024;</w:t>
      </w:r>
    </w:p>
    <w:p>
      <w:pPr>
        <w:spacing w:before="0" w:after="0"/>
        <w:ind w:left="720"/>
      </w:pPr>
      <w:r>
        <w:rPr>
          <w:rFonts w:ascii="Times New Roman" w:hAnsi="Times New Roman" w:eastAsia="Times New Roman"/>
          <w:b w:val="0"/>
          <w:i w:val="0"/>
          <w:sz w:val="24"/>
          <w:u w:val="none"/>
        </w:rPr>
        <w:t>(b)  Hold a client strategy conference this week to decide whether to move to remand on the diversity defect (Issue 1);</w:t>
      </w:r>
    </w:p>
    <w:p>
      <w:pPr>
        <w:spacing w:before="0" w:after="0"/>
        <w:ind w:left="720"/>
      </w:pPr>
      <w:r>
        <w:rPr>
          <w:rFonts w:ascii="Times New Roman" w:hAnsi="Times New Roman" w:eastAsia="Times New Roman"/>
          <w:b w:val="0"/>
          <w:i w:val="0"/>
          <w:sz w:val="24"/>
          <w:u w:val="none"/>
        </w:rPr>
        <w:t>(c)  Verify the correct State Bar numbers (Issue 5) and the certified-mail receipt date for the DTPA demand (Issue 4);</w:t>
      </w:r>
    </w:p>
    <w:p>
      <w:pPr>
        <w:spacing w:before="0" w:after="0"/>
        <w:ind w:left="720"/>
      </w:pPr>
      <w:r>
        <w:rPr>
          <w:rFonts w:ascii="Times New Roman" w:hAnsi="Times New Roman" w:eastAsia="Times New Roman"/>
          <w:b w:val="0"/>
          <w:i w:val="0"/>
          <w:sz w:val="24"/>
          <w:u w:val="none"/>
        </w:rPr>
        <w:t>(d)  Obtain the Apex Medical Ventures, LP partnership agreement to confirm the citizenship analysis (Issue 1); and</w:t>
      </w:r>
    </w:p>
    <w:p>
      <w:pPr>
        <w:spacing w:before="0" w:after="0"/>
        <w:ind w:left="720"/>
      </w:pPr>
      <w:r>
        <w:rPr>
          <w:rFonts w:ascii="Times New Roman" w:hAnsi="Times New Roman" w:eastAsia="Times New Roman"/>
          <w:b w:val="0"/>
          <w:i w:val="0"/>
          <w:sz w:val="24"/>
          <w:u w:val="none"/>
        </w:rPr>
        <w:t>(e)  Update the proposed order with the correct docket entry number within one business day of filing (Issue 7).</w:t>
      </w:r>
    </w:p>
    <w:p>
      <w:pPr>
        <w:spacing w:before="0" w:after="120"/>
      </w:pPr>
    </w:p>
    <w:p>
      <w:pPr>
        <w:spacing w:before="120" w:after="0" w:line="240" w:lineRule="auto"/>
      </w:pPr>
      <w:r>
        <w:rPr>
          <w:rFonts w:ascii="Times New Roman" w:hAnsi="Times New Roman" w:eastAsia="Times New Roman"/>
          <w:b w:val="0"/>
          <w:i/>
          <w:sz w:val="24"/>
          <w:u w:val="none"/>
        </w:rPr>
        <w:t>This memorandum is privileged and confidential attorney work product prepared in connection with Stonebridge &amp; Calloway LLP’s representation of Meridian Cloud Solutions, Inc. Do not distribute outside the legal team without authorization.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