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28"/>
        </w:rPr>
        <w:t>CLOSING NOTES MEMORANDUM</w:t>
      </w:r>
    </w:p>
    <w:p>
      <w:pPr>
        <w:spacing w:after="120"/>
        <w:jc w:val="center"/>
      </w:pPr>
      <w:r>
        <w:rPr>
          <w:rFonts w:ascii="Calibri" w:hAnsi="Calibri"/>
          <w:b w:val="0"/>
          <w:i/>
          <w:color w:val="595959"/>
          <w:sz w:val="20"/>
        </w:rPr>
        <w:t>Discrepancies, Assumptions &amp; Items Pending Confirmation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296"/>
            <w:vAlign w:val="center"/>
            <w:tcMar>
              <w:top w:w="40" w:type="dxa"/>
              <w:bottom w:w="40" w:type="dxa"/>
              <w:start w:w="80" w:type="dxa"/>
              <w:end w:w="80" w:type="dxa"/>
            </w:tcMar>
          </w:tcPr>
          <w:p>
            <w:pPr>
              <w:spacing w:before="20" w:after="20"/>
              <w:jc w:val="left"/>
            </w:pPr>
            <w:r/>
            <w:r>
              <w:rPr>
                <w:rFonts w:ascii="Calibri" w:hAnsi="Calibri"/>
                <w:b/>
                <w:i w:val="0"/>
                <w:sz w:val="18"/>
              </w:rPr>
              <w:t>TO:</w:t>
            </w:r>
          </w:p>
        </w:tc>
        <w:tc>
          <w:tcPr>
            <w:tcW w:type="dxa" w:w="10512"/>
            <w:vAlign w:val="center"/>
            <w:tcMar>
              <w:top w:w="40" w:type="dxa"/>
              <w:bottom w:w="40" w:type="dxa"/>
              <w:start w:w="80" w:type="dxa"/>
              <w:end w:w="80" w:type="dxa"/>
            </w:tcMar>
          </w:tcPr>
          <w:p>
            <w:pPr>
              <w:spacing w:before="20" w:after="20"/>
              <w:jc w:val="left"/>
            </w:pPr>
            <w:r/>
            <w:r>
              <w:rPr>
                <w:rFonts w:ascii="Calibri" w:hAnsi="Calibri"/>
                <w:b w:val="0"/>
                <w:i w:val="0"/>
                <w:sz w:val="18"/>
              </w:rPr>
              <w:t>Lorraine M. Grasso, Closing Officer — Pinnacle Abstract &amp; Title LLC</w:t>
            </w:r>
          </w:p>
        </w:tc>
      </w:tr>
      <w:tr>
        <w:tc>
          <w:tcPr>
            <w:tcW w:type="dxa" w:w="1296"/>
            <w:vAlign w:val="center"/>
            <w:tcMar>
              <w:top w:w="40" w:type="dxa"/>
              <w:bottom w:w="40" w:type="dxa"/>
              <w:start w:w="80" w:type="dxa"/>
              <w:end w:w="80" w:type="dxa"/>
            </w:tcMar>
          </w:tcPr>
          <w:p>
            <w:pPr>
              <w:spacing w:before="20" w:after="20"/>
              <w:jc w:val="left"/>
            </w:pPr>
            <w:r/>
            <w:r>
              <w:rPr>
                <w:rFonts w:ascii="Calibri" w:hAnsi="Calibri"/>
                <w:b/>
                <w:i w:val="0"/>
                <w:sz w:val="18"/>
              </w:rPr>
              <w:t>FROM:</w:t>
            </w:r>
          </w:p>
        </w:tc>
        <w:tc>
          <w:tcPr>
            <w:tcW w:type="dxa" w:w="10512"/>
            <w:vAlign w:val="center"/>
            <w:tcMar>
              <w:top w:w="40" w:type="dxa"/>
              <w:bottom w:w="40" w:type="dxa"/>
              <w:start w:w="80" w:type="dxa"/>
              <w:end w:w="80" w:type="dxa"/>
            </w:tcMar>
          </w:tcPr>
          <w:p>
            <w:pPr>
              <w:spacing w:before="20" w:after="20"/>
              <w:jc w:val="left"/>
            </w:pPr>
            <w:r/>
            <w:r>
              <w:rPr>
                <w:rFonts w:ascii="Calibri" w:hAnsi="Calibri"/>
                <w:b w:val="0"/>
                <w:i w:val="0"/>
                <w:sz w:val="18"/>
              </w:rPr>
              <w:t>Settlement Statement Preparation (pre-closing review)</w:t>
            </w:r>
          </w:p>
        </w:tc>
      </w:tr>
      <w:tr>
        <w:tc>
          <w:tcPr>
            <w:tcW w:type="dxa" w:w="1296"/>
            <w:vAlign w:val="center"/>
            <w:tcMar>
              <w:top w:w="40" w:type="dxa"/>
              <w:bottom w:w="40" w:type="dxa"/>
              <w:start w:w="80" w:type="dxa"/>
              <w:end w:w="80" w:type="dxa"/>
            </w:tcMar>
          </w:tcPr>
          <w:p>
            <w:pPr>
              <w:spacing w:before="20" w:after="20"/>
              <w:jc w:val="left"/>
            </w:pPr>
            <w:r/>
            <w:r>
              <w:rPr>
                <w:rFonts w:ascii="Calibri" w:hAnsi="Calibri"/>
                <w:b/>
                <w:i w:val="0"/>
                <w:sz w:val="18"/>
              </w:rPr>
              <w:t>DATE:</w:t>
            </w:r>
          </w:p>
        </w:tc>
        <w:tc>
          <w:tcPr>
            <w:tcW w:type="dxa" w:w="10512"/>
            <w:vAlign w:val="center"/>
            <w:tcMar>
              <w:top w:w="40" w:type="dxa"/>
              <w:bottom w:w="40" w:type="dxa"/>
              <w:start w:w="80" w:type="dxa"/>
              <w:end w:w="80" w:type="dxa"/>
            </w:tcMar>
          </w:tcPr>
          <w:p>
            <w:pPr>
              <w:spacing w:before="20" w:after="20"/>
              <w:jc w:val="left"/>
            </w:pPr>
            <w:r/>
            <w:r>
              <w:rPr>
                <w:rFonts w:ascii="Calibri" w:hAnsi="Calibri"/>
                <w:b w:val="0"/>
                <w:i w:val="0"/>
                <w:sz w:val="18"/>
              </w:rPr>
              <w:t>July 14, 2025</w:t>
            </w:r>
          </w:p>
        </w:tc>
      </w:tr>
      <w:tr>
        <w:tc>
          <w:tcPr>
            <w:tcW w:type="dxa" w:w="1296"/>
            <w:vAlign w:val="center"/>
            <w:tcMar>
              <w:top w:w="40" w:type="dxa"/>
              <w:bottom w:w="40" w:type="dxa"/>
              <w:start w:w="80" w:type="dxa"/>
              <w:end w:w="80" w:type="dxa"/>
            </w:tcMar>
          </w:tcPr>
          <w:p>
            <w:pPr>
              <w:spacing w:before="20" w:after="20"/>
              <w:jc w:val="left"/>
            </w:pPr>
            <w:r/>
            <w:r>
              <w:rPr>
                <w:rFonts w:ascii="Calibri" w:hAnsi="Calibri"/>
                <w:b/>
                <w:i w:val="0"/>
                <w:sz w:val="18"/>
              </w:rPr>
              <w:t>RE:</w:t>
            </w:r>
          </w:p>
        </w:tc>
        <w:tc>
          <w:tcPr>
            <w:tcW w:type="dxa" w:w="10512"/>
            <w:vAlign w:val="center"/>
            <w:tcMar>
              <w:top w:w="40" w:type="dxa"/>
              <w:bottom w:w="40" w:type="dxa"/>
              <w:start w:w="80" w:type="dxa"/>
              <w:end w:w="80" w:type="dxa"/>
            </w:tcMar>
          </w:tcPr>
          <w:p>
            <w:pPr>
              <w:spacing w:before="20" w:after="20"/>
              <w:jc w:val="left"/>
            </w:pPr>
            <w:r/>
            <w:r>
              <w:rPr>
                <w:rFonts w:ascii="Calibri" w:hAnsi="Calibri"/>
                <w:b w:val="0"/>
                <w:i w:val="0"/>
                <w:sz w:val="18"/>
              </w:rPr>
              <w:t>Settlement statement for sale of 4280 Harborview Boulevard, Bridgeport, CT 06604</w:t>
            </w:r>
          </w:p>
        </w:tc>
      </w:tr>
      <w:tr>
        <w:tc>
          <w:tcPr>
            <w:tcW w:type="dxa" w:w="1296"/>
            <w:vAlign w:val="center"/>
            <w:tcMar>
              <w:top w:w="40" w:type="dxa"/>
              <w:bottom w:w="40" w:type="dxa"/>
              <w:start w:w="80" w:type="dxa"/>
              <w:end w:w="80" w:type="dxa"/>
            </w:tcMar>
          </w:tcPr>
          <w:p>
            <w:pPr>
              <w:spacing w:before="20" w:after="20"/>
              <w:jc w:val="left"/>
            </w:pPr>
            <w:r/>
            <w:r>
              <w:rPr>
                <w:rFonts w:ascii="Calibri" w:hAnsi="Calibri"/>
                <w:b/>
                <w:i w:val="0"/>
                <w:sz w:val="18"/>
              </w:rPr>
              <w:t>CLOSING:</w:t>
            </w:r>
          </w:p>
        </w:tc>
        <w:tc>
          <w:tcPr>
            <w:tcW w:type="dxa" w:w="10512"/>
            <w:vAlign w:val="center"/>
            <w:tcMar>
              <w:top w:w="40" w:type="dxa"/>
              <w:bottom w:w="40" w:type="dxa"/>
              <w:start w:w="80" w:type="dxa"/>
              <w:end w:w="80" w:type="dxa"/>
            </w:tcMar>
          </w:tcPr>
          <w:p>
            <w:pPr>
              <w:spacing w:before="20" w:after="20"/>
              <w:jc w:val="left"/>
            </w:pPr>
            <w:r/>
            <w:r>
              <w:rPr>
                <w:rFonts w:ascii="Calibri" w:hAnsi="Calibri"/>
                <w:b w:val="0"/>
                <w:i w:val="0"/>
                <w:sz w:val="18"/>
              </w:rPr>
              <w:t>July 15, 2025  |  Seller: Estate of Gerald T. Whitford  |  Buyer: Meridian Cove Properties LLC</w:t>
            </w:r>
          </w:p>
        </w:tc>
      </w:tr>
    </w:tbl>
    <w:p>
      <w:pPr>
        <w:spacing w:before="120" w:after="80"/>
        <w:jc w:val="both"/>
      </w:pPr>
      <w:r>
        <w:rPr>
          <w:rFonts w:ascii="Calibri" w:hAnsi="Calibri"/>
          <w:b w:val="0"/>
          <w:i w:val="0"/>
          <w:sz w:val="18"/>
        </w:rPr>
        <w:t>This memorandum accompanies the settlement statement and identifies (i) discrepancies among the closing documents, (ii) assumptions made in preparing the statement, and (iii) items that remain pending and must be confirmed before or at closing. Each item is keyed to the relevant contract section or source document. No item below prevents closing on July 15, 2025, provided the pending confirmations are obtained; several are subject to the 90-day reproration/survival window in PSA §7.7.</w:t>
      </w:r>
    </w:p>
    <w:p>
      <w:pPr>
        <w:keepNext/>
        <w:spacing w:before="200" w:after="80"/>
        <w:pBdr>
          <w:bottom w:val="single" w:sz="6" w:space="2" w:color="1F3864"/>
        </w:pBdr>
      </w:pPr>
      <w:r>
        <w:rPr>
          <w:rFonts w:ascii="Calibri" w:hAnsi="Calibri"/>
          <w:b/>
          <w:i w:val="0"/>
          <w:color w:val="1F3864"/>
          <w:sz w:val="24"/>
        </w:rPr>
        <w:t>PART 1 — DISCREPANCIES AMONG CLOSING DOCUMENTS</w:t>
      </w:r>
    </w:p>
    <w:p>
      <w:pPr>
        <w:spacing w:before="80" w:after="20"/>
        <w:ind w:left="360"/>
      </w:pPr>
      <w:r>
        <w:rPr>
          <w:rFonts w:ascii="Calibri" w:hAnsi="Calibri"/>
          <w:b/>
          <w:i w:val="0"/>
          <w:color w:val="C00000"/>
          <w:sz w:val="18"/>
        </w:rPr>
        <w:t xml:space="preserve">1.1  </w:t>
      </w:r>
      <w:r>
        <w:rPr>
          <w:rFonts w:ascii="Calibri" w:hAnsi="Calibri"/>
          <w:b/>
          <w:i w:val="0"/>
          <w:sz w:val="18"/>
        </w:rPr>
        <w:t>Title commitment number.</w:t>
      </w:r>
    </w:p>
    <w:p>
      <w:pPr>
        <w:spacing w:after="40"/>
        <w:ind w:left="720"/>
        <w:jc w:val="both"/>
      </w:pPr>
      <w:r>
        <w:rPr>
          <w:rFonts w:ascii="Calibri" w:hAnsi="Calibri"/>
          <w:b w:val="0"/>
          <w:i w:val="0"/>
          <w:sz w:val="18"/>
        </w:rPr>
        <w:t>The PSA (§5.1) references Title Commitment No. PCT-2025-08814, while the actual title commitment issued by Pinnacle Abstract &amp; Title LLC bears Commitment No. TC-2025-07182 (effective June 18, 2025). The commitment number cited in the contract does not match the commitment in the file. Confirm the correct commitment number and update the closing file / policy references accordingly.</w:t>
      </w:r>
    </w:p>
    <w:p>
      <w:pPr>
        <w:spacing w:before="80" w:after="20"/>
        <w:ind w:left="360"/>
      </w:pPr>
      <w:r>
        <w:rPr>
          <w:rFonts w:ascii="Calibri" w:hAnsi="Calibri"/>
          <w:b/>
          <w:i w:val="0"/>
          <w:color w:val="C00000"/>
          <w:sz w:val="18"/>
        </w:rPr>
        <w:t xml:space="preserve">1.2  </w:t>
      </w:r>
      <w:r>
        <w:rPr>
          <w:rFonts w:ascii="Calibri" w:hAnsi="Calibri"/>
          <w:b/>
          <w:i w:val="0"/>
          <w:sz w:val="18"/>
        </w:rPr>
        <w:t>Title insurer name.</w:t>
      </w:r>
    </w:p>
    <w:p>
      <w:pPr>
        <w:spacing w:after="40"/>
        <w:ind w:left="720"/>
        <w:jc w:val="both"/>
      </w:pPr>
      <w:r>
        <w:rPr>
          <w:rFonts w:ascii="Calibri" w:hAnsi="Calibri"/>
          <w:b w:val="0"/>
          <w:i w:val="0"/>
          <w:sz w:val="18"/>
        </w:rPr>
        <w:t>The title commitment header names 'Continental Fididelity Title Insurance Company,' while the body and Conditions &amp; Stipulations refer to 'Continental Hartleigh Title Insurance Company.' The issuing agent is Pinnacle Abstract &amp; Title LLC in both. Clarify the correct underwriter name for the owner's and lender's policies before issuance.</w:t>
      </w:r>
    </w:p>
    <w:p>
      <w:pPr>
        <w:spacing w:before="80" w:after="20"/>
        <w:ind w:left="360"/>
      </w:pPr>
      <w:r>
        <w:rPr>
          <w:rFonts w:ascii="Calibri" w:hAnsi="Calibri"/>
          <w:b/>
          <w:i w:val="0"/>
          <w:color w:val="C00000"/>
          <w:sz w:val="18"/>
        </w:rPr>
        <w:t xml:space="preserve">1.3  </w:t>
      </w:r>
      <w:r>
        <w:rPr>
          <w:rFonts w:ascii="Calibri" w:hAnsi="Calibri"/>
          <w:b/>
          <w:i w:val="0"/>
          <w:sz w:val="18"/>
        </w:rPr>
        <w:t>Mechanic's lien recording reference.</w:t>
      </w:r>
    </w:p>
    <w:p>
      <w:pPr>
        <w:spacing w:after="40"/>
        <w:ind w:left="720"/>
        <w:jc w:val="both"/>
      </w:pPr>
      <w:r>
        <w:rPr>
          <w:rFonts w:ascii="Calibri" w:hAnsi="Calibri"/>
          <w:b w:val="0"/>
          <w:i w:val="0"/>
          <w:sz w:val="18"/>
        </w:rPr>
        <w:t>The title commitment (Schedule B-I, Requirement 6) states the Northbridge Construction Co. mechanic's lien was recorded at Volume 1398, Page 77 of the Bridgeport Land Records. The Northbridge settlement letter and the payoff-letter summary state the lien was recorded at Volume 1064, Page 517. These recording references conflict. Verify against the land records and ensure the release is recorded against the correct instrument.</w:t>
      </w:r>
    </w:p>
    <w:p>
      <w:pPr>
        <w:spacing w:before="80" w:after="20"/>
        <w:ind w:left="360"/>
      </w:pPr>
      <w:r>
        <w:rPr>
          <w:rFonts w:ascii="Calibri" w:hAnsi="Calibri"/>
          <w:b/>
          <w:i w:val="0"/>
          <w:color w:val="C00000"/>
          <w:sz w:val="18"/>
        </w:rPr>
        <w:t xml:space="preserve">1.4  </w:t>
      </w:r>
      <w:r>
        <w:rPr>
          <w:rFonts w:ascii="Calibri" w:hAnsi="Calibri"/>
          <w:b/>
          <w:i w:val="0"/>
          <w:sz w:val="18"/>
        </w:rPr>
        <w:t>First-mortgage and HELOC recording references.</w:t>
      </w:r>
    </w:p>
    <w:p>
      <w:pPr>
        <w:spacing w:after="40"/>
        <w:ind w:left="720"/>
        <w:jc w:val="both"/>
      </w:pPr>
      <w:r>
        <w:rPr>
          <w:rFonts w:ascii="Calibri" w:hAnsi="Calibri"/>
          <w:b w:val="0"/>
          <w:i w:val="0"/>
          <w:sz w:val="18"/>
        </w:rPr>
        <w:t>The title commitment records the Harborstone first mortgage at Volume 1087, Page 445 and the HELOC at Volume 1204, Page 218. The payoff letters / summary table cite the first mortgage at 'Volume 312, Page 88' (which is in fact the plat reference for the property) and the HELOC at Volume 487, Page 112. The first-mortgage citation in the payoff package appears erroneous. Confirm the correct recording references before recording releases.</w:t>
      </w:r>
    </w:p>
    <w:p>
      <w:pPr>
        <w:spacing w:before="80" w:after="20"/>
        <w:ind w:left="360"/>
      </w:pPr>
      <w:r>
        <w:rPr>
          <w:rFonts w:ascii="Calibri" w:hAnsi="Calibri"/>
          <w:b/>
          <w:i w:val="0"/>
          <w:color w:val="C00000"/>
          <w:sz w:val="18"/>
        </w:rPr>
        <w:t xml:space="preserve">1.5  </w:t>
      </w:r>
      <w:r>
        <w:rPr>
          <w:rFonts w:ascii="Calibri" w:hAnsi="Calibri"/>
          <w:b/>
          <w:i w:val="0"/>
          <w:sz w:val="18"/>
        </w:rPr>
        <w:t>Party address / telephone inconsistencies.</w:t>
      </w:r>
    </w:p>
    <w:p>
      <w:pPr>
        <w:spacing w:after="40"/>
        <w:ind w:left="720"/>
        <w:jc w:val="both"/>
      </w:pPr>
      <w:r>
        <w:rPr>
          <w:rFonts w:ascii="Calibri" w:hAnsi="Calibri"/>
          <w:b w:val="0"/>
          <w:i w:val="0"/>
          <w:sz w:val="18"/>
        </w:rPr>
        <w:t>Contact information for the closing parties varies across documents: Pinnacle Abstract &amp; Title LLC is shown at 88 Field Point Road, Greenwich (PSA/title commitment) but at 3100 Main Street, Bridgeport and 1200 Post Road East, Westport in the payoff and tax letters; Ridgeline Law Group PLLC is at 915 Chapel Street, New Haven (PSA) but 55 Railroad Avenue, Greenwich (payoff cover); and Ashford, Clement &amp; Paige LLP's telephone appears as (203) 325-6600 (PSA), (203) 547-8100 (payoff letters), and (203) 555-4100 (probate certificate). These are clerical/template inconsistencies that do not affect the financial reconciliation, but the correct addresses and wire instructions must be verified before disbursement.</w:t>
      </w:r>
    </w:p>
    <w:p>
      <w:pPr>
        <w:spacing w:before="80" w:after="20"/>
        <w:ind w:left="360"/>
      </w:pPr>
      <w:r>
        <w:rPr>
          <w:rFonts w:ascii="Calibri" w:hAnsi="Calibri"/>
          <w:b/>
          <w:i w:val="0"/>
          <w:color w:val="C00000"/>
          <w:sz w:val="18"/>
        </w:rPr>
        <w:t xml:space="preserve">1.6  </w:t>
      </w:r>
      <w:r>
        <w:rPr>
          <w:rFonts w:ascii="Calibri" w:hAnsi="Calibri"/>
          <w:b/>
          <w:i w:val="0"/>
          <w:sz w:val="18"/>
        </w:rPr>
        <w:t>Lender LTV narrative.</w:t>
      </w:r>
    </w:p>
    <w:p>
      <w:pPr>
        <w:spacing w:after="40"/>
        <w:ind w:left="720"/>
        <w:jc w:val="both"/>
      </w:pPr>
      <w:r>
        <w:rPr>
          <w:rFonts w:ascii="Calibri" w:hAnsi="Calibri"/>
          <w:b w:val="0"/>
          <w:i w:val="0"/>
          <w:sz w:val="18"/>
        </w:rPr>
        <w:t>The commitment letter states the loan-to-value ratio is 'approximately 67.7%' based on the appraised value of $3,920,000, but then computes $2,640,000 ÷ $3,920,000 = 67.35% (which rounds to 67.4%, not 67.7%). The 67.7% figure actually corresponds to the loan divided by the purchase price ($2,640,000 ÷ $3,900,000 = 67.69%). This is a narrative inconsistency in the commitment only; it does not affect any settlement-statement figure.</w:t>
      </w:r>
    </w:p>
    <w:p>
      <w:pPr>
        <w:keepNext/>
        <w:spacing w:before="200" w:after="80"/>
        <w:pBdr>
          <w:bottom w:val="single" w:sz="6" w:space="2" w:color="1F3864"/>
        </w:pBdr>
      </w:pPr>
      <w:r>
        <w:rPr>
          <w:rFonts w:ascii="Calibri" w:hAnsi="Calibri"/>
          <w:b/>
          <w:i w:val="0"/>
          <w:color w:val="1F3864"/>
          <w:sz w:val="24"/>
        </w:rPr>
        <w:t>PART 2 — ASSUMPTIONS MADE IN PREPARING THE STATEMENT</w:t>
      </w:r>
    </w:p>
    <w:p>
      <w:pPr>
        <w:spacing w:before="80" w:after="20"/>
        <w:ind w:left="360"/>
      </w:pPr>
      <w:r>
        <w:rPr>
          <w:rFonts w:ascii="Calibri" w:hAnsi="Calibri"/>
          <w:b/>
          <w:i w:val="0"/>
          <w:color w:val="1F3864"/>
          <w:sz w:val="18"/>
        </w:rPr>
        <w:t xml:space="preserve">2.1  </w:t>
      </w:r>
      <w:r>
        <w:rPr>
          <w:rFonts w:ascii="Calibri" w:hAnsi="Calibri"/>
          <w:b/>
          <w:i w:val="0"/>
          <w:sz w:val="18"/>
        </w:rPr>
        <w:t>Conveyance tax is an estimate.</w:t>
      </w:r>
    </w:p>
    <w:p>
      <w:pPr>
        <w:spacing w:after="40"/>
        <w:ind w:left="720"/>
        <w:jc w:val="both"/>
      </w:pPr>
      <w:r>
        <w:rPr>
          <w:rFonts w:ascii="Calibri" w:hAnsi="Calibri"/>
          <w:b w:val="0"/>
          <w:i w:val="0"/>
          <w:sz w:val="18"/>
        </w:rPr>
        <w:t>The Connecticut Real Estate Conveyance Tax is reflected at $44,750.00 total ($22,375.00 each), per the title commitment's Schedule C estimate, which states it is 'calculated using the tiered rate structure applicable to the City of Bridgeport' and that 'the actual amount due will be confirmed upon preparation and filing of Form OP-236.' The exact state/municipal rate split is not specified in any document. The final figure will be confirmed when the conveyance-tax return is prepared; any difference will be adjusted 50/50 between the parties per PSA §12.1.</w:t>
      </w:r>
    </w:p>
    <w:p>
      <w:pPr>
        <w:spacing w:before="80" w:after="20"/>
        <w:ind w:left="360"/>
      </w:pPr>
      <w:r>
        <w:rPr>
          <w:rFonts w:ascii="Calibri" w:hAnsi="Calibri"/>
          <w:b/>
          <w:i w:val="0"/>
          <w:color w:val="1F3864"/>
          <w:sz w:val="18"/>
        </w:rPr>
        <w:t xml:space="preserve">2.2  </w:t>
      </w:r>
      <w:r>
        <w:rPr>
          <w:rFonts w:ascii="Calibri" w:hAnsi="Calibri"/>
          <w:b/>
          <w:i w:val="0"/>
          <w:sz w:val="18"/>
        </w:rPr>
        <w:t>Next-fiscal-year property tax is estimated.</w:t>
      </w:r>
    </w:p>
    <w:p>
      <w:pPr>
        <w:spacing w:after="40"/>
        <w:ind w:left="720"/>
        <w:jc w:val="both"/>
      </w:pPr>
      <w:r>
        <w:rPr>
          <w:rFonts w:ascii="Calibri" w:hAnsi="Calibri"/>
          <w:b w:val="0"/>
          <w:i w:val="0"/>
          <w:sz w:val="18"/>
        </w:rPr>
        <w:t>The FY2025-2026 (July 1, 2025-June 30, 2026) tax has not been set or billed. Per PSA §7.1(b), the current-year levy of $52,480.00 is used as the estimate, prorated at $143.7808/day over 365 days (Seller 14 days = $2,012.93; Buyer 351 days = $50,467.07). The actual bill may differ; the parties must reprorate within 90 days after closing per PSA §7.7.</w:t>
      </w:r>
    </w:p>
    <w:p>
      <w:pPr>
        <w:spacing w:before="80" w:after="20"/>
        <w:ind w:left="360"/>
      </w:pPr>
      <w:r>
        <w:rPr>
          <w:rFonts w:ascii="Calibri" w:hAnsi="Calibri"/>
          <w:b/>
          <w:i w:val="0"/>
          <w:color w:val="1F3864"/>
          <w:sz w:val="18"/>
        </w:rPr>
        <w:t xml:space="preserve">2.3  </w:t>
      </w:r>
      <w:r>
        <w:rPr>
          <w:rFonts w:ascii="Calibri" w:hAnsi="Calibri"/>
          <w:b/>
          <w:i w:val="0"/>
          <w:sz w:val="18"/>
        </w:rPr>
        <w:t>No prepaid loan interest and no escrow impounds at closing.</w:t>
      </w:r>
    </w:p>
    <w:p>
      <w:pPr>
        <w:spacing w:after="40"/>
        <w:ind w:left="720"/>
        <w:jc w:val="both"/>
      </w:pPr>
      <w:r>
        <w:rPr>
          <w:rFonts w:ascii="Calibri" w:hAnsi="Calibri"/>
          <w:b w:val="0"/>
          <w:i w:val="0"/>
          <w:sz w:val="18"/>
        </w:rPr>
        <w:t>The lender commitment lists no prepaid interest and no tax/insurance escrow impound reserves among the closing charges, and the first monthly payment is due August 15, 2025 (covering the period from closing). The statement accordingly assumes $0 prepaid interest and $0 impound reserves. If Tidewater Savings Bank requires prepaid interest (July 15-31) or initial impound deposits for taxes and insurance, additional Buyer charges will apply and the cash-to-close must be revised.</w:t>
      </w:r>
    </w:p>
    <w:p>
      <w:pPr>
        <w:spacing w:before="80" w:after="20"/>
        <w:ind w:left="360"/>
      </w:pPr>
      <w:r>
        <w:rPr>
          <w:rFonts w:ascii="Calibri" w:hAnsi="Calibri"/>
          <w:b/>
          <w:i w:val="0"/>
          <w:color w:val="1F3864"/>
          <w:sz w:val="18"/>
        </w:rPr>
        <w:t xml:space="preserve">2.4  </w:t>
      </w:r>
      <w:r>
        <w:rPr>
          <w:rFonts w:ascii="Calibri" w:hAnsi="Calibri"/>
          <w:b/>
          <w:i w:val="0"/>
          <w:sz w:val="18"/>
        </w:rPr>
        <w:t>Rent proration uses the per-lease method.</w:t>
      </w:r>
    </w:p>
    <w:p>
      <w:pPr>
        <w:spacing w:after="40"/>
        <w:ind w:left="720"/>
        <w:jc w:val="both"/>
      </w:pPr>
      <w:r>
        <w:rPr>
          <w:rFonts w:ascii="Calibri" w:hAnsi="Calibri"/>
          <w:b w:val="0"/>
          <w:i w:val="0"/>
          <w:sz w:val="18"/>
        </w:rPr>
        <w:t>Per PSA §7.2(d), collected rents are prorated separately for each lease and then aggregated. This yields Buyer's share = $12,941.95 (Seller's = $10,658.05). A single aggregate calculation ($23,600.00 × 17/31) would yield $12,941.94 — a $0.01 difference. The statement uses the per-lease method as required and allocates the residual cent to Buyer per §7.2(c).</w:t>
      </w:r>
    </w:p>
    <w:p>
      <w:pPr>
        <w:spacing w:before="80" w:after="20"/>
        <w:ind w:left="360"/>
      </w:pPr>
      <w:r>
        <w:rPr>
          <w:rFonts w:ascii="Calibri" w:hAnsi="Calibri"/>
          <w:b/>
          <w:i w:val="0"/>
          <w:color w:val="1F3864"/>
          <w:sz w:val="18"/>
        </w:rPr>
        <w:t xml:space="preserve">2.5  </w:t>
      </w:r>
      <w:r>
        <w:rPr>
          <w:rFonts w:ascii="Calibri" w:hAnsi="Calibri"/>
          <w:b/>
          <w:i w:val="0"/>
          <w:sz w:val="18"/>
        </w:rPr>
        <w:t>Water/sewer treated as a Buyer credit per the PSA.</w:t>
      </w:r>
    </w:p>
    <w:p>
      <w:pPr>
        <w:spacing w:after="40"/>
        <w:ind w:left="720"/>
        <w:jc w:val="both"/>
      </w:pPr>
      <w:r>
        <w:rPr>
          <w:rFonts w:ascii="Calibri" w:hAnsi="Calibri"/>
          <w:b w:val="0"/>
          <w:i w:val="0"/>
          <w:sz w:val="18"/>
        </w:rPr>
        <w:t>The water/sewer billing period (May 15-July 14, 2025) ends before closing, so PSA §7.5(a) directs that the full unpaid balance ($1,847.60) be Seller's responsibility and 'credited to Buyer.' The statement therefore debits Seller and credits Buyer $1,847.60, and pays only the delinquent-tax portion ($28,602.80) to the City at closing. See Part 3, Item 6, for the related disbursement-split caution.</w:t>
      </w:r>
    </w:p>
    <w:p>
      <w:pPr>
        <w:spacing w:before="80" w:after="20"/>
        <w:ind w:left="360"/>
      </w:pPr>
      <w:r>
        <w:rPr>
          <w:rFonts w:ascii="Calibri" w:hAnsi="Calibri"/>
          <w:b/>
          <w:i w:val="0"/>
          <w:color w:val="1F3864"/>
          <w:sz w:val="18"/>
        </w:rPr>
        <w:t xml:space="preserve">2.6  </w:t>
      </w:r>
      <w:r>
        <w:rPr>
          <w:rFonts w:ascii="Calibri" w:hAnsi="Calibri"/>
          <w:b/>
          <w:i w:val="0"/>
          <w:sz w:val="18"/>
        </w:rPr>
        <w:t>Repair escrow is a Seller holdback, not a Buyer credit.</w:t>
      </w:r>
    </w:p>
    <w:p>
      <w:pPr>
        <w:spacing w:after="40"/>
        <w:ind w:left="720"/>
        <w:jc w:val="both"/>
      </w:pPr>
      <w:r>
        <w:rPr>
          <w:rFonts w:ascii="Calibri" w:hAnsi="Calibri"/>
          <w:b w:val="0"/>
          <w:i w:val="0"/>
          <w:sz w:val="18"/>
        </w:rPr>
        <w:t>Per PSA §8.4(c), the $45,000.00 repair escrow is funded solely from Seller's proceeds, held by the Escrow Agent under a separate Repair Escrow Agreement, is NOT credited to Buyer, and is NOT part of the Purchase Price. It appears only as a deduction from Seller's net proceeds. The roof deficiencies remain unrepaired as of the July 14, 2025 pre-closing inspection (see Part 3, Item 9).</w:t>
      </w:r>
    </w:p>
    <w:p>
      <w:pPr>
        <w:spacing w:before="80" w:after="20"/>
        <w:ind w:left="360"/>
      </w:pPr>
      <w:r>
        <w:rPr>
          <w:rFonts w:ascii="Calibri" w:hAnsi="Calibri"/>
          <w:b/>
          <w:i w:val="0"/>
          <w:color w:val="1F3864"/>
          <w:sz w:val="18"/>
        </w:rPr>
        <w:t xml:space="preserve">2.7  </w:t>
      </w:r>
      <w:r>
        <w:rPr>
          <w:rFonts w:ascii="Calibri" w:hAnsi="Calibri"/>
          <w:b/>
          <w:i w:val="0"/>
          <w:sz w:val="18"/>
        </w:rPr>
        <w:t>Heating-oil value based on inspection gauge reading.</w:t>
      </w:r>
    </w:p>
    <w:p>
      <w:pPr>
        <w:spacing w:after="40"/>
        <w:ind w:left="720"/>
        <w:jc w:val="both"/>
      </w:pPr>
      <w:r>
        <w:rPr>
          <w:rFonts w:ascii="Calibri" w:hAnsi="Calibri"/>
          <w:b w:val="0"/>
          <w:i w:val="0"/>
          <w:sz w:val="18"/>
        </w:rPr>
        <w:t>The $693.00 heating-oil credit (180 gallons × $3.85/gal.) is based on the tank-gauge reading at the July 14, 2025 pre-closing inspection and the Seller's last delivery receipt (Shoreline Fuel &amp; Oil Co., June 2, 2025). The gauge reading is approximate ('approximately 180 gallons'); the parties agreed in writing to this figure at inspection per PSA §7.6(a).</w:t>
      </w:r>
    </w:p>
    <w:p>
      <w:pPr>
        <w:spacing w:before="80" w:after="20"/>
        <w:ind w:left="360"/>
      </w:pPr>
      <w:r>
        <w:rPr>
          <w:rFonts w:ascii="Calibri" w:hAnsi="Calibri"/>
          <w:b/>
          <w:i w:val="0"/>
          <w:color w:val="1F3864"/>
          <w:sz w:val="18"/>
        </w:rPr>
        <w:t xml:space="preserve">2.8  </w:t>
      </w:r>
      <w:r>
        <w:rPr>
          <w:rFonts w:ascii="Calibri" w:hAnsi="Calibri"/>
          <w:b/>
          <w:i w:val="0"/>
          <w:sz w:val="18"/>
        </w:rPr>
        <w:t>Closing occurs on or before July 20, 2025.</w:t>
      </w:r>
    </w:p>
    <w:p>
      <w:pPr>
        <w:spacing w:after="40"/>
        <w:ind w:left="720"/>
        <w:jc w:val="both"/>
      </w:pPr>
      <w:r>
        <w:rPr>
          <w:rFonts w:ascii="Calibri" w:hAnsi="Calibri"/>
          <w:b w:val="0"/>
          <w:i w:val="0"/>
          <w:sz w:val="18"/>
        </w:rPr>
        <w:t>All lien payoffs (Harborstone first mortgage $687,412.33; HELOC $148,219.56) and the delinquent-tax payoff ($28,602.80) are good through July 20, 2025. The statement assumes closing on the scheduled date of July 15, 2025, so no per-diem adjustments are applied. If closing is delayed beyond July 20, 2025, per-diem interest applies (first mortgage $112.67/day; HELOC ~$27.93/day; delinquent tax $13.12/day) and updated payoff statements must be obtained.</w:t>
      </w:r>
    </w:p>
    <w:p>
      <w:pPr>
        <w:spacing w:before="80" w:after="20"/>
        <w:ind w:left="360"/>
      </w:pPr>
      <w:r>
        <w:rPr>
          <w:rFonts w:ascii="Calibri" w:hAnsi="Calibri"/>
          <w:b/>
          <w:i w:val="0"/>
          <w:color w:val="1F3864"/>
          <w:sz w:val="18"/>
        </w:rPr>
        <w:t xml:space="preserve">2.9  </w:t>
      </w:r>
      <w:r>
        <w:rPr>
          <w:rFonts w:ascii="Calibri" w:hAnsi="Calibri"/>
          <w:b/>
          <w:i w:val="0"/>
          <w:sz w:val="18"/>
        </w:rPr>
        <w:t>No brokerage commission.</w:t>
      </w:r>
    </w:p>
    <w:p>
      <w:pPr>
        <w:spacing w:after="40"/>
        <w:ind w:left="720"/>
        <w:jc w:val="both"/>
      </w:pPr>
      <w:r>
        <w:rPr>
          <w:rFonts w:ascii="Calibri" w:hAnsi="Calibri"/>
          <w:b w:val="0"/>
          <w:i w:val="0"/>
          <w:sz w:val="18"/>
        </w:rPr>
        <w:t>Per PSA §15.7, no broker, finder, or real estate agent was involved and no commission is due. No commission line is included on the statement.</w:t>
      </w:r>
    </w:p>
    <w:p>
      <w:pPr>
        <w:spacing w:before="80" w:after="20"/>
        <w:ind w:left="360"/>
      </w:pPr>
      <w:r>
        <w:rPr>
          <w:rFonts w:ascii="Calibri" w:hAnsi="Calibri"/>
          <w:b/>
          <w:i w:val="0"/>
          <w:color w:val="1F3864"/>
          <w:sz w:val="18"/>
        </w:rPr>
        <w:t xml:space="preserve">2.10  </w:t>
      </w:r>
      <w:r>
        <w:rPr>
          <w:rFonts w:ascii="Calibri" w:hAnsi="Calibri"/>
          <w:b/>
          <w:i w:val="0"/>
          <w:sz w:val="18"/>
        </w:rPr>
        <w:t>Each party bears its own attorney fees.</w:t>
      </w:r>
    </w:p>
    <w:p>
      <w:pPr>
        <w:spacing w:after="40"/>
        <w:ind w:left="720"/>
        <w:jc w:val="both"/>
      </w:pPr>
      <w:r>
        <w:rPr>
          <w:rFonts w:ascii="Calibri" w:hAnsi="Calibri"/>
          <w:b w:val="0"/>
          <w:i w:val="0"/>
          <w:sz w:val="18"/>
        </w:rPr>
        <w:t>Per PSA §6.4, each party is responsible for its own legal fees (Buyer $12,500.00; Seller $11,000.00), reflected as charges to the respective party.</w:t>
      </w:r>
    </w:p>
    <w:p>
      <w:pPr>
        <w:keepNext/>
        <w:spacing w:before="200" w:after="80"/>
        <w:pBdr>
          <w:bottom w:val="single" w:sz="6" w:space="2" w:color="1F3864"/>
        </w:pBdr>
      </w:pPr>
      <w:r>
        <w:rPr>
          <w:rFonts w:ascii="Calibri" w:hAnsi="Calibri"/>
          <w:b/>
          <w:i w:val="0"/>
          <w:color w:val="1F3864"/>
          <w:sz w:val="24"/>
        </w:rPr>
        <w:t>PART 3 — ITEMS PENDING CONFIRMATION BEFORE / AT CLOSING</w:t>
      </w:r>
    </w:p>
    <w:p>
      <w:pPr>
        <w:spacing w:before="80" w:after="20"/>
        <w:ind w:left="360"/>
      </w:pPr>
      <w:r>
        <w:rPr>
          <w:rFonts w:ascii="Calibri" w:hAnsi="Calibri"/>
          <w:b/>
          <w:i w:val="0"/>
          <w:color w:val="C05A00"/>
          <w:sz w:val="18"/>
        </w:rPr>
        <w:t xml:space="preserve">3.1  </w:t>
      </w:r>
      <w:r>
        <w:rPr>
          <w:rFonts w:ascii="Calibri" w:hAnsi="Calibri"/>
          <w:b/>
          <w:i w:val="0"/>
          <w:sz w:val="18"/>
        </w:rPr>
        <w:t>Earnest-money interest (affects Buyer cash-to-close).</w:t>
      </w:r>
    </w:p>
    <w:p>
      <w:pPr>
        <w:spacing w:after="40"/>
        <w:ind w:left="720"/>
        <w:jc w:val="both"/>
      </w:pPr>
      <w:r>
        <w:rPr>
          <w:rFonts w:ascii="Calibri" w:hAnsi="Calibri"/>
          <w:b w:val="0"/>
          <w:i w:val="0"/>
          <w:sz w:val="18"/>
        </w:rPr>
        <w:t>PSA §3.2(d) requires that interest earned on the $195,000.00 earnest money be credited to Buyer at closing. The accrued interest amount is not stated in any delivered document. The statement reflects the $195,000.00 principal only; the Escrow Agent must provide the interest-bearing-account statement so the interest can be added as a Buyer credit, which will reduce the Buyer's cash required at closing dollar-for-dollar.</w:t>
      </w:r>
    </w:p>
    <w:p>
      <w:pPr>
        <w:spacing w:before="80" w:after="20"/>
        <w:ind w:left="360"/>
      </w:pPr>
      <w:r>
        <w:rPr>
          <w:rFonts w:ascii="Calibri" w:hAnsi="Calibri"/>
          <w:b/>
          <w:i w:val="0"/>
          <w:color w:val="C05A00"/>
          <w:sz w:val="18"/>
        </w:rPr>
        <w:t xml:space="preserve">3.2  </w:t>
      </w:r>
      <w:r>
        <w:rPr>
          <w:rFonts w:ascii="Calibri" w:hAnsi="Calibri"/>
          <w:b/>
          <w:i w:val="0"/>
          <w:sz w:val="18"/>
        </w:rPr>
        <w:t>Security-deposit interest (affects Seller debit / Buyer credit).</w:t>
      </w:r>
    </w:p>
    <w:p>
      <w:pPr>
        <w:spacing w:after="40"/>
        <w:ind w:left="720"/>
        <w:jc w:val="both"/>
      </w:pPr>
      <w:r>
        <w:rPr>
          <w:rFonts w:ascii="Calibri" w:hAnsi="Calibri"/>
          <w:b w:val="0"/>
          <w:i w:val="0"/>
          <w:sz w:val="18"/>
        </w:rPr>
        <w:t>PSA §7.4 requires transfer of security deposits 'together with any interest accrued thereon as required by applicable law.' Connecticut General Statutes §47a-21 requires interest on residential security deposits. The delivered schedule shows principal only ($32,400.00); accrued residential-deposit interest is not quantified. Bayshore Management Co. / the Escrow Agent must confirm the interest amount, which will increase the Seller debit and Buyer credit equally.</w:t>
      </w:r>
    </w:p>
    <w:p>
      <w:pPr>
        <w:spacing w:before="80" w:after="20"/>
        <w:ind w:left="360"/>
      </w:pPr>
      <w:r>
        <w:rPr>
          <w:rFonts w:ascii="Calibri" w:hAnsi="Calibri"/>
          <w:b/>
          <w:i w:val="0"/>
          <w:color w:val="C05A00"/>
          <w:sz w:val="18"/>
        </w:rPr>
        <w:t xml:space="preserve">3.3  </w:t>
      </w:r>
      <w:r>
        <w:rPr>
          <w:rFonts w:ascii="Calibri" w:hAnsi="Calibri"/>
          <w:b/>
          <w:i w:val="0"/>
          <w:sz w:val="18"/>
        </w:rPr>
        <w:t>Conveyance-tax final figure.</w:t>
      </w:r>
    </w:p>
    <w:p>
      <w:pPr>
        <w:spacing w:after="40"/>
        <w:ind w:left="720"/>
        <w:jc w:val="both"/>
      </w:pPr>
      <w:r>
        <w:rPr>
          <w:rFonts w:ascii="Calibri" w:hAnsi="Calibri"/>
          <w:b w:val="0"/>
          <w:i w:val="0"/>
          <w:sz w:val="18"/>
        </w:rPr>
        <w:t>Confirm the exact Connecticut state and Bridgeport municipal conveyance-tax amounts upon preparation of Form OP-236 (see Assumption 2.1). Adjust 50/50 if the final figure differs from the $44,750.00 estimate.</w:t>
      </w:r>
    </w:p>
    <w:p>
      <w:pPr>
        <w:spacing w:before="80" w:after="20"/>
        <w:ind w:left="360"/>
      </w:pPr>
      <w:r>
        <w:rPr>
          <w:rFonts w:ascii="Calibri" w:hAnsi="Calibri"/>
          <w:b/>
          <w:i w:val="0"/>
          <w:color w:val="C05A00"/>
          <w:sz w:val="18"/>
        </w:rPr>
        <w:t xml:space="preserve">3.4  </w:t>
      </w:r>
      <w:r>
        <w:rPr>
          <w:rFonts w:ascii="Calibri" w:hAnsi="Calibri"/>
          <w:b/>
          <w:i w:val="0"/>
          <w:sz w:val="18"/>
        </w:rPr>
        <w:t>Water/sewer disbursement split.</w:t>
      </w:r>
    </w:p>
    <w:p>
      <w:pPr>
        <w:spacing w:after="40"/>
        <w:ind w:left="720"/>
        <w:jc w:val="both"/>
      </w:pPr>
      <w:r>
        <w:rPr>
          <w:rFonts w:ascii="Calibri" w:hAnsi="Calibri"/>
          <w:b w:val="0"/>
          <w:i w:val="0"/>
          <w:sz w:val="18"/>
        </w:rPr>
        <w:t>The City of Bridgeport payoff statement (TLC-2025-04892) bundles the water/sewer balance ($1,847.60) with the delinquent taxes into a single 'Total Due to City of Bridgeport' of $30,450.40. The statement follows the PSA and pays only the tax portion ($28,602.80) to the City, crediting the water/sewer to Buyer. The closing agent must confirm the split so the water/sewer is not double-paid. If the agent instead pays the City the full $30,450.40 from Seller's proceeds, the $1,847.60 Buyer credit must be removed (no change to Seller's net; Buyer's cash-to-close increases by $1,847.60).</w:t>
      </w:r>
    </w:p>
    <w:p>
      <w:pPr>
        <w:spacing w:before="80" w:after="20"/>
        <w:ind w:left="360"/>
      </w:pPr>
      <w:r>
        <w:rPr>
          <w:rFonts w:ascii="Calibri" w:hAnsi="Calibri"/>
          <w:b/>
          <w:i w:val="0"/>
          <w:color w:val="C05A00"/>
          <w:sz w:val="18"/>
        </w:rPr>
        <w:t xml:space="preserve">3.5  </w:t>
      </w:r>
      <w:r>
        <w:rPr>
          <w:rFonts w:ascii="Calibri" w:hAnsi="Calibri"/>
          <w:b/>
          <w:i w:val="0"/>
          <w:sz w:val="18"/>
        </w:rPr>
        <w:t>Uncollected rent — Unit 2E ($1,600.00).</w:t>
      </w:r>
    </w:p>
    <w:p>
      <w:pPr>
        <w:spacing w:after="40"/>
        <w:ind w:left="720"/>
        <w:jc w:val="both"/>
      </w:pPr>
      <w:r>
        <w:rPr>
          <w:rFonts w:ascii="Calibri" w:hAnsi="Calibri"/>
          <w:b w:val="0"/>
          <w:i w:val="0"/>
          <w:sz w:val="18"/>
        </w:rPr>
        <w:t>Unit 2E's July 2025 rent is delinquent. Per PSA §7.3, no credit is given to either party for uncollected rents, and the $1,600.00 is excluded from the rent proration. Post-closing, Buyer may collect delinquent rents and, per §7.3(b), remit any excess to Seller within 30 days. Buyer assumes the collection risk with no closing credit. Confirm the updated rent roll delivered within 3 business days of closing (PSA §9.7) reflects the same status.</w:t>
      </w:r>
    </w:p>
    <w:p>
      <w:pPr>
        <w:spacing w:before="80" w:after="20"/>
        <w:ind w:left="360"/>
      </w:pPr>
      <w:r>
        <w:rPr>
          <w:rFonts w:ascii="Calibri" w:hAnsi="Calibri"/>
          <w:b/>
          <w:i w:val="0"/>
          <w:color w:val="C05A00"/>
          <w:sz w:val="18"/>
        </w:rPr>
        <w:t xml:space="preserve">3.6  </w:t>
      </w:r>
      <w:r>
        <w:rPr>
          <w:rFonts w:ascii="Calibri" w:hAnsi="Calibri"/>
          <w:b/>
          <w:i w:val="0"/>
          <w:sz w:val="18"/>
        </w:rPr>
        <w:t>CT DRS estate-tax-lien release recording.</w:t>
      </w:r>
    </w:p>
    <w:p>
      <w:pPr>
        <w:spacing w:after="40"/>
        <w:ind w:left="720"/>
        <w:jc w:val="both"/>
      </w:pPr>
      <w:r>
        <w:rPr>
          <w:rFonts w:ascii="Calibri" w:hAnsi="Calibri"/>
          <w:b w:val="0"/>
          <w:i w:val="0"/>
          <w:sz w:val="18"/>
        </w:rPr>
        <w:t>No payoff is due on the CT DRS estate-tax lien (estate below the exemption threshold; $0.00 tax). Release Certificate No. ETL-2025-08834 has been obtained and must be recorded in the Bridgeport Land Records at Seller's expense ($73.00 recording fee included). Confirm the release is delivered in recordable form and recorded.</w:t>
      </w:r>
    </w:p>
    <w:p>
      <w:pPr>
        <w:spacing w:before="80" w:after="20"/>
        <w:ind w:left="360"/>
      </w:pPr>
      <w:r>
        <w:rPr>
          <w:rFonts w:ascii="Calibri" w:hAnsi="Calibri"/>
          <w:b/>
          <w:i w:val="0"/>
          <w:color w:val="C05A00"/>
          <w:sz w:val="18"/>
        </w:rPr>
        <w:t xml:space="preserve">3.7  </w:t>
      </w:r>
      <w:r>
        <w:rPr>
          <w:rFonts w:ascii="Calibri" w:hAnsi="Calibri"/>
          <w:b/>
          <w:i w:val="0"/>
          <w:sz w:val="18"/>
        </w:rPr>
        <w:t>Fiduciary authority / probate certificate currency.</w:t>
      </w:r>
    </w:p>
    <w:p>
      <w:pPr>
        <w:spacing w:after="40"/>
        <w:ind w:left="720"/>
        <w:jc w:val="both"/>
      </w:pPr>
      <w:r>
        <w:rPr>
          <w:rFonts w:ascii="Calibri" w:hAnsi="Calibri"/>
          <w:b w:val="0"/>
          <w:i w:val="0"/>
          <w:sz w:val="18"/>
        </w:rPr>
        <w:t>The Fiduciary's Certificate is dated June 25, 2025 (within 60 days of closing), satisfying the title requirement. Confirm a certified copy is recorded and that the Probate Court Certificate ($150.00) is obtained. The Executrix's authority to convey without further court order is confirmed in the certificate.</w:t>
      </w:r>
    </w:p>
    <w:p>
      <w:pPr>
        <w:spacing w:before="80" w:after="20"/>
        <w:ind w:left="360"/>
      </w:pPr>
      <w:r>
        <w:rPr>
          <w:rFonts w:ascii="Calibri" w:hAnsi="Calibri"/>
          <w:b/>
          <w:i w:val="0"/>
          <w:color w:val="C05A00"/>
          <w:sz w:val="18"/>
        </w:rPr>
        <w:t xml:space="preserve">3.8  </w:t>
      </w:r>
      <w:r>
        <w:rPr>
          <w:rFonts w:ascii="Calibri" w:hAnsi="Calibri"/>
          <w:b/>
          <w:i w:val="0"/>
          <w:sz w:val="18"/>
        </w:rPr>
        <w:t>Management-agreement termination and deposit transfer.</w:t>
      </w:r>
    </w:p>
    <w:p>
      <w:pPr>
        <w:spacing w:after="40"/>
        <w:ind w:left="720"/>
        <w:jc w:val="both"/>
      </w:pPr>
      <w:r>
        <w:rPr>
          <w:rFonts w:ascii="Calibri" w:hAnsi="Calibri"/>
          <w:b w:val="0"/>
          <w:i w:val="0"/>
          <w:sz w:val="18"/>
        </w:rPr>
        <w:t>The Bayshore Management Co. agreement is terminated effective July 15, 2025 (termination fee $4,500.00 from Seller's proceeds). Confirm Bayshore transfers all security deposits (with accrued interest) and records/keys to the Escrow Agent or Buyer on or before closing, and delivers a final accounting within 15 days (§11.3).</w:t>
      </w:r>
    </w:p>
    <w:p>
      <w:pPr>
        <w:spacing w:before="80" w:after="20"/>
        <w:ind w:left="360"/>
      </w:pPr>
      <w:r>
        <w:rPr>
          <w:rFonts w:ascii="Calibri" w:hAnsi="Calibri"/>
          <w:b/>
          <w:i w:val="0"/>
          <w:color w:val="C05A00"/>
          <w:sz w:val="18"/>
        </w:rPr>
        <w:t xml:space="preserve">3.9  </w:t>
      </w:r>
      <w:r>
        <w:rPr>
          <w:rFonts w:ascii="Calibri" w:hAnsi="Calibri"/>
          <w:b/>
          <w:i w:val="0"/>
          <w:sz w:val="18"/>
        </w:rPr>
        <w:t>Repair escrow — roof condition and adequacy.</w:t>
      </w:r>
    </w:p>
    <w:p>
      <w:pPr>
        <w:spacing w:after="40"/>
        <w:ind w:left="720"/>
        <w:jc w:val="both"/>
      </w:pPr>
      <w:r>
        <w:rPr>
          <w:rFonts w:ascii="Calibri" w:hAnsi="Calibri"/>
          <w:b w:val="0"/>
          <w:i w:val="0"/>
          <w:sz w:val="18"/>
        </w:rPr>
        <w:t>The July 14, 2025 pre-closing inspection confirms the roof deficiencies (blistering/delamination, compromised flashing, ponding water, EPDM seam separation) remain UNREPAIRED. The $45,000.00 escrow funds these repairs. The inspector estimates 1-2 years of remaining roof life without intervention and recommends Buyer obtain competitive bids promptly after closing to confirm the escrow is sufficient. Per §8.4(d), Buyer has 12 months to complete repairs and submit paid invoices; unused balances revert to Seller with interest.</w:t>
      </w:r>
    </w:p>
    <w:p>
      <w:pPr>
        <w:spacing w:before="80" w:after="20"/>
        <w:ind w:left="360"/>
      </w:pPr>
      <w:r>
        <w:rPr>
          <w:rFonts w:ascii="Calibri" w:hAnsi="Calibri"/>
          <w:b/>
          <w:i w:val="0"/>
          <w:color w:val="C05A00"/>
          <w:sz w:val="18"/>
        </w:rPr>
        <w:t xml:space="preserve">3.10  </w:t>
      </w:r>
      <w:r>
        <w:rPr>
          <w:rFonts w:ascii="Calibri" w:hAnsi="Calibri"/>
          <w:b/>
          <w:i w:val="0"/>
          <w:sz w:val="18"/>
        </w:rPr>
        <w:t>Lender-required third-party costs not quantified.</w:t>
      </w:r>
    </w:p>
    <w:p>
      <w:pPr>
        <w:spacing w:after="40"/>
        <w:ind w:left="720"/>
        <w:jc w:val="both"/>
      </w:pPr>
      <w:r>
        <w:rPr>
          <w:rFonts w:ascii="Calibri" w:hAnsi="Calibri"/>
          <w:b w:val="0"/>
          <w:i w:val="0"/>
          <w:sz w:val="18"/>
        </w:rPr>
        <w:t>The lender commitment requires an ALTA/NSPS survey, a Phase I Environmental Site Assessment, a Subordination Non-Disturbance and Attornment Agreement (SNDA) with the commercial tenant, property insurance ($3,900,000 RCV), and entity documentation. No costs for these items are stated in any delivered document, and none are reflected on the settlement statement. Confirm whether any of these are payable at closing (e.g., survey, SNDA fees) and add as Buyer charges if so; the appraisal ($4,500.00) is already paid POC.</w:t>
      </w:r>
    </w:p>
    <w:p>
      <w:pPr>
        <w:spacing w:before="80" w:after="20"/>
        <w:ind w:left="360"/>
      </w:pPr>
      <w:r>
        <w:rPr>
          <w:rFonts w:ascii="Calibri" w:hAnsi="Calibri"/>
          <w:b/>
          <w:i w:val="0"/>
          <w:color w:val="C05A00"/>
          <w:sz w:val="18"/>
        </w:rPr>
        <w:t xml:space="preserve">3.11  </w:t>
      </w:r>
      <w:r>
        <w:rPr>
          <w:rFonts w:ascii="Calibri" w:hAnsi="Calibri"/>
          <w:b/>
          <w:i w:val="0"/>
          <w:sz w:val="18"/>
        </w:rPr>
        <w:t>Final payoff figures and wire instructions.</w:t>
      </w:r>
    </w:p>
    <w:p>
      <w:pPr>
        <w:spacing w:after="40"/>
        <w:ind w:left="720"/>
        <w:jc w:val="both"/>
      </w:pPr>
      <w:r>
        <w:rPr>
          <w:rFonts w:ascii="Calibri" w:hAnsi="Calibri"/>
          <w:b w:val="0"/>
          <w:i w:val="0"/>
          <w:sz w:val="18"/>
        </w:rPr>
        <w:t>Re-verify each payoff amount and wire instruction against the original payoff letters immediately before disbursement (Harborstone first mortgage, Harborstone HELOC, Northbridge mechanic's lien, City of Bridgeport). All are good through July 20, 2025. Confirm the Seller's wire instructions for net proceeds through Seller's counsel to guard against wire-fraud risk.</w:t>
      </w:r>
    </w:p>
    <w:p>
      <w:pPr>
        <w:keepNext/>
        <w:spacing w:before="200" w:after="80"/>
        <w:pBdr>
          <w:bottom w:val="single" w:sz="6" w:space="2" w:color="1F3864"/>
        </w:pBdr>
      </w:pPr>
      <w:r>
        <w:rPr>
          <w:rFonts w:ascii="Calibri" w:hAnsi="Calibri"/>
          <w:b/>
          <w:i w:val="0"/>
          <w:color w:val="1F3864"/>
          <w:sz w:val="24"/>
        </w:rPr>
        <w:t>PART 4 — SUMMARY OF FINANCIAL IMPACT OF PENDING ITEMS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744"/>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Pending Item</w:t>
            </w:r>
          </w:p>
        </w:tc>
        <w:tc>
          <w:tcPr>
            <w:tcW w:type="dxa" w:w="4176"/>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Effect on Statement</w:t>
            </w:r>
          </w:p>
        </w:tc>
        <w:tc>
          <w:tcPr>
            <w:tcW w:type="dxa" w:w="388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Magnitude / Note</w:t>
            </w:r>
          </w:p>
        </w:tc>
      </w:tr>
      <w:tr>
        <w:tc>
          <w:tcPr>
            <w:tcW w:type="dxa" w:w="3744"/>
            <w:vAlign w:val="center"/>
            <w:tcMar>
              <w:top w:w="40" w:type="dxa"/>
              <w:bottom w:w="40" w:type="dxa"/>
              <w:start w:w="80" w:type="dxa"/>
              <w:end w:w="80" w:type="dxa"/>
            </w:tcMar>
          </w:tcPr>
          <w:p>
            <w:pPr>
              <w:spacing w:before="20" w:after="20"/>
              <w:jc w:val="left"/>
            </w:pPr>
            <w:r/>
            <w:r>
              <w:rPr>
                <w:rFonts w:ascii="Calibri" w:hAnsi="Calibri"/>
                <w:b w:val="0"/>
                <w:i w:val="0"/>
                <w:sz w:val="16"/>
              </w:rPr>
              <w:t>Earnest-money interest (Item 3.1)</w:t>
            </w:r>
          </w:p>
        </w:tc>
        <w:tc>
          <w:tcPr>
            <w:tcW w:type="dxa" w:w="4176"/>
            <w:vAlign w:val="center"/>
            <w:tcMar>
              <w:top w:w="40" w:type="dxa"/>
              <w:bottom w:w="40" w:type="dxa"/>
              <w:start w:w="80" w:type="dxa"/>
              <w:end w:w="80" w:type="dxa"/>
            </w:tcMar>
          </w:tcPr>
          <w:p>
            <w:pPr>
              <w:spacing w:before="20" w:after="20"/>
              <w:jc w:val="left"/>
            </w:pPr>
            <w:r/>
            <w:r>
              <w:rPr>
                <w:rFonts w:ascii="Calibri" w:hAnsi="Calibri"/>
                <w:b w:val="0"/>
                <w:i w:val="0"/>
                <w:sz w:val="16"/>
              </w:rPr>
              <w:t>Reduces Buyer cash-to-close</w:t>
            </w:r>
          </w:p>
        </w:tc>
        <w:tc>
          <w:tcPr>
            <w:tcW w:type="dxa" w:w="3888"/>
            <w:vAlign w:val="center"/>
            <w:tcMar>
              <w:top w:w="40" w:type="dxa"/>
              <w:bottom w:w="40" w:type="dxa"/>
              <w:start w:w="80" w:type="dxa"/>
              <w:end w:w="80" w:type="dxa"/>
            </w:tcMar>
          </w:tcPr>
          <w:p>
            <w:pPr>
              <w:spacing w:before="20" w:after="20"/>
              <w:jc w:val="left"/>
            </w:pPr>
            <w:r/>
            <w:r>
              <w:rPr>
                <w:rFonts w:ascii="Calibri" w:hAnsi="Calibri"/>
                <w:b w:val="0"/>
                <w:i/>
                <w:color w:val="595959"/>
                <w:sz w:val="16"/>
              </w:rPr>
              <w:t>Dollar-for-dollar; amount TBD by Escrow Agent</w:t>
            </w:r>
          </w:p>
        </w:tc>
      </w:tr>
      <w:tr>
        <w:tc>
          <w:tcPr>
            <w:tcW w:type="dxa" w:w="3744"/>
            <w:vAlign w:val="center"/>
            <w:tcMar>
              <w:top w:w="40" w:type="dxa"/>
              <w:bottom w:w="40" w:type="dxa"/>
              <w:start w:w="80" w:type="dxa"/>
              <w:end w:w="80" w:type="dxa"/>
            </w:tcMar>
          </w:tcPr>
          <w:p>
            <w:pPr>
              <w:spacing w:before="20" w:after="20"/>
              <w:jc w:val="left"/>
            </w:pPr>
            <w:r/>
            <w:r>
              <w:rPr>
                <w:rFonts w:ascii="Calibri" w:hAnsi="Calibri"/>
                <w:b w:val="0"/>
                <w:i w:val="0"/>
                <w:sz w:val="16"/>
              </w:rPr>
              <w:t>Security-deposit interest (Item 3.2)</w:t>
            </w:r>
          </w:p>
        </w:tc>
        <w:tc>
          <w:tcPr>
            <w:tcW w:type="dxa" w:w="4176"/>
            <w:vAlign w:val="center"/>
            <w:tcMar>
              <w:top w:w="40" w:type="dxa"/>
              <w:bottom w:w="40" w:type="dxa"/>
              <w:start w:w="80" w:type="dxa"/>
              <w:end w:w="80" w:type="dxa"/>
            </w:tcMar>
          </w:tcPr>
          <w:p>
            <w:pPr>
              <w:spacing w:before="20" w:after="20"/>
              <w:jc w:val="left"/>
            </w:pPr>
            <w:r/>
            <w:r>
              <w:rPr>
                <w:rFonts w:ascii="Calibri" w:hAnsi="Calibri"/>
                <w:b w:val="0"/>
                <w:i w:val="0"/>
                <w:sz w:val="16"/>
              </w:rPr>
              <w:t>Increases Seller debit / Buyer credit equally</w:t>
            </w:r>
          </w:p>
        </w:tc>
        <w:tc>
          <w:tcPr>
            <w:tcW w:type="dxa" w:w="3888"/>
            <w:vAlign w:val="center"/>
            <w:tcMar>
              <w:top w:w="40" w:type="dxa"/>
              <w:bottom w:w="40" w:type="dxa"/>
              <w:start w:w="80" w:type="dxa"/>
              <w:end w:w="80" w:type="dxa"/>
            </w:tcMar>
          </w:tcPr>
          <w:p>
            <w:pPr>
              <w:spacing w:before="20" w:after="20"/>
              <w:jc w:val="left"/>
            </w:pPr>
            <w:r/>
            <w:r>
              <w:rPr>
                <w:rFonts w:ascii="Calibri" w:hAnsi="Calibri"/>
                <w:b w:val="0"/>
                <w:i/>
                <w:color w:val="595959"/>
                <w:sz w:val="16"/>
              </w:rPr>
              <w:t>Net neutral to cash-to-close; amount TBD</w:t>
            </w:r>
          </w:p>
        </w:tc>
      </w:tr>
      <w:tr>
        <w:tc>
          <w:tcPr>
            <w:tcW w:type="dxa" w:w="3744"/>
            <w:vAlign w:val="center"/>
            <w:tcMar>
              <w:top w:w="40" w:type="dxa"/>
              <w:bottom w:w="40" w:type="dxa"/>
              <w:start w:w="80" w:type="dxa"/>
              <w:end w:w="80" w:type="dxa"/>
            </w:tcMar>
          </w:tcPr>
          <w:p>
            <w:pPr>
              <w:spacing w:before="20" w:after="20"/>
              <w:jc w:val="left"/>
            </w:pPr>
            <w:r/>
            <w:r>
              <w:rPr>
                <w:rFonts w:ascii="Calibri" w:hAnsi="Calibri"/>
                <w:b w:val="0"/>
                <w:i w:val="0"/>
                <w:sz w:val="16"/>
              </w:rPr>
              <w:t>Conveyance-tax final (Item 3.3)</w:t>
            </w:r>
          </w:p>
        </w:tc>
        <w:tc>
          <w:tcPr>
            <w:tcW w:type="dxa" w:w="4176"/>
            <w:vAlign w:val="center"/>
            <w:tcMar>
              <w:top w:w="40" w:type="dxa"/>
              <w:bottom w:w="40" w:type="dxa"/>
              <w:start w:w="80" w:type="dxa"/>
              <w:end w:w="80" w:type="dxa"/>
            </w:tcMar>
          </w:tcPr>
          <w:p>
            <w:pPr>
              <w:spacing w:before="20" w:after="20"/>
              <w:jc w:val="left"/>
            </w:pPr>
            <w:r/>
            <w:r>
              <w:rPr>
                <w:rFonts w:ascii="Calibri" w:hAnsi="Calibri"/>
                <w:b w:val="0"/>
                <w:i w:val="0"/>
                <w:sz w:val="16"/>
              </w:rPr>
              <w:t>Adjusts both parties 50/50</w:t>
            </w:r>
          </w:p>
        </w:tc>
        <w:tc>
          <w:tcPr>
            <w:tcW w:type="dxa" w:w="3888"/>
            <w:vAlign w:val="center"/>
            <w:tcMar>
              <w:top w:w="40" w:type="dxa"/>
              <w:bottom w:w="40" w:type="dxa"/>
              <w:start w:w="80" w:type="dxa"/>
              <w:end w:w="80" w:type="dxa"/>
            </w:tcMar>
          </w:tcPr>
          <w:p>
            <w:pPr>
              <w:spacing w:before="20" w:after="20"/>
              <w:jc w:val="left"/>
            </w:pPr>
            <w:r/>
            <w:r>
              <w:rPr>
                <w:rFonts w:ascii="Calibri" w:hAnsi="Calibri"/>
                <w:b w:val="0"/>
                <w:i/>
                <w:color w:val="595959"/>
                <w:sz w:val="16"/>
              </w:rPr>
              <w:t>Currently estimated $22,375.00 each</w:t>
            </w:r>
          </w:p>
        </w:tc>
      </w:tr>
      <w:tr>
        <w:tc>
          <w:tcPr>
            <w:tcW w:type="dxa" w:w="3744"/>
            <w:vAlign w:val="center"/>
            <w:tcMar>
              <w:top w:w="40" w:type="dxa"/>
              <w:bottom w:w="40" w:type="dxa"/>
              <w:start w:w="80" w:type="dxa"/>
              <w:end w:w="80" w:type="dxa"/>
            </w:tcMar>
          </w:tcPr>
          <w:p>
            <w:pPr>
              <w:spacing w:before="20" w:after="20"/>
              <w:jc w:val="left"/>
            </w:pPr>
            <w:r/>
            <w:r>
              <w:rPr>
                <w:rFonts w:ascii="Calibri" w:hAnsi="Calibri"/>
                <w:b w:val="0"/>
                <w:i w:val="0"/>
                <w:sz w:val="16"/>
              </w:rPr>
              <w:t>Water/sewer split (Item 3.4)</w:t>
            </w:r>
          </w:p>
        </w:tc>
        <w:tc>
          <w:tcPr>
            <w:tcW w:type="dxa" w:w="4176"/>
            <w:vAlign w:val="center"/>
            <w:tcMar>
              <w:top w:w="40" w:type="dxa"/>
              <w:bottom w:w="40" w:type="dxa"/>
              <w:start w:w="80" w:type="dxa"/>
              <w:end w:w="80" w:type="dxa"/>
            </w:tcMar>
          </w:tcPr>
          <w:p>
            <w:pPr>
              <w:spacing w:before="20" w:after="20"/>
              <w:jc w:val="left"/>
            </w:pPr>
            <w:r/>
            <w:r>
              <w:rPr>
                <w:rFonts w:ascii="Calibri" w:hAnsi="Calibri"/>
                <w:b w:val="0"/>
                <w:i w:val="0"/>
                <w:sz w:val="16"/>
              </w:rPr>
              <w:t>May shift $1,847.60 between Buyer credit and City payment</w:t>
            </w:r>
          </w:p>
        </w:tc>
        <w:tc>
          <w:tcPr>
            <w:tcW w:type="dxa" w:w="3888"/>
            <w:vAlign w:val="center"/>
            <w:tcMar>
              <w:top w:w="40" w:type="dxa"/>
              <w:bottom w:w="40" w:type="dxa"/>
              <w:start w:w="80" w:type="dxa"/>
              <w:end w:w="80" w:type="dxa"/>
            </w:tcMar>
          </w:tcPr>
          <w:p>
            <w:pPr>
              <w:spacing w:before="20" w:after="20"/>
              <w:jc w:val="left"/>
            </w:pPr>
            <w:r/>
            <w:r>
              <w:rPr>
                <w:rFonts w:ascii="Calibri" w:hAnsi="Calibri"/>
                <w:b w:val="0"/>
                <w:i/>
                <w:color w:val="595959"/>
                <w:sz w:val="16"/>
              </w:rPr>
              <w:t>No change to Seller net</w:t>
            </w:r>
          </w:p>
        </w:tc>
      </w:tr>
      <w:tr>
        <w:tc>
          <w:tcPr>
            <w:tcW w:type="dxa" w:w="3744"/>
            <w:vAlign w:val="center"/>
            <w:tcMar>
              <w:top w:w="40" w:type="dxa"/>
              <w:bottom w:w="40" w:type="dxa"/>
              <w:start w:w="80" w:type="dxa"/>
              <w:end w:w="80" w:type="dxa"/>
            </w:tcMar>
          </w:tcPr>
          <w:p>
            <w:pPr>
              <w:spacing w:before="20" w:after="20"/>
              <w:jc w:val="left"/>
            </w:pPr>
            <w:r/>
            <w:r>
              <w:rPr>
                <w:rFonts w:ascii="Calibri" w:hAnsi="Calibri"/>
                <w:b w:val="0"/>
                <w:i w:val="0"/>
                <w:sz w:val="16"/>
              </w:rPr>
              <w:t>Lender third-party costs (Item 3.10)</w:t>
            </w:r>
          </w:p>
        </w:tc>
        <w:tc>
          <w:tcPr>
            <w:tcW w:type="dxa" w:w="4176"/>
            <w:vAlign w:val="center"/>
            <w:tcMar>
              <w:top w:w="40" w:type="dxa"/>
              <w:bottom w:w="40" w:type="dxa"/>
              <w:start w:w="80" w:type="dxa"/>
              <w:end w:w="80" w:type="dxa"/>
            </w:tcMar>
          </w:tcPr>
          <w:p>
            <w:pPr>
              <w:spacing w:before="20" w:after="20"/>
              <w:jc w:val="left"/>
            </w:pPr>
            <w:r/>
            <w:r>
              <w:rPr>
                <w:rFonts w:ascii="Calibri" w:hAnsi="Calibri"/>
                <w:b w:val="0"/>
                <w:i w:val="0"/>
                <w:sz w:val="16"/>
              </w:rPr>
              <w:t>May add Buyer charges if payable at closing</w:t>
            </w:r>
          </w:p>
        </w:tc>
        <w:tc>
          <w:tcPr>
            <w:tcW w:type="dxa" w:w="3888"/>
            <w:vAlign w:val="center"/>
            <w:tcMar>
              <w:top w:w="40" w:type="dxa"/>
              <w:bottom w:w="40" w:type="dxa"/>
              <w:start w:w="80" w:type="dxa"/>
              <w:end w:w="80" w:type="dxa"/>
            </w:tcMar>
          </w:tcPr>
          <w:p>
            <w:pPr>
              <w:spacing w:before="20" w:after="20"/>
              <w:jc w:val="left"/>
            </w:pPr>
            <w:r/>
            <w:r>
              <w:rPr>
                <w:rFonts w:ascii="Calibri" w:hAnsi="Calibri"/>
                <w:b w:val="0"/>
                <w:i/>
                <w:color w:val="595959"/>
                <w:sz w:val="16"/>
              </w:rPr>
              <w:t>Not currently reflected</w:t>
            </w:r>
          </w:p>
        </w:tc>
      </w:tr>
    </w:tbl>
    <w:p>
      <w:pPr>
        <w:spacing w:before="120" w:after="80"/>
        <w:jc w:val="both"/>
      </w:pPr>
      <w:r>
        <w:rPr>
          <w:rFonts w:ascii="Calibri" w:hAnsi="Calibri"/>
          <w:b w:val="0"/>
          <w:i w:val="0"/>
          <w:sz w:val="18"/>
        </w:rPr>
        <w:t>Bottom line: The settlement statement balances to the penny at $3,918,564.52 in / $3,918,564.52 out, yielding cash required from Buyer of $1,083,564.52 and net proceeds to Seller of $2,864,663.83, exclusive of the pending earnest-money interest credit. None of the flagged items is expected to be material to the overall reconciliation; the largest open variable is the conveyance-tax finalization. Closing may proceed on July 15, 2025 subject to obtaining the confirmations listed in Part 3.</w:t>
      </w:r>
    </w:p>
    <w:p>
      <w:pPr>
        <w:spacing w:before="120" w:after="40"/>
        <w:jc w:val="left"/>
      </w:pPr>
      <w:r>
        <w:rPr>
          <w:rFonts w:ascii="Calibri" w:hAnsi="Calibri"/>
          <w:b w:val="0"/>
          <w:i/>
          <w:color w:val="595959"/>
          <w:sz w:val="16"/>
        </w:rPr>
        <w:t>Prepared as a pre-closing review aid. This memorandum does not modify the Purchase and Sale Agreement or any closing document and is subject to the terms of those controlling instruments.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