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22"/>
        </w:rPr>
        <w:t>Pinnacle Abstract &amp; Title LLC</w:t>
      </w:r>
    </w:p>
    <w:p>
      <w:pPr>
        <w:spacing w:after="80"/>
        <w:jc w:val="center"/>
      </w:pPr>
      <w:r>
        <w:rPr>
          <w:rFonts w:ascii="Calibri" w:hAnsi="Calibri"/>
          <w:b w:val="0"/>
          <w:i/>
          <w:color w:val="595959"/>
          <w:sz w:val="16"/>
        </w:rPr>
        <w:t>88 Field Point Road, Greenwich, CT 06830  |  Closing Officer: Lorraine M. Grasso</w:t>
      </w:r>
    </w:p>
    <w:p>
      <w:pPr>
        <w:spacing w:after="0"/>
        <w:jc w:val="center"/>
      </w:pPr>
      <w:r>
        <w:rPr>
          <w:rFonts w:ascii="Calibri" w:hAnsi="Calibri"/>
          <w:b/>
          <w:i w:val="0"/>
          <w:color w:val="1F3864"/>
          <w:sz w:val="28"/>
        </w:rPr>
        <w:t>COMMERCIAL REAL ESTATE SETTLEMENT STATEMENT</w:t>
      </w:r>
    </w:p>
    <w:p>
      <w:pPr>
        <w:spacing w:after="120"/>
        <w:jc w:val="center"/>
      </w:pPr>
      <w:r>
        <w:rPr>
          <w:rFonts w:ascii="Calibri" w:hAnsi="Calibri"/>
          <w:b w:val="0"/>
          <w:i/>
          <w:color w:val="595959"/>
          <w:sz w:val="18"/>
        </w:rPr>
        <w:t>Mixed-Use Property  |  Estate / Probate Sale  |  Buyer-Financed Acquisition</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6"/>
        <w:gridCol w:w="2556"/>
        <w:gridCol w:w="2556"/>
        <w:gridCol w:w="2556"/>
      </w:tblGrid>
      <w:tr>
        <w:tc>
          <w:tcPr>
            <w:tcW w:type="dxa" w:w="1944"/>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File / Commitment No.:</w:t>
            </w:r>
          </w:p>
        </w:tc>
        <w:tc>
          <w:tcPr>
            <w:tcW w:type="dxa" w:w="4392"/>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TC-2025-07182</w:t>
            </w:r>
          </w:p>
        </w:tc>
        <w:tc>
          <w:tcPr>
            <w:tcW w:type="dxa" w:w="1800"/>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Closing Date:</w:t>
            </w:r>
          </w:p>
        </w:tc>
        <w:tc>
          <w:tcPr>
            <w:tcW w:type="dxa" w:w="2952"/>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July 15, 2025</w:t>
            </w:r>
          </w:p>
        </w:tc>
      </w:tr>
      <w:tr>
        <w:tc>
          <w:tcPr>
            <w:tcW w:type="dxa" w:w="1944"/>
            <w:vAlign w:val="center"/>
            <w:tcMar>
              <w:top w:w="40" w:type="dxa"/>
              <w:bottom w:w="40" w:type="dxa"/>
              <w:start w:w="80" w:type="dxa"/>
              <w:end w:w="80" w:type="dxa"/>
            </w:tcMar>
          </w:tcPr>
          <w:p>
            <w:pPr>
              <w:spacing w:before="20" w:after="20"/>
              <w:jc w:val="left"/>
            </w:pPr>
            <w:r/>
            <w:r>
              <w:rPr>
                <w:rFonts w:ascii="Calibri" w:hAnsi="Calibri"/>
                <w:b/>
                <w:i w:val="0"/>
                <w:sz w:val="16"/>
              </w:rPr>
              <w:t>Property:</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6"/>
              </w:rPr>
              <w:t>4280 Harborview Boulevard, Bridgeport, CT 06604</w:t>
            </w:r>
          </w:p>
        </w:tc>
        <w:tc>
          <w:tcPr>
            <w:tcW w:type="dxa" w:w="1800"/>
            <w:vAlign w:val="center"/>
            <w:tcMar>
              <w:top w:w="40" w:type="dxa"/>
              <w:bottom w:w="40" w:type="dxa"/>
              <w:start w:w="80" w:type="dxa"/>
              <w:end w:w="80" w:type="dxa"/>
            </w:tcMar>
          </w:tcPr>
          <w:p>
            <w:pPr>
              <w:spacing w:before="20" w:after="20"/>
              <w:jc w:val="left"/>
            </w:pPr>
            <w:r/>
            <w:r>
              <w:rPr>
                <w:rFonts w:ascii="Calibri" w:hAnsi="Calibri"/>
                <w:b/>
                <w:i w:val="0"/>
                <w:sz w:val="16"/>
              </w:rPr>
              <w:t>Proration Date:</w:t>
            </w:r>
          </w:p>
        </w:tc>
        <w:tc>
          <w:tcPr>
            <w:tcW w:type="dxa" w:w="2952"/>
            <w:vAlign w:val="center"/>
            <w:tcMar>
              <w:top w:w="40" w:type="dxa"/>
              <w:bottom w:w="40" w:type="dxa"/>
              <w:start w:w="80" w:type="dxa"/>
              <w:end w:w="80" w:type="dxa"/>
            </w:tcMar>
          </w:tcPr>
          <w:p>
            <w:pPr>
              <w:spacing w:before="20" w:after="20"/>
              <w:jc w:val="left"/>
            </w:pPr>
            <w:r/>
            <w:r>
              <w:rPr>
                <w:rFonts w:ascii="Calibri" w:hAnsi="Calibri"/>
                <w:b w:val="0"/>
                <w:i w:val="0"/>
                <w:sz w:val="16"/>
              </w:rPr>
              <w:t>12:01 a.m. July 15, 2025</w:t>
            </w:r>
          </w:p>
        </w:tc>
      </w:tr>
      <w:tr>
        <w:tc>
          <w:tcPr>
            <w:tcW w:type="dxa" w:w="1944"/>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Legal Description:</w:t>
            </w:r>
          </w:p>
        </w:tc>
        <w:tc>
          <w:tcPr>
            <w:tcW w:type="dxa" w:w="4392"/>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Lot 17, Block 42, Bridgeport Harbor Redevelopment Plat, Vol. 312, Pg. 88</w:t>
            </w:r>
          </w:p>
        </w:tc>
        <w:tc>
          <w:tcPr>
            <w:tcW w:type="dxa" w:w="1800"/>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Closing Day To:</w:t>
            </w:r>
          </w:p>
        </w:tc>
        <w:tc>
          <w:tcPr>
            <w:tcW w:type="dxa" w:w="2952"/>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Buyer</w:t>
            </w:r>
          </w:p>
        </w:tc>
      </w:tr>
      <w:tr>
        <w:tc>
          <w:tcPr>
            <w:tcW w:type="dxa" w:w="1944"/>
            <w:vAlign w:val="center"/>
            <w:tcMar>
              <w:top w:w="40" w:type="dxa"/>
              <w:bottom w:w="40" w:type="dxa"/>
              <w:start w:w="80" w:type="dxa"/>
              <w:end w:w="80" w:type="dxa"/>
            </w:tcMar>
          </w:tcPr>
          <w:p>
            <w:pPr>
              <w:spacing w:before="20" w:after="20"/>
              <w:jc w:val="left"/>
            </w:pPr>
            <w:r/>
            <w:r>
              <w:rPr>
                <w:rFonts w:ascii="Calibri" w:hAnsi="Calibri"/>
                <w:b/>
                <w:i w:val="0"/>
                <w:sz w:val="16"/>
              </w:rPr>
              <w:t>Seller:</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6"/>
              </w:rPr>
              <w:t>Estate of Gerald T. Whitford (Claudia Whitford-Barnes, Executrix)</w:t>
            </w:r>
          </w:p>
        </w:tc>
        <w:tc>
          <w:tcPr>
            <w:tcW w:type="dxa" w:w="1800"/>
            <w:vAlign w:val="center"/>
            <w:tcMar>
              <w:top w:w="40" w:type="dxa"/>
              <w:bottom w:w="40" w:type="dxa"/>
              <w:start w:w="80" w:type="dxa"/>
              <w:end w:w="80" w:type="dxa"/>
            </w:tcMar>
          </w:tcPr>
          <w:p>
            <w:pPr>
              <w:spacing w:before="20" w:after="20"/>
              <w:jc w:val="left"/>
            </w:pPr>
            <w:r/>
            <w:r>
              <w:rPr>
                <w:rFonts w:ascii="Calibri" w:hAnsi="Calibri"/>
                <w:b/>
                <w:i w:val="0"/>
                <w:sz w:val="16"/>
              </w:rPr>
              <w:t>Seller's Counsel:</w:t>
            </w:r>
          </w:p>
        </w:tc>
        <w:tc>
          <w:tcPr>
            <w:tcW w:type="dxa" w:w="2952"/>
            <w:vAlign w:val="center"/>
            <w:tcMar>
              <w:top w:w="40" w:type="dxa"/>
              <w:bottom w:w="40" w:type="dxa"/>
              <w:start w:w="80" w:type="dxa"/>
              <w:end w:w="80" w:type="dxa"/>
            </w:tcMar>
          </w:tcPr>
          <w:p>
            <w:pPr>
              <w:spacing w:before="20" w:after="20"/>
              <w:jc w:val="left"/>
            </w:pPr>
            <w:r/>
            <w:r>
              <w:rPr>
                <w:rFonts w:ascii="Calibri" w:hAnsi="Calibri"/>
                <w:b w:val="0"/>
                <w:i w:val="0"/>
                <w:sz w:val="16"/>
              </w:rPr>
              <w:t>Ashford, Clement &amp; Paige LLP (D. H. Clement, Esq.)</w:t>
            </w:r>
          </w:p>
        </w:tc>
      </w:tr>
      <w:tr>
        <w:tc>
          <w:tcPr>
            <w:tcW w:type="dxa" w:w="1944"/>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Buyer:</w:t>
            </w:r>
          </w:p>
        </w:tc>
        <w:tc>
          <w:tcPr>
            <w:tcW w:type="dxa" w:w="4392"/>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Meridian Cove Properties LLC (Elaine R. Matsuda, Manager)</w:t>
            </w:r>
          </w:p>
        </w:tc>
        <w:tc>
          <w:tcPr>
            <w:tcW w:type="dxa" w:w="1800"/>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Buyer's Counsel:</w:t>
            </w:r>
          </w:p>
        </w:tc>
        <w:tc>
          <w:tcPr>
            <w:tcW w:type="dxa" w:w="2952"/>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Ridgeline Law Group PLLC (N. F. Kapadia, Esq.)</w:t>
            </w:r>
          </w:p>
        </w:tc>
      </w:tr>
      <w:tr>
        <w:tc>
          <w:tcPr>
            <w:tcW w:type="dxa" w:w="1944"/>
            <w:vAlign w:val="center"/>
            <w:tcMar>
              <w:top w:w="40" w:type="dxa"/>
              <w:bottom w:w="40" w:type="dxa"/>
              <w:start w:w="80" w:type="dxa"/>
              <w:end w:w="80" w:type="dxa"/>
            </w:tcMar>
          </w:tcPr>
          <w:p>
            <w:pPr>
              <w:spacing w:before="20" w:after="20"/>
              <w:jc w:val="left"/>
            </w:pPr>
            <w:r/>
            <w:r>
              <w:rPr>
                <w:rFonts w:ascii="Calibri" w:hAnsi="Calibri"/>
                <w:b/>
                <w:i w:val="0"/>
                <w:sz w:val="16"/>
              </w:rPr>
              <w:t>Lender:</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6"/>
              </w:rPr>
              <w:t>Tidewater Savings Bank (M. J. Pellegrino) — Loan No. TSB-2025-CRE-04183</w:t>
            </w:r>
          </w:p>
        </w:tc>
        <w:tc>
          <w:tcPr>
            <w:tcW w:type="dxa" w:w="1800"/>
            <w:vAlign w:val="center"/>
            <w:tcMar>
              <w:top w:w="40" w:type="dxa"/>
              <w:bottom w:w="40" w:type="dxa"/>
              <w:start w:w="80" w:type="dxa"/>
              <w:end w:w="80" w:type="dxa"/>
            </w:tcMar>
          </w:tcPr>
          <w:p>
            <w:pPr>
              <w:spacing w:before="20" w:after="20"/>
              <w:jc w:val="left"/>
            </w:pPr>
            <w:r/>
            <w:r>
              <w:rPr>
                <w:rFonts w:ascii="Calibri" w:hAnsi="Calibri"/>
                <w:b/>
                <w:i w:val="0"/>
                <w:sz w:val="16"/>
              </w:rPr>
              <w:t>Property Manager:</w:t>
            </w:r>
          </w:p>
        </w:tc>
        <w:tc>
          <w:tcPr>
            <w:tcW w:type="dxa" w:w="2952"/>
            <w:vAlign w:val="center"/>
            <w:tcMar>
              <w:top w:w="40" w:type="dxa"/>
              <w:bottom w:w="40" w:type="dxa"/>
              <w:start w:w="80" w:type="dxa"/>
              <w:end w:w="80" w:type="dxa"/>
            </w:tcMar>
          </w:tcPr>
          <w:p>
            <w:pPr>
              <w:spacing w:before="20" w:after="20"/>
              <w:jc w:val="left"/>
            </w:pPr>
            <w:r/>
            <w:r>
              <w:rPr>
                <w:rFonts w:ascii="Calibri" w:hAnsi="Calibri"/>
                <w:b w:val="0"/>
                <w:i w:val="0"/>
                <w:sz w:val="16"/>
              </w:rPr>
              <w:t>Bayshore Management Co. (T. Herrera)</w:t>
            </w:r>
          </w:p>
        </w:tc>
      </w:tr>
      <w:tr>
        <w:tc>
          <w:tcPr>
            <w:tcW w:type="dxa" w:w="1944"/>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Purchase Price:</w:t>
            </w:r>
          </w:p>
        </w:tc>
        <w:tc>
          <w:tcPr>
            <w:tcW w:type="dxa" w:w="4392"/>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$3,900,000.00</w:t>
            </w:r>
          </w:p>
        </w:tc>
        <w:tc>
          <w:tcPr>
            <w:tcW w:type="dxa" w:w="1800"/>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Loan Amount:</w:t>
            </w:r>
          </w:p>
        </w:tc>
        <w:tc>
          <w:tcPr>
            <w:tcW w:type="dxa" w:w="2952"/>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$2,640,000.00 (6.875%, 30-yr am., 7-yr balloon)</w:t>
            </w:r>
          </w:p>
        </w:tc>
      </w:tr>
      <w:tr>
        <w:tc>
          <w:tcPr>
            <w:tcW w:type="dxa" w:w="1944"/>
            <w:vAlign w:val="center"/>
            <w:tcMar>
              <w:top w:w="40" w:type="dxa"/>
              <w:bottom w:w="40" w:type="dxa"/>
              <w:start w:w="80" w:type="dxa"/>
              <w:end w:w="80" w:type="dxa"/>
            </w:tcMar>
          </w:tcPr>
          <w:p>
            <w:pPr>
              <w:spacing w:before="20" w:after="20"/>
              <w:jc w:val="left"/>
            </w:pPr>
            <w:r/>
            <w:r>
              <w:rPr>
                <w:rFonts w:ascii="Calibri" w:hAnsi="Calibri"/>
                <w:b/>
                <w:i w:val="0"/>
                <w:sz w:val="16"/>
              </w:rPr>
              <w:t>Probate Docket:</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6"/>
              </w:rPr>
              <w:t>Fairfield County Probate Ct. No. 2024-PR-04417</w:t>
            </w:r>
          </w:p>
        </w:tc>
        <w:tc>
          <w:tcPr>
            <w:tcW w:type="dxa" w:w="1800"/>
            <w:vAlign w:val="center"/>
            <w:tcMar>
              <w:top w:w="40" w:type="dxa"/>
              <w:bottom w:w="40" w:type="dxa"/>
              <w:start w:w="80" w:type="dxa"/>
              <w:end w:w="80" w:type="dxa"/>
            </w:tcMar>
          </w:tcPr>
          <w:p>
            <w:pPr>
              <w:spacing w:before="20" w:after="20"/>
              <w:jc w:val="left"/>
            </w:pPr>
            <w:r/>
            <w:r>
              <w:rPr>
                <w:rFonts w:ascii="Calibri" w:hAnsi="Calibri"/>
                <w:b/>
                <w:i w:val="0"/>
                <w:sz w:val="16"/>
              </w:rPr>
              <w:t>Earnest Money:</w:t>
            </w:r>
          </w:p>
        </w:tc>
        <w:tc>
          <w:tcPr>
            <w:tcW w:type="dxa" w:w="2952"/>
            <w:vAlign w:val="center"/>
            <w:tcMar>
              <w:top w:w="40" w:type="dxa"/>
              <w:bottom w:w="40" w:type="dxa"/>
              <w:start w:w="80" w:type="dxa"/>
              <w:end w:w="80" w:type="dxa"/>
            </w:tcMar>
          </w:tcPr>
          <w:p>
            <w:pPr>
              <w:spacing w:before="20" w:after="20"/>
              <w:jc w:val="left"/>
            </w:pPr>
            <w:r/>
            <w:r>
              <w:rPr>
                <w:rFonts w:ascii="Calibri" w:hAnsi="Calibri"/>
                <w:b w:val="0"/>
                <w:i w:val="0"/>
                <w:sz w:val="16"/>
              </w:rPr>
              <w:t>$195,000.00 (held by Escrow Agent)</w:t>
            </w:r>
          </w:p>
        </w:tc>
      </w:tr>
    </w:tbl>
    <w:p>
      <w:pPr>
        <w:spacing w:before="80" w:after="40"/>
        <w:jc w:val="left"/>
      </w:pPr>
      <w:r>
        <w:rPr>
          <w:rFonts w:ascii="Calibri" w:hAnsi="Calibri"/>
          <w:b w:val="0"/>
          <w:i/>
          <w:color w:val="595959"/>
          <w:sz w:val="16"/>
        </w:rPr>
        <w:t>All prorations computed on a 365-day year unless otherwise noted; the day of closing (July 15, 2025) is allocated to Buyer. Amounts are in U.S. dollars. This statement is prepared for closing purposes and is subject to final verification of payoff figures, deposit interest, and the conveyance-tax return.</w:t>
      </w:r>
    </w:p>
    <w:p>
      <w:pPr>
        <w:keepNext/>
        <w:spacing w:before="200" w:after="80"/>
        <w:pBdr>
          <w:bottom w:val="single" w:sz="6" w:space="2" w:color="1F3864"/>
        </w:pBdr>
      </w:pPr>
      <w:r>
        <w:rPr>
          <w:rFonts w:ascii="Calibri" w:hAnsi="Calibri"/>
          <w:b/>
          <w:i w:val="0"/>
          <w:color w:val="1F3864"/>
          <w:sz w:val="24"/>
        </w:rPr>
        <w:t>SECTION A — SUMMARY OF TRANSACTION</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08"/>
        <w:gridCol w:w="3408"/>
        <w:gridCol w:w="3408"/>
      </w:tblGrid>
      <w:tr>
        <w:tc>
          <w:tcPr>
            <w:tcW w:type="dxa" w:w="7200"/>
            <w:vAlign w:val="center"/>
            <w:tcMar>
              <w:top w:w="40" w:type="dxa"/>
              <w:bottom w:w="40" w:type="dxa"/>
              <w:start w:w="80" w:type="dxa"/>
              <w:end w:w="80" w:type="dxa"/>
            </w:tcMar>
            <w:shd w:val="clear" w:color="auto" w:fill="DCE6F1"/>
            <w:shd w:val="clear" w:color="auto" w:fill="1F3864"/>
          </w:tcPr>
          <w:p>
            <w:pPr>
              <w:spacing w:before="20" w:after="20"/>
              <w:jc w:val="left"/>
            </w:pPr>
            <w:r>
              <w:rPr>
                <w:color w:val="FFFFFF"/>
              </w:rPr>
            </w:r>
            <w:r>
              <w:rPr>
                <w:rFonts w:ascii="Calibri" w:hAnsi="Calibri"/>
                <w:b/>
                <w:i w:val="0"/>
                <w:color w:val="FFFFFF"/>
                <w:sz w:val="18"/>
              </w:rPr>
              <w:t>ITEM</w:t>
            </w:r>
          </w:p>
        </w:tc>
        <w:tc>
          <w:tcPr>
            <w:tcW w:type="dxa" w:w="2304"/>
            <w:vAlign w:val="center"/>
            <w:tcMar>
              <w:top w:w="40" w:type="dxa"/>
              <w:bottom w:w="40" w:type="dxa"/>
              <w:start w:w="80" w:type="dxa"/>
              <w:end w:w="80" w:type="dxa"/>
            </w:tcMar>
            <w:shd w:val="clear" w:color="auto" w:fill="DCE6F1"/>
            <w:shd w:val="clear" w:color="auto" w:fill="1F3864"/>
          </w:tcPr>
          <w:p>
            <w:pPr>
              <w:spacing w:before="20" w:after="20"/>
              <w:jc w:val="right"/>
            </w:pPr>
            <w:r>
              <w:rPr>
                <w:color w:val="FFFFFF"/>
              </w:rPr>
            </w:r>
            <w:r>
              <w:rPr>
                <w:rFonts w:ascii="Calibri" w:hAnsi="Calibri"/>
                <w:b/>
                <w:i w:val="0"/>
                <w:color w:val="FFFFFF"/>
                <w:sz w:val="18"/>
              </w:rPr>
              <w:t>BUYER</w:t>
            </w:r>
          </w:p>
        </w:tc>
        <w:tc>
          <w:tcPr>
            <w:tcW w:type="dxa" w:w="2304"/>
            <w:vAlign w:val="center"/>
            <w:tcMar>
              <w:top w:w="40" w:type="dxa"/>
              <w:bottom w:w="40" w:type="dxa"/>
              <w:start w:w="80" w:type="dxa"/>
              <w:end w:w="80" w:type="dxa"/>
            </w:tcMar>
            <w:shd w:val="clear" w:color="auto" w:fill="DCE6F1"/>
            <w:shd w:val="clear" w:color="auto" w:fill="1F3864"/>
          </w:tcPr>
          <w:p>
            <w:pPr>
              <w:spacing w:before="20" w:after="20"/>
              <w:jc w:val="right"/>
            </w:pPr>
            <w:r>
              <w:rPr>
                <w:color w:val="FFFFFF"/>
              </w:rPr>
            </w:r>
            <w:r>
              <w:rPr>
                <w:rFonts w:ascii="Calibri" w:hAnsi="Calibri"/>
                <w:b/>
                <w:i w:val="0"/>
                <w:color w:val="FFFFFF"/>
                <w:sz w:val="18"/>
              </w:rPr>
              <w:t>SELLER</w:t>
            </w:r>
          </w:p>
        </w:tc>
      </w:tr>
      <w:tr>
        <w:tc>
          <w:tcPr>
            <w:tcW w:type="dxa" w:w="7200"/>
            <w:vAlign w:val="center"/>
            <w:tcMar>
              <w:top w:w="40" w:type="dxa"/>
              <w:bottom w:w="40" w:type="dxa"/>
              <w:start w:w="80" w:type="dxa"/>
              <w:end w:w="80" w:type="dxa"/>
            </w:tcMar>
          </w:tcPr>
          <w:p>
            <w:pPr>
              <w:spacing w:before="20" w:after="20"/>
              <w:jc w:val="left"/>
            </w:pPr>
            <w:r/>
            <w:r>
              <w:rPr>
                <w:rFonts w:ascii="Calibri" w:hAnsi="Calibri"/>
                <w:b w:val="0"/>
                <w:i w:val="0"/>
                <w:sz w:val="18"/>
              </w:rPr>
              <w:t>Contract Purchase Price</w:t>
            </w:r>
          </w:p>
        </w:tc>
        <w:tc>
          <w:tcPr>
            <w:tcW w:type="dxa" w:w="2304"/>
            <w:vAlign w:val="center"/>
            <w:tcMar>
              <w:top w:w="40" w:type="dxa"/>
              <w:bottom w:w="40" w:type="dxa"/>
              <w:start w:w="80" w:type="dxa"/>
              <w:end w:w="80" w:type="dxa"/>
            </w:tcMar>
          </w:tcPr>
          <w:p>
            <w:pPr>
              <w:spacing w:before="20" w:after="20"/>
              <w:jc w:val="right"/>
            </w:pPr>
            <w:r/>
            <w:r>
              <w:rPr>
                <w:rFonts w:ascii="Calibri" w:hAnsi="Calibri"/>
                <w:b w:val="0"/>
                <w:i w:val="0"/>
                <w:sz w:val="18"/>
              </w:rPr>
              <w:t>$3,900,000.00</w:t>
            </w:r>
          </w:p>
        </w:tc>
        <w:tc>
          <w:tcPr>
            <w:tcW w:type="dxa" w:w="2304"/>
            <w:vAlign w:val="center"/>
            <w:tcMar>
              <w:top w:w="40" w:type="dxa"/>
              <w:bottom w:w="40" w:type="dxa"/>
              <w:start w:w="80" w:type="dxa"/>
              <w:end w:w="80" w:type="dxa"/>
            </w:tcMar>
          </w:tcPr>
          <w:p>
            <w:pPr>
              <w:spacing w:before="20" w:after="20"/>
              <w:jc w:val="right"/>
            </w:pPr>
            <w:r/>
            <w:r>
              <w:rPr>
                <w:rFonts w:ascii="Calibri" w:hAnsi="Calibri"/>
                <w:b w:val="0"/>
                <w:i w:val="0"/>
                <w:sz w:val="18"/>
              </w:rPr>
              <w:t>$3,900,000.00</w:t>
            </w:r>
          </w:p>
        </w:tc>
      </w:tr>
      <w:tr>
        <w:tc>
          <w:tcPr>
            <w:tcW w:type="dxa" w:w="7200"/>
            <w:vAlign w:val="center"/>
            <w:tcMar>
              <w:top w:w="40" w:type="dxa"/>
              <w:bottom w:w="40" w:type="dxa"/>
              <w:start w:w="80" w:type="dxa"/>
              <w:end w:w="80" w:type="dxa"/>
            </w:tcMar>
          </w:tcPr>
          <w:p>
            <w:pPr>
              <w:spacing w:before="20" w:after="20"/>
              <w:jc w:val="left"/>
            </w:pPr>
            <w:r/>
            <w:r>
              <w:rPr>
                <w:rFonts w:ascii="Calibri" w:hAnsi="Calibri"/>
                <w:b w:val="0"/>
                <w:i w:val="0"/>
                <w:sz w:val="18"/>
              </w:rPr>
              <w:t>Heating oil reimbursement (180 gal @ $3.85)</w:t>
            </w:r>
          </w:p>
        </w:tc>
        <w:tc>
          <w:tcPr>
            <w:tcW w:type="dxa" w:w="2304"/>
            <w:vAlign w:val="center"/>
            <w:tcMar>
              <w:top w:w="40" w:type="dxa"/>
              <w:bottom w:w="40" w:type="dxa"/>
              <w:start w:w="80" w:type="dxa"/>
              <w:end w:w="80" w:type="dxa"/>
            </w:tcMar>
          </w:tcPr>
          <w:p>
            <w:pPr>
              <w:spacing w:before="20" w:after="20"/>
              <w:jc w:val="right"/>
            </w:pPr>
            <w:r/>
            <w:r>
              <w:rPr>
                <w:rFonts w:ascii="Calibri" w:hAnsi="Calibri"/>
                <w:b w:val="0"/>
                <w:i w:val="0"/>
                <w:sz w:val="18"/>
              </w:rPr>
              <w:t>$693.00</w:t>
            </w:r>
          </w:p>
        </w:tc>
        <w:tc>
          <w:tcPr>
            <w:tcW w:type="dxa" w:w="2304"/>
            <w:vAlign w:val="center"/>
            <w:tcMar>
              <w:top w:w="40" w:type="dxa"/>
              <w:bottom w:w="40" w:type="dxa"/>
              <w:start w:w="80" w:type="dxa"/>
              <w:end w:w="80" w:type="dxa"/>
            </w:tcMar>
          </w:tcPr>
          <w:p>
            <w:pPr>
              <w:spacing w:before="20" w:after="20"/>
              <w:jc w:val="right"/>
            </w:pPr>
            <w:r/>
            <w:r>
              <w:rPr>
                <w:rFonts w:ascii="Calibri" w:hAnsi="Calibri"/>
                <w:b w:val="0"/>
                <w:i w:val="0"/>
                <w:sz w:val="18"/>
              </w:rPr>
              <w:t>$693.00</w:t>
            </w:r>
          </w:p>
        </w:tc>
      </w:tr>
      <w:tr>
        <w:tc>
          <w:tcPr>
            <w:tcW w:type="dxa" w:w="7200"/>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8"/>
              </w:rPr>
              <w:t>TOTAL AMOUNT DUE (Buyer) / DUE TO SELLER</w:t>
            </w:r>
          </w:p>
        </w:tc>
        <w:tc>
          <w:tcPr>
            <w:tcW w:type="dxa" w:w="2304"/>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8"/>
              </w:rPr>
              <w:t>$3,967,767.00</w:t>
            </w:r>
          </w:p>
        </w:tc>
        <w:tc>
          <w:tcPr>
            <w:tcW w:type="dxa" w:w="2304"/>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8"/>
              </w:rPr>
              <w:t>$3,900,693.00</w:t>
            </w:r>
          </w:p>
        </w:tc>
      </w:tr>
      <w:tr>
        <w:tc>
          <w:tcPr>
            <w:tcW w:type="dxa" w:w="7200"/>
            <w:vAlign w:val="center"/>
            <w:tcMar>
              <w:top w:w="40" w:type="dxa"/>
              <w:bottom w:w="40" w:type="dxa"/>
              <w:start w:w="80" w:type="dxa"/>
              <w:end w:w="80" w:type="dxa"/>
            </w:tcMar>
          </w:tcPr>
          <w:p>
            <w:pPr>
              <w:spacing w:before="20" w:after="20"/>
              <w:jc w:val="left"/>
            </w:pPr>
            <w:r/>
            <w:r>
              <w:rPr>
                <w:rFonts w:ascii="Calibri" w:hAnsi="Calibri"/>
                <w:b w:val="0"/>
                <w:i w:val="0"/>
                <w:sz w:val="8"/>
              </w:rPr>
            </w:r>
          </w:p>
        </w:tc>
        <w:tc>
          <w:tcPr>
            <w:tcW w:type="dxa" w:w="2304"/>
            <w:vAlign w:val="center"/>
            <w:tcMar>
              <w:top w:w="40" w:type="dxa"/>
              <w:bottom w:w="40" w:type="dxa"/>
              <w:start w:w="80" w:type="dxa"/>
              <w:end w:w="80" w:type="dxa"/>
            </w:tcMar>
          </w:tcPr>
          <w:p>
            <w:pPr>
              <w:spacing w:before="20" w:after="20"/>
              <w:jc w:val="left"/>
            </w:pPr>
            <w:r/>
            <w:r>
              <w:rPr>
                <w:rFonts w:ascii="Calibri" w:hAnsi="Calibri"/>
                <w:b w:val="0"/>
                <w:i w:val="0"/>
                <w:sz w:val="8"/>
              </w:rPr>
            </w:r>
          </w:p>
        </w:tc>
        <w:tc>
          <w:tcPr>
            <w:tcW w:type="dxa" w:w="2304"/>
            <w:vAlign w:val="center"/>
            <w:tcMar>
              <w:top w:w="40" w:type="dxa"/>
              <w:bottom w:w="40" w:type="dxa"/>
              <w:start w:w="80" w:type="dxa"/>
              <w:end w:w="80" w:type="dxa"/>
            </w:tcMar>
          </w:tcPr>
          <w:p>
            <w:pPr>
              <w:spacing w:before="20" w:after="20"/>
              <w:jc w:val="left"/>
            </w:pPr>
            <w:r/>
            <w:r>
              <w:rPr>
                <w:rFonts w:ascii="Calibri" w:hAnsi="Calibri"/>
                <w:b w:val="0"/>
                <w:i w:val="0"/>
                <w:sz w:val="8"/>
              </w:rPr>
            </w:r>
          </w:p>
        </w:tc>
      </w:tr>
      <w:tr>
        <w:tc>
          <w:tcPr>
            <w:tcW w:type="dxa" w:w="7200"/>
            <w:vAlign w:val="center"/>
            <w:tcMar>
              <w:top w:w="40" w:type="dxa"/>
              <w:bottom w:w="40" w:type="dxa"/>
              <w:start w:w="80" w:type="dxa"/>
              <w:end w:w="80" w:type="dxa"/>
            </w:tcMar>
          </w:tcPr>
          <w:p>
            <w:pPr>
              <w:spacing w:before="20" w:after="20"/>
              <w:jc w:val="left"/>
            </w:pPr>
            <w:r/>
            <w:r>
              <w:rPr>
                <w:rFonts w:ascii="Calibri" w:hAnsi="Calibri"/>
                <w:b w:val="0"/>
                <w:i w:val="0"/>
                <w:sz w:val="18"/>
              </w:rPr>
              <w:t>LESS: Earnest money deposit (held by Escrow Agent)</w:t>
            </w:r>
          </w:p>
        </w:tc>
        <w:tc>
          <w:tcPr>
            <w:tcW w:type="dxa" w:w="2304"/>
            <w:vAlign w:val="center"/>
            <w:tcMar>
              <w:top w:w="40" w:type="dxa"/>
              <w:bottom w:w="40" w:type="dxa"/>
              <w:start w:w="80" w:type="dxa"/>
              <w:end w:w="80" w:type="dxa"/>
            </w:tcMar>
          </w:tcPr>
          <w:p>
            <w:pPr>
              <w:spacing w:before="20" w:after="20"/>
              <w:jc w:val="right"/>
            </w:pPr>
            <w:r/>
            <w:r>
              <w:rPr>
                <w:rFonts w:ascii="Calibri" w:hAnsi="Calibri"/>
                <w:b w:val="0"/>
                <w:i w:val="0"/>
                <w:sz w:val="18"/>
              </w:rPr>
              <w:t>$(195,000.00)</w:t>
            </w:r>
          </w:p>
        </w:tc>
        <w:tc>
          <w:tcPr>
            <w:tcW w:type="dxa" w:w="2304"/>
            <w:vAlign w:val="center"/>
            <w:tcMar>
              <w:top w:w="40" w:type="dxa"/>
              <w:bottom w:w="40" w:type="dxa"/>
              <w:start w:w="80" w:type="dxa"/>
              <w:end w:w="80" w:type="dxa"/>
            </w:tcMar>
          </w:tcPr>
          <w:p>
            <w:pPr>
              <w:spacing w:before="20" w:after="20"/>
              <w:jc w:val="right"/>
            </w:pPr>
            <w:r/>
            <w:r>
              <w:rPr>
                <w:rFonts w:ascii="Calibri" w:hAnsi="Calibri"/>
                <w:b w:val="0"/>
                <w:i w:val="0"/>
                <w:sz w:val="18"/>
              </w:rPr>
            </w:r>
          </w:p>
        </w:tc>
      </w:tr>
      <w:tr>
        <w:tc>
          <w:tcPr>
            <w:tcW w:type="dxa" w:w="7200"/>
            <w:vAlign w:val="center"/>
            <w:tcMar>
              <w:top w:w="40" w:type="dxa"/>
              <w:bottom w:w="40" w:type="dxa"/>
              <w:start w:w="80" w:type="dxa"/>
              <w:end w:w="80" w:type="dxa"/>
            </w:tcMar>
          </w:tcPr>
          <w:p>
            <w:pPr>
              <w:spacing w:before="20" w:after="20"/>
              <w:jc w:val="left"/>
            </w:pPr>
            <w:r/>
            <w:r>
              <w:rPr>
                <w:rFonts w:ascii="Calibri" w:hAnsi="Calibri"/>
                <w:b w:val="0"/>
                <w:i w:val="0"/>
                <w:sz w:val="18"/>
              </w:rPr>
              <w:t>LESS: Loan proceeds — Tidewater Savings Bank</w:t>
            </w:r>
          </w:p>
        </w:tc>
        <w:tc>
          <w:tcPr>
            <w:tcW w:type="dxa" w:w="2304"/>
            <w:vAlign w:val="center"/>
            <w:tcMar>
              <w:top w:w="40" w:type="dxa"/>
              <w:bottom w:w="40" w:type="dxa"/>
              <w:start w:w="80" w:type="dxa"/>
              <w:end w:w="80" w:type="dxa"/>
            </w:tcMar>
          </w:tcPr>
          <w:p>
            <w:pPr>
              <w:spacing w:before="20" w:after="20"/>
              <w:jc w:val="right"/>
            </w:pPr>
            <w:r/>
            <w:r>
              <w:rPr>
                <w:rFonts w:ascii="Calibri" w:hAnsi="Calibri"/>
                <w:b w:val="0"/>
                <w:i w:val="0"/>
                <w:sz w:val="18"/>
              </w:rPr>
              <w:t>$(2,640,000.00)</w:t>
            </w:r>
          </w:p>
        </w:tc>
        <w:tc>
          <w:tcPr>
            <w:tcW w:type="dxa" w:w="2304"/>
            <w:vAlign w:val="center"/>
            <w:tcMar>
              <w:top w:w="40" w:type="dxa"/>
              <w:bottom w:w="40" w:type="dxa"/>
              <w:start w:w="80" w:type="dxa"/>
              <w:end w:w="80" w:type="dxa"/>
            </w:tcMar>
          </w:tcPr>
          <w:p>
            <w:pPr>
              <w:spacing w:before="20" w:after="20"/>
              <w:jc w:val="right"/>
            </w:pPr>
            <w:r/>
            <w:r>
              <w:rPr>
                <w:rFonts w:ascii="Calibri" w:hAnsi="Calibri"/>
                <w:b w:val="0"/>
                <w:i w:val="0"/>
                <w:sz w:val="18"/>
              </w:rPr>
            </w:r>
          </w:p>
        </w:tc>
      </w:tr>
      <w:tr>
        <w:tc>
          <w:tcPr>
            <w:tcW w:type="dxa" w:w="7200"/>
            <w:vAlign w:val="center"/>
            <w:tcMar>
              <w:top w:w="40" w:type="dxa"/>
              <w:bottom w:w="40" w:type="dxa"/>
              <w:start w:w="80" w:type="dxa"/>
              <w:end w:w="80" w:type="dxa"/>
            </w:tcMar>
          </w:tcPr>
          <w:p>
            <w:pPr>
              <w:spacing w:before="20" w:after="20"/>
              <w:jc w:val="left"/>
            </w:pPr>
            <w:r/>
            <w:r>
              <w:rPr>
                <w:rFonts w:ascii="Calibri" w:hAnsi="Calibri"/>
                <w:b w:val="0"/>
                <w:i w:val="0"/>
                <w:sz w:val="18"/>
              </w:rPr>
              <w:t>LESS: Proration credits to Buyer (rents, deposits, taxes, utilities)</w:t>
            </w:r>
          </w:p>
        </w:tc>
        <w:tc>
          <w:tcPr>
            <w:tcW w:type="dxa" w:w="2304"/>
            <w:vAlign w:val="center"/>
            <w:tcMar>
              <w:top w:w="40" w:type="dxa"/>
              <w:bottom w:w="40" w:type="dxa"/>
              <w:start w:w="80" w:type="dxa"/>
              <w:end w:w="80" w:type="dxa"/>
            </w:tcMar>
          </w:tcPr>
          <w:p>
            <w:pPr>
              <w:spacing w:before="20" w:after="20"/>
              <w:jc w:val="right"/>
            </w:pPr>
            <w:r/>
            <w:r>
              <w:rPr>
                <w:rFonts w:ascii="Calibri" w:hAnsi="Calibri"/>
                <w:b w:val="0"/>
                <w:i w:val="0"/>
                <w:sz w:val="18"/>
              </w:rPr>
              <w:t>$(49,202.48)</w:t>
            </w:r>
          </w:p>
        </w:tc>
        <w:tc>
          <w:tcPr>
            <w:tcW w:type="dxa" w:w="2304"/>
            <w:vAlign w:val="center"/>
            <w:tcMar>
              <w:top w:w="40" w:type="dxa"/>
              <w:bottom w:w="40" w:type="dxa"/>
              <w:start w:w="80" w:type="dxa"/>
              <w:end w:w="80" w:type="dxa"/>
            </w:tcMar>
          </w:tcPr>
          <w:p>
            <w:pPr>
              <w:spacing w:before="20" w:after="20"/>
              <w:jc w:val="right"/>
            </w:pPr>
            <w:r/>
            <w:r>
              <w:rPr>
                <w:rFonts w:ascii="Calibri" w:hAnsi="Calibri"/>
                <w:b w:val="0"/>
                <w:i w:val="0"/>
                <w:sz w:val="18"/>
              </w:rPr>
            </w:r>
          </w:p>
        </w:tc>
      </w:tr>
      <w:tr>
        <w:tc>
          <w:tcPr>
            <w:tcW w:type="dxa" w:w="7200"/>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8"/>
              </w:rPr>
              <w:t>TOTAL CREDITS / DEDUCTIONS</w:t>
            </w:r>
          </w:p>
        </w:tc>
        <w:tc>
          <w:tcPr>
            <w:tcW w:type="dxa" w:w="2304"/>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8"/>
              </w:rPr>
              <w:t>$(2,884,202.48)</w:t>
            </w:r>
          </w:p>
        </w:tc>
        <w:tc>
          <w:tcPr>
            <w:tcW w:type="dxa" w:w="2304"/>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8"/>
              </w:rPr>
              <w:t>$(1,036,029.17)</w:t>
            </w:r>
          </w:p>
        </w:tc>
      </w:tr>
      <w:tr>
        <w:tc>
          <w:tcPr>
            <w:tcW w:type="dxa" w:w="7200"/>
            <w:vAlign w:val="center"/>
            <w:tcMar>
              <w:top w:w="40" w:type="dxa"/>
              <w:bottom w:w="40" w:type="dxa"/>
              <w:start w:w="80" w:type="dxa"/>
              <w:end w:w="80" w:type="dxa"/>
            </w:tcMar>
          </w:tcPr>
          <w:p>
            <w:pPr>
              <w:spacing w:before="20" w:after="20"/>
              <w:jc w:val="left"/>
            </w:pPr>
            <w:r/>
            <w:r>
              <w:rPr>
                <w:rFonts w:ascii="Calibri" w:hAnsi="Calibri"/>
                <w:b w:val="0"/>
                <w:i w:val="0"/>
                <w:sz w:val="8"/>
              </w:rPr>
            </w:r>
          </w:p>
        </w:tc>
        <w:tc>
          <w:tcPr>
            <w:tcW w:type="dxa" w:w="2304"/>
            <w:vAlign w:val="center"/>
            <w:tcMar>
              <w:top w:w="40" w:type="dxa"/>
              <w:bottom w:w="40" w:type="dxa"/>
              <w:start w:w="80" w:type="dxa"/>
              <w:end w:w="80" w:type="dxa"/>
            </w:tcMar>
          </w:tcPr>
          <w:p>
            <w:pPr>
              <w:spacing w:before="20" w:after="20"/>
              <w:jc w:val="left"/>
            </w:pPr>
            <w:r/>
            <w:r>
              <w:rPr>
                <w:rFonts w:ascii="Calibri" w:hAnsi="Calibri"/>
                <w:b w:val="0"/>
                <w:i w:val="0"/>
                <w:sz w:val="8"/>
              </w:rPr>
            </w:r>
          </w:p>
        </w:tc>
        <w:tc>
          <w:tcPr>
            <w:tcW w:type="dxa" w:w="2304"/>
            <w:vAlign w:val="center"/>
            <w:tcMar>
              <w:top w:w="40" w:type="dxa"/>
              <w:bottom w:w="40" w:type="dxa"/>
              <w:start w:w="80" w:type="dxa"/>
              <w:end w:w="80" w:type="dxa"/>
            </w:tcMar>
          </w:tcPr>
          <w:p>
            <w:pPr>
              <w:spacing w:before="20" w:after="20"/>
              <w:jc w:val="left"/>
            </w:pPr>
            <w:r/>
            <w:r>
              <w:rPr>
                <w:rFonts w:ascii="Calibri" w:hAnsi="Calibri"/>
                <w:b w:val="0"/>
                <w:i w:val="0"/>
                <w:sz w:val="8"/>
              </w:rPr>
            </w:r>
          </w:p>
        </w:tc>
      </w:tr>
      <w:tr>
        <w:tc>
          <w:tcPr>
            <w:tcW w:type="dxa" w:w="7200"/>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8"/>
              </w:rPr>
              <w:t>CASH REQUIRED FROM BUYER AT CLOSING</w:t>
            </w:r>
          </w:p>
        </w:tc>
        <w:tc>
          <w:tcPr>
            <w:tcW w:type="dxa" w:w="2304"/>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8"/>
              </w:rPr>
              <w:t>$1,083,564.52</w:t>
            </w:r>
          </w:p>
        </w:tc>
        <w:tc>
          <w:tcPr>
            <w:tcW w:type="dxa" w:w="2304"/>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8"/>
              </w:rPr>
            </w:r>
          </w:p>
        </w:tc>
      </w:tr>
      <w:tr>
        <w:tc>
          <w:tcPr>
            <w:tcW w:type="dxa" w:w="7200"/>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8"/>
              </w:rPr>
              <w:t>NET PROCEEDS TO SELLER</w:t>
            </w:r>
          </w:p>
        </w:tc>
        <w:tc>
          <w:tcPr>
            <w:tcW w:type="dxa" w:w="2304"/>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8"/>
              </w:rPr>
            </w:r>
          </w:p>
        </w:tc>
        <w:tc>
          <w:tcPr>
            <w:tcW w:type="dxa" w:w="2304"/>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8"/>
              </w:rPr>
              <w:t>$2,864,663.83</w:t>
            </w:r>
          </w:p>
        </w:tc>
      </w:tr>
    </w:tbl>
    <w:p>
      <w:pPr>
        <w:spacing w:before="60" w:after="40"/>
        <w:jc w:val="left"/>
      </w:pPr>
      <w:r>
        <w:rPr>
          <w:rFonts w:ascii="Calibri" w:hAnsi="Calibri"/>
          <w:b w:val="0"/>
          <w:i/>
          <w:color w:val="595959"/>
          <w:sz w:val="16"/>
        </w:rPr>
        <w:t>Buyer proration credits total $49,202.48 = rents $12,941.95 + security deposits $32,400.00 + next-FY property tax $2,012.93 + water/sewer $1,847.60. Seller deductions total $1,036,029.17 (see Section C). Cash from Buyer is stated before any credit for accrued earnest-money interest (see Notes Memo, Item 2).</w:t>
      </w:r>
    </w:p>
    <w:p>
      <w:pPr>
        <w:keepNext/>
        <w:spacing w:before="200" w:after="80"/>
        <w:pBdr>
          <w:bottom w:val="single" w:sz="6" w:space="2" w:color="1F3864"/>
        </w:pBdr>
      </w:pPr>
      <w:r>
        <w:rPr>
          <w:rFonts w:ascii="Calibri" w:hAnsi="Calibri"/>
          <w:b/>
          <w:i w:val="0"/>
          <w:color w:val="1F3864"/>
          <w:sz w:val="24"/>
        </w:rPr>
        <w:t>SECTION B — BUYER'S DETAILED CHARGES AND CREDITS</w:t>
      </w:r>
    </w:p>
    <w:p>
      <w:pPr>
        <w:spacing w:before="40" w:after="40"/>
        <w:jc w:val="left"/>
      </w:pPr>
      <w:r>
        <w:rPr>
          <w:rFonts w:ascii="Calibri" w:hAnsi="Calibri"/>
          <w:b/>
          <w:i w:val="0"/>
          <w:sz w:val="18"/>
        </w:rPr>
        <w:t>B-1.  Charges to Buyer (Debits)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89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Charge</w:t>
            </w:r>
          </w:p>
        </w:tc>
        <w:tc>
          <w:tcPr>
            <w:tcW w:type="dxa" w:w="2880"/>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6"/>
              </w:rPr>
              <w:t>Amount</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Purchase Price (per PSA §3.1)</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$3,900,000.00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Connecticut Real Estate Conveyance Tax — Buyer 50% (est., per title commitment)</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$22,375.00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Loan origination fee — 1.00% of $2,640,000 (Tidewater Savings Bank)</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$26,400.00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Lender's title insurance premium — simultaneous issue, $2,640,000 policy</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$3,850.00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Title search and examination fee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$1,250.00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Municipal lien search fee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$250.00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Recording fee — Executor's Warranty Deed</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$113.00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Recording fee — Mortgage (Tidewater Savings Bank)</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$113.00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Recording fee — Assignment of Leases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$113.00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Buyer's attorney fees — Ridgeline Law Group PLLC</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$12,500.00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Flood certification fee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$25.00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Tax service fee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$85.00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Heating oil reimbursement to Seller (180 gal × $3.85) — PSA §7.6</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$693.00</w:t>
            </w:r>
          </w:p>
        </w:tc>
      </w:tr>
      <w:tr>
        <w:tc>
          <w:tcPr>
            <w:tcW w:type="dxa" w:w="892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TOTAL CHARGES TO BUYER</w:t>
            </w:r>
          </w:p>
        </w:tc>
        <w:tc>
          <w:tcPr>
            <w:tcW w:type="dxa" w:w="288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6"/>
              </w:rPr>
              <w:t>$3,967,767.00</w:t>
            </w:r>
          </w:p>
        </w:tc>
      </w:tr>
    </w:tbl>
    <w:p>
      <w:pPr>
        <w:spacing w:before="120" w:after="40"/>
        <w:jc w:val="left"/>
      </w:pPr>
      <w:r>
        <w:rPr>
          <w:rFonts w:ascii="Calibri" w:hAnsi="Calibri"/>
          <w:b/>
          <w:i w:val="0"/>
          <w:sz w:val="18"/>
        </w:rPr>
        <w:t>B-2.  Credits to Buyer</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89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Credit</w:t>
            </w:r>
          </w:p>
        </w:tc>
        <w:tc>
          <w:tcPr>
            <w:tcW w:type="dxa" w:w="2880"/>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6"/>
              </w:rPr>
              <w:t>Amount</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Earnest money deposit — First $100,000 (4/24/2025) + Second $95,000 (5/22/2025)</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$195,000.00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Accrued interest on earnest money — per Escrow Agent (pending confirmation)</w:t>
            </w:r>
          </w:p>
        </w:tc>
        <w:tc>
          <w:tcPr>
            <w:tcW w:type="dxa" w:w="2880"/>
            <w:vAlign w:val="center"/>
            <w:tcMar>
              <w:top w:w="40" w:type="dxa"/>
              <w:bottom w:w="40" w:type="dxa"/>
              <w:start w:w="80" w:type="dxa"/>
              <w:end w:w="80" w:type="dxa"/>
            </w:tcMar>
          </w:tcPr>
          <w:p>
            <w:pPr>
              <w:spacing w:before="20" w:after="20"/>
              <w:jc w:val="right"/>
            </w:pPr>
            <w:r/>
            <w:r>
              <w:rPr>
                <w:rFonts w:ascii="Calibri" w:hAnsi="Calibri"/>
                <w:b w:val="0"/>
                <w:i/>
                <w:color w:val="C00000"/>
                <w:sz w:val="16"/>
              </w:rPr>
              <w:t>TBD</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Loan proceeds — Tidewater Savings Bank, Loan No. TSB-2025-CRE-04183</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$2,640,000.00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Rent proration — Buyer's share of July 2025 collected rents (PSA §7.2)</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$12,941.95</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Security deposits transferred — 11 residential + 1 commercial (PSA §7.4)</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$32,400.00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Property tax proration — Seller's share, next FY 7/1–7/14/2025 (PSA §7.1(b))</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$2,012.93</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Water/sewer proration — billing period ending 7/14/2025 (PSA §7.5(a))</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$1,847.60</w:t>
            </w:r>
          </w:p>
        </w:tc>
      </w:tr>
      <w:tr>
        <w:tc>
          <w:tcPr>
            <w:tcW w:type="dxa" w:w="892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TOTAL CREDITS TO BUYER (excl. pending interest)</w:t>
            </w:r>
          </w:p>
        </w:tc>
        <w:tc>
          <w:tcPr>
            <w:tcW w:type="dxa" w:w="288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6"/>
              </w:rPr>
              <w:t>$2,884,202.48</w:t>
            </w:r>
          </w:p>
        </w:tc>
      </w:tr>
    </w:tbl>
    <w:p>
      <w:pPr>
        <w:spacing w:before="120" w:after="40"/>
        <w:jc w:val="left"/>
      </w:pPr>
      <w:r>
        <w:rPr>
          <w:rFonts w:ascii="Calibri" w:hAnsi="Calibri"/>
          <w:b/>
          <w:i w:val="0"/>
          <w:sz w:val="18"/>
        </w:rPr>
        <w:t>B-3.  Cash Required from Buyer at Closing</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112"/>
        <w:gridCol w:w="5112"/>
      </w:tblGrid>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8"/>
              </w:rPr>
              <w:t>Total charges to Buyer</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8"/>
              </w:rPr>
              <w:t>$3,967,767.00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8"/>
              </w:rPr>
              <w:t>Less: total credits to Buyer (excl. pending interest)</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8"/>
              </w:rPr>
              <w:t>$(2,884,202.48)</w:t>
            </w:r>
          </w:p>
        </w:tc>
      </w:tr>
      <w:tr>
        <w:tc>
          <w:tcPr>
            <w:tcW w:type="dxa" w:w="89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8"/>
              </w:rPr>
              <w:t>CASH REQUIRED FROM BUYER (by wire to Escrow Agent)</w:t>
            </w:r>
          </w:p>
        </w:tc>
        <w:tc>
          <w:tcPr>
            <w:tcW w:type="dxa" w:w="2880"/>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8"/>
              </w:rPr>
              <w:t>$1,083,564.52</w:t>
            </w:r>
          </w:p>
        </w:tc>
      </w:tr>
    </w:tbl>
    <w:p>
      <w:pPr>
        <w:spacing w:before="40" w:after="40"/>
        <w:jc w:val="left"/>
      </w:pPr>
      <w:r>
        <w:rPr>
          <w:rFonts w:ascii="Calibri" w:hAnsi="Calibri"/>
          <w:b w:val="0"/>
          <w:i/>
          <w:color w:val="C00000"/>
          <w:sz w:val="16"/>
        </w:rPr>
        <w:t>Less any accrued earnest-money interest credited by the Escrow Agent (pending — see Notes Memo, Item 2).</w:t>
      </w:r>
    </w:p>
    <w:p>
      <w:pPr>
        <w:keepNext/>
        <w:spacing w:before="200" w:after="80"/>
        <w:pBdr>
          <w:bottom w:val="single" w:sz="6" w:space="2" w:color="1F3864"/>
        </w:pBdr>
      </w:pPr>
      <w:r>
        <w:rPr>
          <w:rFonts w:ascii="Calibri" w:hAnsi="Calibri"/>
          <w:b/>
          <w:i w:val="0"/>
          <w:color w:val="1F3864"/>
          <w:sz w:val="24"/>
        </w:rPr>
        <w:t>SECTION C — SELLER'S DETAILED CHARGES AND CREDITS</w:t>
      </w:r>
    </w:p>
    <w:p>
      <w:pPr>
        <w:spacing w:before="40" w:after="40"/>
        <w:jc w:val="left"/>
      </w:pPr>
      <w:r>
        <w:rPr>
          <w:rFonts w:ascii="Calibri" w:hAnsi="Calibri"/>
          <w:b/>
          <w:i w:val="0"/>
          <w:sz w:val="18"/>
        </w:rPr>
        <w:t>C-1.  Amounts Due to Seller (Credits)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89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Credit</w:t>
            </w:r>
          </w:p>
        </w:tc>
        <w:tc>
          <w:tcPr>
            <w:tcW w:type="dxa" w:w="2880"/>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6"/>
              </w:rPr>
              <w:t>Amount</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Contract Purchase Price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$3,900,000.00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Heating oil reimbursement from Buyer (180 gal × $3.85) — PSA §7.6</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$693.00</w:t>
            </w:r>
          </w:p>
        </w:tc>
      </w:tr>
      <w:tr>
        <w:tc>
          <w:tcPr>
            <w:tcW w:type="dxa" w:w="892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TOTAL DUE TO SELLER</w:t>
            </w:r>
          </w:p>
        </w:tc>
        <w:tc>
          <w:tcPr>
            <w:tcW w:type="dxa" w:w="288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6"/>
              </w:rPr>
              <w:t>$3,900,693.00</w:t>
            </w:r>
          </w:p>
        </w:tc>
      </w:tr>
    </w:tbl>
    <w:p>
      <w:pPr>
        <w:spacing w:before="120" w:after="40"/>
        <w:jc w:val="left"/>
      </w:pPr>
      <w:r>
        <w:rPr>
          <w:rFonts w:ascii="Calibri" w:hAnsi="Calibri"/>
          <w:b/>
          <w:i w:val="0"/>
          <w:sz w:val="18"/>
        </w:rPr>
        <w:t>C-2.  Deductions from Seller's Proceeds (Debits)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89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Deduction</w:t>
            </w:r>
          </w:p>
        </w:tc>
        <w:tc>
          <w:tcPr>
            <w:tcW w:type="dxa" w:w="2880"/>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6"/>
              </w:rPr>
              <w:t>Amount</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Payoff — Harborstone FCU first mortgage (Loan 2015-MTG-008174; good thru 7/20/2025)</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$687,412.33</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Payoff — Harborstone FCU HELOC (Loan 2018-HEL-003291; good thru 7/20/2025)</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$148,219.56</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Settlement — Northbridge Construction Co. mechanic's lien (agreed payoff)</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$31,000.00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Delinquent real property tax — 2nd installment FY2024-25 + interest to 7/15/2025</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$28,602.80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Owner's title insurance premium — $3,900,000 policy (PSA §5.4(a))</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$8,275.00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Connecticut Real Estate Conveyance Tax — Seller 50% (est., per title commitment)</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$22,375.00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Seller's attorney fees — Ashford, Clement &amp; Paige LLP</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$11,000.00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Management agreement termination fee — Bayshore Management Co. (PSA §6.4)</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$4,500.00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Repair escrow — roof repairs, held by Escrow Agent (PSA §8.4; NOT a Buyer credit)</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$45,000.00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Recording fee — release of Harborstone first mortgage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$73.00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Recording fee — release of Harborstone HELOC</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$73.00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Recording fee — release of Northbridge mechanic's lien</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$73.00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Recording fee — release of CT DRS estate tax lien (no payoff; release only)</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$73.00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Probate Court Certificate (PSA §6.2(e))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$150.00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Property tax proration — Seller's share, next FY 7/1–7/14/2025 (PSA §7.1(b))</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$2,012.93</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Rent proration — Buyer's share of July 2025 collected rents (PSA §7.2)</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$12,941.95</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Security deposits transferred to Buyer — 11 residential + 1 commercial (PSA §7.4)</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$32,400.00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Water/sewer proration — billing period ending 7/14/2025 (PSA §7.5(a))</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$1,847.60</w:t>
            </w:r>
          </w:p>
        </w:tc>
      </w:tr>
      <w:tr>
        <w:tc>
          <w:tcPr>
            <w:tcW w:type="dxa" w:w="892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TOTAL DEDUCTIONS FROM SELLER</w:t>
            </w:r>
          </w:p>
        </w:tc>
        <w:tc>
          <w:tcPr>
            <w:tcW w:type="dxa" w:w="288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6"/>
              </w:rPr>
              <w:t>$1,036,029.17</w:t>
            </w:r>
          </w:p>
        </w:tc>
      </w:tr>
    </w:tbl>
    <w:p>
      <w:pPr>
        <w:spacing w:before="120" w:after="40"/>
        <w:jc w:val="left"/>
      </w:pPr>
      <w:r>
        <w:rPr>
          <w:rFonts w:ascii="Calibri" w:hAnsi="Calibri"/>
          <w:b/>
          <w:i w:val="0"/>
          <w:sz w:val="18"/>
        </w:rPr>
        <w:t>C-3.  Net Proceeds to Seller</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112"/>
        <w:gridCol w:w="5112"/>
      </w:tblGrid>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8"/>
              </w:rPr>
              <w:t>Total due to Seller</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8"/>
              </w:rPr>
              <w:t>$3,900,693.00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8"/>
              </w:rPr>
              <w:t>Less: total deductions from Seller</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8"/>
              </w:rPr>
              <w:t>$(1,036,029.17)</w:t>
            </w:r>
          </w:p>
        </w:tc>
      </w:tr>
      <w:tr>
        <w:tc>
          <w:tcPr>
            <w:tcW w:type="dxa" w:w="89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8"/>
              </w:rPr>
              <w:t>NET PROCEEDS TO SELLER (by wire, per Seller instructions)</w:t>
            </w:r>
          </w:p>
        </w:tc>
        <w:tc>
          <w:tcPr>
            <w:tcW w:type="dxa" w:w="2880"/>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8"/>
              </w:rPr>
              <w:t>$2,864,663.83</w:t>
            </w:r>
          </w:p>
        </w:tc>
      </w:tr>
    </w:tbl>
    <w:p>
      <w:r>
        <w:br w:type="page"/>
      </w:r>
    </w:p>
    <w:p>
      <w:pPr>
        <w:keepNext/>
        <w:spacing w:before="200" w:after="80"/>
        <w:pBdr>
          <w:bottom w:val="single" w:sz="6" w:space="2" w:color="1F3864"/>
        </w:pBdr>
      </w:pPr>
      <w:r>
        <w:rPr>
          <w:rFonts w:ascii="Calibri" w:hAnsi="Calibri"/>
          <w:b/>
          <w:i w:val="0"/>
          <w:color w:val="1F3864"/>
          <w:sz w:val="24"/>
        </w:rPr>
        <w:t>SECTION D — PRORATION SCHEDULES</w:t>
      </w:r>
    </w:p>
    <w:p>
      <w:pPr>
        <w:spacing w:before="80" w:after="40"/>
        <w:jc w:val="left"/>
      </w:pPr>
      <w:r>
        <w:rPr>
          <w:rFonts w:ascii="Calibri" w:hAnsi="Calibri"/>
          <w:b/>
          <w:i w:val="0"/>
          <w:color w:val="1F3864"/>
          <w:sz w:val="20"/>
        </w:rPr>
        <w:t>D-1.  Real Property Tax Proration</w:t>
      </w:r>
    </w:p>
    <w:p>
      <w:pPr>
        <w:spacing w:before="40" w:after="20"/>
        <w:jc w:val="left"/>
      </w:pPr>
      <w:r>
        <w:rPr>
          <w:rFonts w:ascii="Calibri" w:hAnsi="Calibri"/>
          <w:b/>
          <w:i w:val="0"/>
          <w:sz w:val="16"/>
        </w:rPr>
        <w:t>(a) Current Fiscal Year — July 1, 2024 to June 30, 2025 (entire period is Seller's; FY ended before closing)</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53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Component</w:t>
            </w:r>
          </w:p>
        </w:tc>
        <w:tc>
          <w:tcPr>
            <w:tcW w:type="dxa" w:w="2160"/>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Amount / Status</w:t>
            </w:r>
          </w:p>
        </w:tc>
        <w:tc>
          <w:tcPr>
            <w:tcW w:type="dxa" w:w="4320"/>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Notes</w:t>
            </w:r>
          </w:p>
        </w:tc>
      </w:tr>
      <w:tr>
        <w:tc>
          <w:tcPr>
            <w:tcW w:type="dxa" w:w="5328"/>
            <w:vAlign w:val="center"/>
            <w:tcMar>
              <w:top w:w="40" w:type="dxa"/>
              <w:bottom w:w="40" w:type="dxa"/>
              <w:start w:w="80" w:type="dxa"/>
              <w:end w:w="80" w:type="dxa"/>
            </w:tcMar>
          </w:tcPr>
          <w:p>
            <w:pPr>
              <w:spacing w:before="20" w:after="20"/>
              <w:jc w:val="left"/>
            </w:pPr>
            <w:r/>
            <w:r>
              <w:rPr>
                <w:rFonts w:ascii="Calibri" w:hAnsi="Calibri"/>
                <w:b w:val="0"/>
                <w:i w:val="0"/>
                <w:sz w:val="16"/>
              </w:rPr>
              <w:t>Annual tax levy (FY 2024-25)</w:t>
            </w:r>
          </w:p>
        </w:tc>
        <w:tc>
          <w:tcPr>
            <w:tcW w:type="dxa" w:w="2160"/>
            <w:vAlign w:val="center"/>
            <w:tcMar>
              <w:top w:w="40" w:type="dxa"/>
              <w:bottom w:w="40" w:type="dxa"/>
              <w:start w:w="80" w:type="dxa"/>
              <w:end w:w="80" w:type="dxa"/>
            </w:tcMar>
          </w:tcPr>
          <w:p>
            <w:pPr>
              <w:spacing w:before="20" w:after="20"/>
              <w:jc w:val="right"/>
            </w:pPr>
            <w:r/>
            <w:r>
              <w:rPr>
                <w:rFonts w:ascii="Calibri" w:hAnsi="Calibri"/>
                <w:b/>
                <w:i w:val="0"/>
                <w:sz w:val="16"/>
              </w:rPr>
              <w:t>$52,480.00</w:t>
            </w:r>
          </w:p>
        </w:tc>
        <w:tc>
          <w:tcPr>
            <w:tcW w:type="dxa" w:w="4320"/>
            <w:vAlign w:val="center"/>
            <w:tcMar>
              <w:top w:w="40" w:type="dxa"/>
              <w:bottom w:w="40" w:type="dxa"/>
              <w:start w:w="80" w:type="dxa"/>
              <w:end w:w="80" w:type="dxa"/>
            </w:tcMar>
          </w:tcPr>
          <w:p>
            <w:pPr>
              <w:spacing w:before="20" w:after="20"/>
              <w:jc w:val="left"/>
            </w:pPr>
            <w:r/>
            <w:r>
              <w:rPr>
                <w:rFonts w:ascii="Calibri" w:hAnsi="Calibri"/>
                <w:b w:val="0"/>
                <w:i/>
                <w:color w:val="595959"/>
                <w:sz w:val="16"/>
              </w:rPr>
              <w:t>Mill rate 43.54 × assessed $1,205,330</w:t>
            </w:r>
          </w:p>
        </w:tc>
      </w:tr>
      <w:tr>
        <w:tc>
          <w:tcPr>
            <w:tcW w:type="dxa" w:w="5328"/>
            <w:vAlign w:val="center"/>
            <w:tcMar>
              <w:top w:w="40" w:type="dxa"/>
              <w:bottom w:w="40" w:type="dxa"/>
              <w:start w:w="80" w:type="dxa"/>
              <w:end w:w="80" w:type="dxa"/>
            </w:tcMar>
          </w:tcPr>
          <w:p>
            <w:pPr>
              <w:spacing w:before="20" w:after="20"/>
              <w:jc w:val="left"/>
            </w:pPr>
            <w:r/>
            <w:r>
              <w:rPr>
                <w:rFonts w:ascii="Calibri" w:hAnsi="Calibri"/>
                <w:b w:val="0"/>
                <w:i w:val="0"/>
                <w:sz w:val="16"/>
              </w:rPr>
              <w:t>1st installment — $26,240.00 (due 7/1/2024)</w:t>
            </w:r>
          </w:p>
        </w:tc>
        <w:tc>
          <w:tcPr>
            <w:tcW w:type="dxa" w:w="2160"/>
            <w:vAlign w:val="center"/>
            <w:tcMar>
              <w:top w:w="40" w:type="dxa"/>
              <w:bottom w:w="40" w:type="dxa"/>
              <w:start w:w="80" w:type="dxa"/>
              <w:end w:w="80" w:type="dxa"/>
            </w:tcMar>
          </w:tcPr>
          <w:p>
            <w:pPr>
              <w:spacing w:before="20" w:after="20"/>
              <w:jc w:val="left"/>
            </w:pPr>
            <w:r/>
            <w:r>
              <w:rPr>
                <w:rFonts w:ascii="Calibri" w:hAnsi="Calibri"/>
                <w:b w:val="0"/>
                <w:i w:val="0"/>
                <w:sz w:val="16"/>
              </w:rPr>
              <w:t>PAID 8/1/2024</w:t>
            </w:r>
          </w:p>
        </w:tc>
        <w:tc>
          <w:tcPr>
            <w:tcW w:type="dxa" w:w="4320"/>
            <w:vAlign w:val="center"/>
            <w:tcMar>
              <w:top w:w="40" w:type="dxa"/>
              <w:bottom w:w="40" w:type="dxa"/>
              <w:start w:w="80" w:type="dxa"/>
              <w:end w:w="80" w:type="dxa"/>
            </w:tcMar>
          </w:tcPr>
          <w:p>
            <w:pPr>
              <w:spacing w:before="20" w:after="20"/>
              <w:jc w:val="left"/>
            </w:pPr>
            <w:r/>
            <w:r>
              <w:rPr>
                <w:rFonts w:ascii="Calibri" w:hAnsi="Calibri"/>
                <w:b w:val="0"/>
                <w:i/>
                <w:color w:val="595959"/>
                <w:sz w:val="16"/>
              </w:rPr>
              <w:t>Within statutory grace period; $0.00 balance</w:t>
            </w:r>
          </w:p>
        </w:tc>
      </w:tr>
      <w:tr>
        <w:tc>
          <w:tcPr>
            <w:tcW w:type="dxa" w:w="5328"/>
            <w:vAlign w:val="center"/>
            <w:tcMar>
              <w:top w:w="40" w:type="dxa"/>
              <w:bottom w:w="40" w:type="dxa"/>
              <w:start w:w="80" w:type="dxa"/>
              <w:end w:w="80" w:type="dxa"/>
            </w:tcMar>
          </w:tcPr>
          <w:p>
            <w:pPr>
              <w:spacing w:before="20" w:after="20"/>
              <w:jc w:val="left"/>
            </w:pPr>
            <w:r/>
            <w:r>
              <w:rPr>
                <w:rFonts w:ascii="Calibri" w:hAnsi="Calibri"/>
                <w:b w:val="0"/>
                <w:i w:val="0"/>
                <w:sz w:val="16"/>
              </w:rPr>
              <w:t>2nd installment — $26,240.00 (due 1/1/2025)</w:t>
            </w:r>
          </w:p>
        </w:tc>
        <w:tc>
          <w:tcPr>
            <w:tcW w:type="dxa" w:w="2160"/>
            <w:vAlign w:val="center"/>
            <w:tcMar>
              <w:top w:w="40" w:type="dxa"/>
              <w:bottom w:w="40" w:type="dxa"/>
              <w:start w:w="80" w:type="dxa"/>
              <w:end w:w="80" w:type="dxa"/>
            </w:tcMar>
          </w:tcPr>
          <w:p>
            <w:pPr>
              <w:spacing w:before="20" w:after="20"/>
              <w:jc w:val="left"/>
            </w:pPr>
            <w:r/>
            <w:r>
              <w:rPr>
                <w:rFonts w:ascii="Calibri" w:hAnsi="Calibri"/>
                <w:b w:val="0"/>
                <w:i w:val="0"/>
                <w:sz w:val="16"/>
              </w:rPr>
              <w:t>DELINQUENT</w:t>
            </w:r>
          </w:p>
        </w:tc>
        <w:tc>
          <w:tcPr>
            <w:tcW w:type="dxa" w:w="4320"/>
            <w:vAlign w:val="center"/>
            <w:tcMar>
              <w:top w:w="40" w:type="dxa"/>
              <w:bottom w:w="40" w:type="dxa"/>
              <w:start w:w="80" w:type="dxa"/>
              <w:end w:w="80" w:type="dxa"/>
            </w:tcMar>
          </w:tcPr>
          <w:p>
            <w:pPr>
              <w:spacing w:before="20" w:after="20"/>
              <w:jc w:val="left"/>
            </w:pPr>
            <w:r/>
            <w:r>
              <w:rPr>
                <w:rFonts w:ascii="Calibri" w:hAnsi="Calibri"/>
                <w:b w:val="0"/>
                <w:i/>
                <w:color w:val="595959"/>
                <w:sz w:val="16"/>
              </w:rPr>
              <w:t>Unpaid as of closing</w:t>
            </w:r>
          </w:p>
        </w:tc>
      </w:tr>
      <w:tr>
        <w:tc>
          <w:tcPr>
            <w:tcW w:type="dxa" w:w="5328"/>
            <w:vAlign w:val="center"/>
            <w:tcMar>
              <w:top w:w="40" w:type="dxa"/>
              <w:bottom w:w="40" w:type="dxa"/>
              <w:start w:w="80" w:type="dxa"/>
              <w:end w:w="80" w:type="dxa"/>
            </w:tcMar>
          </w:tcPr>
          <w:p>
            <w:pPr>
              <w:spacing w:before="20" w:after="20"/>
              <w:jc w:val="left"/>
            </w:pPr>
            <w:r/>
            <w:r>
              <w:rPr>
                <w:rFonts w:ascii="Calibri" w:hAnsi="Calibri"/>
                <w:b w:val="0"/>
                <w:i w:val="0"/>
                <w:sz w:val="16"/>
              </w:rPr>
              <w:t>Interest accrued to 7/15/2025 (CT §12-146, 1.5%/mo.)</w:t>
            </w:r>
          </w:p>
        </w:tc>
        <w:tc>
          <w:tcPr>
            <w:tcW w:type="dxa" w:w="2160"/>
            <w:vAlign w:val="center"/>
            <w:tcMar>
              <w:top w:w="40" w:type="dxa"/>
              <w:bottom w:w="40" w:type="dxa"/>
              <w:start w:w="80" w:type="dxa"/>
              <w:end w:w="80" w:type="dxa"/>
            </w:tcMar>
          </w:tcPr>
          <w:p>
            <w:pPr>
              <w:spacing w:before="20" w:after="20"/>
              <w:jc w:val="right"/>
            </w:pPr>
            <w:r/>
            <w:r>
              <w:rPr>
                <w:rFonts w:ascii="Calibri" w:hAnsi="Calibri"/>
                <w:b/>
                <w:i w:val="0"/>
                <w:sz w:val="16"/>
              </w:rPr>
              <w:t>$2,362.80</w:t>
            </w:r>
          </w:p>
        </w:tc>
        <w:tc>
          <w:tcPr>
            <w:tcW w:type="dxa" w:w="4320"/>
            <w:vAlign w:val="center"/>
            <w:tcMar>
              <w:top w:w="40" w:type="dxa"/>
              <w:bottom w:w="40" w:type="dxa"/>
              <w:start w:w="80" w:type="dxa"/>
              <w:end w:w="80" w:type="dxa"/>
            </w:tcMar>
          </w:tcPr>
          <w:p>
            <w:pPr>
              <w:spacing w:before="20" w:after="20"/>
              <w:jc w:val="left"/>
            </w:pPr>
            <w:r/>
            <w:r>
              <w:rPr>
                <w:rFonts w:ascii="Calibri" w:hAnsi="Calibri"/>
                <w:b w:val="0"/>
                <w:i/>
                <w:color w:val="595959"/>
                <w:sz w:val="16"/>
              </w:rPr>
              <w:t>Per City payoff TLC-2025-04892</w:t>
            </w:r>
          </w:p>
        </w:tc>
      </w:tr>
      <w:tr>
        <w:tc>
          <w:tcPr>
            <w:tcW w:type="dxa" w:w="5328"/>
            <w:vAlign w:val="center"/>
            <w:tcMar>
              <w:top w:w="40" w:type="dxa"/>
              <w:bottom w:w="40" w:type="dxa"/>
              <w:start w:w="80" w:type="dxa"/>
              <w:end w:w="80" w:type="dxa"/>
            </w:tcMar>
          </w:tcPr>
          <w:p>
            <w:pPr>
              <w:spacing w:before="20" w:after="20"/>
              <w:jc w:val="left"/>
            </w:pPr>
            <w:r/>
            <w:r>
              <w:rPr>
                <w:rFonts w:ascii="Calibri" w:hAnsi="Calibri"/>
                <w:b w:val="0"/>
                <w:i w:val="0"/>
                <w:sz w:val="16"/>
              </w:rPr>
              <w:t>Total delinquent tax payoff (paid to City from Seller proceeds)</w:t>
            </w:r>
          </w:p>
        </w:tc>
        <w:tc>
          <w:tcPr>
            <w:tcW w:type="dxa" w:w="2160"/>
            <w:vAlign w:val="center"/>
            <w:tcMar>
              <w:top w:w="40" w:type="dxa"/>
              <w:bottom w:w="40" w:type="dxa"/>
              <w:start w:w="80" w:type="dxa"/>
              <w:end w:w="80" w:type="dxa"/>
            </w:tcMar>
          </w:tcPr>
          <w:p>
            <w:pPr>
              <w:spacing w:before="20" w:after="20"/>
              <w:jc w:val="right"/>
            </w:pPr>
            <w:r/>
            <w:r>
              <w:rPr>
                <w:rFonts w:ascii="Calibri" w:hAnsi="Calibri"/>
                <w:b/>
                <w:i w:val="0"/>
                <w:sz w:val="16"/>
              </w:rPr>
              <w:t>$28,602.80</w:t>
            </w:r>
          </w:p>
        </w:tc>
        <w:tc>
          <w:tcPr>
            <w:tcW w:type="dxa" w:w="4320"/>
            <w:vAlign w:val="center"/>
            <w:tcMar>
              <w:top w:w="40" w:type="dxa"/>
              <w:bottom w:w="40" w:type="dxa"/>
              <w:start w:w="80" w:type="dxa"/>
              <w:end w:w="80" w:type="dxa"/>
            </w:tcMar>
          </w:tcPr>
          <w:p>
            <w:pPr>
              <w:spacing w:before="20" w:after="20"/>
              <w:jc w:val="left"/>
            </w:pPr>
            <w:r/>
            <w:r>
              <w:rPr>
                <w:rFonts w:ascii="Calibri" w:hAnsi="Calibri"/>
                <w:b w:val="0"/>
                <w:i/>
                <w:color w:val="595959"/>
                <w:sz w:val="16"/>
              </w:rPr>
              <w:t>Valid thru 7/20/2025; per diem $13.12/day after</w:t>
            </w:r>
          </w:p>
        </w:tc>
      </w:tr>
    </w:tbl>
    <w:p>
      <w:pPr>
        <w:spacing w:before="80" w:after="20"/>
        <w:jc w:val="left"/>
      </w:pPr>
      <w:r>
        <w:rPr>
          <w:rFonts w:ascii="Calibri" w:hAnsi="Calibri"/>
          <w:b/>
          <w:i w:val="0"/>
          <w:sz w:val="16"/>
        </w:rPr>
        <w:t>(b) Next Fiscal Year — July 1, 2025 to June 30, 2026 (ESTIMATED; bill not yet issued)</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53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Component</w:t>
            </w:r>
          </w:p>
        </w:tc>
        <w:tc>
          <w:tcPr>
            <w:tcW w:type="dxa" w:w="2160"/>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Amount</w:t>
            </w:r>
          </w:p>
        </w:tc>
        <w:tc>
          <w:tcPr>
            <w:tcW w:type="dxa" w:w="4320"/>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Notes</w:t>
            </w:r>
          </w:p>
        </w:tc>
      </w:tr>
      <w:tr>
        <w:tc>
          <w:tcPr>
            <w:tcW w:type="dxa" w:w="5328"/>
            <w:vAlign w:val="center"/>
            <w:tcMar>
              <w:top w:w="40" w:type="dxa"/>
              <w:bottom w:w="40" w:type="dxa"/>
              <w:start w:w="80" w:type="dxa"/>
              <w:end w:w="80" w:type="dxa"/>
            </w:tcMar>
          </w:tcPr>
          <w:p>
            <w:pPr>
              <w:spacing w:before="20" w:after="20"/>
              <w:jc w:val="left"/>
            </w:pPr>
            <w:r/>
            <w:r>
              <w:rPr>
                <w:rFonts w:ascii="Calibri" w:hAnsi="Calibri"/>
                <w:b w:val="0"/>
                <w:i w:val="0"/>
                <w:sz w:val="16"/>
              </w:rPr>
              <w:t>Estimated annual tax (current-year basis per PSA §7.1(b))</w:t>
            </w:r>
          </w:p>
        </w:tc>
        <w:tc>
          <w:tcPr>
            <w:tcW w:type="dxa" w:w="2160"/>
            <w:vAlign w:val="center"/>
            <w:tcMar>
              <w:top w:w="40" w:type="dxa"/>
              <w:bottom w:w="40" w:type="dxa"/>
              <w:start w:w="80" w:type="dxa"/>
              <w:end w:w="80" w:type="dxa"/>
            </w:tcMar>
          </w:tcPr>
          <w:p>
            <w:pPr>
              <w:spacing w:before="20" w:after="20"/>
              <w:jc w:val="right"/>
            </w:pPr>
            <w:r/>
            <w:r>
              <w:rPr>
                <w:rFonts w:ascii="Calibri" w:hAnsi="Calibri"/>
                <w:b/>
                <w:i w:val="0"/>
                <w:sz w:val="16"/>
              </w:rPr>
              <w:t>$52,480.00</w:t>
            </w:r>
          </w:p>
        </w:tc>
        <w:tc>
          <w:tcPr>
            <w:tcW w:type="dxa" w:w="4320"/>
            <w:vAlign w:val="center"/>
            <w:tcMar>
              <w:top w:w="40" w:type="dxa"/>
              <w:bottom w:w="40" w:type="dxa"/>
              <w:start w:w="80" w:type="dxa"/>
              <w:end w:w="80" w:type="dxa"/>
            </w:tcMar>
          </w:tcPr>
          <w:p>
            <w:pPr>
              <w:spacing w:before="20" w:after="20"/>
              <w:jc w:val="left"/>
            </w:pPr>
            <w:r/>
            <w:r>
              <w:rPr>
                <w:rFonts w:ascii="Calibri" w:hAnsi="Calibri"/>
                <w:b w:val="0"/>
                <w:i/>
                <w:color w:val="595959"/>
                <w:sz w:val="16"/>
              </w:rPr>
              <w:t>365-day year; per diem $143.7808</w:t>
            </w:r>
          </w:p>
        </w:tc>
      </w:tr>
      <w:tr>
        <w:tc>
          <w:tcPr>
            <w:tcW w:type="dxa" w:w="5328"/>
            <w:vAlign w:val="center"/>
            <w:tcMar>
              <w:top w:w="40" w:type="dxa"/>
              <w:bottom w:w="40" w:type="dxa"/>
              <w:start w:w="80" w:type="dxa"/>
              <w:end w:w="80" w:type="dxa"/>
            </w:tcMar>
          </w:tcPr>
          <w:p>
            <w:pPr>
              <w:spacing w:before="20" w:after="20"/>
              <w:jc w:val="left"/>
            </w:pPr>
            <w:r/>
            <w:r>
              <w:rPr>
                <w:rFonts w:ascii="Calibri" w:hAnsi="Calibri"/>
                <w:b w:val="0"/>
                <w:i w:val="0"/>
                <w:sz w:val="16"/>
              </w:rPr>
              <w:t>Seller's period — July 1-14, 2025 (14 days)</w:t>
            </w:r>
          </w:p>
        </w:tc>
        <w:tc>
          <w:tcPr>
            <w:tcW w:type="dxa" w:w="2160"/>
            <w:vAlign w:val="center"/>
            <w:tcMar>
              <w:top w:w="40" w:type="dxa"/>
              <w:bottom w:w="40" w:type="dxa"/>
              <w:start w:w="80" w:type="dxa"/>
              <w:end w:w="80" w:type="dxa"/>
            </w:tcMar>
          </w:tcPr>
          <w:p>
            <w:pPr>
              <w:spacing w:before="20" w:after="20"/>
              <w:jc w:val="right"/>
            </w:pPr>
            <w:r/>
            <w:r>
              <w:rPr>
                <w:rFonts w:ascii="Calibri" w:hAnsi="Calibri"/>
                <w:b/>
                <w:i w:val="0"/>
                <w:sz w:val="16"/>
              </w:rPr>
              <w:t>$2,012.93</w:t>
            </w:r>
          </w:p>
        </w:tc>
        <w:tc>
          <w:tcPr>
            <w:tcW w:type="dxa" w:w="4320"/>
            <w:vAlign w:val="center"/>
            <w:tcMar>
              <w:top w:w="40" w:type="dxa"/>
              <w:bottom w:w="40" w:type="dxa"/>
              <w:start w:w="80" w:type="dxa"/>
              <w:end w:w="80" w:type="dxa"/>
            </w:tcMar>
          </w:tcPr>
          <w:p>
            <w:pPr>
              <w:spacing w:before="20" w:after="20"/>
              <w:jc w:val="left"/>
            </w:pPr>
            <w:r/>
            <w:r>
              <w:rPr>
                <w:rFonts w:ascii="Calibri" w:hAnsi="Calibri"/>
                <w:b w:val="0"/>
                <w:i/>
                <w:color w:val="595959"/>
                <w:sz w:val="16"/>
              </w:rPr>
              <w:t>Debit Seller / Credit Buyer</w:t>
            </w:r>
          </w:p>
        </w:tc>
      </w:tr>
      <w:tr>
        <w:tc>
          <w:tcPr>
            <w:tcW w:type="dxa" w:w="5328"/>
            <w:vAlign w:val="center"/>
            <w:tcMar>
              <w:top w:w="40" w:type="dxa"/>
              <w:bottom w:w="40" w:type="dxa"/>
              <w:start w:w="80" w:type="dxa"/>
              <w:end w:w="80" w:type="dxa"/>
            </w:tcMar>
          </w:tcPr>
          <w:p>
            <w:pPr>
              <w:spacing w:before="20" w:after="20"/>
              <w:jc w:val="left"/>
            </w:pPr>
            <w:r/>
            <w:r>
              <w:rPr>
                <w:rFonts w:ascii="Calibri" w:hAnsi="Calibri"/>
                <w:b w:val="0"/>
                <w:i w:val="0"/>
                <w:sz w:val="16"/>
              </w:rPr>
              <w:t>Buyer's period — July 15, 2025-June 30, 2026 (351 days)</w:t>
            </w:r>
          </w:p>
        </w:tc>
        <w:tc>
          <w:tcPr>
            <w:tcW w:type="dxa" w:w="2160"/>
            <w:vAlign w:val="center"/>
            <w:tcMar>
              <w:top w:w="40" w:type="dxa"/>
              <w:bottom w:w="40" w:type="dxa"/>
              <w:start w:w="80" w:type="dxa"/>
              <w:end w:w="80" w:type="dxa"/>
            </w:tcMar>
          </w:tcPr>
          <w:p>
            <w:pPr>
              <w:spacing w:before="20" w:after="20"/>
              <w:jc w:val="right"/>
            </w:pPr>
            <w:r/>
            <w:r>
              <w:rPr>
                <w:rFonts w:ascii="Calibri" w:hAnsi="Calibri"/>
                <w:b/>
                <w:i w:val="0"/>
                <w:sz w:val="16"/>
              </w:rPr>
              <w:t>$50,467.07</w:t>
            </w:r>
          </w:p>
        </w:tc>
        <w:tc>
          <w:tcPr>
            <w:tcW w:type="dxa" w:w="4320"/>
            <w:vAlign w:val="center"/>
            <w:tcMar>
              <w:top w:w="40" w:type="dxa"/>
              <w:bottom w:w="40" w:type="dxa"/>
              <w:start w:w="80" w:type="dxa"/>
              <w:end w:w="80" w:type="dxa"/>
            </w:tcMar>
          </w:tcPr>
          <w:p>
            <w:pPr>
              <w:spacing w:before="20" w:after="20"/>
              <w:jc w:val="left"/>
            </w:pPr>
            <w:r/>
            <w:r>
              <w:rPr>
                <w:rFonts w:ascii="Calibri" w:hAnsi="Calibri"/>
                <w:b w:val="0"/>
                <w:i/>
                <w:color w:val="595959"/>
                <w:sz w:val="16"/>
              </w:rPr>
              <w:t>Buyer pays when bill issued</w:t>
            </w:r>
          </w:p>
        </w:tc>
      </w:tr>
      <w:tr>
        <w:tc>
          <w:tcPr>
            <w:tcW w:type="dxa" w:w="5328"/>
            <w:vAlign w:val="center"/>
            <w:tcMar>
              <w:top w:w="40" w:type="dxa"/>
              <w:bottom w:w="40" w:type="dxa"/>
              <w:start w:w="80" w:type="dxa"/>
              <w:end w:w="80" w:type="dxa"/>
            </w:tcMar>
          </w:tcPr>
          <w:p>
            <w:pPr>
              <w:spacing w:before="20" w:after="20"/>
              <w:jc w:val="left"/>
            </w:pPr>
            <w:r/>
            <w:r>
              <w:rPr>
                <w:rFonts w:ascii="Calibri" w:hAnsi="Calibri"/>
                <w:b w:val="0"/>
                <w:i w:val="0"/>
                <w:sz w:val="16"/>
              </w:rPr>
              <w:t>Proration adjustment at closing</w:t>
            </w:r>
          </w:p>
        </w:tc>
        <w:tc>
          <w:tcPr>
            <w:tcW w:type="dxa" w:w="2160"/>
            <w:vAlign w:val="center"/>
            <w:tcMar>
              <w:top w:w="40" w:type="dxa"/>
              <w:bottom w:w="40" w:type="dxa"/>
              <w:start w:w="80" w:type="dxa"/>
              <w:end w:w="80" w:type="dxa"/>
            </w:tcMar>
          </w:tcPr>
          <w:p>
            <w:pPr>
              <w:spacing w:before="20" w:after="20"/>
              <w:jc w:val="right"/>
            </w:pPr>
            <w:r/>
            <w:r>
              <w:rPr>
                <w:rFonts w:ascii="Calibri" w:hAnsi="Calibri"/>
                <w:b/>
                <w:i w:val="0"/>
                <w:sz w:val="16"/>
              </w:rPr>
              <w:t>$2,012.93</w:t>
            </w:r>
          </w:p>
        </w:tc>
        <w:tc>
          <w:tcPr>
            <w:tcW w:type="dxa" w:w="4320"/>
            <w:vAlign w:val="center"/>
            <w:tcMar>
              <w:top w:w="40" w:type="dxa"/>
              <w:bottom w:w="40" w:type="dxa"/>
              <w:start w:w="80" w:type="dxa"/>
              <w:end w:w="80" w:type="dxa"/>
            </w:tcMar>
          </w:tcPr>
          <w:p>
            <w:pPr>
              <w:spacing w:before="20" w:after="20"/>
              <w:jc w:val="left"/>
            </w:pPr>
            <w:r/>
            <w:r>
              <w:rPr>
                <w:rFonts w:ascii="Calibri" w:hAnsi="Calibri"/>
                <w:b w:val="0"/>
                <w:i/>
                <w:color w:val="595959"/>
                <w:sz w:val="16"/>
              </w:rPr>
              <w:t>Debit Seller / Credit Buyer; reprorate per §7.7</w:t>
            </w:r>
          </w:p>
        </w:tc>
      </w:tr>
    </w:tbl>
    <w:p>
      <w:pPr>
        <w:spacing w:before="120" w:after="40"/>
        <w:jc w:val="left"/>
      </w:pPr>
      <w:r>
        <w:rPr>
          <w:rFonts w:ascii="Calibri" w:hAnsi="Calibri"/>
          <w:b/>
          <w:i w:val="0"/>
          <w:color w:val="1F3864"/>
          <w:sz w:val="20"/>
        </w:rPr>
        <w:t>D-2.  Rent Proration — Collected Rents (July 2025)</w:t>
      </w:r>
    </w:p>
    <w:p>
      <w:pPr>
        <w:spacing w:before="40" w:after="40"/>
        <w:jc w:val="left"/>
      </w:pPr>
      <w:r>
        <w:rPr>
          <w:rFonts w:ascii="Calibri" w:hAnsi="Calibri"/>
          <w:b w:val="0"/>
          <w:i/>
          <w:color w:val="595959"/>
          <w:sz w:val="16"/>
        </w:rPr>
        <w:t>Per PSA §7.2(d), rents are prorated separately for each lease then aggregated. July = 31 days; Seller = July 1-14 (14 days); Buyer = July 15-31 (17 days). Only rents actually collected are prorated; delinquent/vacant units are excluded per §7.3.</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61"/>
        <w:gridCol w:w="1461"/>
        <w:gridCol w:w="1461"/>
        <w:gridCol w:w="1461"/>
        <w:gridCol w:w="1461"/>
        <w:gridCol w:w="1461"/>
        <w:gridCol w:w="1461"/>
      </w:tblGrid>
      <w:tr>
        <w:tc>
          <w:tcPr>
            <w:tcW w:type="dxa" w:w="648"/>
            <w:vAlign w:val="center"/>
            <w:tcMar>
              <w:top w:w="40" w:type="dxa"/>
              <w:bottom w:w="40" w:type="dxa"/>
              <w:start w:w="80" w:type="dxa"/>
              <w:end w:w="80" w:type="dxa"/>
            </w:tcMar>
            <w:shd w:val="clear" w:color="auto" w:fill="DCE6F1"/>
          </w:tcPr>
          <w:p>
            <w:pPr>
              <w:spacing w:before="20" w:after="20"/>
              <w:jc w:val="center"/>
            </w:pPr>
            <w:r/>
            <w:r>
              <w:rPr>
                <w:rFonts w:ascii="Calibri" w:hAnsi="Calibri"/>
                <w:b/>
                <w:i w:val="0"/>
                <w:sz w:val="15"/>
              </w:rPr>
              <w:t>Unit</w:t>
            </w:r>
          </w:p>
        </w:tc>
        <w:tc>
          <w:tcPr>
            <w:tcW w:type="dxa" w:w="4392"/>
            <w:vAlign w:val="center"/>
            <w:tcMar>
              <w:top w:w="40" w:type="dxa"/>
              <w:bottom w:w="40" w:type="dxa"/>
              <w:start w:w="80" w:type="dxa"/>
              <w:end w:w="80" w:type="dxa"/>
            </w:tcMar>
            <w:shd w:val="clear" w:color="auto" w:fill="DCE6F1"/>
          </w:tcPr>
          <w:p>
            <w:pPr>
              <w:spacing w:before="20" w:after="20"/>
              <w:jc w:val="center"/>
            </w:pPr>
            <w:r/>
            <w:r>
              <w:rPr>
                <w:rFonts w:ascii="Calibri" w:hAnsi="Calibri"/>
                <w:b/>
                <w:i w:val="0"/>
                <w:sz w:val="15"/>
              </w:rPr>
              <w:t>Tenant / Type</w:t>
            </w:r>
          </w:p>
        </w:tc>
        <w:tc>
          <w:tcPr>
            <w:tcW w:type="dxa" w:w="1368"/>
            <w:vAlign w:val="center"/>
            <w:tcMar>
              <w:top w:w="40" w:type="dxa"/>
              <w:bottom w:w="40" w:type="dxa"/>
              <w:start w:w="80" w:type="dxa"/>
              <w:end w:w="80" w:type="dxa"/>
            </w:tcMar>
            <w:shd w:val="clear" w:color="auto" w:fill="DCE6F1"/>
          </w:tcPr>
          <w:p>
            <w:pPr>
              <w:spacing w:before="20" w:after="20"/>
              <w:jc w:val="center"/>
            </w:pPr>
            <w:r/>
            <w:r>
              <w:rPr>
                <w:rFonts w:ascii="Calibri" w:hAnsi="Calibri"/>
                <w:b/>
                <w:i w:val="0"/>
                <w:sz w:val="15"/>
              </w:rPr>
              <w:t>Mo. Rent</w:t>
            </w:r>
          </w:p>
        </w:tc>
        <w:tc>
          <w:tcPr>
            <w:tcW w:type="dxa" w:w="1152"/>
            <w:vAlign w:val="center"/>
            <w:tcMar>
              <w:top w:w="40" w:type="dxa"/>
              <w:bottom w:w="40" w:type="dxa"/>
              <w:start w:w="80" w:type="dxa"/>
              <w:end w:w="80" w:type="dxa"/>
            </w:tcMar>
            <w:shd w:val="clear" w:color="auto" w:fill="DCE6F1"/>
          </w:tcPr>
          <w:p>
            <w:pPr>
              <w:spacing w:before="20" w:after="20"/>
              <w:jc w:val="center"/>
            </w:pPr>
            <w:r/>
            <w:r>
              <w:rPr>
                <w:rFonts w:ascii="Calibri" w:hAnsi="Calibri"/>
                <w:b/>
                <w:i w:val="0"/>
                <w:sz w:val="15"/>
              </w:rPr>
              <w:t>July Status</w:t>
            </w:r>
          </w:p>
        </w:tc>
        <w:tc>
          <w:tcPr>
            <w:tcW w:type="dxa" w:w="1368"/>
            <w:vAlign w:val="center"/>
            <w:tcMar>
              <w:top w:w="40" w:type="dxa"/>
              <w:bottom w:w="40" w:type="dxa"/>
              <w:start w:w="80" w:type="dxa"/>
              <w:end w:w="80" w:type="dxa"/>
            </w:tcMar>
            <w:shd w:val="clear" w:color="auto" w:fill="DCE6F1"/>
          </w:tcPr>
          <w:p>
            <w:pPr>
              <w:spacing w:before="20" w:after="20"/>
              <w:jc w:val="center"/>
            </w:pPr>
            <w:r/>
            <w:r>
              <w:rPr>
                <w:rFonts w:ascii="Calibri" w:hAnsi="Calibri"/>
                <w:b/>
                <w:i w:val="0"/>
                <w:sz w:val="15"/>
              </w:rPr>
              <w:t>Collected</w:t>
            </w:r>
          </w:p>
        </w:tc>
        <w:tc>
          <w:tcPr>
            <w:tcW w:type="dxa" w:w="1440"/>
            <w:vAlign w:val="center"/>
            <w:tcMar>
              <w:top w:w="40" w:type="dxa"/>
              <w:bottom w:w="40" w:type="dxa"/>
              <w:start w:w="80" w:type="dxa"/>
              <w:end w:w="80" w:type="dxa"/>
            </w:tcMar>
            <w:shd w:val="clear" w:color="auto" w:fill="DCE6F1"/>
          </w:tcPr>
          <w:p>
            <w:pPr>
              <w:spacing w:before="20" w:after="20"/>
              <w:jc w:val="center"/>
            </w:pPr>
            <w:r/>
            <w:r>
              <w:rPr>
                <w:rFonts w:ascii="Calibri" w:hAnsi="Calibri"/>
                <w:b/>
                <w:i w:val="0"/>
                <w:sz w:val="15"/>
              </w:rPr>
              <w:t>Seller (14/31)</w:t>
            </w:r>
          </w:p>
        </w:tc>
        <w:tc>
          <w:tcPr>
            <w:tcW w:type="dxa" w:w="1440"/>
            <w:vAlign w:val="center"/>
            <w:tcMar>
              <w:top w:w="40" w:type="dxa"/>
              <w:bottom w:w="40" w:type="dxa"/>
              <w:start w:w="80" w:type="dxa"/>
              <w:end w:w="80" w:type="dxa"/>
            </w:tcMar>
            <w:shd w:val="clear" w:color="auto" w:fill="DCE6F1"/>
          </w:tcPr>
          <w:p>
            <w:pPr>
              <w:spacing w:before="20" w:after="20"/>
              <w:jc w:val="center"/>
            </w:pPr>
            <w:r/>
            <w:r>
              <w:rPr>
                <w:rFonts w:ascii="Calibri" w:hAnsi="Calibri"/>
                <w:b/>
                <w:i w:val="0"/>
                <w:sz w:val="15"/>
              </w:rPr>
              <w:t>Buyer (17/31)</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GF</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Coastal Provisions Market LLC (commercial)</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$7,200.00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$7,200.00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$3,251.61</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$3,948.39</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2A</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Residential — 1BR</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$1,650.00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$1,650.00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$745.16</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$904.84</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2B</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Residential — 1BR (M-to-M)</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$1,575.00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$1,575.00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$711.29</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$863.71</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2C</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Residential — 2BR (M-to-M)</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$1,700.00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$1,700.00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$767.74</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$932.26</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2D</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Residential — 1BR</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$1,525.00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$1,525.00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$688.71</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$836.29</w:t>
            </w:r>
          </w:p>
        </w:tc>
      </w:tr>
      <w:tr>
        <w:tc>
          <w:tcPr>
            <w:tcW w:type="dxa" w:w="648"/>
            <w:vAlign w:val="center"/>
            <w:tcMar>
              <w:top w:w="40" w:type="dxa"/>
              <w:bottom w:w="40" w:type="dxa"/>
              <w:start w:w="80" w:type="dxa"/>
              <w:end w:w="80" w:type="dxa"/>
            </w:tcMar>
            <w:shd w:val="clear" w:color="auto" w:fill="FCE4E4"/>
          </w:tcPr>
          <w:p>
            <w:pPr>
              <w:spacing w:before="20" w:after="20"/>
              <w:jc w:val="center"/>
            </w:pPr>
            <w:r/>
            <w:r>
              <w:rPr>
                <w:rFonts w:ascii="Calibri" w:hAnsi="Calibri"/>
                <w:b/>
                <w:i w:val="0"/>
                <w:sz w:val="15"/>
              </w:rPr>
              <w:t>2E</w:t>
            </w:r>
          </w:p>
        </w:tc>
        <w:tc>
          <w:tcPr>
            <w:tcW w:type="dxa" w:w="4392"/>
            <w:vAlign w:val="center"/>
            <w:tcMar>
              <w:top w:w="40" w:type="dxa"/>
              <w:bottom w:w="40" w:type="dxa"/>
              <w:start w:w="80" w:type="dxa"/>
              <w:end w:w="80" w:type="dxa"/>
            </w:tcMar>
            <w:shd w:val="clear" w:color="auto" w:fill="FCE4E4"/>
          </w:tcPr>
          <w:p>
            <w:pPr>
              <w:spacing w:before="20" w:after="20"/>
              <w:jc w:val="left"/>
            </w:pPr>
            <w:r/>
            <w:r>
              <w:rPr>
                <w:rFonts w:ascii="Calibri" w:hAnsi="Calibri"/>
                <w:b w:val="0"/>
                <w:i w:val="0"/>
                <w:sz w:val="15"/>
              </w:rPr>
              <w:t>Residential — 1BR (M-to-M)</w:t>
            </w:r>
          </w:p>
        </w:tc>
        <w:tc>
          <w:tcPr>
            <w:tcW w:type="dxa" w:w="1368"/>
            <w:vAlign w:val="center"/>
            <w:tcMar>
              <w:top w:w="40" w:type="dxa"/>
              <w:bottom w:w="40" w:type="dxa"/>
              <w:start w:w="80" w:type="dxa"/>
              <w:end w:w="80" w:type="dxa"/>
            </w:tcMar>
            <w:shd w:val="clear" w:color="auto" w:fill="FCE4E4"/>
          </w:tcPr>
          <w:p>
            <w:pPr>
              <w:spacing w:before="20" w:after="20"/>
              <w:jc w:val="right"/>
            </w:pPr>
            <w:r/>
            <w:r>
              <w:rPr>
                <w:rFonts w:ascii="Calibri" w:hAnsi="Calibri"/>
                <w:b w:val="0"/>
                <w:i w:val="0"/>
                <w:sz w:val="15"/>
              </w:rPr>
              <w:t>$1,600.00</w:t>
            </w:r>
          </w:p>
        </w:tc>
        <w:tc>
          <w:tcPr>
            <w:tcW w:type="dxa" w:w="1152"/>
            <w:vAlign w:val="center"/>
            <w:tcMar>
              <w:top w:w="40" w:type="dxa"/>
              <w:bottom w:w="40" w:type="dxa"/>
              <w:start w:w="80" w:type="dxa"/>
              <w:end w:w="80" w:type="dxa"/>
            </w:tcMar>
            <w:shd w:val="clear" w:color="auto" w:fill="FCE4E4"/>
          </w:tcPr>
          <w:p>
            <w:pPr>
              <w:spacing w:before="20" w:after="20"/>
              <w:jc w:val="center"/>
            </w:pPr>
            <w:r/>
            <w:r>
              <w:rPr>
                <w:rFonts w:ascii="Calibri" w:hAnsi="Calibri"/>
                <w:b/>
                <w:i w:val="0"/>
                <w:color w:val="C00000"/>
                <w:sz w:val="15"/>
              </w:rPr>
              <w:t>UNPAID</w:t>
            </w:r>
          </w:p>
        </w:tc>
        <w:tc>
          <w:tcPr>
            <w:tcW w:type="dxa" w:w="1368"/>
            <w:vAlign w:val="center"/>
            <w:tcMar>
              <w:top w:w="40" w:type="dxa"/>
              <w:bottom w:w="40" w:type="dxa"/>
              <w:start w:w="80" w:type="dxa"/>
              <w:end w:w="80" w:type="dxa"/>
            </w:tcMar>
            <w:shd w:val="clear" w:color="auto" w:fill="FCE4E4"/>
          </w:tcPr>
          <w:p>
            <w:pPr>
              <w:spacing w:before="20" w:after="20"/>
              <w:jc w:val="right"/>
            </w:pPr>
            <w:r/>
            <w:r>
              <w:rPr>
                <w:rFonts w:ascii="Calibri" w:hAnsi="Calibri"/>
                <w:b w:val="0"/>
                <w:i w:val="0"/>
                <w:sz w:val="15"/>
              </w:rPr>
              <w:t>$0.00</w:t>
            </w:r>
          </w:p>
        </w:tc>
        <w:tc>
          <w:tcPr>
            <w:tcW w:type="dxa" w:w="1440"/>
            <w:vAlign w:val="center"/>
            <w:tcMar>
              <w:top w:w="40" w:type="dxa"/>
              <w:bottom w:w="40" w:type="dxa"/>
              <w:start w:w="80" w:type="dxa"/>
              <w:end w:w="80" w:type="dxa"/>
            </w:tcMar>
            <w:shd w:val="clear" w:color="auto" w:fill="FCE4E4"/>
          </w:tcPr>
          <w:p>
            <w:pPr>
              <w:spacing w:before="20" w:after="20"/>
              <w:jc w:val="right"/>
            </w:pPr>
            <w:r/>
            <w:r>
              <w:rPr>
                <w:rFonts w:ascii="Calibri" w:hAnsi="Calibri"/>
                <w:b w:val="0"/>
                <w:i w:val="0"/>
                <w:sz w:val="15"/>
              </w:rPr>
              <w:t>$0.00</w:t>
            </w:r>
          </w:p>
        </w:tc>
        <w:tc>
          <w:tcPr>
            <w:tcW w:type="dxa" w:w="1440"/>
            <w:vAlign w:val="center"/>
            <w:tcMar>
              <w:top w:w="40" w:type="dxa"/>
              <w:bottom w:w="40" w:type="dxa"/>
              <w:start w:w="80" w:type="dxa"/>
              <w:end w:w="80" w:type="dxa"/>
            </w:tcMar>
            <w:shd w:val="clear" w:color="auto" w:fill="FCE4E4"/>
          </w:tcPr>
          <w:p>
            <w:pPr>
              <w:spacing w:before="20" w:after="20"/>
              <w:jc w:val="right"/>
            </w:pPr>
            <w:r/>
            <w:r>
              <w:rPr>
                <w:rFonts w:ascii="Calibri" w:hAnsi="Calibri"/>
                <w:b w:val="0"/>
                <w:i w:val="0"/>
                <w:sz w:val="15"/>
              </w:rPr>
              <w:t>$0.00</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2F</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Residential — 2BR</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$1,650.00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$1,650.00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$745.16</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$904.84</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3A</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Residential — 2BR</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$1,750.00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$1,750.00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$790.32</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$959.68</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3B</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Residential — 1BR (M-to-M)</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$1,575.00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$1,575.00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$711.29</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$863.71</w:t>
            </w:r>
          </w:p>
        </w:tc>
      </w:tr>
      <w:tr>
        <w:tc>
          <w:tcPr>
            <w:tcW w:type="dxa" w:w="648"/>
            <w:vAlign w:val="center"/>
            <w:tcMar>
              <w:top w:w="40" w:type="dxa"/>
              <w:bottom w:w="40" w:type="dxa"/>
              <w:start w:w="80" w:type="dxa"/>
              <w:end w:w="80" w:type="dxa"/>
            </w:tcMar>
            <w:shd w:val="clear" w:color="auto" w:fill="FCE4E4"/>
          </w:tcPr>
          <w:p>
            <w:pPr>
              <w:spacing w:before="20" w:after="20"/>
              <w:jc w:val="center"/>
            </w:pPr>
            <w:r/>
            <w:r>
              <w:rPr>
                <w:rFonts w:ascii="Calibri" w:hAnsi="Calibri"/>
                <w:b/>
                <w:i w:val="0"/>
                <w:sz w:val="15"/>
              </w:rPr>
              <w:t>3C</w:t>
            </w:r>
          </w:p>
        </w:tc>
        <w:tc>
          <w:tcPr>
            <w:tcW w:type="dxa" w:w="4392"/>
            <w:vAlign w:val="center"/>
            <w:tcMar>
              <w:top w:w="40" w:type="dxa"/>
              <w:bottom w:w="40" w:type="dxa"/>
              <w:start w:w="80" w:type="dxa"/>
              <w:end w:w="80" w:type="dxa"/>
            </w:tcMar>
            <w:shd w:val="clear" w:color="auto" w:fill="FCE4E4"/>
          </w:tcPr>
          <w:p>
            <w:pPr>
              <w:spacing w:before="20" w:after="20"/>
              <w:jc w:val="left"/>
            </w:pPr>
            <w:r/>
            <w:r>
              <w:rPr>
                <w:rFonts w:ascii="Calibri" w:hAnsi="Calibri"/>
                <w:b w:val="0"/>
                <w:i w:val="0"/>
                <w:sz w:val="15"/>
              </w:rPr>
              <w:t>Residential — 1BR (VACANT)</w:t>
            </w:r>
          </w:p>
        </w:tc>
        <w:tc>
          <w:tcPr>
            <w:tcW w:type="dxa" w:w="1368"/>
            <w:vAlign w:val="center"/>
            <w:tcMar>
              <w:top w:w="40" w:type="dxa"/>
              <w:bottom w:w="40" w:type="dxa"/>
              <w:start w:w="80" w:type="dxa"/>
              <w:end w:w="80" w:type="dxa"/>
            </w:tcMar>
            <w:shd w:val="clear" w:color="auto" w:fill="FCE4E4"/>
          </w:tcPr>
          <w:p>
            <w:pPr>
              <w:spacing w:before="20" w:after="20"/>
              <w:jc w:val="right"/>
            </w:pPr>
            <w:r/>
            <w:r>
              <w:rPr>
                <w:rFonts w:ascii="Calibri" w:hAnsi="Calibri"/>
                <w:b w:val="0"/>
                <w:i w:val="0"/>
                <w:sz w:val="15"/>
              </w:rPr>
              <w:t>$0.00</w:t>
            </w:r>
          </w:p>
        </w:tc>
        <w:tc>
          <w:tcPr>
            <w:tcW w:type="dxa" w:w="1152"/>
            <w:vAlign w:val="center"/>
            <w:tcMar>
              <w:top w:w="40" w:type="dxa"/>
              <w:bottom w:w="40" w:type="dxa"/>
              <w:start w:w="80" w:type="dxa"/>
              <w:end w:w="80" w:type="dxa"/>
            </w:tcMar>
            <w:shd w:val="clear" w:color="auto" w:fill="FCE4E4"/>
          </w:tcPr>
          <w:p>
            <w:pPr>
              <w:spacing w:before="20" w:after="20"/>
              <w:jc w:val="center"/>
            </w:pPr>
            <w:r/>
            <w:r>
              <w:rPr>
                <w:rFonts w:ascii="Calibri" w:hAnsi="Calibri"/>
                <w:b/>
                <w:i w:val="0"/>
                <w:color w:val="C00000"/>
                <w:sz w:val="15"/>
              </w:rPr>
              <w:t>VACANT</w:t>
            </w:r>
          </w:p>
        </w:tc>
        <w:tc>
          <w:tcPr>
            <w:tcW w:type="dxa" w:w="1368"/>
            <w:vAlign w:val="center"/>
            <w:tcMar>
              <w:top w:w="40" w:type="dxa"/>
              <w:bottom w:w="40" w:type="dxa"/>
              <w:start w:w="80" w:type="dxa"/>
              <w:end w:w="80" w:type="dxa"/>
            </w:tcMar>
            <w:shd w:val="clear" w:color="auto" w:fill="FCE4E4"/>
          </w:tcPr>
          <w:p>
            <w:pPr>
              <w:spacing w:before="20" w:after="20"/>
              <w:jc w:val="right"/>
            </w:pPr>
            <w:r/>
            <w:r>
              <w:rPr>
                <w:rFonts w:ascii="Calibri" w:hAnsi="Calibri"/>
                <w:b w:val="0"/>
                <w:i w:val="0"/>
                <w:sz w:val="15"/>
              </w:rPr>
              <w:t>$0.00</w:t>
            </w:r>
          </w:p>
        </w:tc>
        <w:tc>
          <w:tcPr>
            <w:tcW w:type="dxa" w:w="1440"/>
            <w:vAlign w:val="center"/>
            <w:tcMar>
              <w:top w:w="40" w:type="dxa"/>
              <w:bottom w:w="40" w:type="dxa"/>
              <w:start w:w="80" w:type="dxa"/>
              <w:end w:w="80" w:type="dxa"/>
            </w:tcMar>
            <w:shd w:val="clear" w:color="auto" w:fill="FCE4E4"/>
          </w:tcPr>
          <w:p>
            <w:pPr>
              <w:spacing w:before="20" w:after="20"/>
              <w:jc w:val="right"/>
            </w:pPr>
            <w:r/>
            <w:r>
              <w:rPr>
                <w:rFonts w:ascii="Calibri" w:hAnsi="Calibri"/>
                <w:b w:val="0"/>
                <w:i w:val="0"/>
                <w:sz w:val="15"/>
              </w:rPr>
              <w:t>$0.00</w:t>
            </w:r>
          </w:p>
        </w:tc>
        <w:tc>
          <w:tcPr>
            <w:tcW w:type="dxa" w:w="1440"/>
            <w:vAlign w:val="center"/>
            <w:tcMar>
              <w:top w:w="40" w:type="dxa"/>
              <w:bottom w:w="40" w:type="dxa"/>
              <w:start w:w="80" w:type="dxa"/>
              <w:end w:w="80" w:type="dxa"/>
            </w:tcMar>
            <w:shd w:val="clear" w:color="auto" w:fill="FCE4E4"/>
          </w:tcPr>
          <w:p>
            <w:pPr>
              <w:spacing w:before="20" w:after="20"/>
              <w:jc w:val="right"/>
            </w:pPr>
            <w:r/>
            <w:r>
              <w:rPr>
                <w:rFonts w:ascii="Calibri" w:hAnsi="Calibri"/>
                <w:b w:val="0"/>
                <w:i w:val="0"/>
                <w:sz w:val="15"/>
              </w:rPr>
              <w:t>$0.00</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3D</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Residential — 2BR (M-to-M)</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$1,700.00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$1,700.00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$767.74</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$932.26</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3E</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Residential — 1BR</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$1,625.00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$1,625.00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$733.87</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$891.13</w:t>
            </w:r>
          </w:p>
        </w:tc>
      </w:tr>
      <w:tr>
        <w:tc>
          <w:tcPr>
            <w:tcW w:type="dxa" w:w="648"/>
            <w:vAlign w:val="center"/>
            <w:tcMar>
              <w:top w:w="40" w:type="dxa"/>
              <w:bottom w:w="40" w:type="dxa"/>
              <w:start w:w="80" w:type="dxa"/>
              <w:end w:w="80" w:type="dxa"/>
            </w:tcMar>
          </w:tcPr>
          <w:p>
            <w:pPr>
              <w:spacing w:before="20" w:after="20"/>
              <w:jc w:val="center"/>
            </w:pPr>
            <w:r/>
            <w:r>
              <w:rPr>
                <w:rFonts w:ascii="Calibri" w:hAnsi="Calibri"/>
                <w:b/>
                <w:i w:val="0"/>
                <w:sz w:val="15"/>
              </w:rPr>
              <w:t>3F</w:t>
            </w:r>
          </w:p>
        </w:tc>
        <w:tc>
          <w:tcPr>
            <w:tcW w:type="dxa" w:w="4392"/>
            <w:vAlign w:val="center"/>
            <w:tcMar>
              <w:top w:w="40" w:type="dxa"/>
              <w:bottom w:w="40" w:type="dxa"/>
              <w:start w:w="80" w:type="dxa"/>
              <w:end w:w="80" w:type="dxa"/>
            </w:tcMar>
          </w:tcPr>
          <w:p>
            <w:pPr>
              <w:spacing w:before="20" w:after="20"/>
              <w:jc w:val="left"/>
            </w:pPr>
            <w:r/>
            <w:r>
              <w:rPr>
                <w:rFonts w:ascii="Calibri" w:hAnsi="Calibri"/>
                <w:b w:val="0"/>
                <w:i w:val="0"/>
                <w:sz w:val="15"/>
              </w:rPr>
              <w:t>Residential — 2BR (M-to-M)</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$1,650.00</w:t>
            </w:r>
          </w:p>
        </w:tc>
        <w:tc>
          <w:tcPr>
            <w:tcW w:type="dxa" w:w="1152"/>
            <w:vAlign w:val="center"/>
            <w:tcMar>
              <w:top w:w="40" w:type="dxa"/>
              <w:bottom w:w="40" w:type="dxa"/>
              <w:start w:w="80" w:type="dxa"/>
              <w:end w:w="80" w:type="dxa"/>
            </w:tcMar>
          </w:tcPr>
          <w:p>
            <w:pPr>
              <w:spacing w:before="20" w:after="20"/>
              <w:jc w:val="center"/>
            </w:pPr>
            <w:r/>
            <w:r>
              <w:rPr>
                <w:rFonts w:ascii="Calibri" w:hAnsi="Calibri"/>
                <w:b w:val="0"/>
                <w:i w:val="0"/>
                <w:sz w:val="15"/>
              </w:rPr>
              <w:t>Paid</w:t>
            </w:r>
          </w:p>
        </w:tc>
        <w:tc>
          <w:tcPr>
            <w:tcW w:type="dxa" w:w="1368"/>
            <w:vAlign w:val="center"/>
            <w:tcMar>
              <w:top w:w="40" w:type="dxa"/>
              <w:bottom w:w="40" w:type="dxa"/>
              <w:start w:w="80" w:type="dxa"/>
              <w:end w:w="80" w:type="dxa"/>
            </w:tcMar>
          </w:tcPr>
          <w:p>
            <w:pPr>
              <w:spacing w:before="20" w:after="20"/>
              <w:jc w:val="right"/>
            </w:pPr>
            <w:r/>
            <w:r>
              <w:rPr>
                <w:rFonts w:ascii="Calibri" w:hAnsi="Calibri"/>
                <w:b w:val="0"/>
                <w:i w:val="0"/>
                <w:sz w:val="15"/>
              </w:rPr>
              <w:t>$1,650.00</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$745.16</w:t>
            </w:r>
          </w:p>
        </w:tc>
        <w:tc>
          <w:tcPr>
            <w:tcW w:type="dxa" w:w="1440"/>
            <w:vAlign w:val="center"/>
            <w:tcMar>
              <w:top w:w="40" w:type="dxa"/>
              <w:bottom w:w="40" w:type="dxa"/>
              <w:start w:w="80" w:type="dxa"/>
              <w:end w:w="80" w:type="dxa"/>
            </w:tcMar>
          </w:tcPr>
          <w:p>
            <w:pPr>
              <w:spacing w:before="20" w:after="20"/>
              <w:jc w:val="right"/>
            </w:pPr>
            <w:r/>
            <w:r>
              <w:rPr>
                <w:rFonts w:ascii="Calibri" w:hAnsi="Calibri"/>
                <w:b w:val="0"/>
                <w:i w:val="0"/>
                <w:sz w:val="15"/>
              </w:rPr>
              <w:t>$904.84</w:t>
            </w:r>
          </w:p>
        </w:tc>
      </w:tr>
      <w:tr>
        <w:tc>
          <w:tcPr>
            <w:tcW w:type="dxa" w:w="648"/>
            <w:vAlign w:val="center"/>
            <w:tcMar>
              <w:top w:w="40" w:type="dxa"/>
              <w:bottom w:w="40" w:type="dxa"/>
              <w:start w:w="80" w:type="dxa"/>
              <w:end w:w="80" w:type="dxa"/>
            </w:tcMar>
            <w:shd w:val="clear" w:color="auto" w:fill="F2F5FA"/>
          </w:tcPr>
          <w:p>
            <w:pPr>
              <w:spacing w:before="20" w:after="20"/>
              <w:jc w:val="center"/>
            </w:pPr>
            <w:r/>
            <w:r>
              <w:rPr>
                <w:rFonts w:ascii="Calibri" w:hAnsi="Calibri"/>
                <w:b/>
                <w:i w:val="0"/>
                <w:sz w:val="15"/>
              </w:rPr>
              <w:t>TOTAL</w:t>
            </w:r>
          </w:p>
        </w:tc>
        <w:tc>
          <w:tcPr>
            <w:tcW w:type="dxa" w:w="4392"/>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5"/>
              </w:rPr>
              <w:t>Collected July 2025 rents</w:t>
            </w:r>
          </w:p>
        </w:tc>
        <w:tc>
          <w:tcPr>
            <w:tcW w:type="dxa" w:w="1368"/>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5"/>
              </w:rPr>
            </w:r>
          </w:p>
        </w:tc>
        <w:tc>
          <w:tcPr>
            <w:tcW w:type="dxa" w:w="1152"/>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5"/>
              </w:rPr>
            </w:r>
          </w:p>
        </w:tc>
        <w:tc>
          <w:tcPr>
            <w:tcW w:type="dxa" w:w="1368"/>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5"/>
              </w:rPr>
              <w:t>$23,600.00</w:t>
            </w:r>
          </w:p>
        </w:tc>
        <w:tc>
          <w:tcPr>
            <w:tcW w:type="dxa" w:w="144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5"/>
              </w:rPr>
              <w:t>$10,658.05</w:t>
            </w:r>
          </w:p>
        </w:tc>
        <w:tc>
          <w:tcPr>
            <w:tcW w:type="dxa" w:w="144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5"/>
              </w:rPr>
              <w:t>$12,941.95</w:t>
            </w:r>
          </w:p>
        </w:tc>
      </w:tr>
    </w:tbl>
    <w:p>
      <w:pPr>
        <w:spacing w:before="40" w:after="40"/>
        <w:jc w:val="left"/>
      </w:pPr>
      <w:r>
        <w:rPr>
          <w:rFonts w:ascii="Calibri" w:hAnsi="Calibri"/>
          <w:b w:val="0"/>
          <w:i/>
          <w:color w:val="595959"/>
          <w:sz w:val="16"/>
        </w:rPr>
        <w:t>Net rent proration: Seller collected $23,600.00; Buyer's share $12,941.95 → Debit Seller / Credit Buyer $12,941.95. Unit 2E ($1,600.00 delinquent) and Unit 3C (vacant) are excluded — no credit to either party (PSA §7.3). Note: an aggregate calculation ($23,600 × 17/31) yields $12,941.94, a $0.01 difference resolved in Buyer's favor per §7.2(c); the per-lease method above is used as required by §7.2(d).</w:t>
      </w:r>
    </w:p>
    <w:p>
      <w:pPr>
        <w:spacing w:before="120" w:after="40"/>
        <w:jc w:val="left"/>
      </w:pPr>
      <w:r>
        <w:rPr>
          <w:rFonts w:ascii="Calibri" w:hAnsi="Calibri"/>
          <w:b/>
          <w:i w:val="0"/>
          <w:color w:val="1F3864"/>
          <w:sz w:val="20"/>
        </w:rPr>
        <w:t>D-3.  Security Deposit Transfer</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864"/>
            <w:vAlign w:val="center"/>
            <w:tcMar>
              <w:top w:w="40" w:type="dxa"/>
              <w:bottom w:w="40" w:type="dxa"/>
              <w:start w:w="80" w:type="dxa"/>
              <w:end w:w="80" w:type="dxa"/>
            </w:tcMar>
            <w:shd w:val="clear" w:color="auto" w:fill="DCE6F1"/>
          </w:tcPr>
          <w:p>
            <w:pPr>
              <w:spacing w:before="20" w:after="20"/>
              <w:jc w:val="center"/>
            </w:pPr>
            <w:r/>
            <w:r>
              <w:rPr>
                <w:rFonts w:ascii="Calibri" w:hAnsi="Calibri"/>
                <w:b/>
                <w:i w:val="0"/>
                <w:sz w:val="16"/>
              </w:rPr>
              <w:t>Unit</w:t>
            </w:r>
          </w:p>
        </w:tc>
        <w:tc>
          <w:tcPr>
            <w:tcW w:type="dxa" w:w="8064"/>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Tenant / Type</w:t>
            </w:r>
          </w:p>
        </w:tc>
        <w:tc>
          <w:tcPr>
            <w:tcW w:type="dxa" w:w="2880"/>
            <w:vAlign w:val="center"/>
            <w:tcMar>
              <w:top w:w="40" w:type="dxa"/>
              <w:bottom w:w="40" w:type="dxa"/>
              <w:start w:w="80" w:type="dxa"/>
              <w:end w:w="80" w:type="dxa"/>
            </w:tcMar>
            <w:shd w:val="clear" w:color="auto" w:fill="DCE6F1"/>
          </w:tcPr>
          <w:p>
            <w:pPr>
              <w:spacing w:before="20" w:after="20"/>
              <w:jc w:val="center"/>
            </w:pPr>
            <w:r/>
            <w:r>
              <w:rPr>
                <w:rFonts w:ascii="Calibri" w:hAnsi="Calibri"/>
                <w:b/>
                <w:i w:val="0"/>
                <w:sz w:val="16"/>
              </w:rPr>
              <w:t>Deposit</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GF</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Commercial — Coastal Provisions Market LLC</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$14,400.00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2A</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$1,650.00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2B</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$1,575.00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2C</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$1,700.00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2D</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$1,525.00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2E</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 (tenant delinquent; deposit retained)</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$1,600.00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2F</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$1,650.00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3A</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$1,750.00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3B</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$1,575.00</w:t>
            </w:r>
          </w:p>
        </w:tc>
      </w:tr>
      <w:tr>
        <w:tc>
          <w:tcPr>
            <w:tcW w:type="dxa" w:w="864"/>
            <w:vAlign w:val="center"/>
            <w:tcMar>
              <w:top w:w="40" w:type="dxa"/>
              <w:bottom w:w="40" w:type="dxa"/>
              <w:start w:w="80" w:type="dxa"/>
              <w:end w:w="80" w:type="dxa"/>
            </w:tcMar>
            <w:shd w:val="clear" w:color="auto" w:fill="FCE4E4"/>
          </w:tcPr>
          <w:p>
            <w:pPr>
              <w:spacing w:before="20" w:after="20"/>
              <w:jc w:val="center"/>
            </w:pPr>
            <w:r/>
            <w:r>
              <w:rPr>
                <w:rFonts w:ascii="Calibri" w:hAnsi="Calibri"/>
                <w:b/>
                <w:i w:val="0"/>
                <w:sz w:val="16"/>
              </w:rPr>
              <w:t>3C</w:t>
            </w:r>
          </w:p>
        </w:tc>
        <w:tc>
          <w:tcPr>
            <w:tcW w:type="dxa" w:w="8064"/>
            <w:vAlign w:val="center"/>
            <w:tcMar>
              <w:top w:w="40" w:type="dxa"/>
              <w:bottom w:w="40" w:type="dxa"/>
              <w:start w:w="80" w:type="dxa"/>
              <w:end w:w="80" w:type="dxa"/>
            </w:tcMar>
            <w:shd w:val="clear" w:color="auto" w:fill="FCE4E4"/>
          </w:tcPr>
          <w:p>
            <w:pPr>
              <w:spacing w:before="20" w:after="20"/>
              <w:jc w:val="left"/>
            </w:pPr>
            <w:r/>
            <w:r>
              <w:rPr>
                <w:rFonts w:ascii="Calibri" w:hAnsi="Calibri"/>
                <w:b w:val="0"/>
                <w:i w:val="0"/>
                <w:sz w:val="16"/>
              </w:rPr>
              <w:t>Residential — VACANT (no deposit held)</w:t>
            </w:r>
          </w:p>
        </w:tc>
        <w:tc>
          <w:tcPr>
            <w:tcW w:type="dxa" w:w="2880"/>
            <w:vAlign w:val="center"/>
            <w:tcMar>
              <w:top w:w="40" w:type="dxa"/>
              <w:bottom w:w="40" w:type="dxa"/>
              <w:start w:w="80" w:type="dxa"/>
              <w:end w:w="80" w:type="dxa"/>
            </w:tcMar>
            <w:shd w:val="clear" w:color="auto" w:fill="FCE4E4"/>
          </w:tcPr>
          <w:p>
            <w:pPr>
              <w:spacing w:before="20" w:after="20"/>
              <w:jc w:val="right"/>
            </w:pPr>
            <w:r/>
            <w:r>
              <w:rPr>
                <w:rFonts w:ascii="Calibri" w:hAnsi="Calibri"/>
                <w:b w:val="0"/>
                <w:i w:val="0"/>
                <w:sz w:val="16"/>
              </w:rPr>
              <w:t>$0.00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3D</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$1,700.00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3E</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$1,625.00</w:t>
            </w:r>
          </w:p>
        </w:tc>
      </w:tr>
      <w:tr>
        <w:tc>
          <w:tcPr>
            <w:tcW w:type="dxa" w:w="864"/>
            <w:vAlign w:val="center"/>
            <w:tcMar>
              <w:top w:w="40" w:type="dxa"/>
              <w:bottom w:w="40" w:type="dxa"/>
              <w:start w:w="80" w:type="dxa"/>
              <w:end w:w="80" w:type="dxa"/>
            </w:tcMar>
          </w:tcPr>
          <w:p>
            <w:pPr>
              <w:spacing w:before="20" w:after="20"/>
              <w:jc w:val="center"/>
            </w:pPr>
            <w:r/>
            <w:r>
              <w:rPr>
                <w:rFonts w:ascii="Calibri" w:hAnsi="Calibri"/>
                <w:b/>
                <w:i w:val="0"/>
                <w:sz w:val="16"/>
              </w:rPr>
              <w:t>3F</w:t>
            </w:r>
          </w:p>
        </w:tc>
        <w:tc>
          <w:tcPr>
            <w:tcW w:type="dxa" w:w="8064"/>
            <w:vAlign w:val="center"/>
            <w:tcMar>
              <w:top w:w="40" w:type="dxa"/>
              <w:bottom w:w="40" w:type="dxa"/>
              <w:start w:w="80" w:type="dxa"/>
              <w:end w:w="80" w:type="dxa"/>
            </w:tcMar>
          </w:tcPr>
          <w:p>
            <w:pPr>
              <w:spacing w:before="20" w:after="20"/>
              <w:jc w:val="left"/>
            </w:pPr>
            <w:r/>
            <w:r>
              <w:rPr>
                <w:rFonts w:ascii="Calibri" w:hAnsi="Calibri"/>
                <w:b w:val="0"/>
                <w:i w:val="0"/>
                <w:sz w:val="16"/>
              </w:rPr>
              <w:t>Residential</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$1,650.00</w:t>
            </w:r>
          </w:p>
        </w:tc>
      </w:tr>
      <w:tr>
        <w:tc>
          <w:tcPr>
            <w:tcW w:type="dxa" w:w="864"/>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r>
          </w:p>
        </w:tc>
        <w:tc>
          <w:tcPr>
            <w:tcW w:type="dxa" w:w="8064"/>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TOTAL SECURITY DEPOSITS (principal only)</w:t>
            </w:r>
          </w:p>
        </w:tc>
        <w:tc>
          <w:tcPr>
            <w:tcW w:type="dxa" w:w="288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6"/>
              </w:rPr>
              <w:t>$32,400.00</w:t>
            </w:r>
          </w:p>
        </w:tc>
      </w:tr>
    </w:tbl>
    <w:p>
      <w:pPr>
        <w:spacing w:before="40" w:after="40"/>
        <w:jc w:val="left"/>
      </w:pPr>
      <w:r>
        <w:rPr>
          <w:rFonts w:ascii="Calibri" w:hAnsi="Calibri"/>
          <w:b w:val="0"/>
          <w:i/>
          <w:color w:val="C00000"/>
          <w:sz w:val="16"/>
        </w:rPr>
        <w:t>Debit Seller / Credit Buyer $32,400.00 (residential $18,000.00 + commercial $14,400.00). Accrued interest on residential deposits (CT Gen. Stat. §47a-21) is NOT quantified in the delivered schedules and must be added when confirmed by the Property Manager / Escrow Agent (see Notes Memo, Item 3).</w:t>
      </w:r>
    </w:p>
    <w:p>
      <w:pPr>
        <w:spacing w:before="120" w:after="40"/>
        <w:jc w:val="left"/>
      </w:pPr>
      <w:r>
        <w:rPr>
          <w:rFonts w:ascii="Calibri" w:hAnsi="Calibri"/>
          <w:b/>
          <w:i w:val="0"/>
          <w:color w:val="1F3864"/>
          <w:sz w:val="20"/>
        </w:rPr>
        <w:t>D-4.  Utility Proration — Water &amp; Sewer</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244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Account</w:t>
            </w:r>
          </w:p>
        </w:tc>
        <w:tc>
          <w:tcPr>
            <w:tcW w:type="dxa" w:w="9360"/>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City of Bridgeport WPCA — Acct. WS-0042800-HBV</w:t>
            </w:r>
          </w:p>
        </w:tc>
      </w:tr>
      <w:tr>
        <w:tc>
          <w:tcPr>
            <w:tcW w:type="dxa" w:w="2448"/>
            <w:vAlign w:val="center"/>
            <w:tcMar>
              <w:top w:w="40" w:type="dxa"/>
              <w:bottom w:w="40" w:type="dxa"/>
              <w:start w:w="80" w:type="dxa"/>
              <w:end w:w="80" w:type="dxa"/>
            </w:tcMar>
          </w:tcPr>
          <w:p>
            <w:pPr>
              <w:spacing w:before="20" w:after="20"/>
              <w:jc w:val="left"/>
            </w:pPr>
            <w:r/>
            <w:r>
              <w:rPr>
                <w:rFonts w:ascii="Calibri" w:hAnsi="Calibri"/>
                <w:b/>
                <w:i w:val="0"/>
                <w:sz w:val="16"/>
              </w:rPr>
              <w:t>Billing period</w:t>
            </w:r>
          </w:p>
        </w:tc>
        <w:tc>
          <w:tcPr>
            <w:tcW w:type="dxa" w:w="9360"/>
            <w:vAlign w:val="center"/>
            <w:tcMar>
              <w:top w:w="40" w:type="dxa"/>
              <w:bottom w:w="40" w:type="dxa"/>
              <w:start w:w="80" w:type="dxa"/>
              <w:end w:w="80" w:type="dxa"/>
            </w:tcMar>
          </w:tcPr>
          <w:p>
            <w:pPr>
              <w:spacing w:before="20" w:after="20"/>
              <w:jc w:val="left"/>
            </w:pPr>
            <w:r/>
            <w:r>
              <w:rPr>
                <w:rFonts w:ascii="Calibri" w:hAnsi="Calibri"/>
                <w:b w:val="0"/>
                <w:i w:val="0"/>
                <w:sz w:val="16"/>
              </w:rPr>
              <w:t>May 15, 2025 – July 14, 2025 (61 service days)</w:t>
            </w:r>
          </w:p>
        </w:tc>
      </w:tr>
      <w:tr>
        <w:tc>
          <w:tcPr>
            <w:tcW w:type="dxa" w:w="244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Total charges</w:t>
            </w:r>
          </w:p>
        </w:tc>
        <w:tc>
          <w:tcPr>
            <w:tcW w:type="dxa" w:w="9360"/>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$1,847.60 (water $923.00 + sewer $708.00 + other assessments $216.60)</w:t>
            </w:r>
          </w:p>
        </w:tc>
      </w:tr>
      <w:tr>
        <w:tc>
          <w:tcPr>
            <w:tcW w:type="dxa" w:w="2448"/>
            <w:vAlign w:val="center"/>
            <w:tcMar>
              <w:top w:w="40" w:type="dxa"/>
              <w:bottom w:w="40" w:type="dxa"/>
              <w:start w:w="80" w:type="dxa"/>
              <w:end w:w="80" w:type="dxa"/>
            </w:tcMar>
          </w:tcPr>
          <w:p>
            <w:pPr>
              <w:spacing w:before="20" w:after="20"/>
              <w:jc w:val="left"/>
            </w:pPr>
            <w:r/>
            <w:r>
              <w:rPr>
                <w:rFonts w:ascii="Calibri" w:hAnsi="Calibri"/>
                <w:b/>
                <w:i w:val="0"/>
                <w:sz w:val="16"/>
              </w:rPr>
              <w:t>Due date / status</w:t>
            </w:r>
          </w:p>
        </w:tc>
        <w:tc>
          <w:tcPr>
            <w:tcW w:type="dxa" w:w="9360"/>
            <w:vAlign w:val="center"/>
            <w:tcMar>
              <w:top w:w="40" w:type="dxa"/>
              <w:bottom w:w="40" w:type="dxa"/>
              <w:start w:w="80" w:type="dxa"/>
              <w:end w:w="80" w:type="dxa"/>
            </w:tcMar>
          </w:tcPr>
          <w:p>
            <w:pPr>
              <w:spacing w:before="20" w:after="20"/>
              <w:jc w:val="left"/>
            </w:pPr>
            <w:r/>
            <w:r>
              <w:rPr>
                <w:rFonts w:ascii="Calibri" w:hAnsi="Calibri"/>
                <w:b w:val="0"/>
                <w:i w:val="0"/>
                <w:sz w:val="16"/>
              </w:rPr>
              <w:t>August 1, 2025 — UNPAID</w:t>
            </w:r>
          </w:p>
        </w:tc>
      </w:tr>
      <w:tr>
        <w:tc>
          <w:tcPr>
            <w:tcW w:type="dxa" w:w="244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Proration treatment</w:t>
            </w:r>
          </w:p>
        </w:tc>
        <w:tc>
          <w:tcPr>
            <w:tcW w:type="dxa" w:w="9360"/>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Billing period ends 7/14/2025, on or before closing → entire bill is Seller's (PSA §7.5(a))</w:t>
            </w:r>
          </w:p>
        </w:tc>
      </w:tr>
      <w:tr>
        <w:tc>
          <w:tcPr>
            <w:tcW w:type="dxa" w:w="2448"/>
            <w:vAlign w:val="center"/>
            <w:tcMar>
              <w:top w:w="40" w:type="dxa"/>
              <w:bottom w:w="40" w:type="dxa"/>
              <w:start w:w="80" w:type="dxa"/>
              <w:end w:w="80" w:type="dxa"/>
            </w:tcMar>
          </w:tcPr>
          <w:p>
            <w:pPr>
              <w:spacing w:before="20" w:after="20"/>
              <w:jc w:val="left"/>
            </w:pPr>
            <w:r/>
            <w:r>
              <w:rPr>
                <w:rFonts w:ascii="Calibri" w:hAnsi="Calibri"/>
                <w:b/>
                <w:i w:val="0"/>
                <w:sz w:val="16"/>
              </w:rPr>
              <w:t>Settlement entry</w:t>
            </w:r>
          </w:p>
        </w:tc>
        <w:tc>
          <w:tcPr>
            <w:tcW w:type="dxa" w:w="9360"/>
            <w:vAlign w:val="center"/>
            <w:tcMar>
              <w:top w:w="40" w:type="dxa"/>
              <w:bottom w:w="40" w:type="dxa"/>
              <w:start w:w="80" w:type="dxa"/>
              <w:end w:w="80" w:type="dxa"/>
            </w:tcMar>
          </w:tcPr>
          <w:p>
            <w:pPr>
              <w:spacing w:before="20" w:after="20"/>
              <w:jc w:val="left"/>
            </w:pPr>
            <w:r/>
            <w:r>
              <w:rPr>
                <w:rFonts w:ascii="Calibri" w:hAnsi="Calibri"/>
                <w:b w:val="0"/>
                <w:i w:val="0"/>
                <w:sz w:val="16"/>
              </w:rPr>
              <w:t>Debit Seller / Credit Buyer $1,847.60</w:t>
            </w:r>
          </w:p>
        </w:tc>
      </w:tr>
    </w:tbl>
    <w:p>
      <w:pPr>
        <w:spacing w:before="40" w:after="40"/>
        <w:jc w:val="left"/>
      </w:pPr>
      <w:r>
        <w:rPr>
          <w:rFonts w:ascii="Calibri" w:hAnsi="Calibri"/>
          <w:b w:val="0"/>
          <w:i/>
          <w:color w:val="C00000"/>
          <w:sz w:val="16"/>
        </w:rPr>
        <w:t>The City's municipal payoff statement (TLC-2025-04892) bundles this water/sewer balance with the delinquent taxes into a single $30,450.40 total due. The closing agent must confirm the disbursement split so the water/sewer is not double-paid (see Notes Memo, Item 6).</w:t>
      </w:r>
    </w:p>
    <w:p>
      <w:pPr>
        <w:spacing w:before="120" w:after="40"/>
        <w:jc w:val="left"/>
      </w:pPr>
      <w:r>
        <w:rPr>
          <w:rFonts w:ascii="Calibri" w:hAnsi="Calibri"/>
          <w:b/>
          <w:i w:val="0"/>
          <w:color w:val="1F3864"/>
          <w:sz w:val="20"/>
        </w:rPr>
        <w:t>D-5.  Heating Oil Adjustment</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604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Tank gauge reading (7/14/2025 pre-closing inspection)</w:t>
            </w:r>
          </w:p>
        </w:tc>
        <w:tc>
          <w:tcPr>
            <w:tcW w:type="dxa" w:w="5760"/>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180 gallons</w:t>
            </w:r>
          </w:p>
        </w:tc>
      </w:tr>
      <w:tr>
        <w:tc>
          <w:tcPr>
            <w:tcW w:type="dxa" w:w="6048"/>
            <w:vAlign w:val="center"/>
            <w:tcMar>
              <w:top w:w="40" w:type="dxa"/>
              <w:bottom w:w="40" w:type="dxa"/>
              <w:start w:w="80" w:type="dxa"/>
              <w:end w:w="80" w:type="dxa"/>
            </w:tcMar>
          </w:tcPr>
          <w:p>
            <w:pPr>
              <w:spacing w:before="20" w:after="20"/>
              <w:jc w:val="left"/>
            </w:pPr>
            <w:r/>
            <w:r>
              <w:rPr>
                <w:rFonts w:ascii="Calibri" w:hAnsi="Calibri"/>
                <w:b/>
                <w:i w:val="0"/>
                <w:sz w:val="16"/>
              </w:rPr>
              <w:t>Seller's last delivered price (Shoreline Fuel &amp; Oil Co., 6/2/2025)</w:t>
            </w:r>
          </w:p>
        </w:tc>
        <w:tc>
          <w:tcPr>
            <w:tcW w:type="dxa" w:w="5760"/>
            <w:vAlign w:val="center"/>
            <w:tcMar>
              <w:top w:w="40" w:type="dxa"/>
              <w:bottom w:w="40" w:type="dxa"/>
              <w:start w:w="80" w:type="dxa"/>
              <w:end w:w="80" w:type="dxa"/>
            </w:tcMar>
          </w:tcPr>
          <w:p>
            <w:pPr>
              <w:spacing w:before="20" w:after="20"/>
              <w:jc w:val="left"/>
            </w:pPr>
            <w:r/>
            <w:r>
              <w:rPr>
                <w:rFonts w:ascii="Calibri" w:hAnsi="Calibri"/>
                <w:b w:val="0"/>
                <w:i w:val="0"/>
                <w:sz w:val="16"/>
              </w:rPr>
              <w:t>$3.85 / gallon</w:t>
            </w:r>
          </w:p>
        </w:tc>
      </w:tr>
      <w:tr>
        <w:tc>
          <w:tcPr>
            <w:tcW w:type="dxa" w:w="604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Reimbursement value (180 × $3.85)</w:t>
            </w:r>
          </w:p>
        </w:tc>
        <w:tc>
          <w:tcPr>
            <w:tcW w:type="dxa" w:w="5760"/>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t>$693.00</w:t>
            </w:r>
          </w:p>
        </w:tc>
      </w:tr>
      <w:tr>
        <w:tc>
          <w:tcPr>
            <w:tcW w:type="dxa" w:w="6048"/>
            <w:vAlign w:val="center"/>
            <w:tcMar>
              <w:top w:w="40" w:type="dxa"/>
              <w:bottom w:w="40" w:type="dxa"/>
              <w:start w:w="80" w:type="dxa"/>
              <w:end w:w="80" w:type="dxa"/>
            </w:tcMar>
          </w:tcPr>
          <w:p>
            <w:pPr>
              <w:spacing w:before="20" w:after="20"/>
              <w:jc w:val="left"/>
            </w:pPr>
            <w:r/>
            <w:r>
              <w:rPr>
                <w:rFonts w:ascii="Calibri" w:hAnsi="Calibri"/>
                <w:b/>
                <w:i w:val="0"/>
                <w:sz w:val="16"/>
              </w:rPr>
              <w:t>Settlement entry</w:t>
            </w:r>
          </w:p>
        </w:tc>
        <w:tc>
          <w:tcPr>
            <w:tcW w:type="dxa" w:w="5760"/>
            <w:vAlign w:val="center"/>
            <w:tcMar>
              <w:top w:w="40" w:type="dxa"/>
              <w:bottom w:w="40" w:type="dxa"/>
              <w:start w:w="80" w:type="dxa"/>
              <w:end w:w="80" w:type="dxa"/>
            </w:tcMar>
          </w:tcPr>
          <w:p>
            <w:pPr>
              <w:spacing w:before="20" w:after="20"/>
              <w:jc w:val="left"/>
            </w:pPr>
            <w:r/>
            <w:r>
              <w:rPr>
                <w:rFonts w:ascii="Calibri" w:hAnsi="Calibri"/>
                <w:b w:val="0"/>
                <w:i w:val="0"/>
                <w:sz w:val="16"/>
              </w:rPr>
              <w:t>Credit Seller / Debit Buyer $693.00 (PSA §7.6)</w:t>
            </w:r>
          </w:p>
        </w:tc>
      </w:tr>
    </w:tbl>
    <w:p>
      <w:r>
        <w:br w:type="page"/>
      </w:r>
    </w:p>
    <w:p>
      <w:pPr>
        <w:keepNext/>
        <w:spacing w:before="200" w:after="80"/>
        <w:pBdr>
          <w:bottom w:val="single" w:sz="6" w:space="2" w:color="1F3864"/>
        </w:pBdr>
      </w:pPr>
      <w:r>
        <w:rPr>
          <w:rFonts w:ascii="Calibri" w:hAnsi="Calibri"/>
          <w:b/>
          <w:i w:val="0"/>
          <w:color w:val="1F3864"/>
          <w:sz w:val="24"/>
        </w:rPr>
        <w:t>SECTION E — RECONCILIATION SUMMARY (FUNDS FLOW)</w:t>
      </w:r>
    </w:p>
    <w:p>
      <w:pPr>
        <w:spacing w:before="40" w:after="40"/>
        <w:jc w:val="left"/>
      </w:pPr>
      <w:r>
        <w:rPr>
          <w:rFonts w:ascii="Calibri" w:hAnsi="Calibri"/>
          <w:b/>
          <w:i w:val="0"/>
          <w:sz w:val="18"/>
        </w:rPr>
        <w:t>E-1.  Sources of Funds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89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Source</w:t>
            </w:r>
          </w:p>
        </w:tc>
        <w:tc>
          <w:tcPr>
            <w:tcW w:type="dxa" w:w="2880"/>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6"/>
              </w:rPr>
              <w:t>Amount</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Cash required from Buyer (wire to Escrow Agent)</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$1,083,564.52</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Loan proceeds — Tidewater Savings Bank</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$2,640,000.00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Earnest money deposit (held by Escrow Agent)</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$195,000.00</w:t>
            </w:r>
          </w:p>
        </w:tc>
      </w:tr>
      <w:tr>
        <w:tc>
          <w:tcPr>
            <w:tcW w:type="dxa" w:w="892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TOTAL SOURCES OF FUNDS</w:t>
            </w:r>
          </w:p>
        </w:tc>
        <w:tc>
          <w:tcPr>
            <w:tcW w:type="dxa" w:w="288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6"/>
              </w:rPr>
              <w:t>$3,918,564.52</w:t>
            </w:r>
          </w:p>
        </w:tc>
      </w:tr>
    </w:tbl>
    <w:p>
      <w:pPr>
        <w:spacing w:before="120" w:after="40"/>
        <w:jc w:val="left"/>
      </w:pPr>
      <w:r>
        <w:rPr>
          <w:rFonts w:ascii="Calibri" w:hAnsi="Calibri"/>
          <w:b/>
          <w:i w:val="0"/>
          <w:sz w:val="18"/>
        </w:rPr>
        <w:t>E-2.  Uses of Funds (disbursements)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89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Use</w:t>
            </w:r>
          </w:p>
        </w:tc>
        <w:tc>
          <w:tcPr>
            <w:tcW w:type="dxa" w:w="2880"/>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6"/>
              </w:rPr>
              <w:t>Amount</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Net proceeds to Seller</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$2,864,663.83</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Payoff — Harborstone FCU first mortgage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$687,412.33</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Payoff — Harborstone FCU HELOC</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$148,219.56</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Settlement — Northbridge Construction Co. mechanic's lien</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$31,000.00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Delinquent property tax + interest — City of Bridgeport</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$28,602.80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Repair escrow — held by Escrow Agent (Pinnacle Abstract &amp; Title)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$45,000.00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Owner's title insurance premium</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$8,275.00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Lender's title insurance premium</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$3,850.00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Title search &amp; examination / municipal lien search</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$1,500.00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CT conveyance tax — Seller 50% + Buyer 50%</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$44,750.00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Recording fees — Buyer ($339) + Seller ($292)</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$631.00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Loan origination fee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$26,400.00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Flood certification / tax service fees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$110.00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Buyer's attorney fees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$12,500.00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Seller's attorney fees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$11,000.00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Probate Court Certificate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$150.00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Management agreement termination fee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$4,500.00</w:t>
            </w:r>
          </w:p>
        </w:tc>
      </w:tr>
      <w:tr>
        <w:tc>
          <w:tcPr>
            <w:tcW w:type="dxa" w:w="892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TOTAL USES OF FUNDS</w:t>
            </w:r>
          </w:p>
        </w:tc>
        <w:tc>
          <w:tcPr>
            <w:tcW w:type="dxa" w:w="288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6"/>
              </w:rPr>
              <w:t>$3,918,564.52</w:t>
            </w:r>
          </w:p>
        </w:tc>
      </w:tr>
    </w:tbl>
    <w:p>
      <w:pPr>
        <w:spacing w:before="120" w:after="40"/>
        <w:jc w:val="left"/>
      </w:pPr>
      <w:r>
        <w:rPr>
          <w:rFonts w:ascii="Calibri" w:hAnsi="Calibri"/>
          <w:b/>
          <w:i w:val="0"/>
          <w:sz w:val="18"/>
        </w:rPr>
        <w:t>E-3.  Reconciliation</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112"/>
        <w:gridCol w:w="5112"/>
      </w:tblGrid>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8"/>
              </w:rPr>
              <w:t>Total sources of funds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8"/>
              </w:rPr>
              <w:t>$3,918,564.52</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8"/>
              </w:rPr>
              <w:t>Total uses of funds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8"/>
              </w:rPr>
              <w:t>$3,918,564.52</w:t>
            </w:r>
          </w:p>
        </w:tc>
      </w:tr>
      <w:tr>
        <w:tc>
          <w:tcPr>
            <w:tcW w:type="dxa" w:w="8928"/>
            <w:vAlign w:val="center"/>
            <w:tcMar>
              <w:top w:w="40" w:type="dxa"/>
              <w:bottom w:w="40" w:type="dxa"/>
              <w:start w:w="80" w:type="dxa"/>
              <w:end w:w="80" w:type="dxa"/>
            </w:tcMar>
          </w:tcPr>
          <w:p>
            <w:pPr>
              <w:spacing w:before="20" w:after="20"/>
              <w:jc w:val="left"/>
            </w:pPr>
            <w:r/>
            <w:r>
              <w:rPr>
                <w:rFonts w:ascii="Calibri" w:hAnsi="Calibri"/>
                <w:b/>
                <w:i w:val="0"/>
                <w:sz w:val="18"/>
              </w:rPr>
              <w:t>Difference (must equal $0.00)</w:t>
            </w:r>
          </w:p>
        </w:tc>
        <w:tc>
          <w:tcPr>
            <w:tcW w:type="dxa" w:w="2880"/>
            <w:vAlign w:val="center"/>
            <w:tcMar>
              <w:top w:w="40" w:type="dxa"/>
              <w:bottom w:w="40" w:type="dxa"/>
              <w:start w:w="80" w:type="dxa"/>
              <w:end w:w="80" w:type="dxa"/>
            </w:tcMar>
          </w:tcPr>
          <w:p>
            <w:pPr>
              <w:spacing w:before="20" w:after="20"/>
              <w:jc w:val="right"/>
            </w:pPr>
            <w:r/>
            <w:r>
              <w:rPr>
                <w:rFonts w:ascii="Calibri" w:hAnsi="Calibri"/>
                <w:b/>
                <w:i w:val="0"/>
                <w:color w:val="008000"/>
                <w:sz w:val="18"/>
              </w:rPr>
              <w:t>$0.00</w:t>
            </w:r>
          </w:p>
        </w:tc>
      </w:tr>
      <w:tr>
        <w:tc>
          <w:tcPr>
            <w:tcW w:type="dxa" w:w="8928"/>
            <w:vAlign w:val="center"/>
            <w:tcMar>
              <w:top w:w="40" w:type="dxa"/>
              <w:bottom w:w="40" w:type="dxa"/>
              <w:start w:w="80" w:type="dxa"/>
              <w:end w:w="80" w:type="dxa"/>
            </w:tcMar>
            <w:shd w:val="clear" w:color="auto" w:fill="E2EFDA"/>
          </w:tcPr>
          <w:p>
            <w:pPr>
              <w:spacing w:before="20" w:after="20"/>
              <w:jc w:val="left"/>
            </w:pPr>
            <w:r/>
            <w:r>
              <w:rPr>
                <w:rFonts w:ascii="Calibri" w:hAnsi="Calibri"/>
                <w:b/>
                <w:i w:val="0"/>
                <w:sz w:val="18"/>
              </w:rPr>
              <w:t>Status</w:t>
            </w:r>
          </w:p>
        </w:tc>
        <w:tc>
          <w:tcPr>
            <w:tcW w:type="dxa" w:w="2880"/>
            <w:vAlign w:val="center"/>
            <w:tcMar>
              <w:top w:w="40" w:type="dxa"/>
              <w:bottom w:w="40" w:type="dxa"/>
              <w:start w:w="80" w:type="dxa"/>
              <w:end w:w="80" w:type="dxa"/>
            </w:tcMar>
            <w:shd w:val="clear" w:color="auto" w:fill="E2EFDA"/>
          </w:tcPr>
          <w:p>
            <w:pPr>
              <w:spacing w:before="20" w:after="20"/>
              <w:jc w:val="right"/>
            </w:pPr>
            <w:r/>
            <w:r>
              <w:rPr>
                <w:rFonts w:ascii="Calibri" w:hAnsi="Calibri"/>
                <w:b/>
                <w:i w:val="0"/>
                <w:color w:val="008000"/>
                <w:sz w:val="18"/>
              </w:rPr>
              <w:t>BALANCED ✓</w:t>
            </w:r>
          </w:p>
        </w:tc>
      </w:tr>
    </w:tbl>
    <w:p>
      <w:pPr>
        <w:spacing w:before="60" w:after="40"/>
        <w:jc w:val="left"/>
      </w:pPr>
      <w:r>
        <w:rPr>
          <w:rFonts w:ascii="Calibri" w:hAnsi="Calibri"/>
          <w:b w:val="0"/>
          <w:i/>
          <w:color w:val="595959"/>
          <w:sz w:val="16"/>
        </w:rPr>
        <w:t>Internal prorations (rents $12,941.95, security deposits $32,400.00, next-FY tax $2,012.93, water/sewer $1,847.60, heating oil $693.00) net between Buyer and Seller and are not separately disbursed; they are embedded in the net proceeds and cash-to-close figures above. The statement balances to the penny exclusive of pending earnest-money interest.</w:t>
      </w:r>
    </w:p>
    <w:p>
      <w:pPr>
        <w:keepNext/>
        <w:spacing w:before="200" w:after="80"/>
        <w:pBdr>
          <w:bottom w:val="single" w:sz="6" w:space="2" w:color="1F3864"/>
        </w:pBdr>
      </w:pPr>
      <w:r>
        <w:rPr>
          <w:rFonts w:ascii="Calibri" w:hAnsi="Calibri"/>
          <w:b/>
          <w:i w:val="0"/>
          <w:color w:val="1F3864"/>
          <w:sz w:val="24"/>
        </w:rPr>
        <w:t>SECTION F — PAID OUTSIDE OF CLOSING (POC) — DISCLOSURE ONLY</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604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Item</w:t>
            </w:r>
          </w:p>
        </w:tc>
        <w:tc>
          <w:tcPr>
            <w:tcW w:type="dxa" w:w="2160"/>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Amount</w:t>
            </w:r>
          </w:p>
        </w:tc>
        <w:tc>
          <w:tcPr>
            <w:tcW w:type="dxa" w:w="3600"/>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Status</w:t>
            </w:r>
          </w:p>
        </w:tc>
      </w:tr>
      <w:tr>
        <w:tc>
          <w:tcPr>
            <w:tcW w:type="dxa" w:w="6048"/>
            <w:vAlign w:val="center"/>
            <w:tcMar>
              <w:top w:w="40" w:type="dxa"/>
              <w:bottom w:w="40" w:type="dxa"/>
              <w:start w:w="80" w:type="dxa"/>
              <w:end w:w="80" w:type="dxa"/>
            </w:tcMar>
          </w:tcPr>
          <w:p>
            <w:pPr>
              <w:spacing w:before="20" w:after="20"/>
              <w:jc w:val="left"/>
            </w:pPr>
            <w:r/>
            <w:r>
              <w:rPr>
                <w:rFonts w:ascii="Calibri" w:hAnsi="Calibri"/>
                <w:b w:val="0"/>
                <w:i w:val="0"/>
                <w:sz w:val="16"/>
              </w:rPr>
              <w:t>Appraisal fee — Ashford Valuation Associates LLC</w:t>
            </w:r>
          </w:p>
        </w:tc>
        <w:tc>
          <w:tcPr>
            <w:tcW w:type="dxa" w:w="2160"/>
            <w:vAlign w:val="center"/>
            <w:tcMar>
              <w:top w:w="40" w:type="dxa"/>
              <w:bottom w:w="40" w:type="dxa"/>
              <w:start w:w="80" w:type="dxa"/>
              <w:end w:w="80" w:type="dxa"/>
            </w:tcMar>
          </w:tcPr>
          <w:p>
            <w:pPr>
              <w:spacing w:before="20" w:after="20"/>
              <w:jc w:val="right"/>
            </w:pPr>
            <w:r/>
            <w:r>
              <w:rPr>
                <w:rFonts w:ascii="Calibri" w:hAnsi="Calibri"/>
                <w:b w:val="0"/>
                <w:i w:val="0"/>
                <w:sz w:val="16"/>
              </w:rPr>
              <w:t>$4,500.00</w:t>
            </w:r>
          </w:p>
        </w:tc>
        <w:tc>
          <w:tcPr>
            <w:tcW w:type="dxa" w:w="3600"/>
            <w:vAlign w:val="center"/>
            <w:tcMar>
              <w:top w:w="40" w:type="dxa"/>
              <w:bottom w:w="40" w:type="dxa"/>
              <w:start w:w="80" w:type="dxa"/>
              <w:end w:w="80" w:type="dxa"/>
            </w:tcMar>
          </w:tcPr>
          <w:p>
            <w:pPr>
              <w:spacing w:before="20" w:after="20"/>
              <w:jc w:val="left"/>
            </w:pPr>
            <w:r/>
            <w:r>
              <w:rPr>
                <w:rFonts w:ascii="Calibri" w:hAnsi="Calibri"/>
                <w:b w:val="0"/>
                <w:i/>
                <w:color w:val="C00000"/>
                <w:sz w:val="16"/>
              </w:rPr>
              <w:t>POC — paid 5/5/2025; $0.00 impact on cash-to-close</w:t>
            </w:r>
          </w:p>
        </w:tc>
      </w:tr>
      <w:tr>
        <w:tc>
          <w:tcPr>
            <w:tcW w:type="dxa" w:w="604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Total POC (disclosure only — NOT in cash-to-close)</w:t>
            </w:r>
          </w:p>
        </w:tc>
        <w:tc>
          <w:tcPr>
            <w:tcW w:type="dxa" w:w="216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6"/>
              </w:rPr>
              <w:t>$4,500.00</w:t>
            </w:r>
          </w:p>
        </w:tc>
        <w:tc>
          <w:tcPr>
            <w:tcW w:type="dxa" w:w="3600"/>
            <w:vAlign w:val="center"/>
            <w:tcMar>
              <w:top w:w="40" w:type="dxa"/>
              <w:bottom w:w="40" w:type="dxa"/>
              <w:start w:w="80" w:type="dxa"/>
              <w:end w:w="80" w:type="dxa"/>
            </w:tcMar>
            <w:shd w:val="clear" w:color="auto" w:fill="F2F5FA"/>
          </w:tcPr>
          <w:p>
            <w:pPr>
              <w:spacing w:before="20" w:after="20"/>
              <w:jc w:val="left"/>
            </w:pPr>
            <w:r/>
            <w:r>
              <w:rPr>
                <w:rFonts w:ascii="Calibri" w:hAnsi="Calibri"/>
                <w:b w:val="0"/>
                <w:i w:val="0"/>
                <w:sz w:val="16"/>
              </w:rPr>
            </w:r>
          </w:p>
        </w:tc>
      </w:tr>
    </w:tbl>
    <w:p>
      <w:pPr>
        <w:spacing w:before="40" w:after="40"/>
        <w:jc w:val="left"/>
      </w:pPr>
      <w:r>
        <w:rPr>
          <w:rFonts w:ascii="Calibri" w:hAnsi="Calibri"/>
          <w:b w:val="0"/>
          <w:i/>
          <w:color w:val="595959"/>
          <w:sz w:val="16"/>
        </w:rPr>
        <w:t>Per the lender's express instructions, the $4,500.00 appraisal fee was paid directly by Buyer outside of closing and must NOT be included in any computation of funds due from Buyer at closing.</w:t>
      </w:r>
    </w:p>
    <w:p>
      <w:pPr>
        <w:keepNext/>
        <w:spacing w:before="200" w:after="80"/>
        <w:pBdr>
          <w:bottom w:val="single" w:sz="6" w:space="2" w:color="1F3864"/>
        </w:pBdr>
      </w:pPr>
      <w:r>
        <w:rPr>
          <w:rFonts w:ascii="Calibri" w:hAnsi="Calibri"/>
          <w:b/>
          <w:i w:val="0"/>
          <w:color w:val="1F3864"/>
          <w:sz w:val="24"/>
        </w:rPr>
        <w:t>SECTION G — DISBURSEMENT SUMMARY (WIRES FROM CLOSING)</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8928"/>
            <w:vAlign w:val="center"/>
            <w:tcMar>
              <w:top w:w="40" w:type="dxa"/>
              <w:bottom w:w="40" w:type="dxa"/>
              <w:start w:w="80" w:type="dxa"/>
              <w:end w:w="80" w:type="dxa"/>
            </w:tcMar>
            <w:shd w:val="clear" w:color="auto" w:fill="DCE6F1"/>
          </w:tcPr>
          <w:p>
            <w:pPr>
              <w:spacing w:before="20" w:after="20"/>
              <w:jc w:val="left"/>
            </w:pPr>
            <w:r/>
            <w:r>
              <w:rPr>
                <w:rFonts w:ascii="Calibri" w:hAnsi="Calibri"/>
                <w:b/>
                <w:i w:val="0"/>
                <w:sz w:val="16"/>
              </w:rPr>
              <w:t>Payee / Purpose</w:t>
            </w:r>
          </w:p>
        </w:tc>
        <w:tc>
          <w:tcPr>
            <w:tcW w:type="dxa" w:w="2880"/>
            <w:vAlign w:val="center"/>
            <w:tcMar>
              <w:top w:w="40" w:type="dxa"/>
              <w:bottom w:w="40" w:type="dxa"/>
              <w:start w:w="80" w:type="dxa"/>
              <w:end w:w="80" w:type="dxa"/>
            </w:tcMar>
            <w:shd w:val="clear" w:color="auto" w:fill="DCE6F1"/>
          </w:tcPr>
          <w:p>
            <w:pPr>
              <w:spacing w:before="20" w:after="20"/>
              <w:jc w:val="right"/>
            </w:pPr>
            <w:r/>
            <w:r>
              <w:rPr>
                <w:rFonts w:ascii="Calibri" w:hAnsi="Calibri"/>
                <w:b/>
                <w:i w:val="0"/>
                <w:sz w:val="16"/>
              </w:rPr>
              <w:t>Amount</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Seller — net proceeds (per Seller wire instructions)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$2,864,663.83</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Harborstone FCU — first mortgage payoff (ABA 221174839 / Acct 88-0042-7715)</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$687,412.33</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Harborstone FCU — HELOC payoff (ABA 221174839 / Acct 88-0042-9963)</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$148,219.56</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Northbridge Construction Co. — lien settlement (Stratford Savings Bank)</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$31,000.00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City of Bridgeport — delinquent tax + interest (Coastline Community Bank)</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$28,602.80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Pinnacle Abstract &amp; Title LLC — repair escrow (segregated interest-bearing acct.)</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$45,000.00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Pinnacle Abstract &amp; Title LLC — title premiums &amp; search fees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$13,625.00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City of Bridgeport / Town Clerk — conveyance tax + recording fees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$45,381.00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Tidewater Savings Bank — loan origination, flood cert., tax service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$26,510.00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Ridgeline Law Group PLLC — Buyer's attorney fees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$12,500.00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Ashford, Clement &amp; Paige LLP — Seller's attorney fees</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$11,000.00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Bayshore Management Co. — management termination fee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$4,500.00</w:t>
            </w:r>
          </w:p>
        </w:tc>
      </w:tr>
      <w:tr>
        <w:tc>
          <w:tcPr>
            <w:tcW w:type="dxa" w:w="8928"/>
            <w:vAlign w:val="center"/>
            <w:tcMar>
              <w:top w:w="40" w:type="dxa"/>
              <w:bottom w:w="40" w:type="dxa"/>
              <w:start w:w="80" w:type="dxa"/>
              <w:end w:w="80" w:type="dxa"/>
            </w:tcMar>
          </w:tcPr>
          <w:p>
            <w:pPr>
              <w:spacing w:before="20" w:after="20"/>
              <w:jc w:val="left"/>
            </w:pPr>
            <w:r/>
            <w:r>
              <w:rPr>
                <w:rFonts w:ascii="Calibri" w:hAnsi="Calibri"/>
                <w:b w:val="0"/>
                <w:i w:val="0"/>
                <w:sz w:val="16"/>
              </w:rPr>
              <w:t>Fairfield County Probate Court — Probate Court Certificate</w:t>
            </w:r>
          </w:p>
        </w:tc>
        <w:tc>
          <w:tcPr>
            <w:tcW w:type="dxa" w:w="2880"/>
            <w:vAlign w:val="center"/>
            <w:tcMar>
              <w:top w:w="40" w:type="dxa"/>
              <w:bottom w:w="40" w:type="dxa"/>
              <w:start w:w="80" w:type="dxa"/>
              <w:end w:w="80" w:type="dxa"/>
            </w:tcMar>
          </w:tcPr>
          <w:p>
            <w:pPr>
              <w:spacing w:before="20" w:after="20"/>
              <w:jc w:val="right"/>
            </w:pPr>
            <w:r/>
            <w:r>
              <w:rPr>
                <w:rFonts w:ascii="Calibri" w:hAnsi="Calibri"/>
                <w:b w:val="0"/>
                <w:i w:val="0"/>
                <w:sz w:val="16"/>
              </w:rPr>
              <w:t>$150.00</w:t>
            </w:r>
          </w:p>
        </w:tc>
      </w:tr>
      <w:tr>
        <w:tc>
          <w:tcPr>
            <w:tcW w:type="dxa" w:w="8928"/>
            <w:vAlign w:val="center"/>
            <w:tcMar>
              <w:top w:w="40" w:type="dxa"/>
              <w:bottom w:w="40" w:type="dxa"/>
              <w:start w:w="80" w:type="dxa"/>
              <w:end w:w="80" w:type="dxa"/>
            </w:tcMar>
            <w:shd w:val="clear" w:color="auto" w:fill="F2F5FA"/>
          </w:tcPr>
          <w:p>
            <w:pPr>
              <w:spacing w:before="20" w:after="20"/>
              <w:jc w:val="left"/>
            </w:pPr>
            <w:r/>
            <w:r>
              <w:rPr>
                <w:rFonts w:ascii="Calibri" w:hAnsi="Calibri"/>
                <w:b/>
                <w:i w:val="0"/>
                <w:sz w:val="16"/>
              </w:rPr>
              <w:t>TOTAL DISBURSEMENTS</w:t>
            </w:r>
          </w:p>
        </w:tc>
        <w:tc>
          <w:tcPr>
            <w:tcW w:type="dxa" w:w="2880"/>
            <w:vAlign w:val="center"/>
            <w:tcMar>
              <w:top w:w="40" w:type="dxa"/>
              <w:bottom w:w="40" w:type="dxa"/>
              <w:start w:w="80" w:type="dxa"/>
              <w:end w:w="80" w:type="dxa"/>
            </w:tcMar>
            <w:shd w:val="clear" w:color="auto" w:fill="F2F5FA"/>
          </w:tcPr>
          <w:p>
            <w:pPr>
              <w:spacing w:before="20" w:after="20"/>
              <w:jc w:val="right"/>
            </w:pPr>
            <w:r/>
            <w:r>
              <w:rPr>
                <w:rFonts w:ascii="Calibri" w:hAnsi="Calibri"/>
                <w:b/>
                <w:i w:val="0"/>
                <w:sz w:val="16"/>
              </w:rPr>
              <w:t>$3,918,564.52</w:t>
            </w:r>
          </w:p>
        </w:tc>
      </w:tr>
    </w:tbl>
    <w:p>
      <w:pPr>
        <w:spacing w:before="40" w:after="80"/>
        <w:jc w:val="left"/>
      </w:pPr>
      <w:r>
        <w:rPr>
          <w:rFonts w:ascii="Calibri" w:hAnsi="Calibri"/>
          <w:b w:val="0"/>
          <w:i/>
          <w:color w:val="595959"/>
          <w:sz w:val="16"/>
        </w:rPr>
        <w:t>Total disbursements reconcile to total sources of funds ($3,918,564.52). Wire instructions to be confirmed against each payoff letter and the City payoff statement prior to release. All lien payoffs are good through July 20, 2025; closing must occur on or before that date or payoffs must be updated.</w:t>
      </w:r>
    </w:p>
    <w:p>
      <w:pPr>
        <w:spacing w:before="160" w:after="200"/>
        <w:jc w:val="left"/>
      </w:pPr>
      <w:r>
        <w:rPr>
          <w:rFonts w:ascii="Calibri" w:hAnsi="Calibri"/>
          <w:b/>
          <w:i w:val="0"/>
          <w:sz w:val="18"/>
        </w:rPr>
        <w:t>ACKNOWLEDGED AND AGREED: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904"/>
            <w:vAlign w:val="center"/>
            <w:tcMar>
              <w:top w:w="40" w:type="dxa"/>
              <w:bottom w:w="40" w:type="dxa"/>
              <w:start w:w="80" w:type="dxa"/>
              <w:end w:w="80" w:type="dxa"/>
            </w:tcMar>
          </w:tcPr>
          <w:p>
            <w:pPr>
              <w:spacing w:before="20" w:after="20"/>
              <w:jc w:val="left"/>
            </w:pPr>
            <w:r/>
            <w:r>
              <w:rPr>
                <w:rFonts w:ascii="Calibri" w:hAnsi="Calibri"/>
                <w:b/>
                <w:i w:val="0"/>
                <w:sz w:val="18"/>
              </w:rPr>
              <w:t>SELLER:  Estate of Gerald T. Whitford</w:t>
            </w:r>
          </w:p>
        </w:tc>
        <w:tc>
          <w:tcPr>
            <w:tcW w:type="dxa" w:w="5904"/>
            <w:vAlign w:val="center"/>
            <w:tcMar>
              <w:top w:w="40" w:type="dxa"/>
              <w:bottom w:w="40" w:type="dxa"/>
              <w:start w:w="80" w:type="dxa"/>
              <w:end w:w="80" w:type="dxa"/>
            </w:tcMar>
          </w:tcPr>
          <w:p>
            <w:pPr>
              <w:spacing w:before="20" w:after="20"/>
              <w:jc w:val="left"/>
            </w:pPr>
            <w:r/>
            <w:r>
              <w:rPr>
                <w:rFonts w:ascii="Calibri" w:hAnsi="Calibri"/>
                <w:b/>
                <w:i w:val="0"/>
                <w:sz w:val="18"/>
              </w:rPr>
              <w:t>BUYER:  Meridian Cove Properties LLC</w:t>
            </w:r>
          </w:p>
        </w:tc>
      </w:tr>
      <w:tr>
        <w:tc>
          <w:tcPr>
            <w:tcW w:type="dxa" w:w="5904"/>
            <w:vAlign w:val="center"/>
            <w:tcMar>
              <w:top w:w="40" w:type="dxa"/>
              <w:bottom w:w="40" w:type="dxa"/>
              <w:start w:w="80" w:type="dxa"/>
              <w:end w:w="80" w:type="dxa"/>
            </w:tcMar>
          </w:tcPr>
          <w:p>
            <w:pPr>
              <w:spacing w:before="20" w:after="20"/>
              <w:jc w:val="left"/>
            </w:pPr>
            <w:r/>
            <w:r>
              <w:rPr>
                <w:rFonts w:ascii="Calibri" w:hAnsi="Calibri"/>
                <w:b w:val="0"/>
                <w:i w:val="0"/>
                <w:sz w:val="18"/>
              </w:rPr>
              <w:t>By: ____________________________</w:t>
            </w:r>
          </w:p>
        </w:tc>
        <w:tc>
          <w:tcPr>
            <w:tcW w:type="dxa" w:w="5904"/>
            <w:vAlign w:val="center"/>
            <w:tcMar>
              <w:top w:w="40" w:type="dxa"/>
              <w:bottom w:w="40" w:type="dxa"/>
              <w:start w:w="80" w:type="dxa"/>
              <w:end w:w="80" w:type="dxa"/>
            </w:tcMar>
          </w:tcPr>
          <w:p>
            <w:pPr>
              <w:spacing w:before="20" w:after="20"/>
              <w:jc w:val="left"/>
            </w:pPr>
            <w:r/>
            <w:r>
              <w:rPr>
                <w:rFonts w:ascii="Calibri" w:hAnsi="Calibri"/>
                <w:b w:val="0"/>
                <w:i w:val="0"/>
                <w:sz w:val="18"/>
              </w:rPr>
              <w:t>By: ____________________________</w:t>
            </w:r>
          </w:p>
        </w:tc>
      </w:tr>
      <w:tr>
        <w:tc>
          <w:tcPr>
            <w:tcW w:type="dxa" w:w="5904"/>
            <w:vAlign w:val="center"/>
            <w:tcMar>
              <w:top w:w="40" w:type="dxa"/>
              <w:bottom w:w="40" w:type="dxa"/>
              <w:start w:w="80" w:type="dxa"/>
              <w:end w:w="80" w:type="dxa"/>
            </w:tcMar>
          </w:tcPr>
          <w:p>
            <w:pPr>
              <w:spacing w:before="20" w:after="20"/>
              <w:jc w:val="left"/>
            </w:pPr>
            <w:r/>
            <w:r>
              <w:rPr>
                <w:rFonts w:ascii="Calibri" w:hAnsi="Calibri"/>
                <w:b w:val="0"/>
                <w:i w:val="0"/>
                <w:sz w:val="18"/>
              </w:rPr>
              <w:t>Claudia Whitford-Barnes, Executrix</w:t>
            </w:r>
          </w:p>
        </w:tc>
        <w:tc>
          <w:tcPr>
            <w:tcW w:type="dxa" w:w="5904"/>
            <w:vAlign w:val="center"/>
            <w:tcMar>
              <w:top w:w="40" w:type="dxa"/>
              <w:bottom w:w="40" w:type="dxa"/>
              <w:start w:w="80" w:type="dxa"/>
              <w:end w:w="80" w:type="dxa"/>
            </w:tcMar>
          </w:tcPr>
          <w:p>
            <w:pPr>
              <w:spacing w:before="20" w:after="20"/>
              <w:jc w:val="left"/>
            </w:pPr>
            <w:r/>
            <w:r>
              <w:rPr>
                <w:rFonts w:ascii="Calibri" w:hAnsi="Calibri"/>
                <w:b w:val="0"/>
                <w:i w:val="0"/>
                <w:sz w:val="18"/>
              </w:rPr>
              <w:t>Elaine R. Matsuda, Manager</w:t>
            </w:r>
          </w:p>
        </w:tc>
      </w:tr>
      <w:tr>
        <w:tc>
          <w:tcPr>
            <w:tcW w:type="dxa" w:w="5904"/>
            <w:vAlign w:val="center"/>
            <w:tcMar>
              <w:top w:w="40" w:type="dxa"/>
              <w:bottom w:w="40" w:type="dxa"/>
              <w:start w:w="80" w:type="dxa"/>
              <w:end w:w="80" w:type="dxa"/>
            </w:tcMar>
          </w:tcPr>
          <w:p>
            <w:pPr>
              <w:spacing w:before="20" w:after="20"/>
              <w:jc w:val="left"/>
            </w:pPr>
            <w:r/>
            <w:r>
              <w:rPr>
                <w:rFonts w:ascii="Calibri" w:hAnsi="Calibri"/>
                <w:b w:val="0"/>
                <w:i w:val="0"/>
                <w:sz w:val="18"/>
              </w:rPr>
              <w:t>Date: __________________________</w:t>
            </w:r>
          </w:p>
        </w:tc>
        <w:tc>
          <w:tcPr>
            <w:tcW w:type="dxa" w:w="5904"/>
            <w:vAlign w:val="center"/>
            <w:tcMar>
              <w:top w:w="40" w:type="dxa"/>
              <w:bottom w:w="40" w:type="dxa"/>
              <w:start w:w="80" w:type="dxa"/>
              <w:end w:w="80" w:type="dxa"/>
            </w:tcMar>
          </w:tcPr>
          <w:p>
            <w:pPr>
              <w:spacing w:before="20" w:after="20"/>
              <w:jc w:val="left"/>
            </w:pPr>
            <w:r/>
            <w:r>
              <w:rPr>
                <w:rFonts w:ascii="Calibri" w:hAnsi="Calibri"/>
                <w:b w:val="0"/>
                <w:i w:val="0"/>
                <w:sz w:val="18"/>
              </w:rPr>
              <w:t>Date: __________________________</w:t>
            </w:r>
          </w:p>
        </w:tc>
      </w:tr>
    </w:tbl>
    <w:p>
      <w:pPr>
        <w:spacing w:before="200" w:after="40"/>
        <w:jc w:val="left"/>
      </w:pPr>
      <w:r>
        <w:rPr>
          <w:rFonts w:ascii="Calibri" w:hAnsi="Calibri"/>
          <w:b w:val="0"/>
          <w:i w:val="0"/>
          <w:color w:val="595959"/>
          <w:sz w:val="16"/>
        </w:rPr>
        <w:t>Closing Agent:  Pinnacle Abstract &amp; Title LLC — By: ____________________  Lorraine M. Grasso, Closing Officer     Date: ____________</w:t>
      </w:r>
    </w:p>
    <w:p>
      <w:pPr>
        <w:spacing w:before="160" w:after="40"/>
        <w:jc w:val="left"/>
      </w:pPr>
      <w:r>
        <w:rPr>
          <w:rFonts w:ascii="Calibri" w:hAnsi="Calibri"/>
          <w:b w:val="0"/>
          <w:i/>
          <w:color w:val="595959"/>
          <w:sz w:val="15"/>
        </w:rPr>
        <w:t>Prepared by the Closing Agent for the transaction described above. This settlement statement is subject to final verification and the reconciliation of items flagged in the accompanying Notes Memo. Proration and adjustment obligations survive closing for 90 days per PSA §7.7 and §15.1.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