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settlement-statement-notes-memorandum"/>
    <w:p>
      <w:pPr>
        <w:pStyle w:val="Heading1"/>
      </w:pPr>
      <w:r>
        <w:t xml:space="preserve">SETTLEMENT STATEMENT — NOTES MEMORANDUM</w:t>
      </w:r>
    </w:p>
    <w:bookmarkStart w:id="21" w:name="flagged-discrepancies-and-assumptions"/>
    <w:p>
      <w:pPr>
        <w:pStyle w:val="Heading2"/>
      </w:pPr>
      <w:r>
        <w:t xml:space="preserve">Flagged Discrepancies and Assumptions</w:t>
      </w:r>
    </w:p>
    <w:p>
      <w:pPr>
        <w:pStyle w:val="FirstParagraph"/>
      </w:pPr>
      <w:r>
        <w:rPr>
          <w:b/>
          <w:bCs/>
        </w:rPr>
        <w:t xml:space="preserve">Re:</w:t>
      </w:r>
      <w:r>
        <w:t xml:space="preserve"> </w:t>
      </w:r>
      <w:r>
        <w:t xml:space="preserve">Commercial property closing — 4280 Harborview Boulevard, Bridgeport, CT 06604</w:t>
      </w:r>
      <w:r>
        <w:t xml:space="preserve"> </w:t>
      </w:r>
      <w:r>
        <w:rPr>
          <w:b/>
          <w:bCs/>
        </w:rPr>
        <w:t xml:space="preserve">Closing Date:</w:t>
      </w:r>
      <w:r>
        <w:t xml:space="preserve"> </w:t>
      </w:r>
      <w:r>
        <w:t xml:space="preserve">July 15, 2025</w:t>
      </w:r>
      <w:r>
        <w:t xml:space="preserve"> </w:t>
      </w:r>
      <w:r>
        <w:rPr>
          <w:b/>
          <w:bCs/>
        </w:rPr>
        <w:t xml:space="preserve">Prepared by:</w:t>
      </w:r>
      <w:r>
        <w:t xml:space="preserve"> </w:t>
      </w:r>
      <w:r>
        <w:t xml:space="preserve">Closing Agent (Pinnacle Abstract &amp; Title LLC)</w:t>
      </w:r>
      <w:r>
        <w:t xml:space="preserve"> </w:t>
      </w:r>
      <w:r>
        <w:rPr>
          <w:b/>
          <w:bCs/>
        </w:rPr>
        <w:t xml:space="preserve">Date of Memo:</w:t>
      </w:r>
      <w:r>
        <w:t xml:space="preserve"> </w:t>
      </w:r>
      <w:r>
        <w:t xml:space="preserve">July 14, 2025</w:t>
      </w:r>
      <w:r>
        <w:t xml:space="preserve"> </w:t>
      </w:r>
      <w:r>
        <w:rPr>
          <w:b/>
          <w:bCs/>
        </w:rPr>
        <w:t xml:space="preserve">Companion document:</w:t>
      </w:r>
      <w:r>
        <w:t xml:space="preserve"> </w:t>
      </w:r>
      <w:r>
        <w:t xml:space="preserve">Settlement Statement (settlement-statement.docx)</w:t>
      </w:r>
    </w:p>
    <w:p>
      <w:r>
        <w:pict>
          <v:rect style="width:0;height:1.5pt" o:hralign="center" o:hrstd="t" o:hr="t"/>
        </w:pict>
      </w:r>
    </w:p>
    <w:bookmarkStart w:id="20" w:name="purpose"/>
    <w:p>
      <w:pPr>
        <w:pStyle w:val="Heading3"/>
      </w:pPr>
      <w:r>
        <w:t xml:space="preserve">PURPOSE</w:t>
      </w:r>
    </w:p>
    <w:p>
      <w:pPr>
        <w:pStyle w:val="FirstParagraph"/>
      </w:pPr>
      <w:r>
        <w:t xml:space="preserve">This memorandum accompanies the settlement statement prepared for the above-referenced closing. It identifies (A) discrepancies among the closing documents that the parties and closing agent should reconcile before or at the closing table, and (B) assumptions made in preparing the settlement statement where the controlling documents are silent, ambiguous, or internally inconsistent. Each item is keyed to the source document(s) and, where applicable, to the affected line on the settlement statement.</w:t>
      </w:r>
    </w:p>
    <w:p>
      <w:pPr>
        <w:pStyle w:val="BodyText"/>
      </w:pPr>
      <w:r>
        <w:t xml:space="preserve">The settlement statement reconciles in full (total funds available = total disbursements = $3,920,412.12; Buyer cash to close = $1,085,412.12; Seller net proceeds = $2,864,663.83). The items below do not prevent closing but should be confirmed, corrected, or carried as post-closing adjustments as noted.</w:t>
      </w:r>
    </w:p>
    <w:p>
      <w:r>
        <w:pict>
          <v:rect style="width:0;height:1.5pt" o:hralign="center" o:hrstd="t" o:hr="t"/>
        </w:pict>
      </w:r>
    </w:p>
    <w:bookmarkEnd w:id="20"/>
    <w:bookmarkEnd w:id="21"/>
    <w:bookmarkStart w:id="38" w:name="a.-flagged-discrepancies"/>
    <w:p>
      <w:pPr>
        <w:pStyle w:val="Heading2"/>
      </w:pPr>
      <w:r>
        <w:t xml:space="preserve">A. FLAGGED DISCREPANCIES</w:t>
      </w:r>
    </w:p>
    <w:bookmarkStart w:id="22" w:name="a-1.-title-commitment-number"/>
    <w:p>
      <w:pPr>
        <w:pStyle w:val="Heading3"/>
      </w:pPr>
      <w:r>
        <w:t xml:space="preserve">A-1. Title Commitment Number</w:t>
      </w:r>
    </w:p>
    <w:p>
      <w:pPr>
        <w:pStyle w:val="Compact"/>
        <w:numPr>
          <w:ilvl w:val="0"/>
          <w:numId w:val="1001"/>
        </w:numPr>
      </w:pPr>
      <w:r>
        <w:rPr>
          <w:b/>
          <w:bCs/>
        </w:rPr>
        <w:t xml:space="preserve">PSA §5.1</w:t>
      </w:r>
      <w:r>
        <w:t xml:space="preserve"> </w:t>
      </w:r>
      <w:r>
        <w:t xml:space="preserve">cites Commitment No. </w:t>
      </w:r>
      <w:r>
        <w:rPr>
          <w:b/>
          <w:bCs/>
        </w:rPr>
        <w:t xml:space="preserve">PCT-2025-08814</w:t>
      </w:r>
      <w:r>
        <w:t xml:space="preserve">.</w:t>
      </w:r>
    </w:p>
    <w:p>
      <w:pPr>
        <w:pStyle w:val="Compact"/>
        <w:numPr>
          <w:ilvl w:val="0"/>
          <w:numId w:val="1001"/>
        </w:numPr>
      </w:pPr>
      <w:r>
        <w:rPr>
          <w:b/>
          <w:bCs/>
        </w:rPr>
        <w:t xml:space="preserve">Title Commitment document</w:t>
      </w:r>
      <w:r>
        <w:t xml:space="preserve"> </w:t>
      </w:r>
      <w:r>
        <w:t xml:space="preserve">bears Commitment No. </w:t>
      </w:r>
      <w:r>
        <w:rPr>
          <w:b/>
          <w:bCs/>
        </w:rPr>
        <w:t xml:space="preserve">TC-2025-07182</w:t>
      </w:r>
      <w:r>
        <w:t xml:space="preserve"> </w:t>
      </w:r>
      <w:r>
        <w:t xml:space="preserve">(effective June 18, 2025).</w:t>
      </w:r>
    </w:p>
    <w:p>
      <w:pPr>
        <w:pStyle w:val="Compact"/>
        <w:numPr>
          <w:ilvl w:val="0"/>
          <w:numId w:val="1001"/>
        </w:numPr>
      </w:pPr>
      <w:r>
        <w:rPr>
          <w:b/>
          <w:bCs/>
        </w:rPr>
        <w:t xml:space="preserve">Impact:</w:t>
      </w:r>
      <w:r>
        <w:t xml:space="preserve"> </w:t>
      </w:r>
      <w:r>
        <w:t xml:space="preserve">None on dollar amounts. The closing file should confirm which commitment number governs and correct the cross-reference in the PSA or title file. The settlement statement references the title commitment generically to avoid embedding an incorrect number.</w:t>
      </w:r>
    </w:p>
    <w:bookmarkEnd w:id="22"/>
    <w:bookmarkStart w:id="23" w:name="a-2.-title-insurance-underwriter-name"/>
    <w:p>
      <w:pPr>
        <w:pStyle w:val="Heading3"/>
      </w:pPr>
      <w:r>
        <w:t xml:space="preserve">A-2. Title Insurance Underwriter Name</w:t>
      </w:r>
    </w:p>
    <w:p>
      <w:pPr>
        <w:pStyle w:val="Compact"/>
        <w:numPr>
          <w:ilvl w:val="0"/>
          <w:numId w:val="1002"/>
        </w:numPr>
      </w:pPr>
      <w:r>
        <w:t xml:space="preserve">The</w:t>
      </w:r>
      <w:r>
        <w:t xml:space="preserve"> </w:t>
      </w:r>
      <w:r>
        <w:rPr>
          <w:b/>
          <w:bCs/>
        </w:rPr>
        <w:t xml:space="preserve">Title Commitment header and countersignature</w:t>
      </w:r>
      <w:r>
        <w:t xml:space="preserve"> </w:t>
      </w:r>
      <w:r>
        <w:t xml:space="preserve">name</w:t>
      </w:r>
      <w:r>
        <w:t xml:space="preserve"> </w:t>
      </w:r>
      <w:r>
        <w:rPr>
          <w:b/>
          <w:bCs/>
        </w:rPr>
        <w:t xml:space="preserve">Continental Fidelity Title Insurance Company</w:t>
      </w:r>
      <w:r>
        <w:t xml:space="preserve">.</w:t>
      </w:r>
    </w:p>
    <w:p>
      <w:pPr>
        <w:pStyle w:val="Compact"/>
        <w:numPr>
          <w:ilvl w:val="0"/>
          <w:numId w:val="1002"/>
        </w:numPr>
      </w:pPr>
      <w:r>
        <w:t xml:space="preserve">The</w:t>
      </w:r>
      <w:r>
        <w:t xml:space="preserve"> </w:t>
      </w:r>
      <w:r>
        <w:rPr>
          <w:b/>
          <w:bCs/>
        </w:rPr>
        <w:t xml:space="preserve">Title Commitment body text</w:t>
      </w:r>
      <w:r>
        <w:t xml:space="preserve"> </w:t>
      </w:r>
      <w:r>
        <w:t xml:space="preserve">(Conditions and Stipulations) refers to</w:t>
      </w:r>
      <w:r>
        <w:t xml:space="preserve"> </w:t>
      </w:r>
      <w:r>
        <w:rPr>
          <w:b/>
          <w:bCs/>
        </w:rPr>
        <w:t xml:space="preserve">Continental Hartleigh Title Insurance Company</w:t>
      </w:r>
      <w:r>
        <w:t xml:space="preserve">.</w:t>
      </w:r>
    </w:p>
    <w:p>
      <w:pPr>
        <w:pStyle w:val="Compact"/>
        <w:numPr>
          <w:ilvl w:val="0"/>
          <w:numId w:val="1002"/>
        </w:numPr>
      </w:pPr>
      <w:r>
        <w:rPr>
          <w:b/>
          <w:bCs/>
        </w:rPr>
        <w:t xml:space="preserve">Impact:</w:t>
      </w:r>
      <w:r>
        <w:t xml:space="preserve"> </w:t>
      </w:r>
      <w:r>
        <w:t xml:space="preserve">None on the premium amounts ($8,275.00 owner / $3,850.00 lender). The underwriter’s correct legal name should be confirmed so that the issued policies name the correct insurer. This is an internal inconsistency within the title commitment itself.</w:t>
      </w:r>
    </w:p>
    <w:bookmarkEnd w:id="23"/>
    <w:bookmarkStart w:id="24" w:name="a-3.-mechanics-lien-recording-reference"/>
    <w:p>
      <w:pPr>
        <w:pStyle w:val="Heading3"/>
      </w:pPr>
      <w:r>
        <w:t xml:space="preserve">A-3. Mechanic’s Lien Recording Reference</w:t>
      </w:r>
    </w:p>
    <w:p>
      <w:pPr>
        <w:pStyle w:val="Compact"/>
        <w:numPr>
          <w:ilvl w:val="0"/>
          <w:numId w:val="1003"/>
        </w:numPr>
      </w:pPr>
      <w:r>
        <w:rPr>
          <w:b/>
          <w:bCs/>
        </w:rPr>
        <w:t xml:space="preserve">Title Commitment, Requirement 6</w:t>
      </w:r>
      <w:r>
        <w:t xml:space="preserve"> </w:t>
      </w:r>
      <w:r>
        <w:t xml:space="preserve">cites the Northbridge mechanic’s lien at</w:t>
      </w:r>
      <w:r>
        <w:t xml:space="preserve"> </w:t>
      </w:r>
      <w:r>
        <w:rPr>
          <w:b/>
          <w:bCs/>
        </w:rPr>
        <w:t xml:space="preserve">Volume 1398, Page 77</w:t>
      </w:r>
      <w:r>
        <w:t xml:space="preserve">.</w:t>
      </w:r>
    </w:p>
    <w:p>
      <w:pPr>
        <w:pStyle w:val="Compact"/>
        <w:numPr>
          <w:ilvl w:val="0"/>
          <w:numId w:val="1003"/>
        </w:numPr>
      </w:pPr>
      <w:r>
        <w:rPr>
          <w:b/>
          <w:bCs/>
        </w:rPr>
        <w:t xml:space="preserve">Northbridge payoff letter (Letter 3)</w:t>
      </w:r>
      <w:r>
        <w:t xml:space="preserve"> </w:t>
      </w:r>
      <w:r>
        <w:t xml:space="preserve">cites</w:t>
      </w:r>
      <w:r>
        <w:t xml:space="preserve"> </w:t>
      </w:r>
      <w:r>
        <w:rPr>
          <w:b/>
          <w:bCs/>
        </w:rPr>
        <w:t xml:space="preserve">Volume 1064, Page 517</w:t>
      </w:r>
      <w:r>
        <w:t xml:space="preserve">.</w:t>
      </w:r>
    </w:p>
    <w:p>
      <w:pPr>
        <w:pStyle w:val="Compact"/>
        <w:numPr>
          <w:ilvl w:val="0"/>
          <w:numId w:val="1003"/>
        </w:numPr>
      </w:pPr>
      <w:r>
        <w:rPr>
          <w:b/>
          <w:bCs/>
        </w:rPr>
        <w:t xml:space="preserve">Impact:</w:t>
      </w:r>
      <w:r>
        <w:t xml:space="preserve"> </w:t>
      </w:r>
      <w:r>
        <w:t xml:space="preserve">None on the $31,000.00 settlement amount. The correct recording reference must be confirmed so that the recorded release discharges the correct lien. A mismatch could leave a lien of record unsatisfied.</w:t>
      </w:r>
    </w:p>
    <w:bookmarkEnd w:id="24"/>
    <w:bookmarkStart w:id="25" w:name="a-4.-first-mortgage-recording-reference"/>
    <w:p>
      <w:pPr>
        <w:pStyle w:val="Heading3"/>
      </w:pPr>
      <w:r>
        <w:t xml:space="preserve">A-4. First Mortgage Recording Reference</w:t>
      </w:r>
    </w:p>
    <w:p>
      <w:pPr>
        <w:pStyle w:val="Compact"/>
        <w:numPr>
          <w:ilvl w:val="0"/>
          <w:numId w:val="1004"/>
        </w:numPr>
      </w:pPr>
      <w:r>
        <w:rPr>
          <w:b/>
          <w:bCs/>
        </w:rPr>
        <w:t xml:space="preserve">Title Commitment, Requirement 4</w:t>
      </w:r>
      <w:r>
        <w:t xml:space="preserve"> </w:t>
      </w:r>
      <w:r>
        <w:t xml:space="preserve">cites the Harborstone first mortgage at</w:t>
      </w:r>
      <w:r>
        <w:t xml:space="preserve"> </w:t>
      </w:r>
      <w:r>
        <w:rPr>
          <w:b/>
          <w:bCs/>
        </w:rPr>
        <w:t xml:space="preserve">Volume 1087, Page 445</w:t>
      </w:r>
      <w:r>
        <w:t xml:space="preserve">.</w:t>
      </w:r>
    </w:p>
    <w:p>
      <w:pPr>
        <w:pStyle w:val="Compact"/>
        <w:numPr>
          <w:ilvl w:val="0"/>
          <w:numId w:val="1004"/>
        </w:numPr>
      </w:pPr>
      <w:r>
        <w:rPr>
          <w:b/>
          <w:bCs/>
        </w:rPr>
        <w:t xml:space="preserve">Harborstone first mortgage payoff letter (Letter 1)</w:t>
      </w:r>
      <w:r>
        <w:t xml:space="preserve"> </w:t>
      </w:r>
      <w:r>
        <w:t xml:space="preserve">cites</w:t>
      </w:r>
      <w:r>
        <w:t xml:space="preserve"> </w:t>
      </w:r>
      <w:r>
        <w:rPr>
          <w:b/>
          <w:bCs/>
        </w:rPr>
        <w:t xml:space="preserve">Volume 312, Page 88</w:t>
      </w:r>
      <w:r>
        <w:t xml:space="preserve"> </w:t>
      </w:r>
      <w:r>
        <w:t xml:space="preserve">— which is in fact the recording reference for the</w:t>
      </w:r>
      <w:r>
        <w:t xml:space="preserve"> </w:t>
      </w:r>
      <w:r>
        <w:rPr>
          <w:b/>
          <w:bCs/>
        </w:rPr>
        <w:t xml:space="preserve">property plat/deed</w:t>
      </w:r>
      <w:r>
        <w:t xml:space="preserve">, not the mortgage.</w:t>
      </w:r>
    </w:p>
    <w:p>
      <w:pPr>
        <w:pStyle w:val="Compact"/>
        <w:numPr>
          <w:ilvl w:val="0"/>
          <w:numId w:val="1004"/>
        </w:numPr>
      </w:pPr>
      <w:r>
        <w:rPr>
          <w:b/>
          <w:bCs/>
        </w:rPr>
        <w:t xml:space="preserve">Impact:</w:t>
      </w:r>
      <w:r>
        <w:t xml:space="preserve"> </w:t>
      </w:r>
      <w:r>
        <w:t xml:space="preserve">None on the $687,412.33 payoff. The payoff letter’s recording reference appears erroneous. The title commitment’s reference (Vol. 1087, Pg. 445) should control for recording the release; counsel should verify.</w:t>
      </w:r>
    </w:p>
    <w:bookmarkEnd w:id="25"/>
    <w:bookmarkStart w:id="26" w:name="a-5.-heloc-recording-reference"/>
    <w:p>
      <w:pPr>
        <w:pStyle w:val="Heading3"/>
      </w:pPr>
      <w:r>
        <w:t xml:space="preserve">A-5. HELOC Recording Reference</w:t>
      </w:r>
    </w:p>
    <w:p>
      <w:pPr>
        <w:pStyle w:val="Compact"/>
        <w:numPr>
          <w:ilvl w:val="0"/>
          <w:numId w:val="1005"/>
        </w:numPr>
      </w:pPr>
      <w:r>
        <w:rPr>
          <w:b/>
          <w:bCs/>
        </w:rPr>
        <w:t xml:space="preserve">Title Commitment, Requirement 5</w:t>
      </w:r>
      <w:r>
        <w:t xml:space="preserve"> </w:t>
      </w:r>
      <w:r>
        <w:t xml:space="preserve">cites the Harborstone HELOC at</w:t>
      </w:r>
      <w:r>
        <w:t xml:space="preserve"> </w:t>
      </w:r>
      <w:r>
        <w:rPr>
          <w:b/>
          <w:bCs/>
        </w:rPr>
        <w:t xml:space="preserve">Volume 1204, Page 218</w:t>
      </w:r>
      <w:r>
        <w:t xml:space="preserve">.</w:t>
      </w:r>
    </w:p>
    <w:p>
      <w:pPr>
        <w:pStyle w:val="Compact"/>
        <w:numPr>
          <w:ilvl w:val="0"/>
          <w:numId w:val="1005"/>
        </w:numPr>
      </w:pPr>
      <w:r>
        <w:rPr>
          <w:b/>
          <w:bCs/>
        </w:rPr>
        <w:t xml:space="preserve">Harborstone HELOC payoff letter (Letter 2)</w:t>
      </w:r>
      <w:r>
        <w:t xml:space="preserve"> </w:t>
      </w:r>
      <w:r>
        <w:t xml:space="preserve">cites</w:t>
      </w:r>
      <w:r>
        <w:t xml:space="preserve"> </w:t>
      </w:r>
      <w:r>
        <w:rPr>
          <w:b/>
          <w:bCs/>
        </w:rPr>
        <w:t xml:space="preserve">Volume 487, Page 112</w:t>
      </w:r>
      <w:r>
        <w:t xml:space="preserve">.</w:t>
      </w:r>
    </w:p>
    <w:p>
      <w:pPr>
        <w:pStyle w:val="Compact"/>
        <w:numPr>
          <w:ilvl w:val="0"/>
          <w:numId w:val="1005"/>
        </w:numPr>
      </w:pPr>
      <w:r>
        <w:rPr>
          <w:b/>
          <w:bCs/>
        </w:rPr>
        <w:t xml:space="preserve">Impact:</w:t>
      </w:r>
      <w:r>
        <w:t xml:space="preserve"> </w:t>
      </w:r>
      <w:r>
        <w:t xml:space="preserve">None on the $148,219.56 payoff. Same concern as A-3/A-4: the correct recording reference must be confirmed to ensure the release discharges the correct instrument.</w:t>
      </w:r>
    </w:p>
    <w:bookmarkEnd w:id="26"/>
    <w:bookmarkStart w:id="27" w:name="a-6.-closing-agent-address"/>
    <w:p>
      <w:pPr>
        <w:pStyle w:val="Heading3"/>
      </w:pPr>
      <w:r>
        <w:t xml:space="preserve">A-6. Closing Agent Address</w:t>
      </w:r>
    </w:p>
    <w:p>
      <w:pPr>
        <w:pStyle w:val="Compact"/>
        <w:numPr>
          <w:ilvl w:val="0"/>
          <w:numId w:val="1006"/>
        </w:numPr>
      </w:pPr>
      <w:r>
        <w:rPr>
          <w:b/>
          <w:bCs/>
        </w:rPr>
        <w:t xml:space="preserve">PSA and Title Commitment</w:t>
      </w:r>
      <w:r>
        <w:t xml:space="preserve"> </w:t>
      </w:r>
      <w:r>
        <w:t xml:space="preserve">list Pinnacle Abstract &amp; Title LLC at</w:t>
      </w:r>
      <w:r>
        <w:t xml:space="preserve"> </w:t>
      </w:r>
      <w:r>
        <w:rPr>
          <w:b/>
          <w:bCs/>
        </w:rPr>
        <w:t xml:space="preserve">88 Field Point Road, Greenwich, CT 06830</w:t>
      </w:r>
      <w:r>
        <w:t xml:space="preserve">.</w:t>
      </w:r>
    </w:p>
    <w:p>
      <w:pPr>
        <w:pStyle w:val="Compact"/>
        <w:numPr>
          <w:ilvl w:val="0"/>
          <w:numId w:val="1006"/>
        </w:numPr>
      </w:pPr>
      <w:r>
        <w:rPr>
          <w:b/>
          <w:bCs/>
        </w:rPr>
        <w:t xml:space="preserve">Lien payoff letter cover sheet</w:t>
      </w:r>
      <w:r>
        <w:t xml:space="preserve"> </w:t>
      </w:r>
      <w:r>
        <w:t xml:space="preserve">lists</w:t>
      </w:r>
      <w:r>
        <w:t xml:space="preserve"> </w:t>
      </w:r>
      <w:r>
        <w:rPr>
          <w:b/>
          <w:bCs/>
        </w:rPr>
        <w:t xml:space="preserve">3100 Main Street, Suite 204, Bridgeport, CT 06604</w:t>
      </w:r>
      <w:r>
        <w:t xml:space="preserve">.</w:t>
      </w:r>
    </w:p>
    <w:p>
      <w:pPr>
        <w:pStyle w:val="Compact"/>
        <w:numPr>
          <w:ilvl w:val="0"/>
          <w:numId w:val="1006"/>
        </w:numPr>
      </w:pPr>
      <w:r>
        <w:rPr>
          <w:b/>
          <w:bCs/>
        </w:rPr>
        <w:t xml:space="preserve">Tax lien statement</w:t>
      </w:r>
      <w:r>
        <w:t xml:space="preserve"> </w:t>
      </w:r>
      <w:r>
        <w:t xml:space="preserve">(</w:t>
      </w:r>
      <w:r>
        <w:t xml:space="preserve">“</w:t>
      </w:r>
      <w:r>
        <w:t xml:space="preserve">Requested by</w:t>
      </w:r>
      <w:r>
        <w:t xml:space="preserve">”</w:t>
      </w:r>
      <w:r>
        <w:t xml:space="preserve">) lists</w:t>
      </w:r>
      <w:r>
        <w:t xml:space="preserve"> </w:t>
      </w:r>
      <w:r>
        <w:rPr>
          <w:b/>
          <w:bCs/>
        </w:rPr>
        <w:t xml:space="preserve">1200 Post Road East, Suite 214, Westport, CT 06880</w:t>
      </w:r>
      <w:r>
        <w:t xml:space="preserve">.</w:t>
      </w:r>
    </w:p>
    <w:p>
      <w:pPr>
        <w:pStyle w:val="Compact"/>
        <w:numPr>
          <w:ilvl w:val="0"/>
          <w:numId w:val="1006"/>
        </w:numPr>
      </w:pPr>
      <w:r>
        <w:rPr>
          <w:b/>
          <w:bCs/>
        </w:rPr>
        <w:t xml:space="preserve">Impact:</w:t>
      </w:r>
      <w:r>
        <w:t xml:space="preserve"> </w:t>
      </w:r>
      <w:r>
        <w:t xml:space="preserve">None on dollar amounts, but wire instructions and document delivery must be directed to the correct office. The parties should confirm the correct physical/mailing address and wire instructions for the closing agent before transmitting funds.</w:t>
      </w:r>
    </w:p>
    <w:bookmarkEnd w:id="27"/>
    <w:bookmarkStart w:id="28" w:name="a-7.-buyers-counsel-address"/>
    <w:p>
      <w:pPr>
        <w:pStyle w:val="Heading3"/>
      </w:pPr>
      <w:r>
        <w:t xml:space="preserve">A-7. Buyer’s Counsel Address</w:t>
      </w:r>
    </w:p>
    <w:p>
      <w:pPr>
        <w:pStyle w:val="Compact"/>
        <w:numPr>
          <w:ilvl w:val="0"/>
          <w:numId w:val="1007"/>
        </w:numPr>
      </w:pPr>
      <w:r>
        <w:rPr>
          <w:b/>
          <w:bCs/>
        </w:rPr>
        <w:t xml:space="preserve">PSA and Title Commitment (Note 5)</w:t>
      </w:r>
      <w:r>
        <w:t xml:space="preserve"> </w:t>
      </w:r>
      <w:r>
        <w:t xml:space="preserve">list Ridgeline Law Group PLLC at</w:t>
      </w:r>
      <w:r>
        <w:t xml:space="preserve"> </w:t>
      </w:r>
      <w:r>
        <w:rPr>
          <w:b/>
          <w:bCs/>
        </w:rPr>
        <w:t xml:space="preserve">915 Chapel Street, Suite 400, New Haven, CT 06510</w:t>
      </w:r>
      <w:r>
        <w:t xml:space="preserve">.</w:t>
      </w:r>
    </w:p>
    <w:p>
      <w:pPr>
        <w:pStyle w:val="Compact"/>
        <w:numPr>
          <w:ilvl w:val="0"/>
          <w:numId w:val="1007"/>
        </w:numPr>
      </w:pPr>
      <w:r>
        <w:rPr>
          <w:b/>
          <w:bCs/>
        </w:rPr>
        <w:t xml:space="preserve">Lien payoff letter cover sheet</w:t>
      </w:r>
      <w:r>
        <w:t xml:space="preserve"> </w:t>
      </w:r>
      <w:r>
        <w:t xml:space="preserve">lists</w:t>
      </w:r>
      <w:r>
        <w:t xml:space="preserve"> </w:t>
      </w:r>
      <w:r>
        <w:rPr>
          <w:b/>
          <w:bCs/>
        </w:rPr>
        <w:t xml:space="preserve">55 Railroad Avenue, Suite 300, Greenwich, CT 06830</w:t>
      </w:r>
      <w:r>
        <w:t xml:space="preserve">.</w:t>
      </w:r>
    </w:p>
    <w:p>
      <w:pPr>
        <w:pStyle w:val="Compact"/>
        <w:numPr>
          <w:ilvl w:val="0"/>
          <w:numId w:val="1007"/>
        </w:numPr>
      </w:pPr>
      <w:r>
        <w:rPr>
          <w:b/>
          <w:bCs/>
        </w:rPr>
        <w:t xml:space="preserve">Impact:</w:t>
      </w:r>
      <w:r>
        <w:t xml:space="preserve"> </w:t>
      </w:r>
      <w:r>
        <w:t xml:space="preserve">None on dollar amounts. Confirm the correct address for delivery of closing documents and the Buyer’s settlement statement.</w:t>
      </w:r>
    </w:p>
    <w:bookmarkEnd w:id="28"/>
    <w:bookmarkStart w:id="29" w:name="a-8.-sellers-counsel-telephone-number"/>
    <w:p>
      <w:pPr>
        <w:pStyle w:val="Heading3"/>
      </w:pPr>
      <w:r>
        <w:t xml:space="preserve">A-8. Seller’s Counsel Telephone Number</w:t>
      </w:r>
    </w:p>
    <w:p>
      <w:pPr>
        <w:pStyle w:val="Compact"/>
        <w:numPr>
          <w:ilvl w:val="0"/>
          <w:numId w:val="1008"/>
        </w:numPr>
      </w:pPr>
      <w:r>
        <w:rPr>
          <w:b/>
          <w:bCs/>
        </w:rPr>
        <w:t xml:space="preserve">Title Commitment (Note 6):</w:t>
      </w:r>
      <w:r>
        <w:t xml:space="preserve"> </w:t>
      </w:r>
      <w:r>
        <w:t xml:space="preserve">(203) 325-6600.</w:t>
      </w:r>
    </w:p>
    <w:p>
      <w:pPr>
        <w:pStyle w:val="Compact"/>
        <w:numPr>
          <w:ilvl w:val="0"/>
          <w:numId w:val="1008"/>
        </w:numPr>
      </w:pPr>
      <w:r>
        <w:rPr>
          <w:b/>
          <w:bCs/>
        </w:rPr>
        <w:t xml:space="preserve">Lien payoff letters:</w:t>
      </w:r>
      <w:r>
        <w:t xml:space="preserve"> </w:t>
      </w:r>
      <w:r>
        <w:t xml:space="preserve">(203) 547-8100.</w:t>
      </w:r>
    </w:p>
    <w:p>
      <w:pPr>
        <w:pStyle w:val="Compact"/>
        <w:numPr>
          <w:ilvl w:val="0"/>
          <w:numId w:val="1008"/>
        </w:numPr>
      </w:pPr>
      <w:r>
        <w:rPr>
          <w:b/>
          <w:bCs/>
        </w:rPr>
        <w:t xml:space="preserve">Probate fiduciary certificate (Estate Summary):</w:t>
      </w:r>
      <w:r>
        <w:t xml:space="preserve"> </w:t>
      </w:r>
      <w:r>
        <w:t xml:space="preserve">(203) 555-4100.</w:t>
      </w:r>
    </w:p>
    <w:p>
      <w:pPr>
        <w:pStyle w:val="Compact"/>
        <w:numPr>
          <w:ilvl w:val="0"/>
          <w:numId w:val="1008"/>
        </w:numPr>
      </w:pPr>
      <w:r>
        <w:rPr>
          <w:b/>
          <w:bCs/>
        </w:rPr>
        <w:t xml:space="preserve">Impact:</w:t>
      </w:r>
      <w:r>
        <w:t xml:space="preserve"> </w:t>
      </w:r>
      <w:r>
        <w:t xml:space="preserve">None on dollar amounts. Three different telephone numbers appear for Ashford, Clement &amp; Paige LLP. Confirm the correct contact for closing coordination.</w:t>
      </w:r>
    </w:p>
    <w:bookmarkEnd w:id="29"/>
    <w:bookmarkStart w:id="30" w:name="a-9.-water-sewer-account-number"/>
    <w:p>
      <w:pPr>
        <w:pStyle w:val="Heading3"/>
      </w:pPr>
      <w:r>
        <w:t xml:space="preserve">A-9. Water &amp; Sewer Account Number</w:t>
      </w:r>
    </w:p>
    <w:p>
      <w:pPr>
        <w:pStyle w:val="Compact"/>
        <w:numPr>
          <w:ilvl w:val="0"/>
          <w:numId w:val="1009"/>
        </w:numPr>
      </w:pPr>
      <w:r>
        <w:rPr>
          <w:b/>
          <w:bCs/>
        </w:rPr>
        <w:t xml:space="preserve">Tax lien statement</w:t>
      </w:r>
      <w:r>
        <w:t xml:space="preserve"> </w:t>
      </w:r>
      <w:r>
        <w:t xml:space="preserve">cites WPCA account</w:t>
      </w:r>
      <w:r>
        <w:t xml:space="preserve"> </w:t>
      </w:r>
      <w:r>
        <w:rPr>
          <w:b/>
          <w:bCs/>
        </w:rPr>
        <w:t xml:space="preserve">WS-0042800-HBV</w:t>
      </w:r>
      <w:r>
        <w:t xml:space="preserve">.</w:t>
      </w:r>
    </w:p>
    <w:p>
      <w:pPr>
        <w:pStyle w:val="Compact"/>
        <w:numPr>
          <w:ilvl w:val="0"/>
          <w:numId w:val="1009"/>
        </w:numPr>
      </w:pPr>
      <w:r>
        <w:rPr>
          <w:b/>
          <w:bCs/>
        </w:rPr>
        <w:t xml:space="preserve">Utility account statement</w:t>
      </w:r>
      <w:r>
        <w:t xml:space="preserve"> </w:t>
      </w:r>
      <w:r>
        <w:t xml:space="preserve">cites account</w:t>
      </w:r>
      <w:r>
        <w:t xml:space="preserve"> </w:t>
      </w:r>
      <w:r>
        <w:rPr>
          <w:b/>
          <w:bCs/>
        </w:rPr>
        <w:t xml:space="preserve">WS-2025-048173</w:t>
      </w:r>
      <w:r>
        <w:t xml:space="preserve">.</w:t>
      </w:r>
    </w:p>
    <w:p>
      <w:pPr>
        <w:pStyle w:val="Compact"/>
        <w:numPr>
          <w:ilvl w:val="0"/>
          <w:numId w:val="1009"/>
        </w:numPr>
      </w:pPr>
      <w:r>
        <w:rPr>
          <w:b/>
          <w:bCs/>
        </w:rPr>
        <w:t xml:space="preserve">Impact:</w:t>
      </w:r>
      <w:r>
        <w:t xml:space="preserve"> </w:t>
      </w:r>
      <w:r>
        <w:t xml:space="preserve">None — both documents show the same $1,847.60 balance for the same billing period (May 15 – July 14, 2025). Confirm the correct account number for the payoff and for closing the Seller’s account / opening the Buyer’s account.</w:t>
      </w:r>
    </w:p>
    <w:bookmarkEnd w:id="30"/>
    <w:bookmarkStart w:id="31" w:name="a-10.-commercial-lease-remaining-term"/>
    <w:p>
      <w:pPr>
        <w:pStyle w:val="Heading3"/>
      </w:pPr>
      <w:r>
        <w:t xml:space="preserve">A-10. Commercial Lease Remaining Term</w:t>
      </w:r>
    </w:p>
    <w:p>
      <w:pPr>
        <w:pStyle w:val="Compact"/>
        <w:numPr>
          <w:ilvl w:val="0"/>
          <w:numId w:val="1010"/>
        </w:numPr>
      </w:pPr>
      <w:r>
        <w:rPr>
          <w:b/>
          <w:bCs/>
        </w:rPr>
        <w:t xml:space="preserve">PSA Exhibit C</w:t>
      </w:r>
      <w:r>
        <w:t xml:space="preserve"> </w:t>
      </w:r>
      <w:r>
        <w:t xml:space="preserve">states approximately</w:t>
      </w:r>
      <w:r>
        <w:t xml:space="preserve"> </w:t>
      </w:r>
      <w:r>
        <w:rPr>
          <w:b/>
          <w:bCs/>
        </w:rPr>
        <w:t xml:space="preserve">5 years, 5 months, 16 days</w:t>
      </w:r>
      <w:r>
        <w:t xml:space="preserve"> </w:t>
      </w:r>
      <w:r>
        <w:t xml:space="preserve">remaining as of closing (consistent with July 15, 2025 → December 31, 2030).</w:t>
      </w:r>
    </w:p>
    <w:p>
      <w:pPr>
        <w:pStyle w:val="Compact"/>
        <w:numPr>
          <w:ilvl w:val="0"/>
          <w:numId w:val="1010"/>
        </w:numPr>
      </w:pPr>
      <w:r>
        <w:rPr>
          <w:b/>
          <w:bCs/>
        </w:rPr>
        <w:t xml:space="preserve">Lender Commitment (§5(7))</w:t>
      </w:r>
      <w:r>
        <w:t xml:space="preserve"> </w:t>
      </w:r>
      <w:r>
        <w:t xml:space="preserve">and</w:t>
      </w:r>
      <w:r>
        <w:t xml:space="preserve"> </w:t>
      </w:r>
      <w:r>
        <w:rPr>
          <w:b/>
          <w:bCs/>
        </w:rPr>
        <w:t xml:space="preserve">Rent Roll</w:t>
      </w:r>
      <w:r>
        <w:t xml:space="preserve"> </w:t>
      </w:r>
      <w:r>
        <w:t xml:space="preserve">state approximately</w:t>
      </w:r>
      <w:r>
        <w:t xml:space="preserve"> </w:t>
      </w:r>
      <w:r>
        <w:rPr>
          <w:b/>
          <w:bCs/>
        </w:rPr>
        <w:t xml:space="preserve">4.5 years</w:t>
      </w:r>
      <w:r>
        <w:t xml:space="preserve"> </w:t>
      </w:r>
      <w:r>
        <w:t xml:space="preserve">remaining.</w:t>
      </w:r>
    </w:p>
    <w:p>
      <w:pPr>
        <w:pStyle w:val="Compact"/>
        <w:numPr>
          <w:ilvl w:val="0"/>
          <w:numId w:val="1010"/>
        </w:numPr>
      </w:pPr>
      <w:r>
        <w:rPr>
          <w:b/>
          <w:bCs/>
        </w:rPr>
        <w:t xml:space="preserve">Impact:</w:t>
      </w:r>
      <w:r>
        <w:t xml:space="preserve"> </w:t>
      </w:r>
      <w:r>
        <w:t xml:space="preserve">None on the settlement statement. The PSA figure is arithmetically correct; the lender/rent-roll figures appear understated by roughly one year. This should be corrected in the lender’s file and rent roll, as it may affect the lender’s underwriting analysis and the Buyer’s lease abstract. It does not affect prorations (commercial rent is prorated on the current monthly rent, not remaining term).</w:t>
      </w:r>
    </w:p>
    <w:bookmarkEnd w:id="31"/>
    <w:bookmarkStart w:id="32" w:name="X54b8ea106b7a743db62e4540537ba544db9eba7"/>
    <w:p>
      <w:pPr>
        <w:pStyle w:val="Heading3"/>
      </w:pPr>
      <w:r>
        <w:t xml:space="preserve">A-11. First Mortgage Per Diem Interest Rate</w:t>
      </w:r>
    </w:p>
    <w:p>
      <w:pPr>
        <w:pStyle w:val="Compact"/>
        <w:numPr>
          <w:ilvl w:val="0"/>
          <w:numId w:val="1011"/>
        </w:numPr>
      </w:pPr>
      <w:r>
        <w:t xml:space="preserve">The</w:t>
      </w:r>
      <w:r>
        <w:t xml:space="preserve"> </w:t>
      </w:r>
      <w:r>
        <w:rPr>
          <w:b/>
          <w:bCs/>
        </w:rPr>
        <w:t xml:space="preserve">payoff letter and PSA §5.3(a)</w:t>
      </w:r>
      <w:r>
        <w:t xml:space="preserve"> </w:t>
      </w:r>
      <w:r>
        <w:t xml:space="preserve">state a per diem of</w:t>
      </w:r>
      <w:r>
        <w:t xml:space="preserve"> </w:t>
      </w:r>
      <w:r>
        <w:rPr>
          <w:b/>
          <w:bCs/>
        </w:rPr>
        <w:t xml:space="preserve">$112.67/day</w:t>
      </w:r>
      <w:r>
        <w:t xml:space="preserve"> </w:t>
      </w:r>
      <w:r>
        <w:t xml:space="preserve">after July 20, 2025.</w:t>
      </w:r>
    </w:p>
    <w:p>
      <w:pPr>
        <w:pStyle w:val="Compact"/>
        <w:numPr>
          <w:ilvl w:val="0"/>
          <w:numId w:val="1011"/>
        </w:numPr>
      </w:pPr>
      <w:r>
        <w:t xml:space="preserve">The payoff letter’s own 12-day accrued-interest calculation uses</w:t>
      </w:r>
      <w:r>
        <w:t xml:space="preserve"> </w:t>
      </w:r>
      <w:r>
        <w:rPr>
          <w:b/>
          <w:bCs/>
        </w:rPr>
        <w:t xml:space="preserve">$73.07/day</w:t>
      </w:r>
      <w:r>
        <w:t xml:space="preserve"> </w:t>
      </w:r>
      <w:r>
        <w:t xml:space="preserve">(consistent with 3.875% on the ~$685,921.44 balance).</w:t>
      </w:r>
    </w:p>
    <w:p>
      <w:pPr>
        <w:pStyle w:val="Compact"/>
        <w:numPr>
          <w:ilvl w:val="0"/>
          <w:numId w:val="1011"/>
        </w:numPr>
      </w:pPr>
      <w:r>
        <w:rPr>
          <w:b/>
          <w:bCs/>
        </w:rPr>
        <w:t xml:space="preserve">Impact:</w:t>
      </w:r>
      <w:r>
        <w:t xml:space="preserve"> </w:t>
      </w:r>
      <w:r>
        <w:t xml:space="preserve">None on this closing. July 15, 2025 falls within the good-through period (July 20, 2025), so no per diem adjustment applies. However, the stated $112.67/day per diem is inconsistent with the 3.875% rate and current balance (which yields ~$73/day). If closing is delayed beyond July 20, 2025, an updated payoff statement should be obtained and the correct per diem confirmed before disbursing additional interest.</w:t>
      </w:r>
    </w:p>
    <w:bookmarkEnd w:id="32"/>
    <w:bookmarkStart w:id="33" w:name="Xd33c60ad173f690c33200025bafe34e39a72ff5"/>
    <w:p>
      <w:pPr>
        <w:pStyle w:val="Heading3"/>
      </w:pPr>
      <w:r>
        <w:t xml:space="preserve">A-12. Lender Commitment Loan-to-Value Ratio</w:t>
      </w:r>
    </w:p>
    <w:p>
      <w:pPr>
        <w:pStyle w:val="Compact"/>
        <w:numPr>
          <w:ilvl w:val="0"/>
          <w:numId w:val="1012"/>
        </w:numPr>
      </w:pPr>
      <w:r>
        <w:t xml:space="preserve">The</w:t>
      </w:r>
      <w:r>
        <w:t xml:space="preserve"> </w:t>
      </w:r>
      <w:r>
        <w:rPr>
          <w:b/>
          <w:bCs/>
        </w:rPr>
        <w:t xml:space="preserve">Lender Commitment (§2)</w:t>
      </w:r>
      <w:r>
        <w:t xml:space="preserve"> </w:t>
      </w:r>
      <w:r>
        <w:t xml:space="preserve">states</w:t>
      </w:r>
      <w:r>
        <w:t xml:space="preserve"> </w:t>
      </w:r>
      <w:r>
        <w:t xml:space="preserve">“</w:t>
      </w:r>
      <w:r>
        <w:t xml:space="preserve">approximately 67.7%,</w:t>
      </w:r>
      <w:r>
        <w:t xml:space="preserve">”</w:t>
      </w:r>
      <w:r>
        <w:t xml:space="preserve"> </w:t>
      </w:r>
      <w:r>
        <w:t xml:space="preserve">but then computes $2,640,000 ÷ $3,920,000 = 67.35%, which rounds to</w:t>
      </w:r>
      <w:r>
        <w:t xml:space="preserve"> </w:t>
      </w:r>
      <w:r>
        <w:rPr>
          <w:b/>
          <w:bCs/>
        </w:rPr>
        <w:t xml:space="preserve">67.4%</w:t>
      </w:r>
      <w:r>
        <w:t xml:space="preserve">, not 67.7%.</w:t>
      </w:r>
    </w:p>
    <w:p>
      <w:pPr>
        <w:pStyle w:val="Compact"/>
        <w:numPr>
          <w:ilvl w:val="0"/>
          <w:numId w:val="1012"/>
        </w:numPr>
      </w:pPr>
      <w:r>
        <w:rPr>
          <w:b/>
          <w:bCs/>
        </w:rPr>
        <w:t xml:space="preserve">Impact:</w:t>
      </w:r>
      <w:r>
        <w:t xml:space="preserve"> </w:t>
      </w:r>
      <w:r>
        <w:t xml:space="preserve">None on the settlement statement or loan amount. Internal arithmetic inconsistency in the commitment letter only.</w:t>
      </w:r>
    </w:p>
    <w:bookmarkEnd w:id="33"/>
    <w:bookmarkStart w:id="34" w:name="a-13.-letters-testamentary-issuance-date"/>
    <w:p>
      <w:pPr>
        <w:pStyle w:val="Heading3"/>
      </w:pPr>
      <w:r>
        <w:t xml:space="preserve">A-13. Letters Testamentary Issuance Date</w:t>
      </w:r>
    </w:p>
    <w:p>
      <w:pPr>
        <w:pStyle w:val="Compact"/>
        <w:numPr>
          <w:ilvl w:val="0"/>
          <w:numId w:val="1013"/>
        </w:numPr>
      </w:pPr>
      <w:r>
        <w:rPr>
          <w:b/>
          <w:bCs/>
        </w:rPr>
        <w:t xml:space="preserve">Title Commitment (Schedule A-1)</w:t>
      </w:r>
      <w:r>
        <w:t xml:space="preserve"> </w:t>
      </w:r>
      <w:r>
        <w:t xml:space="preserve">states Letters Testamentary issued</w:t>
      </w:r>
      <w:r>
        <w:t xml:space="preserve"> </w:t>
      </w:r>
      <w:r>
        <w:t xml:space="preserve">“</w:t>
      </w:r>
      <w:r>
        <w:t xml:space="preserve">on or about</w:t>
      </w:r>
      <w:r>
        <w:t xml:space="preserve"> </w:t>
      </w:r>
      <w:r>
        <w:rPr>
          <w:b/>
          <w:bCs/>
        </w:rPr>
        <w:t xml:space="preserve">October 14, 2024</w:t>
      </w:r>
      <w:r>
        <w:t xml:space="preserve">.</w:t>
      </w:r>
      <w:r>
        <w:t xml:space="preserve">”</w:t>
      </w:r>
    </w:p>
    <w:p>
      <w:pPr>
        <w:pStyle w:val="Compact"/>
        <w:numPr>
          <w:ilvl w:val="0"/>
          <w:numId w:val="1013"/>
        </w:numPr>
      </w:pPr>
      <w:r>
        <w:rPr>
          <w:b/>
          <w:bCs/>
        </w:rPr>
        <w:t xml:space="preserve">Probate Fiduciary Certificate</w:t>
      </w:r>
      <w:r>
        <w:t xml:space="preserve"> </w:t>
      </w:r>
      <w:r>
        <w:t xml:space="preserve">states the Will was admitted and Letters issued on</w:t>
      </w:r>
      <w:r>
        <w:t xml:space="preserve"> </w:t>
      </w:r>
      <w:r>
        <w:rPr>
          <w:b/>
          <w:bCs/>
        </w:rPr>
        <w:t xml:space="preserve">October 11, 2024</w:t>
      </w:r>
      <w:r>
        <w:t xml:space="preserve">.</w:t>
      </w:r>
    </w:p>
    <w:p>
      <w:pPr>
        <w:pStyle w:val="Compact"/>
        <w:numPr>
          <w:ilvl w:val="0"/>
          <w:numId w:val="1013"/>
        </w:numPr>
      </w:pPr>
      <w:r>
        <w:rPr>
          <w:b/>
          <w:bCs/>
        </w:rPr>
        <w:t xml:space="preserve">Impact:</w:t>
      </w:r>
      <w:r>
        <w:t xml:space="preserve"> </w:t>
      </w:r>
      <w:r>
        <w:t xml:space="preserve">None on dollar amounts. Minor date discrepancy; the Fiduciary Certificate (the certified court document) should control. The certificate is dated June 25, 2025, which is within the 60-day recency required by the title commitment and lender.</w:t>
      </w:r>
    </w:p>
    <w:bookmarkEnd w:id="34"/>
    <w:bookmarkStart w:id="35" w:name="X9ca2c9103b1d3ab8a326712dd71b1d7745b9353"/>
    <w:p>
      <w:pPr>
        <w:pStyle w:val="Heading3"/>
      </w:pPr>
      <w:r>
        <w:t xml:space="preserve">A-14. Management Agreement Effective Date</w:t>
      </w:r>
    </w:p>
    <w:p>
      <w:pPr>
        <w:pStyle w:val="Compact"/>
        <w:numPr>
          <w:ilvl w:val="0"/>
          <w:numId w:val="1014"/>
        </w:numPr>
      </w:pPr>
      <w:r>
        <w:rPr>
          <w:b/>
          <w:bCs/>
        </w:rPr>
        <w:t xml:space="preserve">Management Agreement</w:t>
      </w:r>
      <w:r>
        <w:t xml:space="preserve"> </w:t>
      </w:r>
      <w:r>
        <w:t xml:space="preserve">states effective</w:t>
      </w:r>
      <w:r>
        <w:t xml:space="preserve"> </w:t>
      </w:r>
      <w:r>
        <w:rPr>
          <w:b/>
          <w:bCs/>
        </w:rPr>
        <w:t xml:space="preserve">October 15, 2024</w:t>
      </w:r>
      <w:r>
        <w:t xml:space="preserve">.</w:t>
      </w:r>
    </w:p>
    <w:p>
      <w:pPr>
        <w:pStyle w:val="Compact"/>
        <w:numPr>
          <w:ilvl w:val="0"/>
          <w:numId w:val="1014"/>
        </w:numPr>
      </w:pPr>
      <w:r>
        <w:rPr>
          <w:b/>
          <w:bCs/>
        </w:rPr>
        <w:t xml:space="preserve">Rent Roll footer</w:t>
      </w:r>
      <w:r>
        <w:t xml:space="preserve"> </w:t>
      </w:r>
      <w:r>
        <w:t xml:space="preserve">states</w:t>
      </w:r>
      <w:r>
        <w:t xml:space="preserve"> </w:t>
      </w:r>
      <w:r>
        <w:t xml:space="preserve">“</w:t>
      </w:r>
      <w:r>
        <w:t xml:space="preserve">Management Agreement effective</w:t>
      </w:r>
      <w:r>
        <w:t xml:space="preserve"> </w:t>
      </w:r>
      <w:r>
        <w:rPr>
          <w:b/>
          <w:bCs/>
        </w:rPr>
        <w:t xml:space="preserve">October 1, 2024</w:t>
      </w:r>
      <w:r>
        <w:t xml:space="preserve">.</w:t>
      </w:r>
      <w:r>
        <w:t xml:space="preserve">”</w:t>
      </w:r>
    </w:p>
    <w:p>
      <w:pPr>
        <w:pStyle w:val="Compact"/>
        <w:numPr>
          <w:ilvl w:val="0"/>
          <w:numId w:val="1014"/>
        </w:numPr>
      </w:pPr>
      <w:r>
        <w:rPr>
          <w:b/>
          <w:bCs/>
        </w:rPr>
        <w:t xml:space="preserve">Impact:</w:t>
      </w:r>
      <w:r>
        <w:t xml:space="preserve"> </w:t>
      </w:r>
      <w:r>
        <w:t xml:space="preserve">None on the settlement statement (the $4,500.00 termination fee is fixed regardless of effective date). Confirm the correct date for the management file.</w:t>
      </w:r>
    </w:p>
    <w:bookmarkEnd w:id="35"/>
    <w:bookmarkStart w:id="36" w:name="Xe977f64e9e7ac2a59f30541635f7b16d54298a9"/>
    <w:p>
      <w:pPr>
        <w:pStyle w:val="Heading3"/>
      </w:pPr>
      <w:r>
        <w:t xml:space="preserve">A-15. Probate Court Certificate Fee — Possible Advance Payment</w:t>
      </w:r>
    </w:p>
    <w:p>
      <w:pPr>
        <w:pStyle w:val="Compact"/>
        <w:numPr>
          <w:ilvl w:val="0"/>
          <w:numId w:val="1015"/>
        </w:numPr>
      </w:pPr>
      <w:r>
        <w:rPr>
          <w:b/>
          <w:bCs/>
        </w:rPr>
        <w:t xml:space="preserve">PSA §§6.2(e) and 6.4</w:t>
      </w:r>
      <w:r>
        <w:t xml:space="preserve"> </w:t>
      </w:r>
      <w:r>
        <w:t xml:space="preserve">list the $150.00 Probate Court Certificate as a</w:t>
      </w:r>
      <w:r>
        <w:t xml:space="preserve"> </w:t>
      </w:r>
      <w:r>
        <w:rPr>
          <w:b/>
          <w:bCs/>
        </w:rPr>
        <w:t xml:space="preserve">Seller closing expense</w:t>
      </w:r>
      <w:r>
        <w:t xml:space="preserve">.</w:t>
      </w:r>
    </w:p>
    <w:p>
      <w:pPr>
        <w:pStyle w:val="Compact"/>
        <w:numPr>
          <w:ilvl w:val="0"/>
          <w:numId w:val="1015"/>
        </w:numPr>
      </w:pPr>
      <w:r>
        <w:t xml:space="preserve">The</w:t>
      </w:r>
      <w:r>
        <w:t xml:space="preserve"> </w:t>
      </w:r>
      <w:r>
        <w:rPr>
          <w:b/>
          <w:bCs/>
        </w:rPr>
        <w:t xml:space="preserve">Fiduciary’s Certificate</w:t>
      </w:r>
      <w:r>
        <w:t xml:space="preserve"> </w:t>
      </w:r>
      <w:r>
        <w:t xml:space="preserve">states</w:t>
      </w:r>
      <w:r>
        <w:t xml:space="preserve"> </w:t>
      </w:r>
      <w:r>
        <w:t xml:space="preserve">“</w:t>
      </w:r>
      <w:r>
        <w:t xml:space="preserve">Certification fee of</w:t>
      </w:r>
      <w:r>
        <w:t xml:space="preserve"> </w:t>
      </w:r>
      <w:r>
        <w:rPr>
          <w:b/>
          <w:bCs/>
        </w:rPr>
        <w:t xml:space="preserve">$150.00 has been paid</w:t>
      </w:r>
      <w:r>
        <w:t xml:space="preserve">.</w:t>
      </w:r>
      <w:r>
        <w:t xml:space="preserve">”</w:t>
      </w:r>
    </w:p>
    <w:p>
      <w:pPr>
        <w:pStyle w:val="Compact"/>
        <w:numPr>
          <w:ilvl w:val="0"/>
          <w:numId w:val="1015"/>
        </w:numPr>
      </w:pPr>
      <w:r>
        <w:rPr>
          <w:b/>
          <w:bCs/>
        </w:rPr>
        <w:t xml:space="preserve">Impact:</w:t>
      </w:r>
      <w:r>
        <w:t xml:space="preserve"> </w:t>
      </w:r>
      <w:r>
        <w:t xml:space="preserve">The settlement statement includes the $150.00 as a Seller charge per the PSA. However, if the fee was already paid by the Estate in advance, charging it again at closing would result in a double payment.</w:t>
      </w:r>
      <w:r>
        <w:t xml:space="preserve"> </w:t>
      </w:r>
      <w:r>
        <w:rPr>
          <w:b/>
          <w:bCs/>
        </w:rPr>
        <w:t xml:space="preserve">The closing agent should verify whether the $150.00 was paid in advance; if so, it should be removed from the Seller’s debits (increasing Seller net proceeds by $150.00) and the disbursement to the Probate Court eliminated.</w:t>
      </w:r>
      <w:r>
        <w:t xml:space="preserve"> </w:t>
      </w:r>
      <w:r>
        <w:t xml:space="preserve">This is the one discrepancy that could change a settlement figure.</w:t>
      </w:r>
    </w:p>
    <w:bookmarkEnd w:id="36"/>
    <w:bookmarkStart w:id="37" w:name="X1de75819722b906c3c33a486a9e305e338950a1"/>
    <w:p>
      <w:pPr>
        <w:pStyle w:val="Heading3"/>
      </w:pPr>
      <w:r>
        <w:t xml:space="preserve">A-16. Conveyance Tax Estimate vs. Statutory Rates</w:t>
      </w:r>
    </w:p>
    <w:p>
      <w:pPr>
        <w:pStyle w:val="Compact"/>
        <w:numPr>
          <w:ilvl w:val="0"/>
          <w:numId w:val="1016"/>
        </w:numPr>
      </w:pPr>
      <w:r>
        <w:t xml:space="preserve">The</w:t>
      </w:r>
      <w:r>
        <w:t xml:space="preserve"> </w:t>
      </w:r>
      <w:r>
        <w:rPr>
          <w:b/>
          <w:bCs/>
        </w:rPr>
        <w:t xml:space="preserve">Title Commitment (Schedule C)</w:t>
      </w:r>
      <w:r>
        <w:t xml:space="preserve"> </w:t>
      </w:r>
      <w:r>
        <w:t xml:space="preserve">estimates total conveyance tax at</w:t>
      </w:r>
      <w:r>
        <w:t xml:space="preserve"> </w:t>
      </w:r>
      <w:r>
        <w:rPr>
          <w:b/>
          <w:bCs/>
        </w:rPr>
        <w:t xml:space="preserve">$44,750.00</w:t>
      </w:r>
      <w:r>
        <w:t xml:space="preserve"> </w:t>
      </w:r>
      <w:r>
        <w:t xml:space="preserve">(effective rate ≈ 1.147% on $3,900,000), split 50/50 ($22,375.00 each).</w:t>
      </w:r>
    </w:p>
    <w:p>
      <w:pPr>
        <w:pStyle w:val="Compact"/>
        <w:numPr>
          <w:ilvl w:val="0"/>
          <w:numId w:val="1016"/>
        </w:numPr>
      </w:pPr>
      <w:r>
        <w:t xml:space="preserve">This effective rate does not correspond to a straightforward application of the current Connecticut state conveyance tax rate (0.75% for 1–4 family residential; 1.25% for non-residential) combined with the Bridgeport municipal rate (up to 0.50% for distressed municipalities) to the $3,900,000 purchase price.</w:t>
      </w:r>
    </w:p>
    <w:p>
      <w:pPr>
        <w:pStyle w:val="Compact"/>
        <w:numPr>
          <w:ilvl w:val="0"/>
          <w:numId w:val="1016"/>
        </w:numPr>
      </w:pPr>
      <w:r>
        <w:rPr>
          <w:b/>
          <w:bCs/>
        </w:rPr>
        <w:t xml:space="preserve">Impact:</w:t>
      </w:r>
      <w:r>
        <w:t xml:space="preserve"> </w:t>
      </w:r>
      <w:r>
        <w:t xml:space="preserve">The settlement statement uses the title commitment’s $44,750.00 estimate. Because this is a mixed-use (non-residential) property, the actual tax may be higher if the non-residential state rate and the Bridgeport municipal rate apply.</w:t>
      </w:r>
      <w:r>
        <w:t xml:space="preserve"> </w:t>
      </w:r>
      <w:r>
        <w:rPr>
          <w:b/>
          <w:bCs/>
        </w:rPr>
        <w:t xml:space="preserve">The closing agent must confirm the exact amount upon preparation and filing of Form OP-236.</w:t>
      </w:r>
      <w:r>
        <w:t xml:space="preserve"> </w:t>
      </w:r>
      <w:r>
        <w:t xml:space="preserve">If the actual tax exceeds the estimate, both parties’ 50% shares increase equally; the difference would be collected at the closing table (increasing Buyer’s cash and reducing Seller’s proceeds by equal amounts).</w:t>
      </w:r>
    </w:p>
    <w:p>
      <w:r>
        <w:pict>
          <v:rect style="width:0;height:1.5pt" o:hralign="center" o:hrstd="t" o:hr="t"/>
        </w:pict>
      </w:r>
    </w:p>
    <w:bookmarkEnd w:id="37"/>
    <w:bookmarkEnd w:id="38"/>
    <w:bookmarkStart w:id="52" w:name="b.-assumptions"/>
    <w:p>
      <w:pPr>
        <w:pStyle w:val="Heading2"/>
      </w:pPr>
      <w:r>
        <w:t xml:space="preserve">B. ASSUMPTIONS</w:t>
      </w:r>
    </w:p>
    <w:bookmarkStart w:id="39" w:name="X294cf90be8fc3104b2bc0abab4394407c1fc5b6"/>
    <w:p>
      <w:pPr>
        <w:pStyle w:val="Heading3"/>
      </w:pPr>
      <w:r>
        <w:t xml:space="preserve">B-1. Earnest Money Interest (shown as $0.00)</w:t>
      </w:r>
    </w:p>
    <w:p>
      <w:pPr>
        <w:pStyle w:val="FirstParagraph"/>
      </w:pPr>
      <w:r>
        <w:t xml:space="preserve">PSA §3.2(d) requires all accrued interest on the $195,000.00 earnest money to be credited to Buyer at closing. No interest amount, rate, or escrow account statement is provided in the closing documents. The settlement statement reflects</w:t>
      </w:r>
      <w:r>
        <w:t xml:space="preserve"> </w:t>
      </w:r>
      <w:r>
        <w:rPr>
          <w:b/>
          <w:bCs/>
        </w:rPr>
        <w:t xml:space="preserve">$0.00</w:t>
      </w:r>
      <w:r>
        <w:t xml:space="preserve"> </w:t>
      </w:r>
      <w:r>
        <w:t xml:space="preserve">for this item. The Escrow Agent (Pinnacle Abstract &amp; Title LLC) should provide the actual accrued interest; any confirmed amount is added as a credit to Buyer and reduces Buyer’s cash to close dollar-for-dollar.</w:t>
      </w:r>
    </w:p>
    <w:bookmarkEnd w:id="39"/>
    <w:bookmarkStart w:id="40" w:name="X9cf208a0084be42eaf65cc61f9b0ce6009eb9d6"/>
    <w:p>
      <w:pPr>
        <w:pStyle w:val="Heading3"/>
      </w:pPr>
      <w:r>
        <w:t xml:space="preserve">B-2. Security Deposit Interest (shown as $0.00)</w:t>
      </w:r>
    </w:p>
    <w:p>
      <w:pPr>
        <w:pStyle w:val="FirstParagraph"/>
      </w:pPr>
      <w:r>
        <w:t xml:space="preserve">PSA §7.4 and the management agreement require transfer of residential security deposits together with accrued interest as required by CT Gen. Stat. §47a-21. The commercial deposit ($14,400.00) is non-interest-bearing per the management agreement §6.2. No interest amount on the residential deposits (held in an interest-bearing escrow account at Harborstone FCU) is provided. The settlement statement reflects</w:t>
      </w:r>
      <w:r>
        <w:t xml:space="preserve"> </w:t>
      </w:r>
      <w:r>
        <w:rPr>
          <w:b/>
          <w:bCs/>
        </w:rPr>
        <w:t xml:space="preserve">principal only ($32,400.00)</w:t>
      </w:r>
      <w:r>
        <w:t xml:space="preserve">. The Harborstone FCU escrow account statement should be obtained; any confirmed residential deposit interest is added as a credit to Buyer.</w:t>
      </w:r>
    </w:p>
    <w:bookmarkEnd w:id="40"/>
    <w:bookmarkStart w:id="41" w:name="b-3.-conveyance-tax-figure"/>
    <w:p>
      <w:pPr>
        <w:pStyle w:val="Heading3"/>
      </w:pPr>
      <w:r>
        <w:t xml:space="preserve">B-3. Conveyance Tax Figure</w:t>
      </w:r>
    </w:p>
    <w:p>
      <w:pPr>
        <w:pStyle w:val="FirstParagraph"/>
      </w:pPr>
      <w:r>
        <w:t xml:space="preserve">The $44,750.00 total ($22,375.00 per party) is taken from the Title Commitment Schedule C estimate, as required to be</w:t>
      </w:r>
      <w:r>
        <w:t xml:space="preserve"> </w:t>
      </w:r>
      <w:r>
        <w:t xml:space="preserve">“</w:t>
      </w:r>
      <w:r>
        <w:t xml:space="preserve">computed at the rate or rates applicable to the municipality</w:t>
      </w:r>
      <w:r>
        <w:t xml:space="preserve">”</w:t>
      </w:r>
      <w:r>
        <w:t xml:space="preserve"> </w:t>
      </w:r>
      <w:r>
        <w:t xml:space="preserve">(PSA §12.1). Subject to confirmation per Discrepancy A-16.</w:t>
      </w:r>
    </w:p>
    <w:bookmarkEnd w:id="41"/>
    <w:bookmarkStart w:id="42" w:name="X789ae369969e74f2b8e93a958e7fe8c7b4ad619"/>
    <w:p>
      <w:pPr>
        <w:pStyle w:val="Heading3"/>
      </w:pPr>
      <w:r>
        <w:t xml:space="preserve">B-4. Next-Fiscal-Year Property Tax Estimate</w:t>
      </w:r>
    </w:p>
    <w:p>
      <w:pPr>
        <w:pStyle w:val="FirstParagraph"/>
      </w:pPr>
      <w:r>
        <w:t xml:space="preserve">The FY 2025–2026 tax is prorated using the current-year levy of $52,480.00 as the basis because the new mill rate has not been set (PSA §7.1(b); Tax Status Certificate §3). This is an estimate only; the parties will reprorate within 90 days after closing when the actual bill issues (PSA §7.7). Seller is charged for 14 days ($2,012.93); Buyer is credited the same.</w:t>
      </w:r>
    </w:p>
    <w:bookmarkEnd w:id="42"/>
    <w:bookmarkStart w:id="43" w:name="X2f06ae64e075c04cfbf80134fd5cdc827279475"/>
    <w:p>
      <w:pPr>
        <w:pStyle w:val="Heading3"/>
      </w:pPr>
      <w:r>
        <w:t xml:space="preserve">B-5. Closing Within Payoff Good-Through Periods</w:t>
      </w:r>
    </w:p>
    <w:p>
      <w:pPr>
        <w:pStyle w:val="FirstParagraph"/>
      </w:pPr>
      <w:r>
        <w:t xml:space="preserve">All lien payoffs (Harborstone first mortgage, Harborstone HELOC, Northbridge mechanic’s lien) and the municipal tax payoff are valid through</w:t>
      </w:r>
      <w:r>
        <w:t xml:space="preserve"> </w:t>
      </w:r>
      <w:r>
        <w:rPr>
          <w:b/>
          <w:bCs/>
        </w:rPr>
        <w:t xml:space="preserve">July 20, 2025</w:t>
      </w:r>
      <w:r>
        <w:t xml:space="preserve">. Closing is</w:t>
      </w:r>
      <w:r>
        <w:t xml:space="preserve"> </w:t>
      </w:r>
      <w:r>
        <w:rPr>
          <w:b/>
          <w:bCs/>
        </w:rPr>
        <w:t xml:space="preserve">July 15, 2025</w:t>
      </w:r>
      <w:r>
        <w:t xml:space="preserve">, so no per diem interest adjustments are required. This assumption fails if closing is delayed beyond July 20, 2025, in which case updated payoff statements must be obtained and additional per diem interest added to the Seller’s payoffs.</w:t>
      </w:r>
    </w:p>
    <w:bookmarkEnd w:id="43"/>
    <w:bookmarkStart w:id="44" w:name="X81940e021edc183edad2c4ec95cc119e4a8d8de"/>
    <w:p>
      <w:pPr>
        <w:pStyle w:val="Heading3"/>
      </w:pPr>
      <w:r>
        <w:t xml:space="preserve">B-6. Uncollected/Delinquent Rents Excluded</w:t>
      </w:r>
    </w:p>
    <w:p>
      <w:pPr>
        <w:pStyle w:val="FirstParagraph"/>
      </w:pPr>
      <w:r>
        <w:t xml:space="preserve">Per PSA §7.3, no credit is given for uncollected rents. Unit 2E’s July 2025 rent ($1,600.00) is delinquent and excluded from the rent proration; Unit 3C is vacant ($0.00). Only collected rents totaling $23,600.00 are prorated. After closing, Buyer may use commercially reasonable efforts to collect delinquent rents and remit any excess to Seller per §7.3(b), but this is a post-closing matter and does not appear on the settlement statement.</w:t>
      </w:r>
    </w:p>
    <w:bookmarkEnd w:id="44"/>
    <w:bookmarkStart w:id="45" w:name="b-7.-repair-escrow-treatment"/>
    <w:p>
      <w:pPr>
        <w:pStyle w:val="Heading3"/>
      </w:pPr>
      <w:r>
        <w:t xml:space="preserve">B-7. Repair Escrow Treatment</w:t>
      </w:r>
    </w:p>
    <w:p>
      <w:pPr>
        <w:pStyle w:val="FirstParagraph"/>
      </w:pPr>
      <w:r>
        <w:t xml:space="preserve">The $45,000.00 repair escrow is a third-party holdback funded solely from Seller’s proceeds and held by the Escrow Agent under a separate Repair Escrow Agreement (PSA §8.4). It is treated as a</w:t>
      </w:r>
      <w:r>
        <w:t xml:space="preserve"> </w:t>
      </w:r>
      <w:r>
        <w:rPr>
          <w:b/>
          <w:bCs/>
        </w:rPr>
        <w:t xml:space="preserve">charge to Seller / deduction from Seller’s net proceeds</w:t>
      </w:r>
      <w:r>
        <w:t xml:space="preserve"> </w:t>
      </w:r>
      <w:r>
        <w:t xml:space="preserve">and is</w:t>
      </w:r>
      <w:r>
        <w:t xml:space="preserve"> </w:t>
      </w:r>
      <w:r>
        <w:rPr>
          <w:b/>
          <w:bCs/>
        </w:rPr>
        <w:t xml:space="preserve">not</w:t>
      </w:r>
      <w:r>
        <w:t xml:space="preserve"> </w:t>
      </w:r>
      <w:r>
        <w:t xml:space="preserve">a credit to Buyer and not counted toward the Purchase Price, per the express terms of §8.4(c). Buyer has 12 months to complete roof repairs and submit paid invoices; any unused balance plus interest returns to Seller.</w:t>
      </w:r>
    </w:p>
    <w:bookmarkEnd w:id="45"/>
    <w:bookmarkStart w:id="46" w:name="b-8.-poc-appraisal-fee"/>
    <w:p>
      <w:pPr>
        <w:pStyle w:val="Heading3"/>
      </w:pPr>
      <w:r>
        <w:t xml:space="preserve">B-8. POC Appraisal Fee</w:t>
      </w:r>
    </w:p>
    <w:p>
      <w:pPr>
        <w:pStyle w:val="FirstParagraph"/>
      </w:pPr>
      <w:r>
        <w:t xml:space="preserve">The $4,500.00 appraisal fee (Ashford Valuation Associates LLC) was paid by Buyer outside of closing on May 5, 2025. Per the Lender’s explicit and repeated instructions (Commitment Letter §§4.2, 6.2), it is shown for disclosure only with</w:t>
      </w:r>
      <w:r>
        <w:t xml:space="preserve"> </w:t>
      </w:r>
      <w:r>
        <w:rPr>
          <w:b/>
          <w:bCs/>
        </w:rPr>
        <w:t xml:space="preserve">$0.00 impact</w:t>
      </w:r>
      <w:r>
        <w:t xml:space="preserve"> </w:t>
      </w:r>
      <w:r>
        <w:t xml:space="preserve">on Buyer’s cash to close and is excluded from all computations of funds due at closing.</w:t>
      </w:r>
    </w:p>
    <w:bookmarkEnd w:id="46"/>
    <w:bookmarkStart w:id="47" w:name="X257edc34f975f2d5ccfb299afcd30c6906c8a46"/>
    <w:p>
      <w:pPr>
        <w:pStyle w:val="Heading3"/>
      </w:pPr>
      <w:r>
        <w:t xml:space="preserve">B-9. Potential Additional Buyer Costs Not Quantified</w:t>
      </w:r>
    </w:p>
    <w:p>
      <w:pPr>
        <w:pStyle w:val="FirstParagraph"/>
      </w:pPr>
      <w:r>
        <w:t xml:space="preserve">The lender commitment and title commitment reference certain Buyer costs for which</w:t>
      </w:r>
      <w:r>
        <w:t xml:space="preserve"> </w:t>
      </w:r>
      <w:r>
        <w:rPr>
          <w:b/>
          <w:bCs/>
        </w:rPr>
        <w:t xml:space="preserve">no dollar amounts are provided</w:t>
      </w:r>
      <w:r>
        <w:t xml:space="preserve"> </w:t>
      </w:r>
      <w:r>
        <w:t xml:space="preserve">in the closing documents. These may have been paid outside of closing during due diligence or may be due at closing. The closing agent should confirm whether any of the following require additional funding at closing:</w:t>
      </w:r>
      <w:r>
        <w:t xml:space="preserve"> </w:t>
      </w:r>
      <w:r>
        <w:t xml:space="preserve">- (a) ALTA/NSPS Land Title Survey (Title Commitment Requirement 12; Lender §5(4));</w:t>
      </w:r>
      <w:r>
        <w:t xml:space="preserve"> </w:t>
      </w:r>
      <w:r>
        <w:t xml:space="preserve">- (b) Phase I Environmental Site Assessment (Lender §5(6));</w:t>
      </w:r>
      <w:r>
        <w:t xml:space="preserve"> </w:t>
      </w:r>
      <w:r>
        <w:t xml:space="preserve">- (c) First-year property/casualty insurance premium (Lender §5(5) requires coverage of at least $3,900,000 replacement cost);</w:t>
      </w:r>
      <w:r>
        <w:t xml:space="preserve"> </w:t>
      </w:r>
      <w:r>
        <w:t xml:space="preserve">- (d) Closing protection letter fee (Title Commitment Requirement 14);</w:t>
      </w:r>
      <w:r>
        <w:t xml:space="preserve"> </w:t>
      </w:r>
      <w:r>
        <w:t xml:space="preserve">- (e) SNDA preparation (Lender §5(7)).</w:t>
      </w:r>
    </w:p>
    <w:p>
      <w:pPr>
        <w:pStyle w:val="BodyText"/>
      </w:pPr>
      <w:r>
        <w:t xml:space="preserve">If any of these are due at closing and not already paid POC, they would increase Buyer’s cash to close. None are included in the current settlement statement because no amounts are stated.</w:t>
      </w:r>
    </w:p>
    <w:bookmarkEnd w:id="47"/>
    <w:bookmarkStart w:id="48" w:name="b-10.-firpta-estate-withholding"/>
    <w:p>
      <w:pPr>
        <w:pStyle w:val="Heading3"/>
      </w:pPr>
      <w:r>
        <w:t xml:space="preserve">B-10. FIRPTA / Estate Withholding</w:t>
      </w:r>
    </w:p>
    <w:p>
      <w:pPr>
        <w:pStyle w:val="FirstParagraph"/>
      </w:pPr>
      <w:r>
        <w:t xml:space="preserve">PSA §6.2(i) requires a FIRPTA affidavit or estate-equivalent certification. The probate materials confirm the Estate of Gerald T. Whitford is below the Connecticut estate tax threshold (CT estate tax due = $0.00; CT DRS Release Certificate No. ETL-2025-08834 obtained). The settlement assumes no FIRPTA withholding is required based on the estate exemption. Buyer’s counsel should confirm the FIRPTA/estate certification is delivered at closing; if withholding were required, it would be deducted from Seller’s proceeds and remitted to the IRS.</w:t>
      </w:r>
    </w:p>
    <w:bookmarkEnd w:id="48"/>
    <w:bookmarkStart w:id="49" w:name="b-11.-proration-conventions"/>
    <w:p>
      <w:pPr>
        <w:pStyle w:val="Heading3"/>
      </w:pPr>
      <w:r>
        <w:t xml:space="preserve">B-11. Proration Conventions</w:t>
      </w:r>
    </w:p>
    <w:p>
      <w:pPr>
        <w:pStyle w:val="Compact"/>
        <w:numPr>
          <w:ilvl w:val="0"/>
          <w:numId w:val="1017"/>
        </w:numPr>
      </w:pPr>
      <w:r>
        <w:t xml:space="preserve">All prorations as of 12:01 a.m. on July 15, 2025; day of closing allocated to Buyer (PSA §7).</w:t>
      </w:r>
    </w:p>
    <w:p>
      <w:pPr>
        <w:pStyle w:val="Compact"/>
        <w:numPr>
          <w:ilvl w:val="0"/>
          <w:numId w:val="1017"/>
        </w:numPr>
      </w:pPr>
      <w:r>
        <w:t xml:space="preserve">Taxes: per diem on a 365-day year (PSA §7.1).</w:t>
      </w:r>
    </w:p>
    <w:p>
      <w:pPr>
        <w:pStyle w:val="Compact"/>
        <w:numPr>
          <w:ilvl w:val="0"/>
          <w:numId w:val="1017"/>
        </w:numPr>
      </w:pPr>
      <w:r>
        <w:t xml:space="preserve">Rents: per diem on actual days in July (31 days) (PSA §7.2).</w:t>
      </w:r>
    </w:p>
    <w:p>
      <w:pPr>
        <w:pStyle w:val="Compact"/>
        <w:numPr>
          <w:ilvl w:val="0"/>
          <w:numId w:val="1017"/>
        </w:numPr>
      </w:pPr>
      <w:r>
        <w:t xml:space="preserve">Rounding: fractional cents rounded to nearest cent, remaining balance to Buyer; rent proration calculated per-lease then aggregated (PSA §7.2(c)–(d)).</w:t>
      </w:r>
    </w:p>
    <w:bookmarkEnd w:id="49"/>
    <w:bookmarkStart w:id="50" w:name="b-12.-no-brokerage-commission"/>
    <w:p>
      <w:pPr>
        <w:pStyle w:val="Heading3"/>
      </w:pPr>
      <w:r>
        <w:t xml:space="preserve">B-12. No Brokerage Commission</w:t>
      </w:r>
    </w:p>
    <w:p>
      <w:pPr>
        <w:pStyle w:val="FirstParagraph"/>
      </w:pPr>
      <w:r>
        <w:t xml:space="preserve">Per PSA §15.7, no broker, finder, or real estate agent was involved and no commission is due. No brokerage line item appears on the settlement statement.</w:t>
      </w:r>
    </w:p>
    <w:bookmarkEnd w:id="50"/>
    <w:bookmarkStart w:id="51" w:name="b-13.-utility-deposits"/>
    <w:p>
      <w:pPr>
        <w:pStyle w:val="Heading3"/>
      </w:pPr>
      <w:r>
        <w:t xml:space="preserve">B-13. Utility Deposits</w:t>
      </w:r>
    </w:p>
    <w:p>
      <w:pPr>
        <w:pStyle w:val="FirstParagraph"/>
      </w:pPr>
      <w:r>
        <w:t xml:space="preserve">Per PSA §7.5(d), utility deposits held in Seller’s name are retained by Seller unless the parties otherwise agree. No utility deposit transfer is reflected. Buyer is responsible for establishing new utility accounts effective the closing date.</w:t>
      </w:r>
    </w:p>
    <w:p>
      <w:r>
        <w:pict>
          <v:rect style="width:0;height:1.5pt" o:hralign="center" o:hrstd="t" o:hr="t"/>
        </w:pict>
      </w:r>
    </w:p>
    <w:bookmarkEnd w:id="51"/>
    <w:bookmarkEnd w:id="52"/>
    <w:bookmarkStart w:id="53" w:name="c.-reconciliation-confirmation"/>
    <w:p>
      <w:pPr>
        <w:pStyle w:val="Heading2"/>
      </w:pPr>
      <w:r>
        <w:t xml:space="preserve">C. RECONCILIATION CONFIRMATION</w:t>
      </w:r>
    </w:p>
    <w:p>
      <w:pPr>
        <w:pStyle w:val="FirstParagraph"/>
      </w:pPr>
      <w:r>
        <w:t xml:space="preserve">The settlement statement reconciles as follows: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Reconciliation Check</w:t>
            </w:r>
          </w:p>
        </w:tc>
        <w:tc>
          <w:tcPr/>
          <w:p>
            <w:pPr>
              <w:pStyle w:val="Compact"/>
              <w:jc w:val="right"/>
            </w:pPr>
            <w:r>
              <w:t xml:space="preserve">Amount</w:t>
            </w:r>
          </w:p>
        </w:tc>
      </w:tr>
      <w:tr>
        <w:tc>
          <w:tcPr/>
          <w:p>
            <w:pPr>
              <w:pStyle w:val="Compact"/>
              <w:jc w:val="left"/>
            </w:pPr>
            <w:r>
              <w:t xml:space="preserve">Total charges to Buyer</w:t>
            </w:r>
          </w:p>
        </w:tc>
        <w:tc>
          <w:tcPr/>
          <w:p>
            <w:pPr>
              <w:pStyle w:val="Compact"/>
              <w:jc w:val="right"/>
            </w:pPr>
            <w:r>
              <w:t xml:space="preserve">$3,967,767.00</w:t>
            </w:r>
          </w:p>
        </w:tc>
      </w:tr>
      <w:tr>
        <w:tc>
          <w:tcPr/>
          <w:p>
            <w:pPr>
              <w:pStyle w:val="Compact"/>
              <w:jc w:val="left"/>
            </w:pPr>
            <w:r>
              <w:t xml:space="preserve">Less: total credits to Buyer</w:t>
            </w:r>
          </w:p>
        </w:tc>
        <w:tc>
          <w:tcPr/>
          <w:p>
            <w:pPr>
              <w:pStyle w:val="Compact"/>
              <w:jc w:val="right"/>
            </w:pPr>
            <w:r>
              <w:t xml:space="preserve">($2,882,354.88)</w:t>
            </w:r>
          </w:p>
        </w:tc>
      </w:tr>
      <w:tr>
        <w:tc>
          <w:tcPr/>
          <w:p>
            <w:pPr>
              <w:pStyle w:val="Compact"/>
              <w:jc w:val="left"/>
            </w:pPr>
            <w:r>
              <w:rPr>
                <w:b/>
                <w:bCs/>
              </w:rPr>
              <w:t xml:space="preserve">Buyer cash to close</w:t>
            </w:r>
          </w:p>
        </w:tc>
        <w:tc>
          <w:tcPr/>
          <w:p>
            <w:pPr>
              <w:pStyle w:val="Compact"/>
              <w:jc w:val="right"/>
            </w:pPr>
            <w:r>
              <w:rPr>
                <w:b/>
                <w:bCs/>
              </w:rPr>
              <w:t xml:space="preserve">$1,085,412.12</w:t>
            </w:r>
          </w:p>
        </w:tc>
      </w:tr>
      <w:tr>
        <w:tc>
          <w:tcPr/>
          <w:p>
            <w:pPr>
              <w:pStyle w:val="Compact"/>
            </w:pPr>
          </w:p>
        </w:tc>
        <w:tc>
          <w:tcPr/>
          <w:p>
            <w:pPr>
              <w:pStyle w:val="Compact"/>
            </w:pPr>
          </w:p>
        </w:tc>
      </w:tr>
      <w:tr>
        <w:tc>
          <w:tcPr/>
          <w:p>
            <w:pPr>
              <w:pStyle w:val="Compact"/>
              <w:jc w:val="left"/>
            </w:pPr>
            <w:r>
              <w:t xml:space="preserve">Total credits to Seller (gross)</w:t>
            </w:r>
          </w:p>
        </w:tc>
        <w:tc>
          <w:tcPr/>
          <w:p>
            <w:pPr>
              <w:pStyle w:val="Compact"/>
              <w:jc w:val="right"/>
            </w:pPr>
            <w:r>
              <w:t xml:space="preserve">$3,900,693.00</w:t>
            </w:r>
          </w:p>
        </w:tc>
      </w:tr>
      <w:tr>
        <w:tc>
          <w:tcPr/>
          <w:p>
            <w:pPr>
              <w:pStyle w:val="Compact"/>
              <w:jc w:val="left"/>
            </w:pPr>
            <w:r>
              <w:t xml:space="preserve">Less: total debits to Seller</w:t>
            </w:r>
          </w:p>
        </w:tc>
        <w:tc>
          <w:tcPr/>
          <w:p>
            <w:pPr>
              <w:pStyle w:val="Compact"/>
              <w:jc w:val="right"/>
            </w:pPr>
            <w:r>
              <w:t xml:space="preserve">($1,036,029.17)</w:t>
            </w:r>
          </w:p>
        </w:tc>
      </w:tr>
      <w:tr>
        <w:tc>
          <w:tcPr/>
          <w:p>
            <w:pPr>
              <w:pStyle w:val="Compact"/>
              <w:jc w:val="left"/>
            </w:pPr>
            <w:r>
              <w:rPr>
                <w:b/>
                <w:bCs/>
              </w:rPr>
              <w:t xml:space="preserve">Seller net proceeds</w:t>
            </w:r>
          </w:p>
        </w:tc>
        <w:tc>
          <w:tcPr/>
          <w:p>
            <w:pPr>
              <w:pStyle w:val="Compact"/>
              <w:jc w:val="right"/>
            </w:pPr>
            <w:r>
              <w:rPr>
                <w:b/>
                <w:bCs/>
              </w:rPr>
              <w:t xml:space="preserve">$2,864,663.83</w:t>
            </w:r>
          </w:p>
        </w:tc>
      </w:tr>
      <w:tr>
        <w:tc>
          <w:tcPr/>
          <w:p>
            <w:pPr>
              <w:pStyle w:val="Compact"/>
            </w:pPr>
          </w:p>
        </w:tc>
        <w:tc>
          <w:tcPr/>
          <w:p>
            <w:pPr>
              <w:pStyle w:val="Compact"/>
            </w:pPr>
          </w:p>
        </w:tc>
      </w:tr>
      <w:tr>
        <w:tc>
          <w:tcPr/>
          <w:p>
            <w:pPr>
              <w:pStyle w:val="Compact"/>
              <w:jc w:val="left"/>
            </w:pPr>
            <w:r>
              <w:t xml:space="preserve">Total funds available (Buyer cash + loan + earnest money + interest)</w:t>
            </w:r>
          </w:p>
        </w:tc>
        <w:tc>
          <w:tcPr/>
          <w:p>
            <w:pPr>
              <w:pStyle w:val="Compact"/>
              <w:jc w:val="right"/>
            </w:pPr>
            <w:r>
              <w:t xml:space="preserve">$3,920,412.12</w:t>
            </w:r>
          </w:p>
        </w:tc>
      </w:tr>
      <w:tr>
        <w:tc>
          <w:tcPr/>
          <w:p>
            <w:pPr>
              <w:pStyle w:val="Compact"/>
              <w:jc w:val="left"/>
            </w:pPr>
            <w:r>
              <w:t xml:space="preserve">Total disbursements</w:t>
            </w:r>
          </w:p>
        </w:tc>
        <w:tc>
          <w:tcPr/>
          <w:p>
            <w:pPr>
              <w:pStyle w:val="Compact"/>
              <w:jc w:val="right"/>
            </w:pPr>
            <w:r>
              <w:t xml:space="preserve">$3,920,412.12</w:t>
            </w:r>
          </w:p>
        </w:tc>
      </w:tr>
      <w:tr>
        <w:tc>
          <w:tcPr/>
          <w:p>
            <w:pPr>
              <w:pStyle w:val="Compact"/>
              <w:jc w:val="left"/>
            </w:pPr>
            <w:r>
              <w:rPr>
                <w:b/>
                <w:bCs/>
              </w:rPr>
              <w:t xml:space="preserve">Reconciliation variance</w:t>
            </w:r>
          </w:p>
        </w:tc>
        <w:tc>
          <w:tcPr/>
          <w:p>
            <w:pPr>
              <w:pStyle w:val="Compact"/>
              <w:jc w:val="right"/>
            </w:pPr>
            <w:r>
              <w:rPr>
                <w:b/>
                <w:bCs/>
              </w:rPr>
              <w:t xml:space="preserve">$0.00</w:t>
            </w:r>
          </w:p>
        </w:tc>
      </w:tr>
    </w:tbl>
    <w:p>
      <w:pPr>
        <w:pStyle w:val="BodyText"/>
      </w:pPr>
      <w:r>
        <w:t xml:space="preserve">Proration transfers between parties are internally consistent: Seller-to-Buyer adjustments (rent $12,941.95 + security deposits $32,400.00 + next-FY tax $2,012.93 = $47,354.88) equal Buyer credits; Buyer-to-Seller adjustment (heating oil $693.00) equals Seller credit. Aggregate lien payoffs ($866,631.89) match PSA §5.3.</w:t>
      </w:r>
    </w:p>
    <w:p>
      <w:r>
        <w:pict>
          <v:rect style="width:0;height:1.5pt" o:hralign="center" o:hrstd="t" o:hr="t"/>
        </w:pict>
      </w:r>
    </w:p>
    <w:bookmarkEnd w:id="53"/>
    <w:bookmarkStart w:id="54" w:name="d.-recommended-actions-before-closing"/>
    <w:p>
      <w:pPr>
        <w:pStyle w:val="Heading2"/>
      </w:pPr>
      <w:r>
        <w:t xml:space="preserve">D. RECOMMENDED ACTIONS BEFORE CLOSING</w:t>
      </w:r>
    </w:p>
    <w:p>
      <w:pPr>
        <w:pStyle w:val="Compact"/>
        <w:numPr>
          <w:ilvl w:val="0"/>
          <w:numId w:val="1018"/>
        </w:numPr>
      </w:pPr>
      <w:r>
        <w:rPr>
          <w:b/>
          <w:bCs/>
        </w:rPr>
        <w:t xml:space="preserve">Confirm recording references</w:t>
      </w:r>
      <w:r>
        <w:t xml:space="preserve"> </w:t>
      </w:r>
      <w:r>
        <w:t xml:space="preserve">for the first mortgage, HELOC, and mechanic’s lien (Discrepancies A-3, A-4, A-5) so that releases discharge the correct instruments.</w:t>
      </w:r>
    </w:p>
    <w:p>
      <w:pPr>
        <w:pStyle w:val="Compact"/>
        <w:numPr>
          <w:ilvl w:val="0"/>
          <w:numId w:val="1018"/>
        </w:numPr>
      </w:pPr>
      <w:r>
        <w:rPr>
          <w:b/>
          <w:bCs/>
        </w:rPr>
        <w:t xml:space="preserve">Verify the $150.00 Probate Court Certificate</w:t>
      </w:r>
      <w:r>
        <w:t xml:space="preserve"> </w:t>
      </w:r>
      <w:r>
        <w:t xml:space="preserve">was not already paid; adjust Seller debits if it was (Discrepancy A-15).</w:t>
      </w:r>
    </w:p>
    <w:p>
      <w:pPr>
        <w:pStyle w:val="Compact"/>
        <w:numPr>
          <w:ilvl w:val="0"/>
          <w:numId w:val="1018"/>
        </w:numPr>
      </w:pPr>
      <w:r>
        <w:rPr>
          <w:b/>
          <w:bCs/>
        </w:rPr>
        <w:t xml:space="preserve">Obtain the Escrow Agent’s earnest-money interest statement</w:t>
      </w:r>
      <w:r>
        <w:t xml:space="preserve"> </w:t>
      </w:r>
      <w:r>
        <w:t xml:space="preserve">and the Harborstone FCU residential security-deposit interest statement; add confirmed amounts as credits to Buyer (Assumptions B-1, B-2).</w:t>
      </w:r>
    </w:p>
    <w:p>
      <w:pPr>
        <w:pStyle w:val="Compact"/>
        <w:numPr>
          <w:ilvl w:val="0"/>
          <w:numId w:val="1018"/>
        </w:numPr>
      </w:pPr>
      <w:r>
        <w:rPr>
          <w:b/>
          <w:bCs/>
        </w:rPr>
        <w:t xml:space="preserve">Confirm the conveyance tax</w:t>
      </w:r>
      <w:r>
        <w:t xml:space="preserve"> </w:t>
      </w:r>
      <w:r>
        <w:t xml:space="preserve">by preparing Form OP-236 and applying the current Bridgeport state/municipal rates (Discrepancy A-16).</w:t>
      </w:r>
    </w:p>
    <w:p>
      <w:pPr>
        <w:pStyle w:val="Compact"/>
        <w:numPr>
          <w:ilvl w:val="0"/>
          <w:numId w:val="1018"/>
        </w:numPr>
      </w:pPr>
      <w:r>
        <w:rPr>
          <w:b/>
          <w:bCs/>
        </w:rPr>
        <w:t xml:space="preserve">Confirm the correct closing-agent address and wire instructions</w:t>
      </w:r>
      <w:r>
        <w:t xml:space="preserve"> </w:t>
      </w:r>
      <w:r>
        <w:t xml:space="preserve">before transmitting funds (Discrepancy A-6).</w:t>
      </w:r>
    </w:p>
    <w:p>
      <w:pPr>
        <w:pStyle w:val="Compact"/>
        <w:numPr>
          <w:ilvl w:val="0"/>
          <w:numId w:val="1018"/>
        </w:numPr>
      </w:pPr>
      <w:r>
        <w:rPr>
          <w:b/>
          <w:bCs/>
        </w:rPr>
        <w:t xml:space="preserve">Confirm whether any unquantified Buyer costs</w:t>
      </w:r>
      <w:r>
        <w:t xml:space="preserve"> </w:t>
      </w:r>
      <w:r>
        <w:t xml:space="preserve">(survey, environmental, insurance premium, CPL, SNDA) are due at closing (Assumption B-9).</w:t>
      </w:r>
    </w:p>
    <w:p>
      <w:pPr>
        <w:pStyle w:val="Compact"/>
        <w:numPr>
          <w:ilvl w:val="0"/>
          <w:numId w:val="1018"/>
        </w:numPr>
      </w:pPr>
      <w:r>
        <w:rPr>
          <w:b/>
          <w:bCs/>
        </w:rPr>
        <w:t xml:space="preserve">Confirm the title commitment number and underwriter name</w:t>
      </w:r>
      <w:r>
        <w:t xml:space="preserve"> </w:t>
      </w:r>
      <w:r>
        <w:t xml:space="preserve">for the policies to be issued (Discrepancies A-1, A-2).</w:t>
      </w:r>
    </w:p>
    <w:p>
      <w:r>
        <w:pict>
          <v:rect style="width:0;height:1.5pt" o:hralign="center" o:hrstd="t" o:hr="t"/>
        </w:pict>
      </w:r>
    </w:p>
    <w:p>
      <w:pPr>
        <w:pStyle w:val="FirstParagraph"/>
      </w:pPr>
      <w:r>
        <w:rPr>
          <w:i/>
          <w:iCs/>
        </w:rPr>
        <w:t xml:space="preserve">Prepared as a companion to the settlement statement for the closing of 4280 Harborview Boulevard, Bridgeport, CT 06604, on July 15, 2025. This memorandum is for closing-table use and does not constitute legal advice; the parties should review all flagged items with their respective counsel.</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2026-06-28T18:01:21Z</dcterms:created>
  <dcterms:modified xsi:type="dcterms:W3CDTF">2026-06-28T18:01:21Z</dcterms:modified>
</cp:coreProperties>
</file>

<file path=docProps/custom.xml><?xml version="1.0" encoding="utf-8"?>
<Properties xmlns="http://schemas.openxmlformats.org/officeDocument/2006/custom-properties" xmlns:vt="http://schemas.openxmlformats.org/officeDocument/2006/docPropsVTypes"/>
</file>