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otes-memorandum-settlement-statement"/>
    <w:p>
      <w:pPr>
        <w:pStyle w:val="Heading1"/>
      </w:pPr>
      <w:r>
        <w:t xml:space="preserve">NOTES MEMORANDUM — SETTLEMENT STATEMENT</w:t>
      </w:r>
    </w:p>
    <w:bookmarkStart w:id="27" w:name="Xe2294ff5c9b013d594924e9567938658a947a35"/>
    <w:p>
      <w:pPr>
        <w:pStyle w:val="Heading2"/>
      </w:pPr>
      <w:r>
        <w:t xml:space="preserve">Closing of 4280 Harborview Boulevard, Bridgeport, CT 06604</w:t>
      </w:r>
    </w:p>
    <w:p>
      <w:pPr>
        <w:pStyle w:val="FirstParagraph"/>
      </w:pPr>
      <w:r>
        <w:rPr>
          <w:b/>
          <w:bCs/>
        </w:rPr>
        <w:t xml:space="preserve">To:</w:t>
      </w:r>
      <w:r>
        <w:t xml:space="preserve"> </w:t>
      </w:r>
      <w:r>
        <w:t xml:space="preserve">Lorraine M. Grasso, Closing Officer — Pinnacle Abstract &amp; Title LLC</w:t>
      </w:r>
      <w:r>
        <w:t xml:space="preserve"> </w:t>
      </w:r>
      <w:r>
        <w:rPr>
          <w:b/>
          <w:bCs/>
        </w:rPr>
        <w:t xml:space="preserve">Cc:</w:t>
      </w:r>
      <w:r>
        <w:t xml:space="preserve"> </w:t>
      </w:r>
      <w:r>
        <w:t xml:space="preserve">David H. Clement, Esq. (Seller’s counsel); Nora F. Kapadia, Esq. (Buyer’s counsel); Marcus J. Pellegrino (Tidewater Savings Bank)</w:t>
      </w:r>
      <w:r>
        <w:t xml:space="preserve"> </w:t>
      </w:r>
      <w:r>
        <w:rPr>
          <w:b/>
          <w:bCs/>
        </w:rPr>
        <w:t xml:space="preserve">Re:</w:t>
      </w:r>
      <w:r>
        <w:t xml:space="preserve"> </w:t>
      </w:r>
      <w:r>
        <w:t xml:space="preserve">Settlement Statement dated July 15, 2025 — Estate of Gerald T. Whitford (Seller) / Meridian Cove Properties LLC (Buyer)</w:t>
      </w:r>
      <w:r>
        <w:t xml:space="preserve"> </w:t>
      </w:r>
      <w:r>
        <w:rPr>
          <w:b/>
          <w:bCs/>
        </w:rPr>
        <w:t xml:space="preserve">Prepared By:</w:t>
      </w:r>
      <w:r>
        <w:t xml:space="preserve"> </w:t>
      </w:r>
      <w:r>
        <w:t xml:space="preserve">Closing Agent — Pinnacle Abstract &amp; Title LLC</w:t>
      </w:r>
      <w:r>
        <w:t xml:space="preserve"> </w:t>
      </w:r>
      <w:r>
        <w:rPr>
          <w:b/>
          <w:bCs/>
        </w:rPr>
        <w:t xml:space="preserve">Date:</w:t>
      </w:r>
      <w:r>
        <w:t xml:space="preserve"> </w:t>
      </w:r>
      <w:r>
        <w:t xml:space="preserve">July 14, 2025</w:t>
      </w:r>
    </w:p>
    <w:p>
      <w:r>
        <w:pict>
          <v:rect style="width:0;height:1.5pt" o:hralign="center" o:hrstd="t" o:hr="t"/>
        </w:pict>
      </w:r>
    </w:p>
    <w:bookmarkStart w:id="20" w:name="purpose"/>
    <w:p>
      <w:pPr>
        <w:pStyle w:val="Heading3"/>
      </w:pPr>
      <w:r>
        <w:t xml:space="preserve">1. PURPOSE</w:t>
      </w:r>
    </w:p>
    <w:p>
      <w:pPr>
        <w:pStyle w:val="FirstParagraph"/>
      </w:pPr>
      <w:r>
        <w:t xml:space="preserve">This memorandum accompanies the settlement statement prepared for the above-captioned closing. It (a) summarizes the key settlement figures, (b) flags discrepancies identified among the closing documents, (c) states the assumptions used where figures were not directly provided, and (d) lists items to be confirmed before disbursement. The settlement statement reconciles exactly (Total Sources = Total Uses = $3,918,564.53); the items below do not affect that reconciliation but should be resolved or acknowledged by the parties prior to or at closing.</w:t>
      </w:r>
    </w:p>
    <w:p>
      <w:r>
        <w:pict>
          <v:rect style="width:0;height:1.5pt" o:hralign="center" o:hrstd="t" o:hr="t"/>
        </w:pict>
      </w:r>
    </w:p>
    <w:bookmarkEnd w:id="20"/>
    <w:bookmarkStart w:id="21" w:name="summary-of-key-figures"/>
    <w:p>
      <w:pPr>
        <w:pStyle w:val="Heading3"/>
      </w:pPr>
      <w:r>
        <w:t xml:space="preserve">2. SUMMARY OF KEY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Figure</w:t>
            </w:r>
          </w:p>
        </w:tc>
        <w:tc>
          <w:tcPr/>
          <w:p>
            <w:pPr>
              <w:pStyle w:val="Compact"/>
              <w:jc w:val="right"/>
            </w:pPr>
            <w:r>
              <w:t xml:space="preserve">Amount</w:t>
            </w:r>
          </w:p>
        </w:tc>
      </w:tr>
      <w:tr>
        <w:tc>
          <w:tcPr/>
          <w:p>
            <w:pPr>
              <w:pStyle w:val="Compact"/>
              <w:jc w:val="left"/>
            </w:pPr>
            <w:r>
              <w:t xml:space="preserve">Purchase Price</w:t>
            </w:r>
          </w:p>
        </w:tc>
        <w:tc>
          <w:tcPr/>
          <w:p>
            <w:pPr>
              <w:pStyle w:val="Compact"/>
              <w:jc w:val="right"/>
            </w:pPr>
            <w:r>
              <w:t xml:space="preserve">$3,900,000.00</w:t>
            </w:r>
          </w:p>
        </w:tc>
      </w:tr>
      <w:tr>
        <w:tc>
          <w:tcPr/>
          <w:p>
            <w:pPr>
              <w:pStyle w:val="Compact"/>
              <w:jc w:val="left"/>
            </w:pPr>
            <w:r>
              <w:t xml:space="preserve">New Loan (Tidewater Savings Bank)</w:t>
            </w:r>
          </w:p>
        </w:tc>
        <w:tc>
          <w:tcPr/>
          <w:p>
            <w:pPr>
              <w:pStyle w:val="Compact"/>
              <w:jc w:val="right"/>
            </w:pPr>
            <w:r>
              <w:t xml:space="preserve">$2,640,000.00</w:t>
            </w:r>
          </w:p>
        </w:tc>
      </w:tr>
      <w:tr>
        <w:tc>
          <w:tcPr/>
          <w:p>
            <w:pPr>
              <w:pStyle w:val="Compact"/>
              <w:jc w:val="left"/>
            </w:pPr>
            <w:r>
              <w:t xml:space="preserve">Earnest Money on Deposit</w:t>
            </w:r>
          </w:p>
        </w:tc>
        <w:tc>
          <w:tcPr/>
          <w:p>
            <w:pPr>
              <w:pStyle w:val="Compact"/>
              <w:jc w:val="right"/>
            </w:pPr>
            <w:r>
              <w:t xml:space="preserve">$195,000.00</w:t>
            </w:r>
          </w:p>
        </w:tc>
      </w:tr>
      <w:tr>
        <w:tc>
          <w:tcPr/>
          <w:p>
            <w:pPr>
              <w:pStyle w:val="Compact"/>
              <w:jc w:val="left"/>
            </w:pPr>
            <w:r>
              <w:t xml:space="preserve">Total Lien Payoffs (monetary)</w:t>
            </w:r>
          </w:p>
        </w:tc>
        <w:tc>
          <w:tcPr/>
          <w:p>
            <w:pPr>
              <w:pStyle w:val="Compact"/>
              <w:jc w:val="right"/>
            </w:pPr>
            <w:r>
              <w:t xml:space="preserve">$866,631.89</w:t>
            </w:r>
          </w:p>
        </w:tc>
      </w:tr>
      <w:tr>
        <w:tc>
          <w:tcPr/>
          <w:p>
            <w:pPr>
              <w:pStyle w:val="Compact"/>
              <w:jc w:val="left"/>
            </w:pPr>
            <w:r>
              <w:t xml:space="preserve">Repair Escrow (Seller holdback)</w:t>
            </w:r>
          </w:p>
        </w:tc>
        <w:tc>
          <w:tcPr/>
          <w:p>
            <w:pPr>
              <w:pStyle w:val="Compact"/>
              <w:jc w:val="right"/>
            </w:pPr>
            <w:r>
              <w:t xml:space="preserve">$45,000.00</w:t>
            </w:r>
          </w:p>
        </w:tc>
      </w:tr>
      <w:tr>
        <w:tc>
          <w:tcPr/>
          <w:p>
            <w:pPr>
              <w:pStyle w:val="Compact"/>
              <w:jc w:val="left"/>
            </w:pPr>
            <w:r>
              <w:t xml:space="preserve">Total CT Conveyance Tax (50/50)</w:t>
            </w:r>
          </w:p>
        </w:tc>
        <w:tc>
          <w:tcPr/>
          <w:p>
            <w:pPr>
              <w:pStyle w:val="Compact"/>
              <w:jc w:val="right"/>
            </w:pPr>
            <w:r>
              <w:t xml:space="preserve">$44,750.00</w:t>
            </w:r>
          </w:p>
        </w:tc>
      </w:tr>
      <w:tr>
        <w:tc>
          <w:tcPr/>
          <w:p>
            <w:pPr>
              <w:pStyle w:val="Compact"/>
              <w:jc w:val="left"/>
            </w:pPr>
            <w:r>
              <w:rPr>
                <w:b/>
                <w:bCs/>
              </w:rPr>
              <w:t xml:space="preserve">Cash Required from Buyer at Closing</w:t>
            </w:r>
          </w:p>
        </w:tc>
        <w:tc>
          <w:tcPr/>
          <w:p>
            <w:pPr>
              <w:pStyle w:val="Compact"/>
              <w:jc w:val="right"/>
            </w:pPr>
            <w:r>
              <w:rPr>
                <w:b/>
                <w:bCs/>
              </w:rPr>
              <w:t xml:space="preserve">$1,083,564.53</w:t>
            </w:r>
          </w:p>
        </w:tc>
      </w:tr>
      <w:tr>
        <w:tc>
          <w:tcPr/>
          <w:p>
            <w:pPr>
              <w:pStyle w:val="Compact"/>
              <w:jc w:val="left"/>
            </w:pPr>
            <w:r>
              <w:rPr>
                <w:b/>
                <w:bCs/>
              </w:rPr>
              <w:t xml:space="preserve">Net Proceeds to Seller</w:t>
            </w:r>
          </w:p>
        </w:tc>
        <w:tc>
          <w:tcPr/>
          <w:p>
            <w:pPr>
              <w:pStyle w:val="Compact"/>
              <w:jc w:val="right"/>
            </w:pPr>
            <w:r>
              <w:rPr>
                <w:b/>
                <w:bCs/>
              </w:rPr>
              <w:t xml:space="preserve">$2,864,813.84</w:t>
            </w:r>
          </w:p>
        </w:tc>
      </w:tr>
      <w:tr>
        <w:tc>
          <w:tcPr/>
          <w:p>
            <w:pPr>
              <w:pStyle w:val="Compact"/>
              <w:jc w:val="left"/>
            </w:pPr>
            <w:r>
              <w:rPr>
                <w:b/>
                <w:bCs/>
              </w:rPr>
              <w:t xml:space="preserve">Total Sources = Total Uses (Reconciled)</w:t>
            </w:r>
          </w:p>
        </w:tc>
        <w:tc>
          <w:tcPr/>
          <w:p>
            <w:pPr>
              <w:pStyle w:val="Compact"/>
              <w:jc w:val="right"/>
            </w:pPr>
            <w:r>
              <w:rPr>
                <w:b/>
                <w:bCs/>
              </w:rPr>
              <w:t xml:space="preserve">$3,918,564.53</w:t>
            </w:r>
          </w:p>
        </w:tc>
      </w:tr>
    </w:tbl>
    <w:p>
      <w:r>
        <w:pict>
          <v:rect style="width:0;height:1.5pt" o:hralign="center" o:hrstd="t" o:hr="t"/>
        </w:pict>
      </w:r>
    </w:p>
    <w:bookmarkEnd w:id="21"/>
    <w:bookmarkStart w:id="22" w:name="discrepancies-flagged"/>
    <w:p>
      <w:pPr>
        <w:pStyle w:val="Heading3"/>
      </w:pPr>
      <w:r>
        <w:t xml:space="preserve">3. DISCREPANCIES FLAGGED</w:t>
      </w:r>
    </w:p>
    <w:p>
      <w:pPr>
        <w:pStyle w:val="FirstParagraph"/>
      </w:pPr>
      <w:r>
        <w:rPr>
          <w:b/>
          <w:bCs/>
        </w:rPr>
        <w:t xml:space="preserve">D-1. Water/Sewer handling — PSA vs. City Tax Lien Statement.</w:t>
      </w:r>
      <w:r>
        <w:t xml:space="preserve"> </w:t>
      </w:r>
      <w:r>
        <w:t xml:space="preserve">PSA §7.5(a) directs that the full unpaid water/sewer balance ($1,847.60, billing period May 15 – July 14, 2025, ending before Closing) be</w:t>
      </w:r>
      <w:r>
        <w:t xml:space="preserve"> </w:t>
      </w:r>
      <w:r>
        <w:rPr>
          <w:b/>
          <w:bCs/>
        </w:rPr>
        <w:t xml:space="preserve">credited to Buyer</w:t>
      </w:r>
      <w:r>
        <w:t xml:space="preserve"> </w:t>
      </w:r>
      <w:r>
        <w:t xml:space="preserve">on the settlement statement (debit Seller / credit Buyer). The City of Bridgeport Tax Lien Statement (§6), however, bundles the water/sewer with the delinquent tax into a</w:t>
      </w:r>
      <w:r>
        <w:t xml:space="preserve"> </w:t>
      </w:r>
      <w:r>
        <w:rPr>
          <w:b/>
          <w:bCs/>
        </w:rPr>
        <w:t xml:space="preserve">single combined payoff of $30,450.40</w:t>
      </w:r>
      <w:r>
        <w:t xml:space="preserve"> </w:t>
      </w:r>
      <w:r>
        <w:t xml:space="preserve">payable to the City under one wire instruction. The settlement statement follows the PSA (credit to Buyer). The net effect on Seller is identical ($1,847.60 out of proceeds either way); the only difference is whether the $1,847.60 is wired directly to the City or credited to Buyer (who then pays the August 1, 2025 bill).</w:t>
      </w:r>
      <w:r>
        <w:t xml:space="preserve"> </w:t>
      </w:r>
      <w:r>
        <w:rPr>
          <w:b/>
          <w:bCs/>
        </w:rPr>
        <w:t xml:space="preserve">Action:</w:t>
      </w:r>
      <w:r>
        <w:t xml:space="preserve"> </w:t>
      </w:r>
      <w:r>
        <w:t xml:space="preserve">Confirm the intended disbursement method with the Closing Agent before wiring.</w:t>
      </w:r>
    </w:p>
    <w:p>
      <w:pPr>
        <w:pStyle w:val="BodyText"/>
      </w:pPr>
      <w:r>
        <w:rPr>
          <w:b/>
          <w:bCs/>
        </w:rPr>
        <w:t xml:space="preserve">D-2. Connecticut Real Estate Conveyance Tax is an estimate.</w:t>
      </w:r>
      <w:r>
        <w:t xml:space="preserve"> </w:t>
      </w:r>
      <w:r>
        <w:t xml:space="preserve">The title commitment (Schedule C) estimates the total conveyance tax at</w:t>
      </w:r>
      <w:r>
        <w:t xml:space="preserve"> </w:t>
      </w:r>
      <w:r>
        <w:rPr>
          <w:b/>
          <w:bCs/>
        </w:rPr>
        <w:t xml:space="preserve">$44,750.00</w:t>
      </w:r>
      <w:r>
        <w:t xml:space="preserve"> </w:t>
      </w:r>
      <w:r>
        <w:t xml:space="preserve">(split 50/50 = $22,375.00 each), stating it is</w:t>
      </w:r>
      <w:r>
        <w:t xml:space="preserve"> </w:t>
      </w:r>
      <w:r>
        <w:t xml:space="preserve">“</w:t>
      </w:r>
      <w:r>
        <w:t xml:space="preserve">calculated using the tiered rate structure applicable to the City of Bridgeport</w:t>
      </w:r>
      <w:r>
        <w:t xml:space="preserve">”</w:t>
      </w:r>
      <w:r>
        <w:t xml:space="preserve"> </w:t>
      </w:r>
      <w:r>
        <w:t xml:space="preserve">and is</w:t>
      </w:r>
      <w:r>
        <w:t xml:space="preserve"> </w:t>
      </w:r>
      <w:r>
        <w:t xml:space="preserve">“</w:t>
      </w:r>
      <w:r>
        <w:t xml:space="preserve">subject to adjustment</w:t>
      </w:r>
      <w:r>
        <w:t xml:space="preserve">”</w:t>
      </w:r>
      <w:r>
        <w:t xml:space="preserve"> </w:t>
      </w:r>
      <w:r>
        <w:t xml:space="preserve">upon filing Form OP-236. Notably, $44,750 ÷ $3,900,000 ≈ 1.147%, which does not resolve to a clean state-plus-municipal rate breakdown, suggesting the figure is approximate.</w:t>
      </w:r>
      <w:r>
        <w:t xml:space="preserve"> </w:t>
      </w:r>
      <w:r>
        <w:rPr>
          <w:b/>
          <w:bCs/>
        </w:rPr>
        <w:t xml:space="preserve">Action:</w:t>
      </w:r>
      <w:r>
        <w:t xml:space="preserve"> </w:t>
      </w:r>
      <w:r>
        <w:t xml:space="preserve">The Closing Agent must confirm the exact tiered Bridgeport rate and finalize the conveyance tax on Form OP-236 before recording; adjust both parties’ 50% shares if the final figure differs.</w:t>
      </w:r>
    </w:p>
    <w:p>
      <w:pPr>
        <w:pStyle w:val="BodyText"/>
      </w:pPr>
      <w:r>
        <w:rPr>
          <w:b/>
          <w:bCs/>
        </w:rPr>
        <w:t xml:space="preserve">D-3. Earnest-money interest not quantified.</w:t>
      </w:r>
      <w:r>
        <w:t xml:space="preserve"> </w:t>
      </w:r>
      <w:r>
        <w:t xml:space="preserve">PSA §3.2(d) requires that</w:t>
      </w:r>
      <w:r>
        <w:t xml:space="preserve"> </w:t>
      </w:r>
      <w:r>
        <w:rPr>
          <w:b/>
          <w:bCs/>
        </w:rPr>
        <w:t xml:space="preserve">all interest earned on the $195,000 earnest money</w:t>
      </w:r>
      <w:r>
        <w:t xml:space="preserve"> </w:t>
      </w:r>
      <w:r>
        <w:t xml:space="preserve">be credited to Buyer at Closing. The accrued interest amount is not stated in any provided document. The settlement statement credits the $195,000 principal only.</w:t>
      </w:r>
      <w:r>
        <w:t xml:space="preserve"> </w:t>
      </w:r>
      <w:r>
        <w:rPr>
          <w:b/>
          <w:bCs/>
        </w:rPr>
        <w:t xml:space="preserve">Action:</w:t>
      </w:r>
      <w:r>
        <w:t xml:space="preserve"> </w:t>
      </w:r>
      <w:r>
        <w:t xml:space="preserve">The Escrow Agent (Pinnacle) must confirm the accrued interest and add it as an additional credit to Buyer (and corresponding adjustment) before finalizing.</w:t>
      </w:r>
    </w:p>
    <w:p>
      <w:pPr>
        <w:pStyle w:val="BodyText"/>
      </w:pPr>
      <w:r>
        <w:rPr>
          <w:b/>
          <w:bCs/>
        </w:rPr>
        <w:t xml:space="preserve">D-4. Security-deposit interest not quantified.</w:t>
      </w:r>
      <w:r>
        <w:t xml:space="preserve"> </w:t>
      </w:r>
      <w:r>
        <w:t xml:space="preserve">PSA §7.4 and the management agreement (§6.1, §6.3) require transfer of residential security deposits</w:t>
      </w:r>
      <w:r>
        <w:t xml:space="preserve"> </w:t>
      </w:r>
      <w:r>
        <w:rPr>
          <w:b/>
          <w:bCs/>
        </w:rPr>
        <w:t xml:space="preserve">“</w:t>
      </w:r>
      <w:r>
        <w:rPr>
          <w:b/>
          <w:bCs/>
        </w:rPr>
        <w:t xml:space="preserve">together with any interest accrued thereon</w:t>
      </w:r>
      <w:r>
        <w:rPr>
          <w:b/>
          <w:bCs/>
        </w:rPr>
        <w:t xml:space="preserve">”</w:t>
      </w:r>
      <w:r>
        <w:t xml:space="preserve"> </w:t>
      </w:r>
      <w:r>
        <w:t xml:space="preserve">under CT Gen. Stat. §47a-21. The residential deposits are held in an interest-bearing escrow account at Harborstone FCU; the commercial deposit is non-interest-bearing per the lease and management agreement §6.2. The accrued residential interest is not provided. The settlement statement credits the $32,400.00 principal only.</w:t>
      </w:r>
      <w:r>
        <w:t xml:space="preserve"> </w:t>
      </w:r>
      <w:r>
        <w:rPr>
          <w:b/>
          <w:bCs/>
        </w:rPr>
        <w:t xml:space="preserve">Action:</w:t>
      </w:r>
      <w:r>
        <w:t xml:space="preserve"> </w:t>
      </w:r>
      <w:r>
        <w:t xml:space="preserve">Bayshore Management Co. / Harborstone FCU must confirm accrued residential interest and add it as an additional debit to Seller / credit to Buyer.</w:t>
      </w:r>
    </w:p>
    <w:p>
      <w:pPr>
        <w:pStyle w:val="BodyText"/>
      </w:pPr>
      <w:r>
        <w:rPr>
          <w:b/>
          <w:bCs/>
        </w:rPr>
        <w:t xml:space="preserve">D-5. Probate Court Certificate fee — appears already paid.</w:t>
      </w:r>
      <w:r>
        <w:t xml:space="preserve"> </w:t>
      </w:r>
      <w:r>
        <w:t xml:space="preserve">PSA §6.2(e) and §6.4 allocate the $150.00 Probate Court Certificate fee to Seller as a closing cost. The Fiduciary’s Certificate, however, states the $150.00 certification fee</w:t>
      </w:r>
      <w:r>
        <w:t xml:space="preserve"> </w:t>
      </w:r>
      <w:r>
        <w:rPr>
          <w:b/>
          <w:bCs/>
        </w:rPr>
        <w:t xml:space="preserve">“</w:t>
      </w:r>
      <w:r>
        <w:rPr>
          <w:b/>
          <w:bCs/>
        </w:rPr>
        <w:t xml:space="preserve">has been paid.</w:t>
      </w:r>
      <w:r>
        <w:rPr>
          <w:b/>
          <w:bCs/>
        </w:rPr>
        <w:t xml:space="preserve">”</w:t>
      </w:r>
      <w:r>
        <w:t xml:space="preserve"> </w:t>
      </w:r>
      <w:r>
        <w:t xml:space="preserve">Accordingly, the settlement statement shows this as a POC/disclosure-only item with $0.00 impact on Seller’s net proceeds.</w:t>
      </w:r>
      <w:r>
        <w:t xml:space="preserve"> </w:t>
      </w:r>
      <w:r>
        <w:rPr>
          <w:b/>
          <w:bCs/>
        </w:rPr>
        <w:t xml:space="preserve">Action:</w:t>
      </w:r>
      <w:r>
        <w:t xml:space="preserve"> </w:t>
      </w:r>
      <w:r>
        <w:t xml:space="preserve">Confirm no separate charge or reimbursement is required; if the Estate seeks reimbursement, add as a Seller debit.</w:t>
      </w:r>
    </w:p>
    <w:p>
      <w:pPr>
        <w:pStyle w:val="BodyText"/>
      </w:pPr>
      <w:r>
        <w:rPr>
          <w:b/>
          <w:bCs/>
        </w:rPr>
        <w:t xml:space="preserve">D-6. Lien recording-reference discrepancies between the title commitment and payoff letters.</w:t>
      </w:r>
      <w:r>
        <w:t xml:space="preserve"> </w:t>
      </w:r>
      <w:r>
        <w:t xml:space="preserve">Several recording references differ and should be reconciled by the title company to ensure the correct instruments are released (does not affect dollar figures):</w:t>
      </w:r>
      <w:r>
        <w:t xml:space="preserve"> </w:t>
      </w:r>
      <w:r>
        <w:t xml:space="preserve">-</w:t>
      </w:r>
      <w:r>
        <w:t xml:space="preserve"> </w:t>
      </w:r>
      <w:r>
        <w:rPr>
          <w:b/>
          <w:bCs/>
        </w:rPr>
        <w:t xml:space="preserve">Northbridge mechanic’s lien:</w:t>
      </w:r>
      <w:r>
        <w:t xml:space="preserve"> </w:t>
      </w:r>
      <w:r>
        <w:t xml:space="preserve">Title commitment (Req. 6) states Vol. 1398, Pg. 77; payoff Letter 3 states Vol. 1064, Pg. 517.</w:t>
      </w:r>
      <w:r>
        <w:t xml:space="preserve"> </w:t>
      </w:r>
      <w:r>
        <w:t xml:space="preserve">-</w:t>
      </w:r>
      <w:r>
        <w:t xml:space="preserve"> </w:t>
      </w:r>
      <w:r>
        <w:rPr>
          <w:b/>
          <w:bCs/>
        </w:rPr>
        <w:t xml:space="preserve">Harborstone first mortgage:</w:t>
      </w:r>
      <w:r>
        <w:t xml:space="preserve"> </w:t>
      </w:r>
      <w:r>
        <w:t xml:space="preserve">Title commitment (Req. 4) states Vol. 1087, Pg. 445; payoff Letter 1 states Vol. 312, Pg. 88 (which is the plat-map reference and appears to be an error in the payoff letter).</w:t>
      </w:r>
      <w:r>
        <w:t xml:space="preserve"> </w:t>
      </w:r>
      <w:r>
        <w:t xml:space="preserve">-</w:t>
      </w:r>
      <w:r>
        <w:t xml:space="preserve"> </w:t>
      </w:r>
      <w:r>
        <w:rPr>
          <w:b/>
          <w:bCs/>
        </w:rPr>
        <w:t xml:space="preserve">Harborstone HELOC:</w:t>
      </w:r>
      <w:r>
        <w:t xml:space="preserve"> </w:t>
      </w:r>
      <w:r>
        <w:t xml:space="preserve">Title commitment (Req. 5) states Vol. 1204, Pg. 218; payoff Letter 2 states Vol. 487, Pg. 112.</w:t>
      </w:r>
    </w:p>
    <w:p>
      <w:pPr>
        <w:pStyle w:val="BodyText"/>
      </w:pPr>
      <w:r>
        <w:rPr>
          <w:b/>
          <w:bCs/>
        </w:rPr>
        <w:t xml:space="preserve">D-7. Address / contact discrepancies across documents.</w:t>
      </w:r>
      <w:r>
        <w:t xml:space="preserve"> </w:t>
      </w:r>
      <w:r>
        <w:t xml:space="preserve">-</w:t>
      </w:r>
      <w:r>
        <w:t xml:space="preserve"> </w:t>
      </w:r>
      <w:r>
        <w:rPr>
          <w:b/>
          <w:bCs/>
        </w:rPr>
        <w:t xml:space="preserve">Closing Agent (Pinnacle Abstract &amp; Title):</w:t>
      </w:r>
      <w:r>
        <w:t xml:space="preserve"> </w:t>
      </w:r>
      <w:r>
        <w:t xml:space="preserve">PSA and title commitment state 88 Field Point Road, Greenwich, CT 06830; the tax lien statement states 1200 Post Road East, Suite 214, Westport, CT 06880; the lien-payoff cover letter states 3100 Main Street, Suite 204, Bridgeport, CT 06604.</w:t>
      </w:r>
      <w:r>
        <w:t xml:space="preserve"> </w:t>
      </w:r>
      <w:r>
        <w:t xml:space="preserve">-</w:t>
      </w:r>
      <w:r>
        <w:t xml:space="preserve"> </w:t>
      </w:r>
      <w:r>
        <w:rPr>
          <w:b/>
          <w:bCs/>
        </w:rPr>
        <w:t xml:space="preserve">Buyer’s counsel (Ridgeline Law Group):</w:t>
      </w:r>
      <w:r>
        <w:t xml:space="preserve"> </w:t>
      </w:r>
      <w:r>
        <w:t xml:space="preserve">PSA and title commitment state 915 Chapel Street, Suite 400, New Haven, CT 06510; the lien-payoff cover letter states 55 Railroad Avenue, Suite 300, Greenwich, CT 06830.</w:t>
      </w:r>
      <w:r>
        <w:t xml:space="preserve"> </w:t>
      </w:r>
      <w:r>
        <w:t xml:space="preserve">-</w:t>
      </w:r>
      <w:r>
        <w:t xml:space="preserve"> </w:t>
      </w:r>
      <w:r>
        <w:rPr>
          <w:b/>
          <w:bCs/>
        </w:rPr>
        <w:t xml:space="preserve">Seller’s counsel (Ashford, Clement &amp; Paige):</w:t>
      </w:r>
      <w:r>
        <w:t xml:space="preserve"> </w:t>
      </w:r>
      <w:r>
        <w:t xml:space="preserve">telephone (203) 547-8100 (lien-payoff letters) vs. (203) 555-4100 (probate certificate).</w:t>
      </w:r>
      <w:r>
        <w:t xml:space="preserve"> </w:t>
      </w:r>
      <w:r>
        <w:rPr>
          <w:b/>
          <w:bCs/>
        </w:rPr>
        <w:t xml:space="preserve">Action:</w:t>
      </w:r>
      <w:r>
        <w:t xml:space="preserve"> </w:t>
      </w:r>
      <w:r>
        <w:t xml:space="preserve">Confirm the correct wire and notice addresses before disbursement.</w:t>
      </w:r>
    </w:p>
    <w:p>
      <w:pPr>
        <w:pStyle w:val="BodyText"/>
      </w:pPr>
      <w:r>
        <w:rPr>
          <w:b/>
          <w:bCs/>
        </w:rPr>
        <w:t xml:space="preserve">D-8. Letters Testamentary date.</w:t>
      </w:r>
      <w:r>
        <w:t xml:space="preserve"> </w:t>
      </w:r>
      <w:r>
        <w:t xml:space="preserve">The title commitment (Schedule A) states Letters Testamentary were issued</w:t>
      </w:r>
      <w:r>
        <w:t xml:space="preserve"> </w:t>
      </w:r>
      <w:r>
        <w:t xml:space="preserve">“</w:t>
      </w:r>
      <w:r>
        <w:t xml:space="preserve">on or about October 14, 2024,</w:t>
      </w:r>
      <w:r>
        <w:t xml:space="preserve">”</w:t>
      </w:r>
      <w:r>
        <w:t xml:space="preserve"> </w:t>
      </w:r>
      <w:r>
        <w:t xml:space="preserve">while the Fiduciary’s Certificate and Estate Summary state</w:t>
      </w:r>
      <w:r>
        <w:t xml:space="preserve"> </w:t>
      </w:r>
      <w:r>
        <w:rPr>
          <w:b/>
          <w:bCs/>
        </w:rPr>
        <w:t xml:space="preserve">October 11, 2024</w:t>
      </w:r>
      <w:r>
        <w:t xml:space="preserve">. Immaterial to figures; confirm the certified date on the document delivered at closing (must be dated within 60 days of closing per title Req. 2).</w:t>
      </w:r>
    </w:p>
    <w:p>
      <w:pPr>
        <w:pStyle w:val="BodyText"/>
      </w:pPr>
      <w:r>
        <w:rPr>
          <w:b/>
          <w:bCs/>
        </w:rPr>
        <w:t xml:space="preserve">D-9. Management-agreement effective date.</w:t>
      </w:r>
      <w:r>
        <w:t xml:space="preserve"> </w:t>
      </w:r>
      <w:r>
        <w:t xml:space="preserve">The rent roll (Lease Summary) states the management agreement was</w:t>
      </w:r>
      <w:r>
        <w:t xml:space="preserve"> </w:t>
      </w:r>
      <w:r>
        <w:t xml:space="preserve">“</w:t>
      </w:r>
      <w:r>
        <w:t xml:space="preserve">effective October 1, 2024,</w:t>
      </w:r>
      <w:r>
        <w:t xml:space="preserve">”</w:t>
      </w:r>
      <w:r>
        <w:t xml:space="preserve"> </w:t>
      </w:r>
      <w:r>
        <w:t xml:space="preserve">while the agreement itself is dated and effective</w:t>
      </w:r>
      <w:r>
        <w:t xml:space="preserve"> </w:t>
      </w:r>
      <w:r>
        <w:rPr>
          <w:b/>
          <w:bCs/>
        </w:rPr>
        <w:t xml:space="preserve">October 15, 2024</w:t>
      </w:r>
      <w:r>
        <w:t xml:space="preserve">. Immaterial to closing figures.</w:t>
      </w:r>
    </w:p>
    <w:p>
      <w:pPr>
        <w:pStyle w:val="BodyText"/>
      </w:pPr>
      <w:r>
        <w:rPr>
          <w:b/>
          <w:bCs/>
        </w:rPr>
        <w:t xml:space="preserve">D-10. Loan-to-value ratio inconsistency in lender commitment.</w:t>
      </w:r>
      <w:r>
        <w:t xml:space="preserve"> </w:t>
      </w:r>
      <w:r>
        <w:t xml:space="preserve">The commitment states LTV of</w:t>
      </w:r>
      <w:r>
        <w:t xml:space="preserve"> </w:t>
      </w:r>
      <w:r>
        <w:t xml:space="preserve">“</w:t>
      </w:r>
      <w:r>
        <w:t xml:space="preserve">approximately 67.7%,</w:t>
      </w:r>
      <w:r>
        <w:t xml:space="preserve">”</w:t>
      </w:r>
      <w:r>
        <w:t xml:space="preserve"> </w:t>
      </w:r>
      <w:r>
        <w:t xml:space="preserve">but the stated math ($2,640,000 ÷ $3,920,000 appraised value) =</w:t>
      </w:r>
      <w:r>
        <w:t xml:space="preserve"> </w:t>
      </w:r>
      <w:r>
        <w:rPr>
          <w:b/>
          <w:bCs/>
        </w:rPr>
        <w:t xml:space="preserve">67.35%</w:t>
      </w:r>
      <w:r>
        <w:t xml:space="preserve">. Internal inconsistency in the commitment; does not affect settlement figures.</w:t>
      </w:r>
    </w:p>
    <w:p>
      <w:pPr>
        <w:pStyle w:val="BodyText"/>
      </w:pPr>
      <w:r>
        <w:rPr>
          <w:b/>
          <w:bCs/>
        </w:rPr>
        <w:t xml:space="preserve">D-11. Appraised value exceeds purchase price.</w:t>
      </w:r>
      <w:r>
        <w:t xml:space="preserve"> </w:t>
      </w:r>
      <w:r>
        <w:t xml:space="preserve">The appraisal (May 28, 2025, Ashford Valuation Associates LLC) determined an as-is market value of</w:t>
      </w:r>
      <w:r>
        <w:t xml:space="preserve"> </w:t>
      </w:r>
      <w:r>
        <w:rPr>
          <w:b/>
          <w:bCs/>
        </w:rPr>
        <w:t xml:space="preserve">$3,920,000</w:t>
      </w:r>
      <w:r>
        <w:t xml:space="preserve">, exceeding the $3,900,000 purchase price by $20,000. Favorable to Buyer; noted for information. The purchase price controls the settlement figures.</w:t>
      </w:r>
    </w:p>
    <w:p>
      <w:pPr>
        <w:pStyle w:val="BodyText"/>
      </w:pPr>
      <w:r>
        <w:rPr>
          <w:b/>
          <w:bCs/>
        </w:rPr>
        <w:t xml:space="preserve">D-12. Mill rate / assessment vs. stated levy.</w:t>
      </w:r>
      <w:r>
        <w:t xml:space="preserve"> </w:t>
      </w:r>
      <w:r>
        <w:t xml:space="preserve">Assessed value $1,205,330 × 43.54 mills = $52,476.08, which differs slightly from the stated annual levy of $52,480.00 (rounding in the published mill rate). The settlement statement uses the stated $52,480.00 levy per the tax lien statement and PSA. Immaterial.</w:t>
      </w:r>
    </w:p>
    <w:p>
      <w:r>
        <w:pict>
          <v:rect style="width:0;height:1.5pt" o:hralign="center" o:hrstd="t" o:hr="t"/>
        </w:pict>
      </w:r>
    </w:p>
    <w:bookmarkEnd w:id="22"/>
    <w:bookmarkStart w:id="23" w:name="assumptions"/>
    <w:p>
      <w:pPr>
        <w:pStyle w:val="Heading3"/>
      </w:pPr>
      <w:r>
        <w:t xml:space="preserve">4. ASSUMPTIONS</w:t>
      </w:r>
    </w:p>
    <w:p>
      <w:pPr>
        <w:pStyle w:val="FirstParagraph"/>
      </w:pPr>
      <w:r>
        <w:rPr>
          <w:b/>
          <w:bCs/>
        </w:rPr>
        <w:t xml:space="preserve">A-1. Closing occurs July 15, 2025, within all payoff good-through dates.</w:t>
      </w:r>
      <w:r>
        <w:t xml:space="preserve"> </w:t>
      </w:r>
      <w:r>
        <w:t xml:space="preserve">Harborstone payoffs (first mortgage and HELOC) are good through July 20, 2025, and the City tax lien statement is valid through July 20, 2025. Because Closing (July 15) falls within these windows,</w:t>
      </w:r>
      <w:r>
        <w:t xml:space="preserve"> </w:t>
      </w:r>
      <w:r>
        <w:rPr>
          <w:b/>
          <w:bCs/>
        </w:rPr>
        <w:t xml:space="preserve">no per diem interest adjustments</w:t>
      </w:r>
      <w:r>
        <w:t xml:space="preserve"> </w:t>
      </w:r>
      <w:r>
        <w:t xml:space="preserve">are applied to the lien payoffs. If Closing is delayed beyond July 20, 2025, updated payoffs must be obtained and per diem interest added: Harborstone first mortgage $112.67/day; HELOC ~$27.93/day; delinquent property tax $13.12/day.</w:t>
      </w:r>
    </w:p>
    <w:p>
      <w:pPr>
        <w:pStyle w:val="BodyText"/>
      </w:pPr>
      <w:r>
        <w:rPr>
          <w:b/>
          <w:bCs/>
        </w:rPr>
        <w:t xml:space="preserve">A-2. Proration convention.</w:t>
      </w:r>
      <w:r>
        <w:t xml:space="preserve"> </w:t>
      </w:r>
      <w:r>
        <w:t xml:space="preserve">Per PSA Article 7: all prorations as of 12:01 a.m. on July 15, 2025; the Closing Date is allocated to Buyer; a 365-day year is used for taxes; the actual days in July (31) are used for rents; fractional cents are rounded to the nearest cent.</w:t>
      </w:r>
    </w:p>
    <w:p>
      <w:pPr>
        <w:pStyle w:val="BodyText"/>
      </w:pPr>
      <w:r>
        <w:rPr>
          <w:b/>
          <w:bCs/>
        </w:rPr>
        <w:t xml:space="preserve">A-3. Next-fiscal-year tax is estimated.</w:t>
      </w:r>
      <w:r>
        <w:t xml:space="preserve"> </w:t>
      </w:r>
      <w:r>
        <w:t xml:space="preserve">The July 1, 2025 – June 30, 2026 tax is estimated at $52,480.00 (the current-year amount) because the new mill rate has not been set. The proration is subject to reproration within 90 days after Closing under PSA §7.7 when the actual bill issues.</w:t>
      </w:r>
    </w:p>
    <w:p>
      <w:pPr>
        <w:pStyle w:val="BodyText"/>
      </w:pPr>
      <w:r>
        <w:rPr>
          <w:b/>
          <w:bCs/>
        </w:rPr>
        <w:t xml:space="preserve">A-4. Rent proration uses collected rents only.</w:t>
      </w:r>
      <w:r>
        <w:t xml:space="preserve"> </w:t>
      </w:r>
      <w:r>
        <w:t xml:space="preserve">Per PSA §7.3, no credit is given for uncollected or delinquent rents. Unit 2E ($1,600 July rent, delinquent) and vacant Unit 3C are excluded from the rent proration. Buyer assumes the right to pursue Unit 2E’s delinquent rent post-closing (PSA §7.3(b)) but receives no closing credit for it.</w:t>
      </w:r>
    </w:p>
    <w:p>
      <w:pPr>
        <w:pStyle w:val="BodyText"/>
      </w:pPr>
      <w:r>
        <w:rPr>
          <w:b/>
          <w:bCs/>
        </w:rPr>
        <w:t xml:space="preserve">A-5. Heating oil based on the pre-closing inspection gauge reading.</w:t>
      </w:r>
      <w:r>
        <w:t xml:space="preserve"> </w:t>
      </w:r>
      <w:r>
        <w:t xml:space="preserve">180 gallons (gauge reading, July 14, 2025, 11:15 a.m.) at Seller’s last delivered price of $3.85/gallon (Shoreline Fuel &amp; Oil Co., delivery June 2, 2025) = $693.00.</w:t>
      </w:r>
    </w:p>
    <w:p>
      <w:pPr>
        <w:pStyle w:val="BodyText"/>
      </w:pPr>
      <w:r>
        <w:rPr>
          <w:b/>
          <w:bCs/>
        </w:rPr>
        <w:t xml:space="preserve">A-6. Repair Escrow is a third-party holdback.</w:t>
      </w:r>
      <w:r>
        <w:t xml:space="preserve"> </w:t>
      </w:r>
      <w:r>
        <w:t xml:space="preserve">The $45,000.00 Repair Escrow is funded solely from Seller’s proceeds, held by Pinnacle under a separate Repair Escrow Agreement, and is</w:t>
      </w:r>
      <w:r>
        <w:t xml:space="preserve"> </w:t>
      </w:r>
      <w:r>
        <w:rPr>
          <w:b/>
          <w:bCs/>
        </w:rPr>
        <w:t xml:space="preserve">not</w:t>
      </w:r>
      <w:r>
        <w:t xml:space="preserve"> </w:t>
      </w:r>
      <w:r>
        <w:t xml:space="preserve">a credit to Buyer and</w:t>
      </w:r>
      <w:r>
        <w:t xml:space="preserve"> </w:t>
      </w:r>
      <w:r>
        <w:rPr>
          <w:b/>
          <w:bCs/>
        </w:rPr>
        <w:t xml:space="preserve">not</w:t>
      </w:r>
      <w:r>
        <w:t xml:space="preserve"> </w:t>
      </w:r>
      <w:r>
        <w:t xml:space="preserve">part of the purchase price (PSA §8.4). It appears only as a deduction from Seller’s net proceeds.</w:t>
      </w:r>
    </w:p>
    <w:p>
      <w:pPr>
        <w:pStyle w:val="BodyText"/>
      </w:pPr>
      <w:r>
        <w:rPr>
          <w:b/>
          <w:bCs/>
        </w:rPr>
        <w:t xml:space="preserve">A-7. POC items excluded from cash-to-close.</w:t>
      </w:r>
      <w:r>
        <w:t xml:space="preserve"> </w:t>
      </w:r>
      <w:r>
        <w:t xml:space="preserve">The $4,500.00 appraisal fee (paid May 5, 2025) and the $150.00 probate certificate fee (paid per the Fiduciary’s Certificate) are shown for disclosure only with $0.00 impact, per the lender’s explicit instructions and document evidence.</w:t>
      </w:r>
    </w:p>
    <w:p>
      <w:pPr>
        <w:pStyle w:val="BodyText"/>
      </w:pPr>
      <w:r>
        <w:rPr>
          <w:b/>
          <w:bCs/>
        </w:rPr>
        <w:t xml:space="preserve">A-8. No brokerage commissions.</w:t>
      </w:r>
      <w:r>
        <w:t xml:space="preserve"> </w:t>
      </w:r>
      <w:r>
        <w:t xml:space="preserve">Per PSA §15.7, no broker, finder, or real estate agent was involved; no commission is due.</w:t>
      </w:r>
    </w:p>
    <w:p>
      <w:pPr>
        <w:pStyle w:val="BodyText"/>
      </w:pPr>
      <w:r>
        <w:rPr>
          <w:b/>
          <w:bCs/>
        </w:rPr>
        <w:t xml:space="preserve">A-9. CT DRS estate tax lien requires no monetary payoff.</w:t>
      </w:r>
      <w:r>
        <w:t xml:space="preserve"> </w:t>
      </w:r>
      <w:r>
        <w:t xml:space="preserve">The estate is below the Connecticut estate tax threshold (confirmed $0.00; Release Certificate No. ETL-2025-08834). Only the recording of the release is required, at Seller’s recording-fee expense ($73.00). No funds are disbursed to CT DRS.</w:t>
      </w:r>
    </w:p>
    <w:p>
      <w:pPr>
        <w:pStyle w:val="BodyText"/>
      </w:pPr>
      <w:r>
        <w:rPr>
          <w:b/>
          <w:bCs/>
        </w:rPr>
        <w:t xml:space="preserve">A-10. FIRPTA / estate-exemption certification.</w:t>
      </w:r>
      <w:r>
        <w:t xml:space="preserve"> </w:t>
      </w:r>
      <w:r>
        <w:t xml:space="preserve">Per PSA §6.2(i), Seller is to deliver a FIRPTA affidavit or estate-equivalent certification exempting the sale from withholding under IRC §1445. Confirm delivery at closing.</w:t>
      </w:r>
    </w:p>
    <w:p>
      <w:pPr>
        <w:pStyle w:val="BodyText"/>
      </w:pPr>
      <w:r>
        <w:rPr>
          <w:b/>
          <w:bCs/>
        </w:rPr>
        <w:t xml:space="preserve">A-11. Other utilities (gas, electric) not prorated.</w:t>
      </w:r>
      <w:r>
        <w:t xml:space="preserve"> </w:t>
      </w:r>
      <w:r>
        <w:t xml:space="preserve">Only the municipal water/sewer (WPCA) account is addressed on this statement, as it is the only utility for which a final reading / statement straddling or preceding Closing was provided. Per PSA §7.5(d), utility deposits in Seller’s name are retained by Seller, and Buyer establishes new accounts as of the Closing Date. If any gas/electric billing period straddles Closing, it must be prorated per PSA §7.5(b) and reprorated under §7.7 when final figures are available.</w:t>
      </w:r>
      <w:r>
        <w:t xml:space="preserve"> </w:t>
      </w:r>
      <w:r>
        <w:rPr>
          <w:b/>
          <w:bCs/>
        </w:rPr>
        <w:t xml:space="preserve">Action:</w:t>
      </w:r>
      <w:r>
        <w:t xml:space="preserve"> </w:t>
      </w:r>
      <w:r>
        <w:t xml:space="preserve">Confirm final gas/electric readings and whether any straddling-period proration is required.</w:t>
      </w:r>
    </w:p>
    <w:p>
      <w:pPr>
        <w:pStyle w:val="BodyText"/>
      </w:pPr>
      <w:r>
        <w:rPr>
          <w:b/>
          <w:bCs/>
        </w:rPr>
        <w:t xml:space="preserve">A-12. Lender conditions precedent not shown as line items.</w:t>
      </w:r>
      <w:r>
        <w:t xml:space="preserve"> </w:t>
      </w:r>
      <w:r>
        <w:t xml:space="preserve">Insurance, SNDA with Coastal Provisions Market LLC, ALTA/NSPS survey, Phase I environmental, and the personal guaranty of Elaine R. Matsuda are conditions precedent to loan funding (lender commitment §5) to be satisfied at or before Closing. They do not appear as settlement-statement line items except where a fee is specified. Confirm satisfaction before the lender authorizes disbursement.</w:t>
      </w:r>
    </w:p>
    <w:p>
      <w:r>
        <w:pict>
          <v:rect style="width:0;height:1.5pt" o:hralign="center" o:hrstd="t" o:hr="t"/>
        </w:pict>
      </w:r>
    </w:p>
    <w:bookmarkEnd w:id="23"/>
    <w:bookmarkStart w:id="24" w:name="items-to-confirm-before-disbursement"/>
    <w:p>
      <w:pPr>
        <w:pStyle w:val="Heading3"/>
      </w:pPr>
      <w:r>
        <w:t xml:space="preserve">5. ITEMS TO CONFIRM BEFORE DISBURSEMENT</w:t>
      </w:r>
    </w:p>
    <w:p>
      <w:pPr>
        <w:pStyle w:val="Compact"/>
        <w:numPr>
          <w:ilvl w:val="0"/>
          <w:numId w:val="1001"/>
        </w:numPr>
      </w:pPr>
      <w:r>
        <w:rPr>
          <w:b/>
          <w:bCs/>
        </w:rPr>
        <w:t xml:space="preserve">Earnest-money interest</w:t>
      </w:r>
      <w:r>
        <w:t xml:space="preserve"> </w:t>
      </w:r>
      <w:r>
        <w:t xml:space="preserve">(D-3) — obtain accrued amount from Escrow Agent; credit to Buyer.</w:t>
      </w:r>
    </w:p>
    <w:p>
      <w:pPr>
        <w:pStyle w:val="Compact"/>
        <w:numPr>
          <w:ilvl w:val="0"/>
          <w:numId w:val="1001"/>
        </w:numPr>
      </w:pPr>
      <w:r>
        <w:rPr>
          <w:b/>
          <w:bCs/>
        </w:rPr>
        <w:t xml:space="preserve">Security-deposit interest</w:t>
      </w:r>
      <w:r>
        <w:t xml:space="preserve"> </w:t>
      </w:r>
      <w:r>
        <w:t xml:space="preserve">(D-4) — obtain accrued residential interest from Bayshore/Harborstone FCU; debit Seller / credit Buyer.</w:t>
      </w:r>
    </w:p>
    <w:p>
      <w:pPr>
        <w:pStyle w:val="Compact"/>
        <w:numPr>
          <w:ilvl w:val="0"/>
          <w:numId w:val="1001"/>
        </w:numPr>
      </w:pPr>
      <w:r>
        <w:rPr>
          <w:b/>
          <w:bCs/>
        </w:rPr>
        <w:t xml:space="preserve">Conveyance tax</w:t>
      </w:r>
      <w:r>
        <w:t xml:space="preserve"> </w:t>
      </w:r>
      <w:r>
        <w:t xml:space="preserve">(D-2) — finalize exact Bridgeport tiered rate on Form OP-236; adjust 50/50 shares if needed.</w:t>
      </w:r>
    </w:p>
    <w:p>
      <w:pPr>
        <w:pStyle w:val="Compact"/>
        <w:numPr>
          <w:ilvl w:val="0"/>
          <w:numId w:val="1001"/>
        </w:numPr>
      </w:pPr>
      <w:r>
        <w:rPr>
          <w:b/>
          <w:bCs/>
        </w:rPr>
        <w:t xml:space="preserve">Water/sewer disbursement method</w:t>
      </w:r>
      <w:r>
        <w:t xml:space="preserve"> </w:t>
      </w:r>
      <w:r>
        <w:t xml:space="preserve">(D-1) — confirm whether $1,847.60 is wired to the City or credited to Buyer.</w:t>
      </w:r>
    </w:p>
    <w:p>
      <w:pPr>
        <w:pStyle w:val="Compact"/>
        <w:numPr>
          <w:ilvl w:val="0"/>
          <w:numId w:val="1001"/>
        </w:numPr>
      </w:pPr>
      <w:r>
        <w:rPr>
          <w:b/>
          <w:bCs/>
        </w:rPr>
        <w:t xml:space="preserve">Lien recording references</w:t>
      </w:r>
      <w:r>
        <w:t xml:space="preserve"> </w:t>
      </w:r>
      <w:r>
        <w:t xml:space="preserve">(D-6) — reconcile title-commitment vs. payoff-letter references; ensure correct instruments are released.</w:t>
      </w:r>
    </w:p>
    <w:p>
      <w:pPr>
        <w:pStyle w:val="Compact"/>
        <w:numPr>
          <w:ilvl w:val="0"/>
          <w:numId w:val="1001"/>
        </w:numPr>
      </w:pPr>
      <w:r>
        <w:rPr>
          <w:b/>
          <w:bCs/>
        </w:rPr>
        <w:t xml:space="preserve">Wire / notice addresses</w:t>
      </w:r>
      <w:r>
        <w:t xml:space="preserve"> </w:t>
      </w:r>
      <w:r>
        <w:t xml:space="preserve">(D-7) — confirm correct addresses for Pinnacle, Buyer’s counsel, and Seller’s counsel.</w:t>
      </w:r>
    </w:p>
    <w:p>
      <w:pPr>
        <w:pStyle w:val="Compact"/>
        <w:numPr>
          <w:ilvl w:val="0"/>
          <w:numId w:val="1001"/>
        </w:numPr>
      </w:pPr>
      <w:r>
        <w:rPr>
          <w:b/>
          <w:bCs/>
        </w:rPr>
        <w:t xml:space="preserve">Fiduciary certificate currency</w:t>
      </w:r>
      <w:r>
        <w:t xml:space="preserve"> </w:t>
      </w:r>
      <w:r>
        <w:t xml:space="preserve">(D-8) — confirm certified date is within 60 days of Closing.</w:t>
      </w:r>
    </w:p>
    <w:p>
      <w:pPr>
        <w:pStyle w:val="Compact"/>
        <w:numPr>
          <w:ilvl w:val="0"/>
          <w:numId w:val="1001"/>
        </w:numPr>
      </w:pPr>
      <w:r>
        <w:rPr>
          <w:b/>
          <w:bCs/>
        </w:rPr>
        <w:t xml:space="preserve">FIRPTA / estate-exemption certification</w:t>
      </w:r>
      <w:r>
        <w:t xml:space="preserve"> </w:t>
      </w:r>
      <w:r>
        <w:t xml:space="preserve">(A-10) — confirm delivery.</w:t>
      </w:r>
    </w:p>
    <w:p>
      <w:pPr>
        <w:pStyle w:val="Compact"/>
        <w:numPr>
          <w:ilvl w:val="0"/>
          <w:numId w:val="1001"/>
        </w:numPr>
      </w:pPr>
      <w:r>
        <w:rPr>
          <w:b/>
          <w:bCs/>
        </w:rPr>
        <w:t xml:space="preserve">Gas/electric final readings</w:t>
      </w:r>
      <w:r>
        <w:t xml:space="preserve"> </w:t>
      </w:r>
      <w:r>
        <w:t xml:space="preserve">(A-11) — confirm whether a straddling-period proration is required.</w:t>
      </w:r>
    </w:p>
    <w:p>
      <w:pPr>
        <w:pStyle w:val="Compact"/>
        <w:numPr>
          <w:ilvl w:val="0"/>
          <w:numId w:val="1001"/>
        </w:numPr>
      </w:pPr>
      <w:r>
        <w:rPr>
          <w:b/>
          <w:bCs/>
        </w:rPr>
        <w:t xml:space="preserve">Lender conditions precedent</w:t>
      </w:r>
      <w:r>
        <w:t xml:space="preserve"> </w:t>
      </w:r>
      <w:r>
        <w:t xml:space="preserve">(A-12) — confirm insurance, SNDA, survey, environmental, and guaranty are satisfied before the lender authorizes the loan disbursement.</w:t>
      </w:r>
    </w:p>
    <w:p>
      <w:pPr>
        <w:pStyle w:val="Compact"/>
        <w:numPr>
          <w:ilvl w:val="0"/>
          <w:numId w:val="1001"/>
        </w:numPr>
      </w:pPr>
      <w:r>
        <w:rPr>
          <w:b/>
          <w:bCs/>
        </w:rPr>
        <w:t xml:space="preserve">Updated rent roll / security-deposit schedule</w:t>
      </w:r>
      <w:r>
        <w:t xml:space="preserve"> </w:t>
      </w:r>
      <w:r>
        <w:t xml:space="preserve">— PSA §9.7 requires Seller to deliver an updated rent roll and security-deposit schedule no later than 3 business days before Closing; confirm receipt and that figures match those used in §C.2 and §C.3.</w:t>
      </w:r>
    </w:p>
    <w:p>
      <w:pPr>
        <w:pStyle w:val="Compact"/>
        <w:numPr>
          <w:ilvl w:val="0"/>
          <w:numId w:val="1001"/>
        </w:numPr>
      </w:pPr>
      <w:r>
        <w:rPr>
          <w:b/>
          <w:bCs/>
        </w:rPr>
        <w:t xml:space="preserve">Repair Escrow Agreement</w:t>
      </w:r>
      <w:r>
        <w:t xml:space="preserve"> </w:t>
      </w:r>
      <w:r>
        <w:t xml:space="preserve">— confirm execution of the separate Repair Escrow Agreement and that Tidewater Savings Bank is named as an interested party (lender commitment §5.13).</w:t>
      </w:r>
    </w:p>
    <w:p>
      <w:r>
        <w:pict>
          <v:rect style="width:0;height:1.5pt" o:hralign="center" o:hrstd="t" o:hr="t"/>
        </w:pict>
      </w:r>
    </w:p>
    <w:bookmarkEnd w:id="24"/>
    <w:bookmarkStart w:id="25" w:name="proration-methodology-notes"/>
    <w:p>
      <w:pPr>
        <w:pStyle w:val="Heading3"/>
      </w:pPr>
      <w:r>
        <w:t xml:space="preserve">6. PRORATION METHODOLOGY NOTES</w:t>
      </w:r>
    </w:p>
    <w:p>
      <w:pPr>
        <w:pStyle w:val="Compact"/>
        <w:numPr>
          <w:ilvl w:val="0"/>
          <w:numId w:val="1002"/>
        </w:numPr>
      </w:pPr>
      <w:r>
        <w:rPr>
          <w:b/>
          <w:bCs/>
        </w:rPr>
        <w:t xml:space="preserve">Taxes (current FY):</w:t>
      </w:r>
      <w:r>
        <w:t xml:space="preserve"> </w:t>
      </w:r>
      <w:r>
        <w:t xml:space="preserve">Treated as a Seller payoff, not a proration — the entire FY2024–25 period precedes Closing, and the delinquent second installment ($26,240.00 + $2,362.80 interest = $28,602.80) is paid from Seller’s proceeds to the City.</w:t>
      </w:r>
    </w:p>
    <w:p>
      <w:pPr>
        <w:pStyle w:val="Compact"/>
        <w:numPr>
          <w:ilvl w:val="0"/>
          <w:numId w:val="1002"/>
        </w:numPr>
      </w:pPr>
      <w:r>
        <w:rPr>
          <w:b/>
          <w:bCs/>
        </w:rPr>
        <w:t xml:space="preserve">Taxes (next FY):</w:t>
      </w:r>
      <w:r>
        <w:t xml:space="preserve"> </w:t>
      </w:r>
      <w:r>
        <w:t xml:space="preserve">Prorated on a per-diem basis (365-day year) using the $52,480.00 estimate; Seller charged for 14 days (July 1–14), Buyer credited; subject to reproration.</w:t>
      </w:r>
    </w:p>
    <w:p>
      <w:pPr>
        <w:pStyle w:val="Compact"/>
        <w:numPr>
          <w:ilvl w:val="0"/>
          <w:numId w:val="1002"/>
        </w:numPr>
      </w:pPr>
      <w:r>
        <w:rPr>
          <w:b/>
          <w:bCs/>
        </w:rPr>
        <w:t xml:space="preserve">Rents:</w:t>
      </w:r>
      <w:r>
        <w:t xml:space="preserve"> </w:t>
      </w:r>
      <w:r>
        <w:t xml:space="preserve">Per-diem over 31 days on</w:t>
      </w:r>
      <w:r>
        <w:t xml:space="preserve"> </w:t>
      </w:r>
      <w:r>
        <w:rPr>
          <w:b/>
          <w:bCs/>
        </w:rPr>
        <w:t xml:space="preserve">collected</w:t>
      </w:r>
      <w:r>
        <w:t xml:space="preserve"> </w:t>
      </w:r>
      <w:r>
        <w:t xml:space="preserve">rents only ($23,600.00); Seller retains 14 days, Buyer receives 17 days; delinquent Unit 2E and vacant Unit 3C excluded.</w:t>
      </w:r>
    </w:p>
    <w:p>
      <w:pPr>
        <w:pStyle w:val="Compact"/>
        <w:numPr>
          <w:ilvl w:val="0"/>
          <w:numId w:val="1002"/>
        </w:numPr>
      </w:pPr>
      <w:r>
        <w:rPr>
          <w:b/>
          <w:bCs/>
        </w:rPr>
        <w:t xml:space="preserve">Security deposits:</w:t>
      </w:r>
      <w:r>
        <w:t xml:space="preserve"> </w:t>
      </w:r>
      <w:r>
        <w:t xml:space="preserve">Transferred in full at stated principal amounts ($32,400.00); interest to be added per D-4.</w:t>
      </w:r>
    </w:p>
    <w:p>
      <w:pPr>
        <w:pStyle w:val="Compact"/>
        <w:numPr>
          <w:ilvl w:val="0"/>
          <w:numId w:val="1002"/>
        </w:numPr>
      </w:pPr>
      <w:r>
        <w:rPr>
          <w:b/>
          <w:bCs/>
        </w:rPr>
        <w:t xml:space="preserve">Water/sewer:</w:t>
      </w:r>
      <w:r>
        <w:t xml:space="preserve"> </w:t>
      </w:r>
      <w:r>
        <w:t xml:space="preserve">Entire current bill ($1,847.60) charged to Seller / credited to Buyer because the billing period ends before Closing (PSA §7.5(a)).</w:t>
      </w:r>
    </w:p>
    <w:p>
      <w:pPr>
        <w:pStyle w:val="Compact"/>
        <w:numPr>
          <w:ilvl w:val="0"/>
          <w:numId w:val="1002"/>
        </w:numPr>
      </w:pPr>
      <w:r>
        <w:rPr>
          <w:b/>
          <w:bCs/>
        </w:rPr>
        <w:t xml:space="preserve">Heating oil:</w:t>
      </w:r>
      <w:r>
        <w:t xml:space="preserve"> </w:t>
      </w:r>
      <w:r>
        <w:t xml:space="preserve">Reimbursed at 180 gal × $3.85 = $693.00 (credit Seller / charge Buyer).</w:t>
      </w:r>
    </w:p>
    <w:p>
      <w:pPr>
        <w:pStyle w:val="Compact"/>
        <w:numPr>
          <w:ilvl w:val="0"/>
          <w:numId w:val="1002"/>
        </w:numPr>
      </w:pPr>
      <w:r>
        <w:rPr>
          <w:b/>
          <w:bCs/>
        </w:rPr>
        <w:t xml:space="preserve">Survival:</w:t>
      </w:r>
      <w:r>
        <w:t xml:space="preserve"> </w:t>
      </w:r>
      <w:r>
        <w:t xml:space="preserve">Proration and adjustment obligations survive Closing for 90 days for reproration (PSA §7.7, §15.1).</w:t>
      </w:r>
    </w:p>
    <w:p>
      <w:r>
        <w:pict>
          <v:rect style="width:0;height:1.5pt" o:hralign="center" o:hrstd="t" o:hr="t"/>
        </w:pict>
      </w:r>
    </w:p>
    <w:bookmarkEnd w:id="25"/>
    <w:bookmarkStart w:id="26" w:name="certification"/>
    <w:p>
      <w:pPr>
        <w:pStyle w:val="Heading3"/>
      </w:pPr>
      <w:r>
        <w:t xml:space="preserve">7. CERTIFICATION</w:t>
      </w:r>
    </w:p>
    <w:p>
      <w:pPr>
        <w:pStyle w:val="FirstParagraph"/>
      </w:pPr>
      <w:r>
        <w:t xml:space="preserve">This Notes Memorandum is prepared by the Closing Agent to accompany the settlement statement for the transaction referenced above. It is intended to identify, for the parties and their counsel, the discrepancies, assumptions, and confirmation items relevant to the closing figures. It does not modify the terms of the Purchase and Sale Agreement dated April 22, 2025, or any other closing document, and in the event of any conflict, the controlling agreements and payoff/title documents govern.</w:t>
      </w:r>
    </w:p>
    <w:p>
      <w:pPr>
        <w:pStyle w:val="BodyText"/>
      </w:pPr>
      <w:r>
        <w:rPr>
          <w:b/>
          <w:bCs/>
        </w:rPr>
        <w:t xml:space="preserve">CLOSING AGENT:</w:t>
      </w:r>
    </w:p>
    <w:p>
      <w:pPr>
        <w:pStyle w:val="BodyText"/>
      </w:pPr>
      <w:r>
        <w:t xml:space="preserve">PINNACLE ABSTRACT &amp; TITLE LLC</w:t>
      </w:r>
    </w:p>
    <w:p>
      <w:pPr>
        <w:pStyle w:val="BodyText"/>
      </w:pPr>
      <w:r>
        <w:t xml:space="preserve">By: _______________________________</w:t>
      </w:r>
    </w:p>
    <w:p>
      <w:pPr>
        <w:pStyle w:val="BodyText"/>
      </w:pPr>
      <w:r>
        <w:t xml:space="preserve">Name: Lorraine M. Grasso</w:t>
      </w:r>
    </w:p>
    <w:p>
      <w:pPr>
        <w:pStyle w:val="BodyText"/>
      </w:pPr>
      <w:r>
        <w:t xml:space="preserve">Title: Closing Officer</w:t>
      </w:r>
    </w:p>
    <w:p>
      <w:pPr>
        <w:pStyle w:val="BodyText"/>
      </w:pPr>
      <w:r>
        <w:t xml:space="preserve">Date: July 14, 2025</w:t>
      </w:r>
    </w:p>
    <w:p>
      <w:r>
        <w:pict>
          <v:rect style="width:0;height:1.5pt" o:hralign="center" o:hrstd="t" o:hr="t"/>
        </w:pict>
      </w:r>
    </w:p>
    <w:p>
      <w:pPr>
        <w:pStyle w:val="FirstParagraph"/>
      </w:pPr>
      <w:r>
        <w:rPr>
          <w:i/>
          <w:iCs/>
        </w:rPr>
        <w:t xml:space="preserve">End of Notes Memorandum.</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2026-06-28T21:28:24Z</dcterms:created>
  <dcterms:modified xsi:type="dcterms:W3CDTF">2026-06-28T21:28:24Z</dcterms:modified>
</cp:coreProperties>
</file>

<file path=docProps/custom.xml><?xml version="1.0" encoding="utf-8"?>
<Properties xmlns="http://schemas.openxmlformats.org/officeDocument/2006/custom-properties" xmlns:vt="http://schemas.openxmlformats.org/officeDocument/2006/docPropsVTypes"/>
</file>