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ttlement-statement"/>
    <w:p>
      <w:pPr>
        <w:pStyle w:val="Heading1"/>
      </w:pPr>
      <w:r>
        <w:t xml:space="preserve">SETTLEMENT STATEMENT</w:t>
      </w:r>
    </w:p>
    <w:bookmarkStart w:id="21" w:name="X1bab39ea11b67412ab7961b3c0cad884880487c"/>
    <w:p>
      <w:pPr>
        <w:pStyle w:val="Heading2"/>
      </w:pPr>
      <w:r>
        <w:t xml:space="preserve">Commercial Real Estate Closing — 4280 Harborview Boulevard, Bridgeport, CT 06604</w:t>
      </w:r>
    </w:p>
    <w:p>
      <w:pPr>
        <w:pStyle w:val="FirstParagraph"/>
      </w:pPr>
      <w:r>
        <w:rPr>
          <w:b/>
          <w:bCs/>
        </w:rPr>
        <w:t xml:space="preserve">Closing Agent / Escrow Agent:</w:t>
      </w:r>
      <w:r>
        <w:t xml:space="preserve"> </w:t>
      </w:r>
      <w:r>
        <w:t xml:space="preserve">Pinnacle Abstract &amp; Title LLC — Lorraine M. Grasso, Closing Officer</w:t>
      </w:r>
      <w:r>
        <w:t xml:space="preserve"> </w:t>
      </w:r>
      <w:r>
        <w:rPr>
          <w:b/>
          <w:bCs/>
        </w:rPr>
        <w:t xml:space="preserve">Closing Date:</w:t>
      </w:r>
      <w:r>
        <w:t xml:space="preserve"> </w:t>
      </w:r>
      <w:r>
        <w:t xml:space="preserve">July 15, 2025 — 10:00 a.m. Eastern Time</w:t>
      </w:r>
      <w:r>
        <w:t xml:space="preserve"> </w:t>
      </w:r>
      <w:r>
        <w:rPr>
          <w:b/>
          <w:bCs/>
        </w:rPr>
        <w:t xml:space="preserve">Settlement Statement Prepared By:</w:t>
      </w:r>
      <w:r>
        <w:t xml:space="preserve"> </w:t>
      </w:r>
      <w:r>
        <w:t xml:space="preserve">Pinnacle Abstract &amp; Title LLC, Closing Agent</w:t>
      </w:r>
    </w:p>
    <w:p>
      <w:r>
        <w:pict>
          <v:rect style="width:0;height:1.5pt" o:hralign="center" o:hrstd="t" o:hr="t"/>
        </w:pict>
      </w:r>
    </w:p>
    <w:bookmarkStart w:id="20" w:name="transaction-summary"/>
    <w:p>
      <w:pPr>
        <w:pStyle w:val="Heading3"/>
      </w:pPr>
      <w:r>
        <w:t xml:space="preserve">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Property</w:t>
            </w:r>
          </w:p>
        </w:tc>
        <w:tc>
          <w:tcPr/>
          <w:p>
            <w:pPr>
              <w:pStyle w:val="Compact"/>
              <w:jc w:val="left"/>
            </w:pPr>
            <w:r>
              <w:t xml:space="preserve">4280 Harborview Boulevard, Bridgeport, CT 06604 (Lot 17, Block 42, Bridgeport Harbor Redevelopment Plat, Vol. 312, Pg. 88, Bridgeport Land Records)</w:t>
            </w:r>
          </w:p>
        </w:tc>
      </w:tr>
      <w:tr>
        <w:tc>
          <w:tcPr/>
          <w:p>
            <w:pPr>
              <w:pStyle w:val="Compact"/>
              <w:jc w:val="left"/>
            </w:pPr>
            <w:r>
              <w:rPr>
                <w:b/>
                <w:bCs/>
              </w:rPr>
              <w:t xml:space="preserve">Property Type</w:t>
            </w:r>
          </w:p>
        </w:tc>
        <w:tc>
          <w:tcPr/>
          <w:p>
            <w:pPr>
              <w:pStyle w:val="Compact"/>
              <w:jc w:val="left"/>
            </w:pPr>
            <w:r>
              <w:t xml:space="preserve">Mixed-use: ground-floor commercial (±3,200 SF) + 12 residential units (2A–2F, 3A–3F); ±18,400 SF building on 0.38 acres; MU-2 zoning</w:t>
            </w:r>
          </w:p>
        </w:tc>
      </w:tr>
      <w:tr>
        <w:tc>
          <w:tcPr/>
          <w:p>
            <w:pPr>
              <w:pStyle w:val="Compact"/>
              <w:jc w:val="left"/>
            </w:pPr>
            <w:r>
              <w:rPr>
                <w:b/>
                <w:bCs/>
              </w:rPr>
              <w:t xml:space="preserve">Seller</w:t>
            </w:r>
          </w:p>
        </w:tc>
        <w:tc>
          <w:tcPr/>
          <w:p>
            <w:pPr>
              <w:pStyle w:val="Compact"/>
              <w:jc w:val="left"/>
            </w:pPr>
            <w:r>
              <w:t xml:space="preserve">Estate of Gerald T. Whitford, by Claudia Whitford-Barnes, Executrix (Fairfield County Probate Court, Docket No. 2024-PR-04417)</w:t>
            </w:r>
          </w:p>
        </w:tc>
      </w:tr>
      <w:tr>
        <w:tc>
          <w:tcPr/>
          <w:p>
            <w:pPr>
              <w:pStyle w:val="Compact"/>
              <w:jc w:val="left"/>
            </w:pPr>
            <w:r>
              <w:rPr>
                <w:b/>
                <w:bCs/>
              </w:rPr>
              <w:t xml:space="preserve">Buyer</w:t>
            </w:r>
          </w:p>
        </w:tc>
        <w:tc>
          <w:tcPr/>
          <w:p>
            <w:pPr>
              <w:pStyle w:val="Compact"/>
              <w:jc w:val="left"/>
            </w:pPr>
            <w:r>
              <w:t xml:space="preserve">Meridian Cove Properties LLC (CT LLC; Manager: Elaine R. Matsuda)</w:t>
            </w:r>
          </w:p>
        </w:tc>
      </w:tr>
      <w:tr>
        <w:tc>
          <w:tcPr/>
          <w:p>
            <w:pPr>
              <w:pStyle w:val="Compact"/>
              <w:jc w:val="left"/>
            </w:pPr>
            <w:r>
              <w:rPr>
                <w:b/>
                <w:bCs/>
              </w:rPr>
              <w:t xml:space="preserve">Purchase Price</w:t>
            </w:r>
          </w:p>
        </w:tc>
        <w:tc>
          <w:tcPr/>
          <w:p>
            <w:pPr>
              <w:pStyle w:val="Compact"/>
              <w:jc w:val="left"/>
            </w:pPr>
            <w:r>
              <w:t xml:space="preserve">$3,900,000.00</w:t>
            </w:r>
          </w:p>
        </w:tc>
      </w:tr>
      <w:tr>
        <w:tc>
          <w:tcPr/>
          <w:p>
            <w:pPr>
              <w:pStyle w:val="Compact"/>
              <w:jc w:val="left"/>
            </w:pPr>
            <w:r>
              <w:rPr>
                <w:b/>
                <w:bCs/>
              </w:rPr>
              <w:t xml:space="preserve">Earnest Money (on deposit)</w:t>
            </w:r>
          </w:p>
        </w:tc>
        <w:tc>
          <w:tcPr/>
          <w:p>
            <w:pPr>
              <w:pStyle w:val="Compact"/>
              <w:jc w:val="left"/>
            </w:pPr>
            <w:r>
              <w:t xml:space="preserve">$195,000.00 ($100,000 deposited 04/24/2025 + $95,000 deposited 05/22/2025)</w:t>
            </w:r>
          </w:p>
        </w:tc>
      </w:tr>
      <w:tr>
        <w:tc>
          <w:tcPr/>
          <w:p>
            <w:pPr>
              <w:pStyle w:val="Compact"/>
              <w:jc w:val="left"/>
            </w:pPr>
            <w:r>
              <w:rPr>
                <w:b/>
                <w:bCs/>
              </w:rPr>
              <w:t xml:space="preserve">New Loan</w:t>
            </w:r>
          </w:p>
        </w:tc>
        <w:tc>
          <w:tcPr/>
          <w:p>
            <w:pPr>
              <w:pStyle w:val="Compact"/>
              <w:jc w:val="left"/>
            </w:pPr>
            <w:r>
              <w:t xml:space="preserve">$2,640,000.00 — Tidewater Savings Bank (6.875%, 30-yr amort., 7-yr balloon; Loan No. TSB-2025-CRE-04183)</w:t>
            </w:r>
          </w:p>
        </w:tc>
      </w:tr>
      <w:tr>
        <w:tc>
          <w:tcPr/>
          <w:p>
            <w:pPr>
              <w:pStyle w:val="Compact"/>
              <w:jc w:val="left"/>
            </w:pPr>
            <w:r>
              <w:rPr>
                <w:b/>
                <w:bCs/>
              </w:rPr>
              <w:t xml:space="preserve">Governing Contract</w:t>
            </w:r>
          </w:p>
        </w:tc>
        <w:tc>
          <w:tcPr/>
          <w:p>
            <w:pPr>
              <w:pStyle w:val="Compact"/>
              <w:jc w:val="left"/>
            </w:pPr>
            <w:r>
              <w:t xml:space="preserve">Purchase and Sale Agreement dated April 22, 2025</w:t>
            </w:r>
          </w:p>
        </w:tc>
      </w:tr>
      <w:tr>
        <w:tc>
          <w:tcPr/>
          <w:p>
            <w:pPr>
              <w:pStyle w:val="Compact"/>
              <w:jc w:val="left"/>
            </w:pPr>
            <w:r>
              <w:rPr>
                <w:b/>
                <w:bCs/>
              </w:rPr>
              <w:t xml:space="preserve">Title Commitment</w:t>
            </w:r>
          </w:p>
        </w:tc>
        <w:tc>
          <w:tcPr/>
          <w:p>
            <w:pPr>
              <w:pStyle w:val="Compact"/>
              <w:jc w:val="left"/>
            </w:pPr>
            <w:r>
              <w:t xml:space="preserve">Pinnacle Abstract &amp; Title LLC, No. TC-2025-07182 (eff. 06/18/2025); insurer: Continental Hartleigh Title Insurance Co.</w:t>
            </w:r>
          </w:p>
        </w:tc>
      </w:tr>
      <w:tr>
        <w:tc>
          <w:tcPr/>
          <w:p>
            <w:pPr>
              <w:pStyle w:val="Compact"/>
              <w:jc w:val="left"/>
            </w:pPr>
            <w:r>
              <w:rPr>
                <w:b/>
                <w:bCs/>
              </w:rPr>
              <w:t xml:space="preserve">Proration Convention</w:t>
            </w:r>
          </w:p>
        </w:tc>
        <w:tc>
          <w:tcPr/>
          <w:p>
            <w:pPr>
              <w:pStyle w:val="Compact"/>
              <w:jc w:val="left"/>
            </w:pPr>
            <w:r>
              <w:t xml:space="preserve">As of 12:01 a.m. on 07/15/2025; Closing Date allocated to Buyer; 365-day year for taxes; 31-day month (July) for rents</w:t>
            </w:r>
          </w:p>
        </w:tc>
      </w:tr>
    </w:tbl>
    <w:p>
      <w:r>
        <w:pict>
          <v:rect style="width:0;height:1.5pt" o:hralign="center" o:hrstd="t" o:hr="t"/>
        </w:pict>
      </w:r>
    </w:p>
    <w:bookmarkEnd w:id="20"/>
    <w:bookmarkEnd w:id="21"/>
    <w:bookmarkStart w:id="25" w:name="section-a-buyers-settlement-statement"/>
    <w:p>
      <w:pPr>
        <w:pStyle w:val="Heading2"/>
      </w:pPr>
      <w:r>
        <w:t xml:space="preserve">SECTION A — BUYER’S SETTLEMENT STATEMENT</w:t>
      </w:r>
    </w:p>
    <w:bookmarkStart w:id="22" w:name="a.1-debits-charges-to-buyer"/>
    <w:p>
      <w:pPr>
        <w:pStyle w:val="Heading3"/>
      </w:pPr>
      <w:r>
        <w:t xml:space="preserve">A.1 Debits (Charges to Buyer)</w:t>
      </w:r>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right"/>
            </w:pPr>
            <w:r>
              <w:t xml:space="preserve">#</w:t>
            </w:r>
          </w:p>
        </w:tc>
        <w:tc>
          <w:tcPr/>
          <w:p>
            <w:pPr>
              <w:pStyle w:val="Compact"/>
              <w:jc w:val="left"/>
            </w:pPr>
            <w:r>
              <w:t xml:space="preserve">Item</w:t>
            </w:r>
          </w:p>
        </w:tc>
        <w:tc>
          <w:tcPr/>
          <w:p>
            <w:pPr>
              <w:pStyle w:val="Compact"/>
              <w:jc w:val="right"/>
            </w:pPr>
            <w:r>
              <w:t xml:space="preserve">Amount</w:t>
            </w:r>
          </w:p>
        </w:tc>
      </w:tr>
      <w:tr>
        <w:tc>
          <w:tcPr/>
          <w:p>
            <w:pPr>
              <w:pStyle w:val="Compact"/>
              <w:jc w:val="right"/>
            </w:pPr>
            <w:r>
              <w:t xml:space="preserve">101</w:t>
            </w:r>
          </w:p>
        </w:tc>
        <w:tc>
          <w:tcPr/>
          <w:p>
            <w:pPr>
              <w:pStyle w:val="Compact"/>
              <w:jc w:val="left"/>
            </w:pPr>
            <w:r>
              <w:t xml:space="preserve">Purchase Price</w:t>
            </w:r>
          </w:p>
        </w:tc>
        <w:tc>
          <w:tcPr/>
          <w:p>
            <w:pPr>
              <w:pStyle w:val="Compact"/>
              <w:jc w:val="right"/>
            </w:pPr>
            <w:r>
              <w:t xml:space="preserve">$3,900,000.00</w:t>
            </w:r>
          </w:p>
        </w:tc>
      </w:tr>
      <w:tr>
        <w:tc>
          <w:tcPr/>
          <w:p>
            <w:pPr>
              <w:pStyle w:val="Compact"/>
              <w:jc w:val="right"/>
            </w:pPr>
            <w:r>
              <w:t xml:space="preserve">102</w:t>
            </w:r>
          </w:p>
        </w:tc>
        <w:tc>
          <w:tcPr/>
          <w:p>
            <w:pPr>
              <w:pStyle w:val="Compact"/>
              <w:jc w:val="left"/>
            </w:pPr>
            <w:r>
              <w:t xml:space="preserve">Connecticut Real Estate Conveyance Tax — Buyer’s 50% share</w:t>
            </w:r>
          </w:p>
        </w:tc>
        <w:tc>
          <w:tcPr/>
          <w:p>
            <w:pPr>
              <w:pStyle w:val="Compact"/>
              <w:jc w:val="right"/>
            </w:pPr>
            <w:r>
              <w:t xml:space="preserve">$22,375.00</w:t>
            </w:r>
          </w:p>
        </w:tc>
      </w:tr>
      <w:tr>
        <w:tc>
          <w:tcPr/>
          <w:p>
            <w:pPr>
              <w:pStyle w:val="Compact"/>
              <w:jc w:val="right"/>
            </w:pPr>
            <w:r>
              <w:t xml:space="preserve">103</w:t>
            </w:r>
          </w:p>
        </w:tc>
        <w:tc>
          <w:tcPr/>
          <w:p>
            <w:pPr>
              <w:pStyle w:val="Compact"/>
              <w:jc w:val="left"/>
            </w:pPr>
            <w:r>
              <w:t xml:space="preserve">Recording Fee — Executor’s Warranty Deed</w:t>
            </w:r>
          </w:p>
        </w:tc>
        <w:tc>
          <w:tcPr/>
          <w:p>
            <w:pPr>
              <w:pStyle w:val="Compact"/>
              <w:jc w:val="right"/>
            </w:pPr>
            <w:r>
              <w:t xml:space="preserve">$113.00</w:t>
            </w:r>
          </w:p>
        </w:tc>
      </w:tr>
      <w:tr>
        <w:tc>
          <w:tcPr/>
          <w:p>
            <w:pPr>
              <w:pStyle w:val="Compact"/>
              <w:jc w:val="right"/>
            </w:pPr>
            <w:r>
              <w:t xml:space="preserve">104</w:t>
            </w:r>
          </w:p>
        </w:tc>
        <w:tc>
          <w:tcPr/>
          <w:p>
            <w:pPr>
              <w:pStyle w:val="Compact"/>
              <w:jc w:val="left"/>
            </w:pPr>
            <w:r>
              <w:t xml:space="preserve">Recording Fee — Mortgage (Tidewater Savings Bank)</w:t>
            </w:r>
          </w:p>
        </w:tc>
        <w:tc>
          <w:tcPr/>
          <w:p>
            <w:pPr>
              <w:pStyle w:val="Compact"/>
              <w:jc w:val="right"/>
            </w:pPr>
            <w:r>
              <w:t xml:space="preserve">$113.00</w:t>
            </w:r>
          </w:p>
        </w:tc>
      </w:tr>
      <w:tr>
        <w:tc>
          <w:tcPr/>
          <w:p>
            <w:pPr>
              <w:pStyle w:val="Compact"/>
              <w:jc w:val="right"/>
            </w:pPr>
            <w:r>
              <w:t xml:space="preserve">105</w:t>
            </w:r>
          </w:p>
        </w:tc>
        <w:tc>
          <w:tcPr/>
          <w:p>
            <w:pPr>
              <w:pStyle w:val="Compact"/>
              <w:jc w:val="left"/>
            </w:pPr>
            <w:r>
              <w:t xml:space="preserve">Recording Fee — Assignment of Leases</w:t>
            </w:r>
          </w:p>
        </w:tc>
        <w:tc>
          <w:tcPr/>
          <w:p>
            <w:pPr>
              <w:pStyle w:val="Compact"/>
              <w:jc w:val="right"/>
            </w:pPr>
            <w:r>
              <w:t xml:space="preserve">$113.00</w:t>
            </w:r>
          </w:p>
        </w:tc>
      </w:tr>
      <w:tr>
        <w:tc>
          <w:tcPr/>
          <w:p>
            <w:pPr>
              <w:pStyle w:val="Compact"/>
            </w:pPr>
          </w:p>
        </w:tc>
        <w:tc>
          <w:tcPr/>
          <w:p>
            <w:pPr>
              <w:pStyle w:val="Compact"/>
              <w:jc w:val="left"/>
            </w:pPr>
            <w:r>
              <w:rPr>
                <w:i/>
                <w:iCs/>
              </w:rPr>
              <w:t xml:space="preserve">Subtotal — Buyer Recording Fees</w:t>
            </w:r>
          </w:p>
        </w:tc>
        <w:tc>
          <w:tcPr/>
          <w:p>
            <w:pPr>
              <w:pStyle w:val="Compact"/>
              <w:jc w:val="right"/>
            </w:pPr>
            <w:r>
              <w:rPr>
                <w:i/>
                <w:iCs/>
              </w:rPr>
              <w:t xml:space="preserve">$339.00</w:t>
            </w:r>
          </w:p>
        </w:tc>
      </w:tr>
      <w:tr>
        <w:tc>
          <w:tcPr/>
          <w:p>
            <w:pPr>
              <w:pStyle w:val="Compact"/>
              <w:jc w:val="right"/>
            </w:pPr>
            <w:r>
              <w:t xml:space="preserve">106</w:t>
            </w:r>
          </w:p>
        </w:tc>
        <w:tc>
          <w:tcPr/>
          <w:p>
            <w:pPr>
              <w:pStyle w:val="Compact"/>
              <w:jc w:val="left"/>
            </w:pPr>
            <w:r>
              <w:t xml:space="preserve">Lender’s Title Insurance Premium (simultaneous issue; $2,640,000 policy)</w:t>
            </w:r>
          </w:p>
        </w:tc>
        <w:tc>
          <w:tcPr/>
          <w:p>
            <w:pPr>
              <w:pStyle w:val="Compact"/>
              <w:jc w:val="right"/>
            </w:pPr>
            <w:r>
              <w:t xml:space="preserve">$3,850.00</w:t>
            </w:r>
          </w:p>
        </w:tc>
      </w:tr>
      <w:tr>
        <w:tc>
          <w:tcPr/>
          <w:p>
            <w:pPr>
              <w:pStyle w:val="Compact"/>
              <w:jc w:val="right"/>
            </w:pPr>
            <w:r>
              <w:t xml:space="preserve">107</w:t>
            </w:r>
          </w:p>
        </w:tc>
        <w:tc>
          <w:tcPr/>
          <w:p>
            <w:pPr>
              <w:pStyle w:val="Compact"/>
              <w:jc w:val="left"/>
            </w:pPr>
            <w:r>
              <w:t xml:space="preserve">Title Search and Examination Fee</w:t>
            </w:r>
          </w:p>
        </w:tc>
        <w:tc>
          <w:tcPr/>
          <w:p>
            <w:pPr>
              <w:pStyle w:val="Compact"/>
              <w:jc w:val="right"/>
            </w:pPr>
            <w:r>
              <w:t xml:space="preserve">$1,250.00</w:t>
            </w:r>
          </w:p>
        </w:tc>
      </w:tr>
      <w:tr>
        <w:tc>
          <w:tcPr/>
          <w:p>
            <w:pPr>
              <w:pStyle w:val="Compact"/>
              <w:jc w:val="right"/>
            </w:pPr>
            <w:r>
              <w:t xml:space="preserve">108</w:t>
            </w:r>
          </w:p>
        </w:tc>
        <w:tc>
          <w:tcPr/>
          <w:p>
            <w:pPr>
              <w:pStyle w:val="Compact"/>
              <w:jc w:val="left"/>
            </w:pPr>
            <w:r>
              <w:t xml:space="preserve">Municipal Lien Search Fee</w:t>
            </w:r>
          </w:p>
        </w:tc>
        <w:tc>
          <w:tcPr/>
          <w:p>
            <w:pPr>
              <w:pStyle w:val="Compact"/>
              <w:jc w:val="right"/>
            </w:pPr>
            <w:r>
              <w:t xml:space="preserve">$250.00</w:t>
            </w:r>
          </w:p>
        </w:tc>
      </w:tr>
      <w:tr>
        <w:tc>
          <w:tcPr/>
          <w:p>
            <w:pPr>
              <w:pStyle w:val="Compact"/>
              <w:jc w:val="right"/>
            </w:pPr>
            <w:r>
              <w:t xml:space="preserve">109</w:t>
            </w:r>
          </w:p>
        </w:tc>
        <w:tc>
          <w:tcPr/>
          <w:p>
            <w:pPr>
              <w:pStyle w:val="Compact"/>
              <w:jc w:val="left"/>
            </w:pPr>
            <w:r>
              <w:t xml:space="preserve">Loan Origination Fee (1.00% of $2,640,000)</w:t>
            </w:r>
          </w:p>
        </w:tc>
        <w:tc>
          <w:tcPr/>
          <w:p>
            <w:pPr>
              <w:pStyle w:val="Compact"/>
              <w:jc w:val="right"/>
            </w:pPr>
            <w:r>
              <w:t xml:space="preserve">$26,400.00</w:t>
            </w:r>
          </w:p>
        </w:tc>
      </w:tr>
      <w:tr>
        <w:tc>
          <w:tcPr/>
          <w:p>
            <w:pPr>
              <w:pStyle w:val="Compact"/>
              <w:jc w:val="right"/>
            </w:pPr>
            <w:r>
              <w:t xml:space="preserve">110</w:t>
            </w:r>
          </w:p>
        </w:tc>
        <w:tc>
          <w:tcPr/>
          <w:p>
            <w:pPr>
              <w:pStyle w:val="Compact"/>
              <w:jc w:val="left"/>
            </w:pPr>
            <w:r>
              <w:t xml:space="preserve">Flood Certification Fee</w:t>
            </w:r>
          </w:p>
        </w:tc>
        <w:tc>
          <w:tcPr/>
          <w:p>
            <w:pPr>
              <w:pStyle w:val="Compact"/>
              <w:jc w:val="right"/>
            </w:pPr>
            <w:r>
              <w:t xml:space="preserve">$25.00</w:t>
            </w:r>
          </w:p>
        </w:tc>
      </w:tr>
      <w:tr>
        <w:tc>
          <w:tcPr/>
          <w:p>
            <w:pPr>
              <w:pStyle w:val="Compact"/>
              <w:jc w:val="right"/>
            </w:pPr>
            <w:r>
              <w:t xml:space="preserve">111</w:t>
            </w:r>
          </w:p>
        </w:tc>
        <w:tc>
          <w:tcPr/>
          <w:p>
            <w:pPr>
              <w:pStyle w:val="Compact"/>
              <w:jc w:val="left"/>
            </w:pPr>
            <w:r>
              <w:t xml:space="preserve">Tax Service Fee</w:t>
            </w:r>
          </w:p>
        </w:tc>
        <w:tc>
          <w:tcPr/>
          <w:p>
            <w:pPr>
              <w:pStyle w:val="Compact"/>
              <w:jc w:val="right"/>
            </w:pPr>
            <w:r>
              <w:t xml:space="preserve">$85.00</w:t>
            </w:r>
          </w:p>
        </w:tc>
      </w:tr>
      <w:tr>
        <w:tc>
          <w:tcPr/>
          <w:p>
            <w:pPr>
              <w:pStyle w:val="Compact"/>
              <w:jc w:val="right"/>
            </w:pPr>
            <w:r>
              <w:t xml:space="preserve">112</w:t>
            </w:r>
          </w:p>
        </w:tc>
        <w:tc>
          <w:tcPr/>
          <w:p>
            <w:pPr>
              <w:pStyle w:val="Compact"/>
              <w:jc w:val="left"/>
            </w:pPr>
            <w:r>
              <w:t xml:space="preserve">Buyer’s Attorney Fees (Ridgeline Law Group PLLC)</w:t>
            </w:r>
          </w:p>
        </w:tc>
        <w:tc>
          <w:tcPr/>
          <w:p>
            <w:pPr>
              <w:pStyle w:val="Compact"/>
              <w:jc w:val="right"/>
            </w:pPr>
            <w:r>
              <w:t xml:space="preserve">$12,500.00</w:t>
            </w:r>
          </w:p>
        </w:tc>
      </w:tr>
      <w:tr>
        <w:tc>
          <w:tcPr/>
          <w:p>
            <w:pPr>
              <w:pStyle w:val="Compact"/>
              <w:jc w:val="right"/>
            </w:pPr>
            <w:r>
              <w:t xml:space="preserve">113</w:t>
            </w:r>
          </w:p>
        </w:tc>
        <w:tc>
          <w:tcPr/>
          <w:p>
            <w:pPr>
              <w:pStyle w:val="Compact"/>
              <w:jc w:val="left"/>
            </w:pPr>
            <w:r>
              <w:t xml:space="preserve">Heating Oil Reimbursement to Seller (180 gal × $3.85 — see §C.5)</w:t>
            </w:r>
          </w:p>
        </w:tc>
        <w:tc>
          <w:tcPr/>
          <w:p>
            <w:pPr>
              <w:pStyle w:val="Compact"/>
              <w:jc w:val="right"/>
            </w:pPr>
            <w:r>
              <w:t xml:space="preserve">$693.00</w:t>
            </w:r>
          </w:p>
        </w:tc>
      </w:tr>
      <w:tr>
        <w:tc>
          <w:tcPr/>
          <w:p>
            <w:pPr>
              <w:pStyle w:val="Compact"/>
            </w:pPr>
          </w:p>
        </w:tc>
        <w:tc>
          <w:tcPr/>
          <w:p>
            <w:pPr>
              <w:pStyle w:val="Compact"/>
              <w:jc w:val="left"/>
            </w:pPr>
            <w:r>
              <w:rPr>
                <w:b/>
                <w:bCs/>
              </w:rPr>
              <w:t xml:space="preserve">TOTAL DEBITS TO BUYER</w:t>
            </w:r>
          </w:p>
        </w:tc>
        <w:tc>
          <w:tcPr/>
          <w:p>
            <w:pPr>
              <w:pStyle w:val="Compact"/>
              <w:jc w:val="right"/>
            </w:pPr>
            <w:r>
              <w:rPr>
                <w:b/>
                <w:bCs/>
              </w:rPr>
              <w:t xml:space="preserve">$3,967,767.00</w:t>
            </w:r>
          </w:p>
        </w:tc>
      </w:tr>
    </w:tbl>
    <w:bookmarkEnd w:id="22"/>
    <w:bookmarkStart w:id="23" w:name="X747a2a7c40311c036fc414294227e154cdef724"/>
    <w:p>
      <w:pPr>
        <w:pStyle w:val="Heading3"/>
      </w:pPr>
      <w:r>
        <w:t xml:space="preserve">A.2 Credits (Amounts Paid By / On Behalf of / Credited to Buyer)</w:t>
      </w:r>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right"/>
            </w:pPr>
            <w:r>
              <w:t xml:space="preserve">#</w:t>
            </w:r>
          </w:p>
        </w:tc>
        <w:tc>
          <w:tcPr/>
          <w:p>
            <w:pPr>
              <w:pStyle w:val="Compact"/>
              <w:jc w:val="left"/>
            </w:pPr>
            <w:r>
              <w:t xml:space="preserve">Item</w:t>
            </w:r>
          </w:p>
        </w:tc>
        <w:tc>
          <w:tcPr/>
          <w:p>
            <w:pPr>
              <w:pStyle w:val="Compact"/>
              <w:jc w:val="right"/>
            </w:pPr>
            <w:r>
              <w:t xml:space="preserve">Amount</w:t>
            </w:r>
          </w:p>
        </w:tc>
      </w:tr>
      <w:tr>
        <w:tc>
          <w:tcPr/>
          <w:p>
            <w:pPr>
              <w:pStyle w:val="Compact"/>
              <w:jc w:val="right"/>
            </w:pPr>
            <w:r>
              <w:t xml:space="preserve">201</w:t>
            </w:r>
          </w:p>
        </w:tc>
        <w:tc>
          <w:tcPr/>
          <w:p>
            <w:pPr>
              <w:pStyle w:val="Compact"/>
              <w:jc w:val="left"/>
            </w:pPr>
            <w:r>
              <w:t xml:space="preserve">New Loan Proceeds — Tidewater Savings Bank</w:t>
            </w:r>
          </w:p>
        </w:tc>
        <w:tc>
          <w:tcPr/>
          <w:p>
            <w:pPr>
              <w:pStyle w:val="Compact"/>
              <w:jc w:val="right"/>
            </w:pPr>
            <w:r>
              <w:t xml:space="preserve">$2,640,000.00</w:t>
            </w:r>
          </w:p>
        </w:tc>
      </w:tr>
      <w:tr>
        <w:tc>
          <w:tcPr/>
          <w:p>
            <w:pPr>
              <w:pStyle w:val="Compact"/>
              <w:jc w:val="right"/>
            </w:pPr>
            <w:r>
              <w:t xml:space="preserve">202</w:t>
            </w:r>
          </w:p>
        </w:tc>
        <w:tc>
          <w:tcPr/>
          <w:p>
            <w:pPr>
              <w:pStyle w:val="Compact"/>
              <w:jc w:val="left"/>
            </w:pPr>
            <w:r>
              <w:t xml:space="preserve">Earnest Money on Deposit (1st + 2nd deposits)</w:t>
            </w:r>
          </w:p>
        </w:tc>
        <w:tc>
          <w:tcPr/>
          <w:p>
            <w:pPr>
              <w:pStyle w:val="Compact"/>
              <w:jc w:val="right"/>
            </w:pPr>
            <w:r>
              <w:t xml:space="preserve">$195,000.00</w:t>
            </w:r>
          </w:p>
        </w:tc>
      </w:tr>
      <w:tr>
        <w:tc>
          <w:tcPr/>
          <w:p>
            <w:pPr>
              <w:pStyle w:val="Compact"/>
              <w:jc w:val="right"/>
            </w:pPr>
            <w:r>
              <w:t xml:space="preserve">203</w:t>
            </w:r>
          </w:p>
        </w:tc>
        <w:tc>
          <w:tcPr/>
          <w:p>
            <w:pPr>
              <w:pStyle w:val="Compact"/>
              <w:jc w:val="left"/>
            </w:pPr>
            <w:r>
              <w:t xml:space="preserve">Prorated Collected Rents — Buyer’s share, July 15–31 (17/31 days — see §C.2)</w:t>
            </w:r>
          </w:p>
        </w:tc>
        <w:tc>
          <w:tcPr/>
          <w:p>
            <w:pPr>
              <w:pStyle w:val="Compact"/>
              <w:jc w:val="right"/>
            </w:pPr>
            <w:r>
              <w:t xml:space="preserve">$12,941.94</w:t>
            </w:r>
          </w:p>
        </w:tc>
      </w:tr>
      <w:tr>
        <w:tc>
          <w:tcPr/>
          <w:p>
            <w:pPr>
              <w:pStyle w:val="Compact"/>
              <w:jc w:val="right"/>
            </w:pPr>
            <w:r>
              <w:t xml:space="preserve">204</w:t>
            </w:r>
          </w:p>
        </w:tc>
        <w:tc>
          <w:tcPr/>
          <w:p>
            <w:pPr>
              <w:pStyle w:val="Compact"/>
              <w:jc w:val="left"/>
            </w:pPr>
            <w:r>
              <w:t xml:space="preserve">Security Deposits Transferred from Seller (11 residential + 1 commercial — see §C.3)</w:t>
            </w:r>
          </w:p>
        </w:tc>
        <w:tc>
          <w:tcPr/>
          <w:p>
            <w:pPr>
              <w:pStyle w:val="Compact"/>
              <w:jc w:val="right"/>
            </w:pPr>
            <w:r>
              <w:t xml:space="preserve">$32,400.00</w:t>
            </w:r>
          </w:p>
        </w:tc>
      </w:tr>
      <w:tr>
        <w:tc>
          <w:tcPr/>
          <w:p>
            <w:pPr>
              <w:pStyle w:val="Compact"/>
              <w:jc w:val="right"/>
            </w:pPr>
            <w:r>
              <w:t xml:space="preserve">205</w:t>
            </w:r>
          </w:p>
        </w:tc>
        <w:tc>
          <w:tcPr/>
          <w:p>
            <w:pPr>
              <w:pStyle w:val="Compact"/>
              <w:jc w:val="left"/>
            </w:pPr>
            <w:r>
              <w:t xml:space="preserve">Next-FY Property Tax Proration — Seller’s share, July 1–14 (14/365 days — see §C.1)</w:t>
            </w:r>
          </w:p>
        </w:tc>
        <w:tc>
          <w:tcPr/>
          <w:p>
            <w:pPr>
              <w:pStyle w:val="Compact"/>
              <w:jc w:val="right"/>
            </w:pPr>
            <w:r>
              <w:t xml:space="preserve">$2,012.93</w:t>
            </w:r>
          </w:p>
        </w:tc>
      </w:tr>
      <w:tr>
        <w:tc>
          <w:tcPr/>
          <w:p>
            <w:pPr>
              <w:pStyle w:val="Compact"/>
              <w:jc w:val="right"/>
            </w:pPr>
            <w:r>
              <w:t xml:space="preserve">206</w:t>
            </w:r>
          </w:p>
        </w:tc>
        <w:tc>
          <w:tcPr/>
          <w:p>
            <w:pPr>
              <w:pStyle w:val="Compact"/>
              <w:jc w:val="left"/>
            </w:pPr>
            <w:r>
              <w:t xml:space="preserve">Water/Sewer — Seller’s responsibility, billing period ending 07/14/2025 (see §C.4)</w:t>
            </w:r>
          </w:p>
        </w:tc>
        <w:tc>
          <w:tcPr/>
          <w:p>
            <w:pPr>
              <w:pStyle w:val="Compact"/>
              <w:jc w:val="right"/>
            </w:pPr>
            <w:r>
              <w:t xml:space="preserve">$1,847.60</w:t>
            </w:r>
          </w:p>
        </w:tc>
      </w:tr>
      <w:tr>
        <w:tc>
          <w:tcPr/>
          <w:p>
            <w:pPr>
              <w:pStyle w:val="Compact"/>
            </w:pPr>
          </w:p>
        </w:tc>
        <w:tc>
          <w:tcPr/>
          <w:p>
            <w:pPr>
              <w:pStyle w:val="Compact"/>
              <w:jc w:val="left"/>
            </w:pPr>
            <w:r>
              <w:rPr>
                <w:b/>
                <w:bCs/>
              </w:rPr>
              <w:t xml:space="preserve">TOTAL CREDITS TO BUYER</w:t>
            </w:r>
          </w:p>
        </w:tc>
        <w:tc>
          <w:tcPr/>
          <w:p>
            <w:pPr>
              <w:pStyle w:val="Compact"/>
              <w:jc w:val="right"/>
            </w:pPr>
            <w:r>
              <w:rPr>
                <w:b/>
                <w:bCs/>
              </w:rPr>
              <w:t xml:space="preserve">$2,884,202.47</w:t>
            </w:r>
          </w:p>
        </w:tc>
      </w:tr>
    </w:tbl>
    <w:bookmarkEnd w:id="23"/>
    <w:bookmarkStart w:id="24" w:name="a.3-cash-required-from-buyer-at-closing"/>
    <w:p>
      <w:pPr>
        <w:pStyle w:val="Heading3"/>
      </w:pPr>
      <w:r>
        <w:t xml:space="preserve">A.3 Cash Required from Buyer at Closing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Debits to Buyer</w:t>
            </w:r>
          </w:p>
        </w:tc>
        <w:tc>
          <w:tcPr/>
          <w:p>
            <w:pPr>
              <w:pStyle w:val="Compact"/>
              <w:jc w:val="right"/>
            </w:pPr>
            <w:r>
              <w:t xml:space="preserve">$3,967,767.00</w:t>
            </w:r>
          </w:p>
        </w:tc>
      </w:tr>
      <w:tr>
        <w:tc>
          <w:tcPr/>
          <w:p>
            <w:pPr>
              <w:pStyle w:val="Compact"/>
              <w:jc w:val="left"/>
            </w:pPr>
            <w:r>
              <w:t xml:space="preserve">Less: Total Credits to Buyer</w:t>
            </w:r>
          </w:p>
        </w:tc>
        <w:tc>
          <w:tcPr/>
          <w:p>
            <w:pPr>
              <w:pStyle w:val="Compact"/>
              <w:jc w:val="right"/>
            </w:pPr>
            <w:r>
              <w:t xml:space="preserve">($2,884,202.47)</w:t>
            </w:r>
          </w:p>
        </w:tc>
      </w:tr>
      <w:tr>
        <w:tc>
          <w:tcPr/>
          <w:p>
            <w:pPr>
              <w:pStyle w:val="Compact"/>
              <w:jc w:val="left"/>
            </w:pPr>
            <w:r>
              <w:rPr>
                <w:b/>
                <w:bCs/>
              </w:rPr>
              <w:t xml:space="preserve">CASH REQUIRED FROM BUYER AT CLOSING (wire to Escrow Agent)</w:t>
            </w:r>
          </w:p>
        </w:tc>
        <w:tc>
          <w:tcPr/>
          <w:p>
            <w:pPr>
              <w:pStyle w:val="Compact"/>
              <w:jc w:val="right"/>
            </w:pPr>
            <w:r>
              <w:rPr>
                <w:b/>
                <w:bCs/>
              </w:rPr>
              <w:t xml:space="preserve">$1,083,564.53</w:t>
            </w:r>
          </w:p>
        </w:tc>
      </w:tr>
    </w:tbl>
    <w:p>
      <w:r>
        <w:pict>
          <v:rect style="width:0;height:1.5pt" o:hralign="center" o:hrstd="t" o:hr="t"/>
        </w:pict>
      </w:r>
    </w:p>
    <w:bookmarkEnd w:id="24"/>
    <w:bookmarkEnd w:id="25"/>
    <w:bookmarkStart w:id="29" w:name="section-b-sellers-settlement-statement"/>
    <w:p>
      <w:pPr>
        <w:pStyle w:val="Heading2"/>
      </w:pPr>
      <w:r>
        <w:t xml:space="preserve">SECTION B — SELLER’S SETTLEMENT STATEMENT</w:t>
      </w:r>
    </w:p>
    <w:bookmarkStart w:id="26" w:name="b.1-credits-amounts-credited-to-seller"/>
    <w:p>
      <w:pPr>
        <w:pStyle w:val="Heading3"/>
      </w:pPr>
      <w:r>
        <w:t xml:space="preserve">B.1 Credits (Amounts Credited to Seller)</w:t>
      </w:r>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right"/>
            </w:pPr>
            <w:r>
              <w:t xml:space="preserve">#</w:t>
            </w:r>
          </w:p>
        </w:tc>
        <w:tc>
          <w:tcPr/>
          <w:p>
            <w:pPr>
              <w:pStyle w:val="Compact"/>
              <w:jc w:val="left"/>
            </w:pPr>
            <w:r>
              <w:t xml:space="preserve">Item</w:t>
            </w:r>
          </w:p>
        </w:tc>
        <w:tc>
          <w:tcPr/>
          <w:p>
            <w:pPr>
              <w:pStyle w:val="Compact"/>
              <w:jc w:val="right"/>
            </w:pPr>
            <w:r>
              <w:t xml:space="preserve">Amount</w:t>
            </w:r>
          </w:p>
        </w:tc>
      </w:tr>
      <w:tr>
        <w:tc>
          <w:tcPr/>
          <w:p>
            <w:pPr>
              <w:pStyle w:val="Compact"/>
              <w:jc w:val="right"/>
            </w:pPr>
            <w:r>
              <w:t xml:space="preserve">401</w:t>
            </w:r>
          </w:p>
        </w:tc>
        <w:tc>
          <w:tcPr/>
          <w:p>
            <w:pPr>
              <w:pStyle w:val="Compact"/>
              <w:jc w:val="left"/>
            </w:pPr>
            <w:r>
              <w:t xml:space="preserve">Purchase Price</w:t>
            </w:r>
          </w:p>
        </w:tc>
        <w:tc>
          <w:tcPr/>
          <w:p>
            <w:pPr>
              <w:pStyle w:val="Compact"/>
              <w:jc w:val="right"/>
            </w:pPr>
            <w:r>
              <w:t xml:space="preserve">$3,900,000.00</w:t>
            </w:r>
          </w:p>
        </w:tc>
      </w:tr>
      <w:tr>
        <w:tc>
          <w:tcPr/>
          <w:p>
            <w:pPr>
              <w:pStyle w:val="Compact"/>
              <w:jc w:val="right"/>
            </w:pPr>
            <w:r>
              <w:t xml:space="preserve">402</w:t>
            </w:r>
          </w:p>
        </w:tc>
        <w:tc>
          <w:tcPr/>
          <w:p>
            <w:pPr>
              <w:pStyle w:val="Compact"/>
              <w:jc w:val="left"/>
            </w:pPr>
            <w:r>
              <w:t xml:space="preserve">Heating Oil Reimbursement from Buyer (180 gal × $3.85 — see §C.5)</w:t>
            </w:r>
          </w:p>
        </w:tc>
        <w:tc>
          <w:tcPr/>
          <w:p>
            <w:pPr>
              <w:pStyle w:val="Compact"/>
              <w:jc w:val="right"/>
            </w:pPr>
            <w:r>
              <w:t xml:space="preserve">$693.00</w:t>
            </w:r>
          </w:p>
        </w:tc>
      </w:tr>
      <w:tr>
        <w:tc>
          <w:tcPr/>
          <w:p>
            <w:pPr>
              <w:pStyle w:val="Compact"/>
            </w:pPr>
          </w:p>
        </w:tc>
        <w:tc>
          <w:tcPr/>
          <w:p>
            <w:pPr>
              <w:pStyle w:val="Compact"/>
              <w:jc w:val="left"/>
            </w:pPr>
            <w:r>
              <w:rPr>
                <w:b/>
                <w:bCs/>
              </w:rPr>
              <w:t xml:space="preserve">TOTAL CREDITS TO SELLER</w:t>
            </w:r>
          </w:p>
        </w:tc>
        <w:tc>
          <w:tcPr/>
          <w:p>
            <w:pPr>
              <w:pStyle w:val="Compact"/>
              <w:jc w:val="right"/>
            </w:pPr>
            <w:r>
              <w:rPr>
                <w:b/>
                <w:bCs/>
              </w:rPr>
              <w:t xml:space="preserve">$3,900,693.00</w:t>
            </w:r>
          </w:p>
        </w:tc>
      </w:tr>
    </w:tbl>
    <w:bookmarkEnd w:id="26"/>
    <w:bookmarkStart w:id="27" w:name="X8009121a947cad9c6213821cbdc1eb0815733e7"/>
    <w:p>
      <w:pPr>
        <w:pStyle w:val="Heading3"/>
      </w:pPr>
      <w:r>
        <w:t xml:space="preserve">B.2 Debits (Charges to / Deductions from Seller’s Proceeds)</w:t>
      </w:r>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right"/>
            </w:pPr>
            <w:r>
              <w:t xml:space="preserve">#</w:t>
            </w:r>
          </w:p>
        </w:tc>
        <w:tc>
          <w:tcPr/>
          <w:p>
            <w:pPr>
              <w:pStyle w:val="Compact"/>
              <w:jc w:val="left"/>
            </w:pPr>
            <w:r>
              <w:t xml:space="preserve">Item</w:t>
            </w:r>
          </w:p>
        </w:tc>
        <w:tc>
          <w:tcPr/>
          <w:p>
            <w:pPr>
              <w:pStyle w:val="Compact"/>
              <w:jc w:val="right"/>
            </w:pPr>
            <w:r>
              <w:t xml:space="preserve">Amount</w:t>
            </w:r>
          </w:p>
        </w:tc>
      </w:tr>
      <w:tr>
        <w:tc>
          <w:tcPr/>
          <w:p>
            <w:pPr>
              <w:pStyle w:val="Compact"/>
              <w:jc w:val="right"/>
            </w:pPr>
            <w:r>
              <w:t xml:space="preserve">501</w:t>
            </w:r>
          </w:p>
        </w:tc>
        <w:tc>
          <w:tcPr/>
          <w:p>
            <w:pPr>
              <w:pStyle w:val="Compact"/>
              <w:jc w:val="left"/>
            </w:pPr>
            <w:r>
              <w:t xml:space="preserve">Connecticut Real Estate Conveyance Tax — Seller’s 50% share</w:t>
            </w:r>
          </w:p>
        </w:tc>
        <w:tc>
          <w:tcPr/>
          <w:p>
            <w:pPr>
              <w:pStyle w:val="Compact"/>
              <w:jc w:val="right"/>
            </w:pPr>
            <w:r>
              <w:t xml:space="preserve">$22,375.00</w:t>
            </w:r>
          </w:p>
        </w:tc>
      </w:tr>
      <w:tr>
        <w:tc>
          <w:tcPr/>
          <w:p>
            <w:pPr>
              <w:pStyle w:val="Compact"/>
              <w:jc w:val="right"/>
            </w:pPr>
            <w:r>
              <w:t xml:space="preserve">502</w:t>
            </w:r>
          </w:p>
        </w:tc>
        <w:tc>
          <w:tcPr/>
          <w:p>
            <w:pPr>
              <w:pStyle w:val="Compact"/>
              <w:jc w:val="left"/>
            </w:pPr>
            <w:r>
              <w:t xml:space="preserve">Owner’s Title Insurance Premium ($3,900,000 policy)</w:t>
            </w:r>
          </w:p>
        </w:tc>
        <w:tc>
          <w:tcPr/>
          <w:p>
            <w:pPr>
              <w:pStyle w:val="Compact"/>
              <w:jc w:val="right"/>
            </w:pPr>
            <w:r>
              <w:t xml:space="preserve">$8,275.00</w:t>
            </w:r>
          </w:p>
        </w:tc>
      </w:tr>
      <w:tr>
        <w:tc>
          <w:tcPr/>
          <w:p>
            <w:pPr>
              <w:pStyle w:val="Compact"/>
              <w:jc w:val="right"/>
            </w:pPr>
            <w:r>
              <w:t xml:space="preserve">503</w:t>
            </w:r>
          </w:p>
        </w:tc>
        <w:tc>
          <w:tcPr/>
          <w:p>
            <w:pPr>
              <w:pStyle w:val="Compact"/>
              <w:jc w:val="left"/>
            </w:pPr>
            <w:r>
              <w:t xml:space="preserve">Recording Fee — Release of Harborstone 1st Mortgage</w:t>
            </w:r>
          </w:p>
        </w:tc>
        <w:tc>
          <w:tcPr/>
          <w:p>
            <w:pPr>
              <w:pStyle w:val="Compact"/>
              <w:jc w:val="right"/>
            </w:pPr>
            <w:r>
              <w:t xml:space="preserve">$73.00</w:t>
            </w:r>
          </w:p>
        </w:tc>
      </w:tr>
      <w:tr>
        <w:tc>
          <w:tcPr/>
          <w:p>
            <w:pPr>
              <w:pStyle w:val="Compact"/>
              <w:jc w:val="right"/>
            </w:pPr>
            <w:r>
              <w:t xml:space="preserve">504</w:t>
            </w:r>
          </w:p>
        </w:tc>
        <w:tc>
          <w:tcPr/>
          <w:p>
            <w:pPr>
              <w:pStyle w:val="Compact"/>
              <w:jc w:val="left"/>
            </w:pPr>
            <w:r>
              <w:t xml:space="preserve">Recording Fee — Release of Harborstone HELOC</w:t>
            </w:r>
          </w:p>
        </w:tc>
        <w:tc>
          <w:tcPr/>
          <w:p>
            <w:pPr>
              <w:pStyle w:val="Compact"/>
              <w:jc w:val="right"/>
            </w:pPr>
            <w:r>
              <w:t xml:space="preserve">$73.00</w:t>
            </w:r>
          </w:p>
        </w:tc>
      </w:tr>
      <w:tr>
        <w:tc>
          <w:tcPr/>
          <w:p>
            <w:pPr>
              <w:pStyle w:val="Compact"/>
              <w:jc w:val="right"/>
            </w:pPr>
            <w:r>
              <w:t xml:space="preserve">505</w:t>
            </w:r>
          </w:p>
        </w:tc>
        <w:tc>
          <w:tcPr/>
          <w:p>
            <w:pPr>
              <w:pStyle w:val="Compact"/>
              <w:jc w:val="left"/>
            </w:pPr>
            <w:r>
              <w:t xml:space="preserve">Recording Fee — Release of Northbridge Mechanic’s Lien</w:t>
            </w:r>
          </w:p>
        </w:tc>
        <w:tc>
          <w:tcPr/>
          <w:p>
            <w:pPr>
              <w:pStyle w:val="Compact"/>
              <w:jc w:val="right"/>
            </w:pPr>
            <w:r>
              <w:t xml:space="preserve">$73.00</w:t>
            </w:r>
          </w:p>
        </w:tc>
      </w:tr>
      <w:tr>
        <w:tc>
          <w:tcPr/>
          <w:p>
            <w:pPr>
              <w:pStyle w:val="Compact"/>
              <w:jc w:val="right"/>
            </w:pPr>
            <w:r>
              <w:t xml:space="preserve">506</w:t>
            </w:r>
          </w:p>
        </w:tc>
        <w:tc>
          <w:tcPr/>
          <w:p>
            <w:pPr>
              <w:pStyle w:val="Compact"/>
              <w:jc w:val="left"/>
            </w:pPr>
            <w:r>
              <w:t xml:space="preserve">Recording Fee — Release of CT DRS Estate Tax Lien</w:t>
            </w:r>
          </w:p>
        </w:tc>
        <w:tc>
          <w:tcPr/>
          <w:p>
            <w:pPr>
              <w:pStyle w:val="Compact"/>
              <w:jc w:val="right"/>
            </w:pPr>
            <w:r>
              <w:t xml:space="preserve">$73.00</w:t>
            </w:r>
          </w:p>
        </w:tc>
      </w:tr>
      <w:tr>
        <w:tc>
          <w:tcPr/>
          <w:p>
            <w:pPr>
              <w:pStyle w:val="Compact"/>
            </w:pPr>
          </w:p>
        </w:tc>
        <w:tc>
          <w:tcPr/>
          <w:p>
            <w:pPr>
              <w:pStyle w:val="Compact"/>
              <w:jc w:val="left"/>
            </w:pPr>
            <w:r>
              <w:rPr>
                <w:i/>
                <w:iCs/>
              </w:rPr>
              <w:t xml:space="preserve">Subtotal — Seller Recording Fees</w:t>
            </w:r>
          </w:p>
        </w:tc>
        <w:tc>
          <w:tcPr/>
          <w:p>
            <w:pPr>
              <w:pStyle w:val="Compact"/>
              <w:jc w:val="right"/>
            </w:pPr>
            <w:r>
              <w:rPr>
                <w:i/>
                <w:iCs/>
              </w:rPr>
              <w:t xml:space="preserve">$292.00</w:t>
            </w:r>
          </w:p>
        </w:tc>
      </w:tr>
      <w:tr>
        <w:tc>
          <w:tcPr/>
          <w:p>
            <w:pPr>
              <w:pStyle w:val="Compact"/>
              <w:jc w:val="right"/>
            </w:pPr>
            <w:r>
              <w:t xml:space="preserve">507</w:t>
            </w:r>
          </w:p>
        </w:tc>
        <w:tc>
          <w:tcPr/>
          <w:p>
            <w:pPr>
              <w:pStyle w:val="Compact"/>
              <w:jc w:val="left"/>
            </w:pPr>
            <w:r>
              <w:t xml:space="preserve">Payoff — Harborstone Federal Credit Union, First Mortgage (good thru 07/20/2025)</w:t>
            </w:r>
          </w:p>
        </w:tc>
        <w:tc>
          <w:tcPr/>
          <w:p>
            <w:pPr>
              <w:pStyle w:val="Compact"/>
              <w:jc w:val="right"/>
            </w:pPr>
            <w:r>
              <w:t xml:space="preserve">$687,412.33</w:t>
            </w:r>
          </w:p>
        </w:tc>
      </w:tr>
      <w:tr>
        <w:tc>
          <w:tcPr/>
          <w:p>
            <w:pPr>
              <w:pStyle w:val="Compact"/>
              <w:jc w:val="right"/>
            </w:pPr>
            <w:r>
              <w:t xml:space="preserve">508</w:t>
            </w:r>
          </w:p>
        </w:tc>
        <w:tc>
          <w:tcPr/>
          <w:p>
            <w:pPr>
              <w:pStyle w:val="Compact"/>
              <w:jc w:val="left"/>
            </w:pPr>
            <w:r>
              <w:t xml:space="preserve">Payoff — Harborstone Federal Credit Union, HELOC (good thru 07/20/2025)</w:t>
            </w:r>
          </w:p>
        </w:tc>
        <w:tc>
          <w:tcPr/>
          <w:p>
            <w:pPr>
              <w:pStyle w:val="Compact"/>
              <w:jc w:val="right"/>
            </w:pPr>
            <w:r>
              <w:t xml:space="preserve">$148,219.56</w:t>
            </w:r>
          </w:p>
        </w:tc>
      </w:tr>
      <w:tr>
        <w:tc>
          <w:tcPr/>
          <w:p>
            <w:pPr>
              <w:pStyle w:val="Compact"/>
              <w:jc w:val="right"/>
            </w:pPr>
            <w:r>
              <w:t xml:space="preserve">509</w:t>
            </w:r>
          </w:p>
        </w:tc>
        <w:tc>
          <w:tcPr/>
          <w:p>
            <w:pPr>
              <w:pStyle w:val="Compact"/>
              <w:jc w:val="left"/>
            </w:pPr>
            <w:r>
              <w:t xml:space="preserve">Settlement — Northbridge Construction Co. Mechanic’s Lien</w:t>
            </w:r>
          </w:p>
        </w:tc>
        <w:tc>
          <w:tcPr/>
          <w:p>
            <w:pPr>
              <w:pStyle w:val="Compact"/>
              <w:jc w:val="right"/>
            </w:pPr>
            <w:r>
              <w:t xml:space="preserve">$31,000.00</w:t>
            </w:r>
          </w:p>
        </w:tc>
      </w:tr>
      <w:tr>
        <w:tc>
          <w:tcPr/>
          <w:p>
            <w:pPr>
              <w:pStyle w:val="Compact"/>
              <w:jc w:val="right"/>
            </w:pPr>
            <w:r>
              <w:t xml:space="preserve">510</w:t>
            </w:r>
          </w:p>
        </w:tc>
        <w:tc>
          <w:tcPr/>
          <w:p>
            <w:pPr>
              <w:pStyle w:val="Compact"/>
              <w:jc w:val="left"/>
            </w:pPr>
            <w:r>
              <w:t xml:space="preserve">Delinquent Property Tax + Interest — City of Bridgeport (2nd installment FY2024–25)</w:t>
            </w:r>
          </w:p>
        </w:tc>
        <w:tc>
          <w:tcPr/>
          <w:p>
            <w:pPr>
              <w:pStyle w:val="Compact"/>
              <w:jc w:val="right"/>
            </w:pPr>
            <w:r>
              <w:t xml:space="preserve">$28,602.80</w:t>
            </w:r>
          </w:p>
        </w:tc>
      </w:tr>
      <w:tr>
        <w:tc>
          <w:tcPr/>
          <w:p>
            <w:pPr>
              <w:pStyle w:val="Compact"/>
              <w:jc w:val="right"/>
            </w:pPr>
            <w:r>
              <w:t xml:space="preserve">511</w:t>
            </w:r>
          </w:p>
        </w:tc>
        <w:tc>
          <w:tcPr/>
          <w:p>
            <w:pPr>
              <w:pStyle w:val="Compact"/>
              <w:jc w:val="left"/>
            </w:pPr>
            <w:r>
              <w:t xml:space="preserve">Water/Sewer — Seller’s responsibility, credited to Buyer (see §C.4)</w:t>
            </w:r>
          </w:p>
        </w:tc>
        <w:tc>
          <w:tcPr/>
          <w:p>
            <w:pPr>
              <w:pStyle w:val="Compact"/>
              <w:jc w:val="right"/>
            </w:pPr>
            <w:r>
              <w:t xml:space="preserve">$1,847.60</w:t>
            </w:r>
          </w:p>
        </w:tc>
      </w:tr>
      <w:tr>
        <w:tc>
          <w:tcPr/>
          <w:p>
            <w:pPr>
              <w:pStyle w:val="Compact"/>
              <w:jc w:val="right"/>
            </w:pPr>
            <w:r>
              <w:t xml:space="preserve">512</w:t>
            </w:r>
          </w:p>
        </w:tc>
        <w:tc>
          <w:tcPr/>
          <w:p>
            <w:pPr>
              <w:pStyle w:val="Compact"/>
              <w:jc w:val="left"/>
            </w:pPr>
            <w:r>
              <w:t xml:space="preserve">Next-FY Property Tax Proration — Seller’s share, July 1–14 (see §C.1)</w:t>
            </w:r>
          </w:p>
        </w:tc>
        <w:tc>
          <w:tcPr/>
          <w:p>
            <w:pPr>
              <w:pStyle w:val="Compact"/>
              <w:jc w:val="right"/>
            </w:pPr>
            <w:r>
              <w:t xml:space="preserve">$2,012.93</w:t>
            </w:r>
          </w:p>
        </w:tc>
      </w:tr>
      <w:tr>
        <w:tc>
          <w:tcPr/>
          <w:p>
            <w:pPr>
              <w:pStyle w:val="Compact"/>
              <w:jc w:val="right"/>
            </w:pPr>
            <w:r>
              <w:t xml:space="preserve">513</w:t>
            </w:r>
          </w:p>
        </w:tc>
        <w:tc>
          <w:tcPr/>
          <w:p>
            <w:pPr>
              <w:pStyle w:val="Compact"/>
              <w:jc w:val="left"/>
            </w:pPr>
            <w:r>
              <w:t xml:space="preserve">Prorated Collected Rents — Buyer’s share, July 15–31 (see §C.2)</w:t>
            </w:r>
          </w:p>
        </w:tc>
        <w:tc>
          <w:tcPr/>
          <w:p>
            <w:pPr>
              <w:pStyle w:val="Compact"/>
              <w:jc w:val="right"/>
            </w:pPr>
            <w:r>
              <w:t xml:space="preserve">$12,941.94</w:t>
            </w:r>
          </w:p>
        </w:tc>
      </w:tr>
      <w:tr>
        <w:tc>
          <w:tcPr/>
          <w:p>
            <w:pPr>
              <w:pStyle w:val="Compact"/>
              <w:jc w:val="right"/>
            </w:pPr>
            <w:r>
              <w:t xml:space="preserve">514</w:t>
            </w:r>
          </w:p>
        </w:tc>
        <w:tc>
          <w:tcPr/>
          <w:p>
            <w:pPr>
              <w:pStyle w:val="Compact"/>
              <w:jc w:val="left"/>
            </w:pPr>
            <w:r>
              <w:t xml:space="preserve">Security Deposits Transferred to Buyer (see §C.3)</w:t>
            </w:r>
          </w:p>
        </w:tc>
        <w:tc>
          <w:tcPr/>
          <w:p>
            <w:pPr>
              <w:pStyle w:val="Compact"/>
              <w:jc w:val="right"/>
            </w:pPr>
            <w:r>
              <w:t xml:space="preserve">$32,400.00</w:t>
            </w:r>
          </w:p>
        </w:tc>
      </w:tr>
      <w:tr>
        <w:tc>
          <w:tcPr/>
          <w:p>
            <w:pPr>
              <w:pStyle w:val="Compact"/>
              <w:jc w:val="right"/>
            </w:pPr>
            <w:r>
              <w:t xml:space="preserve">515</w:t>
            </w:r>
          </w:p>
        </w:tc>
        <w:tc>
          <w:tcPr/>
          <w:p>
            <w:pPr>
              <w:pStyle w:val="Compact"/>
              <w:jc w:val="left"/>
            </w:pPr>
            <w:r>
              <w:t xml:space="preserve">Property Management Agreement Termination Fee (Bayshore Management Co.)</w:t>
            </w:r>
          </w:p>
        </w:tc>
        <w:tc>
          <w:tcPr/>
          <w:p>
            <w:pPr>
              <w:pStyle w:val="Compact"/>
              <w:jc w:val="right"/>
            </w:pPr>
            <w:r>
              <w:t xml:space="preserve">$4,500.00</w:t>
            </w:r>
          </w:p>
        </w:tc>
      </w:tr>
      <w:tr>
        <w:tc>
          <w:tcPr/>
          <w:p>
            <w:pPr>
              <w:pStyle w:val="Compact"/>
              <w:jc w:val="right"/>
            </w:pPr>
            <w:r>
              <w:t xml:space="preserve">516</w:t>
            </w:r>
          </w:p>
        </w:tc>
        <w:tc>
          <w:tcPr/>
          <w:p>
            <w:pPr>
              <w:pStyle w:val="Compact"/>
              <w:jc w:val="left"/>
            </w:pPr>
            <w:r>
              <w:t xml:space="preserve">Repair Escrow — roof repairs (third-party holdback with Escrow Agent; NOT a credit to Buyer)</w:t>
            </w:r>
          </w:p>
        </w:tc>
        <w:tc>
          <w:tcPr/>
          <w:p>
            <w:pPr>
              <w:pStyle w:val="Compact"/>
              <w:jc w:val="right"/>
            </w:pPr>
            <w:r>
              <w:t xml:space="preserve">$45,000.00</w:t>
            </w:r>
          </w:p>
        </w:tc>
      </w:tr>
      <w:tr>
        <w:tc>
          <w:tcPr/>
          <w:p>
            <w:pPr>
              <w:pStyle w:val="Compact"/>
              <w:jc w:val="right"/>
            </w:pPr>
            <w:r>
              <w:t xml:space="preserve">517</w:t>
            </w:r>
          </w:p>
        </w:tc>
        <w:tc>
          <w:tcPr/>
          <w:p>
            <w:pPr>
              <w:pStyle w:val="Compact"/>
              <w:jc w:val="left"/>
            </w:pPr>
            <w:r>
              <w:t xml:space="preserve">Seller’s Attorney Fees (Ashford, Clement &amp; Paige LLP)</w:t>
            </w:r>
          </w:p>
        </w:tc>
        <w:tc>
          <w:tcPr/>
          <w:p>
            <w:pPr>
              <w:pStyle w:val="Compact"/>
              <w:jc w:val="right"/>
            </w:pPr>
            <w:r>
              <w:t xml:space="preserve">$11,000.00</w:t>
            </w:r>
          </w:p>
        </w:tc>
      </w:tr>
      <w:tr>
        <w:tc>
          <w:tcPr/>
          <w:p>
            <w:pPr>
              <w:pStyle w:val="Compact"/>
            </w:pPr>
          </w:p>
        </w:tc>
        <w:tc>
          <w:tcPr/>
          <w:p>
            <w:pPr>
              <w:pStyle w:val="Compact"/>
              <w:jc w:val="left"/>
            </w:pPr>
            <w:r>
              <w:rPr>
                <w:b/>
                <w:bCs/>
              </w:rPr>
              <w:t xml:space="preserve">TOTAL DEBITS TO SELLER</w:t>
            </w:r>
          </w:p>
        </w:tc>
        <w:tc>
          <w:tcPr/>
          <w:p>
            <w:pPr>
              <w:pStyle w:val="Compact"/>
              <w:jc w:val="right"/>
            </w:pPr>
            <w:r>
              <w:rPr>
                <w:b/>
                <w:bCs/>
              </w:rPr>
              <w:t xml:space="preserve">$1,035,879.16</w:t>
            </w:r>
          </w:p>
        </w:tc>
      </w:tr>
    </w:tbl>
    <w:bookmarkEnd w:id="27"/>
    <w:bookmarkStart w:id="28" w:name="b.3-net-proceeds-to-seller"/>
    <w:p>
      <w:pPr>
        <w:pStyle w:val="Heading3"/>
      </w:pPr>
      <w:r>
        <w:t xml:space="preserve">B.3 Net Proceeds to Seller</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Credits to Seller</w:t>
            </w:r>
          </w:p>
        </w:tc>
        <w:tc>
          <w:tcPr/>
          <w:p>
            <w:pPr>
              <w:pStyle w:val="Compact"/>
              <w:jc w:val="right"/>
            </w:pPr>
            <w:r>
              <w:t xml:space="preserve">$3,900,693.00</w:t>
            </w:r>
          </w:p>
        </w:tc>
      </w:tr>
      <w:tr>
        <w:tc>
          <w:tcPr/>
          <w:p>
            <w:pPr>
              <w:pStyle w:val="Compact"/>
              <w:jc w:val="left"/>
            </w:pPr>
            <w:r>
              <w:t xml:space="preserve">Less: Total Debits to Seller</w:t>
            </w:r>
          </w:p>
        </w:tc>
        <w:tc>
          <w:tcPr/>
          <w:p>
            <w:pPr>
              <w:pStyle w:val="Compact"/>
              <w:jc w:val="right"/>
            </w:pPr>
            <w:r>
              <w:t xml:space="preserve">($1,035,879.16)</w:t>
            </w:r>
          </w:p>
        </w:tc>
      </w:tr>
      <w:tr>
        <w:tc>
          <w:tcPr/>
          <w:p>
            <w:pPr>
              <w:pStyle w:val="Compact"/>
              <w:jc w:val="left"/>
            </w:pPr>
            <w:r>
              <w:rPr>
                <w:b/>
                <w:bCs/>
              </w:rPr>
              <w:t xml:space="preserve">NET PROCEEDS TO SELLER (Estate of Gerald T. Whitford)</w:t>
            </w:r>
          </w:p>
        </w:tc>
        <w:tc>
          <w:tcPr/>
          <w:p>
            <w:pPr>
              <w:pStyle w:val="Compact"/>
              <w:jc w:val="right"/>
            </w:pPr>
            <w:r>
              <w:rPr>
                <w:b/>
                <w:bCs/>
              </w:rPr>
              <w:t xml:space="preserve">$2,864,813.84</w:t>
            </w:r>
          </w:p>
        </w:tc>
      </w:tr>
    </w:tbl>
    <w:p>
      <w:r>
        <w:pict>
          <v:rect style="width:0;height:1.5pt" o:hralign="center" o:hrstd="t" o:hr="t"/>
        </w:pict>
      </w:r>
    </w:p>
    <w:bookmarkEnd w:id="28"/>
    <w:bookmarkEnd w:id="29"/>
    <w:bookmarkStart w:id="35" w:name="section-c-proration-schedules"/>
    <w:p>
      <w:pPr>
        <w:pStyle w:val="Heading2"/>
      </w:pPr>
      <w:r>
        <w:t xml:space="preserve">SECTION C — PRORATION SCHEDULES</w:t>
      </w:r>
    </w:p>
    <w:p>
      <w:pPr>
        <w:pStyle w:val="FirstParagraph"/>
      </w:pPr>
      <w:r>
        <w:t xml:space="preserve">All prorations are made as of 12:01 a.m. on July 15, 2025. The Closing Date (July 15, 2025) is allocated to Buyer. Taxes use a 365-day year; rents use the actual days in July (31). Fractional cents are rounded to the nearest cent.</w:t>
      </w:r>
    </w:p>
    <w:bookmarkStart w:id="30" w:name="c.1-real-property-tax-proration"/>
    <w:p>
      <w:pPr>
        <w:pStyle w:val="Heading3"/>
      </w:pPr>
      <w:r>
        <w:t xml:space="preserve">C.1 Real Property Tax Proration</w:t>
      </w:r>
    </w:p>
    <w:p>
      <w:pPr>
        <w:pStyle w:val="FirstParagraph"/>
      </w:pPr>
      <w:r>
        <w:rPr>
          <w:b/>
          <w:bCs/>
        </w:rPr>
        <w:t xml:space="preserve">C.1(a) Current Fiscal Year (July 1, 2024 – June 30, 2025) — Delinquent Payoff (Seller’s sole responsibility)</w:t>
      </w:r>
    </w:p>
    <w:p>
      <w:pPr>
        <w:pStyle w:val="BodyText"/>
      </w:pPr>
      <w:r>
        <w:t xml:space="preserve">The current fiscal year ended June 30, 2025, entirely before Closing; no proration is required. The delinquent second installment is paid from Seller’s proceeds per PSA §7.1(a) and §9.8.</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Annual tax levy (FY 2024–25)</w:t>
            </w:r>
          </w:p>
        </w:tc>
        <w:tc>
          <w:tcPr/>
          <w:p>
            <w:pPr>
              <w:pStyle w:val="Compact"/>
              <w:jc w:val="right"/>
            </w:pPr>
            <w:r>
              <w:t xml:space="preserve">$52,480.00</w:t>
            </w:r>
          </w:p>
        </w:tc>
      </w:tr>
      <w:tr>
        <w:tc>
          <w:tcPr/>
          <w:p>
            <w:pPr>
              <w:pStyle w:val="Compact"/>
              <w:jc w:val="left"/>
            </w:pPr>
            <w:r>
              <w:t xml:space="preserve">First installment ($26,240, due 07/01/2024) — PAID 08/01/2024</w:t>
            </w:r>
          </w:p>
        </w:tc>
        <w:tc>
          <w:tcPr/>
          <w:p>
            <w:pPr>
              <w:pStyle w:val="Compact"/>
              <w:jc w:val="right"/>
            </w:pPr>
            <w:r>
              <w:t xml:space="preserve">$0.00</w:t>
            </w:r>
          </w:p>
        </w:tc>
      </w:tr>
      <w:tr>
        <w:tc>
          <w:tcPr/>
          <w:p>
            <w:pPr>
              <w:pStyle w:val="Compact"/>
              <w:jc w:val="left"/>
            </w:pPr>
            <w:r>
              <w:t xml:space="preserve">Second installment — delinquent principal (due 01/01/2025)</w:t>
            </w:r>
          </w:p>
        </w:tc>
        <w:tc>
          <w:tcPr/>
          <w:p>
            <w:pPr>
              <w:pStyle w:val="Compact"/>
              <w:jc w:val="right"/>
            </w:pPr>
            <w:r>
              <w:t xml:space="preserve">$26,240.00</w:t>
            </w:r>
          </w:p>
        </w:tc>
      </w:tr>
      <w:tr>
        <w:tc>
          <w:tcPr/>
          <w:p>
            <w:pPr>
              <w:pStyle w:val="Compact"/>
              <w:jc w:val="left"/>
            </w:pPr>
            <w:r>
              <w:t xml:space="preserve">Interest accrued through 07/15/2025 (1.5%/mo., CGS §12-146, from 01/02/2025)</w:t>
            </w:r>
          </w:p>
        </w:tc>
        <w:tc>
          <w:tcPr/>
          <w:p>
            <w:pPr>
              <w:pStyle w:val="Compact"/>
              <w:jc w:val="right"/>
            </w:pPr>
            <w:r>
              <w:t xml:space="preserve">$2,362.80</w:t>
            </w:r>
          </w:p>
        </w:tc>
      </w:tr>
      <w:tr>
        <w:tc>
          <w:tcPr/>
          <w:p>
            <w:pPr>
              <w:pStyle w:val="Compact"/>
              <w:jc w:val="left"/>
            </w:pPr>
            <w:r>
              <w:rPr>
                <w:b/>
                <w:bCs/>
              </w:rPr>
              <w:t xml:space="preserve">Total delinquent tax payoff (paid to City of Bridgeport from Seller’s proceeds — line 510)</w:t>
            </w:r>
          </w:p>
        </w:tc>
        <w:tc>
          <w:tcPr/>
          <w:p>
            <w:pPr>
              <w:pStyle w:val="Compact"/>
              <w:jc w:val="right"/>
            </w:pPr>
            <w:r>
              <w:rPr>
                <w:b/>
                <w:bCs/>
              </w:rPr>
              <w:t xml:space="preserve">$28,602.80</w:t>
            </w:r>
          </w:p>
        </w:tc>
      </w:tr>
      <w:tr>
        <w:tc>
          <w:tcPr/>
          <w:p>
            <w:pPr>
              <w:pStyle w:val="Compact"/>
              <w:jc w:val="left"/>
            </w:pPr>
            <w:r>
              <w:t xml:space="preserve">Per diem interest after 07/15/2025</w:t>
            </w:r>
          </w:p>
        </w:tc>
        <w:tc>
          <w:tcPr/>
          <w:p>
            <w:pPr>
              <w:pStyle w:val="Compact"/>
              <w:jc w:val="right"/>
            </w:pPr>
            <w:r>
              <w:t xml:space="preserve">$13.12/day (valid thru 07/20/2025)</w:t>
            </w:r>
          </w:p>
        </w:tc>
      </w:tr>
    </w:tbl>
    <w:p>
      <w:pPr>
        <w:pStyle w:val="BodyText"/>
      </w:pPr>
      <w:r>
        <w:rPr>
          <w:b/>
          <w:bCs/>
        </w:rPr>
        <w:t xml:space="preserve">C.1(b) Next Fiscal Year (July 1, 2025 – June 30, 2026) — Proration (estimated)</w:t>
      </w:r>
    </w:p>
    <w:p>
      <w:pPr>
        <w:pStyle w:val="BodyText"/>
      </w:pPr>
      <w:r>
        <w:t xml:space="preserve">The new mill rate has not been set; the current-year levy of $52,480.00 is used as the estimate per PSA §7.1(b), subject to reproration under PSA §7.7 when the actual bill issues.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Value</w:t>
            </w:r>
          </w:p>
        </w:tc>
      </w:tr>
      <w:tr>
        <w:tc>
          <w:tcPr/>
          <w:p>
            <w:pPr>
              <w:pStyle w:val="Compact"/>
              <w:jc w:val="left"/>
            </w:pPr>
            <w:r>
              <w:t xml:space="preserve">Estimated annual tax (FY 2025–26)</w:t>
            </w:r>
          </w:p>
        </w:tc>
        <w:tc>
          <w:tcPr/>
          <w:p>
            <w:pPr>
              <w:pStyle w:val="Compact"/>
              <w:jc w:val="right"/>
            </w:pPr>
            <w:r>
              <w:t xml:space="preserve">$52,480.00</w:t>
            </w:r>
          </w:p>
        </w:tc>
      </w:tr>
      <w:tr>
        <w:tc>
          <w:tcPr/>
          <w:p>
            <w:pPr>
              <w:pStyle w:val="Compact"/>
              <w:jc w:val="left"/>
            </w:pPr>
            <w:r>
              <w:t xml:space="preserve">Per diem ($52,480.00 ÷ 365)</w:t>
            </w:r>
          </w:p>
        </w:tc>
        <w:tc>
          <w:tcPr/>
          <w:p>
            <w:pPr>
              <w:pStyle w:val="Compact"/>
              <w:jc w:val="right"/>
            </w:pPr>
            <w:r>
              <w:t xml:space="preserve">$143.7808</w:t>
            </w:r>
          </w:p>
        </w:tc>
      </w:tr>
      <w:tr>
        <w:tc>
          <w:tcPr/>
          <w:p>
            <w:pPr>
              <w:pStyle w:val="Compact"/>
              <w:jc w:val="left"/>
            </w:pPr>
            <w:r>
              <w:t xml:space="preserve">Seller’s period: July 1–14, 2025 (14 days)</w:t>
            </w:r>
          </w:p>
        </w:tc>
        <w:tc>
          <w:tcPr/>
          <w:p>
            <w:pPr>
              <w:pStyle w:val="Compact"/>
              <w:jc w:val="right"/>
            </w:pPr>
            <w:r>
              <w:t xml:space="preserve">14</w:t>
            </w:r>
          </w:p>
        </w:tc>
      </w:tr>
      <w:tr>
        <w:tc>
          <w:tcPr/>
          <w:p>
            <w:pPr>
              <w:pStyle w:val="Compact"/>
              <w:jc w:val="left"/>
            </w:pPr>
            <w:r>
              <w:t xml:space="preserve">Buyer’s period: July 15, 2025 – June 30, 2026 (351 days)</w:t>
            </w:r>
          </w:p>
        </w:tc>
        <w:tc>
          <w:tcPr/>
          <w:p>
            <w:pPr>
              <w:pStyle w:val="Compact"/>
              <w:jc w:val="right"/>
            </w:pPr>
            <w:r>
              <w:t xml:space="preserve">351</w:t>
            </w:r>
          </w:p>
        </w:tc>
      </w:tr>
      <w:tr>
        <w:tc>
          <w:tcPr/>
          <w:p>
            <w:pPr>
              <w:pStyle w:val="Compact"/>
              <w:jc w:val="left"/>
            </w:pPr>
            <w:r>
              <w:rPr>
                <w:b/>
                <w:bCs/>
              </w:rPr>
              <w:t xml:space="preserve">Seller’s share (14 days × $143.7808)</w:t>
            </w:r>
          </w:p>
        </w:tc>
        <w:tc>
          <w:tcPr/>
          <w:p>
            <w:pPr>
              <w:pStyle w:val="Compact"/>
              <w:jc w:val="right"/>
            </w:pPr>
            <w:r>
              <w:rPr>
                <w:b/>
                <w:bCs/>
              </w:rPr>
              <w:t xml:space="preserve">$2,012.93</w:t>
            </w:r>
          </w:p>
        </w:tc>
      </w:tr>
      <w:tr>
        <w:tc>
          <w:tcPr/>
          <w:p>
            <w:pPr>
              <w:pStyle w:val="Compact"/>
              <w:jc w:val="left"/>
            </w:pPr>
            <w:r>
              <w:t xml:space="preserve">Buyer’s share (351 days × $143.7808)</w:t>
            </w:r>
          </w:p>
        </w:tc>
        <w:tc>
          <w:tcPr/>
          <w:p>
            <w:pPr>
              <w:pStyle w:val="Compact"/>
              <w:jc w:val="right"/>
            </w:pPr>
            <w:r>
              <w:t xml:space="preserve">$50,467.07</w:t>
            </w:r>
          </w:p>
        </w:tc>
      </w:tr>
      <w:tr>
        <w:tc>
          <w:tcPr/>
          <w:p>
            <w:pPr>
              <w:pStyle w:val="Compact"/>
              <w:jc w:val="left"/>
            </w:pPr>
            <w:r>
              <w:t xml:space="preserve">Check (Seller + Buyer)</w:t>
            </w:r>
          </w:p>
        </w:tc>
        <w:tc>
          <w:tcPr/>
          <w:p>
            <w:pPr>
              <w:pStyle w:val="Compact"/>
              <w:jc w:val="right"/>
            </w:pPr>
            <w:r>
              <w:t xml:space="preserve">$52,480.00</w:t>
            </w:r>
          </w:p>
        </w:tc>
      </w:tr>
      <w:tr>
        <w:tc>
          <w:tcPr/>
          <w:p>
            <w:pPr>
              <w:pStyle w:val="Compact"/>
              <w:jc w:val="left"/>
            </w:pPr>
            <w:r>
              <w:rPr>
                <w:b/>
                <w:bCs/>
              </w:rPr>
              <w:t xml:space="preserve">Treatment</w:t>
            </w:r>
          </w:p>
        </w:tc>
        <w:tc>
          <w:tcPr/>
          <w:p>
            <w:pPr>
              <w:pStyle w:val="Compact"/>
              <w:jc w:val="right"/>
            </w:pPr>
            <w:r>
              <w:rPr>
                <w:b/>
                <w:bCs/>
              </w:rPr>
              <w:t xml:space="preserve">Debit Seller $2,012.93 (line 512) / Credit Buyer $2,012.93 (line 205). Buyer pays the full bill when issued; Seller reimburses Buyer for Seller’s 14-day share at Closing.</w:t>
            </w:r>
          </w:p>
        </w:tc>
      </w:tr>
    </w:tbl>
    <w:bookmarkEnd w:id="30"/>
    <w:bookmarkStart w:id="31" w:name="c.2-rent-proration-collected-rents"/>
    <w:p>
      <w:pPr>
        <w:pStyle w:val="Heading3"/>
      </w:pPr>
      <w:r>
        <w:t xml:space="preserve">C.2 Rent Proration — Collected Rents</w:t>
      </w:r>
    </w:p>
    <w:p>
      <w:pPr>
        <w:pStyle w:val="FirstParagraph"/>
      </w:pPr>
      <w:r>
        <w:t xml:space="preserve">Per PSA §7.2, only rents</w:t>
      </w:r>
      <w:r>
        <w:t xml:space="preserve"> </w:t>
      </w:r>
      <w:r>
        <w:rPr>
          <w:b/>
          <w:bCs/>
        </w:rPr>
        <w:t xml:space="preserve">actually collected</w:t>
      </w:r>
      <w:r>
        <w:t xml:space="preserve"> </w:t>
      </w:r>
      <w:r>
        <w:t xml:space="preserve">for July 2025 are prorated. Per PSA §7.3,</w:t>
      </w:r>
      <w:r>
        <w:t xml:space="preserve"> </w:t>
      </w:r>
      <w:r>
        <w:rPr>
          <w:b/>
          <w:bCs/>
        </w:rPr>
        <w:t xml:space="preserve">no credit</w:t>
      </w:r>
      <w:r>
        <w:t xml:space="preserve"> </w:t>
      </w:r>
      <w:r>
        <w:t xml:space="preserve">is given for delinquent/uncollected rents (Unit 2E) or for the vacant unit (3C). Seller is entitled to July 1–14 (14 days); Buyer to July 15–31 (17 days); per diem over 31 days.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Unit</w:t>
            </w:r>
          </w:p>
        </w:tc>
        <w:tc>
          <w:tcPr/>
          <w:p>
            <w:pPr>
              <w:pStyle w:val="Compact"/>
              <w:jc w:val="left"/>
            </w:pPr>
            <w:r>
              <w:t xml:space="preserve">Tenant Type</w:t>
            </w:r>
          </w:p>
        </w:tc>
        <w:tc>
          <w:tcPr/>
          <w:p>
            <w:pPr>
              <w:pStyle w:val="Compact"/>
              <w:jc w:val="right"/>
            </w:pPr>
            <w:r>
              <w:t xml:space="preserve">Monthly Rent</w:t>
            </w:r>
          </w:p>
        </w:tc>
        <w:tc>
          <w:tcPr/>
          <w:p>
            <w:pPr>
              <w:pStyle w:val="Compact"/>
              <w:jc w:val="left"/>
            </w:pPr>
            <w:r>
              <w:t xml:space="preserve">July 2025 Status</w:t>
            </w:r>
          </w:p>
        </w:tc>
        <w:tc>
          <w:tcPr/>
          <w:p>
            <w:pPr>
              <w:pStyle w:val="Compact"/>
              <w:jc w:val="left"/>
            </w:pPr>
            <w:r>
              <w:t xml:space="preserve">Included in Proration?</w:t>
            </w:r>
          </w:p>
        </w:tc>
      </w:tr>
      <w:tr>
        <w:tc>
          <w:tcPr/>
          <w:p>
            <w:pPr>
              <w:pStyle w:val="Compact"/>
              <w:jc w:val="left"/>
            </w:pPr>
            <w:r>
              <w:t xml:space="preserve">GF</w:t>
            </w:r>
          </w:p>
        </w:tc>
        <w:tc>
          <w:tcPr/>
          <w:p>
            <w:pPr>
              <w:pStyle w:val="Compact"/>
              <w:jc w:val="left"/>
            </w:pPr>
            <w:r>
              <w:t xml:space="preserve">Commercial — Coastal Provisions Market LLC</w:t>
            </w:r>
          </w:p>
        </w:tc>
        <w:tc>
          <w:tcPr/>
          <w:p>
            <w:pPr>
              <w:pStyle w:val="Compact"/>
              <w:jc w:val="right"/>
            </w:pPr>
            <w:r>
              <w:t xml:space="preserve">$7,200.00</w:t>
            </w:r>
          </w:p>
        </w:tc>
        <w:tc>
          <w:tcPr/>
          <w:p>
            <w:pPr>
              <w:pStyle w:val="Compact"/>
              <w:jc w:val="left"/>
            </w:pPr>
            <w:r>
              <w:t xml:space="preserve">Paid 07/01/2025</w:t>
            </w:r>
          </w:p>
        </w:tc>
        <w:tc>
          <w:tcPr/>
          <w:p>
            <w:pPr>
              <w:pStyle w:val="Compact"/>
              <w:jc w:val="left"/>
            </w:pPr>
            <w:r>
              <w:t xml:space="preserve">Yes</w:t>
            </w:r>
          </w:p>
        </w:tc>
      </w:tr>
      <w:tr>
        <w:tc>
          <w:tcPr/>
          <w:p>
            <w:pPr>
              <w:pStyle w:val="Compact"/>
              <w:jc w:val="left"/>
            </w:pPr>
            <w:r>
              <w:t xml:space="preserve">2A</w:t>
            </w:r>
          </w:p>
        </w:tc>
        <w:tc>
          <w:tcPr/>
          <w:p>
            <w:pPr>
              <w:pStyle w:val="Compact"/>
              <w:jc w:val="left"/>
            </w:pPr>
            <w:r>
              <w:t xml:space="preserve">Residential</w:t>
            </w:r>
          </w:p>
        </w:tc>
        <w:tc>
          <w:tcPr/>
          <w:p>
            <w:pPr>
              <w:pStyle w:val="Compact"/>
              <w:jc w:val="right"/>
            </w:pPr>
            <w:r>
              <w:t xml:space="preserve">$1,650.00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2B</w:t>
            </w:r>
          </w:p>
        </w:tc>
        <w:tc>
          <w:tcPr/>
          <w:p>
            <w:pPr>
              <w:pStyle w:val="Compact"/>
              <w:jc w:val="left"/>
            </w:pPr>
            <w:r>
              <w:t xml:space="preserve">Residential</w:t>
            </w:r>
          </w:p>
        </w:tc>
        <w:tc>
          <w:tcPr/>
          <w:p>
            <w:pPr>
              <w:pStyle w:val="Compact"/>
              <w:jc w:val="right"/>
            </w:pPr>
            <w:r>
              <w:t xml:space="preserve">$1,575.00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2C</w:t>
            </w:r>
          </w:p>
        </w:tc>
        <w:tc>
          <w:tcPr/>
          <w:p>
            <w:pPr>
              <w:pStyle w:val="Compact"/>
              <w:jc w:val="left"/>
            </w:pPr>
            <w:r>
              <w:t xml:space="preserve">Residential</w:t>
            </w:r>
          </w:p>
        </w:tc>
        <w:tc>
          <w:tcPr/>
          <w:p>
            <w:pPr>
              <w:pStyle w:val="Compact"/>
              <w:jc w:val="right"/>
            </w:pPr>
            <w:r>
              <w:t xml:space="preserve">$1,700.00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2D</w:t>
            </w:r>
          </w:p>
        </w:tc>
        <w:tc>
          <w:tcPr/>
          <w:p>
            <w:pPr>
              <w:pStyle w:val="Compact"/>
              <w:jc w:val="left"/>
            </w:pPr>
            <w:r>
              <w:t xml:space="preserve">Residential</w:t>
            </w:r>
          </w:p>
        </w:tc>
        <w:tc>
          <w:tcPr/>
          <w:p>
            <w:pPr>
              <w:pStyle w:val="Compact"/>
              <w:jc w:val="right"/>
            </w:pPr>
            <w:r>
              <w:t xml:space="preserve">$1,525.00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2E</w:t>
            </w:r>
          </w:p>
        </w:tc>
        <w:tc>
          <w:tcPr/>
          <w:p>
            <w:pPr>
              <w:pStyle w:val="Compact"/>
              <w:jc w:val="left"/>
            </w:pPr>
            <w:r>
              <w:t xml:space="preserve">Residential</w:t>
            </w:r>
          </w:p>
        </w:tc>
        <w:tc>
          <w:tcPr/>
          <w:p>
            <w:pPr>
              <w:pStyle w:val="Compact"/>
              <w:jc w:val="right"/>
            </w:pPr>
            <w:r>
              <w:t xml:space="preserve">$1,600.00</w:t>
            </w:r>
          </w:p>
        </w:tc>
        <w:tc>
          <w:tcPr/>
          <w:p>
            <w:pPr>
              <w:pStyle w:val="Compact"/>
              <w:jc w:val="left"/>
            </w:pPr>
            <w:r>
              <w:rPr>
                <w:b/>
                <w:bCs/>
              </w:rPr>
              <w:t xml:space="preserve">UNPAID / Delinquent</w:t>
            </w:r>
          </w:p>
        </w:tc>
        <w:tc>
          <w:tcPr/>
          <w:p>
            <w:pPr>
              <w:pStyle w:val="Compact"/>
              <w:jc w:val="left"/>
            </w:pPr>
            <w:r>
              <w:rPr>
                <w:b/>
                <w:bCs/>
              </w:rPr>
              <w:t xml:space="preserve">No (excluded per §7.3)</w:t>
            </w:r>
          </w:p>
        </w:tc>
      </w:tr>
      <w:tr>
        <w:tc>
          <w:tcPr/>
          <w:p>
            <w:pPr>
              <w:pStyle w:val="Compact"/>
              <w:jc w:val="left"/>
            </w:pPr>
            <w:r>
              <w:t xml:space="preserve">2F</w:t>
            </w:r>
          </w:p>
        </w:tc>
        <w:tc>
          <w:tcPr/>
          <w:p>
            <w:pPr>
              <w:pStyle w:val="Compact"/>
              <w:jc w:val="left"/>
            </w:pPr>
            <w:r>
              <w:t xml:space="preserve">Residential</w:t>
            </w:r>
          </w:p>
        </w:tc>
        <w:tc>
          <w:tcPr/>
          <w:p>
            <w:pPr>
              <w:pStyle w:val="Compact"/>
              <w:jc w:val="right"/>
            </w:pPr>
            <w:r>
              <w:t xml:space="preserve">$1,650.00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3A</w:t>
            </w:r>
          </w:p>
        </w:tc>
        <w:tc>
          <w:tcPr/>
          <w:p>
            <w:pPr>
              <w:pStyle w:val="Compact"/>
              <w:jc w:val="left"/>
            </w:pPr>
            <w:r>
              <w:t xml:space="preserve">Residential</w:t>
            </w:r>
          </w:p>
        </w:tc>
        <w:tc>
          <w:tcPr/>
          <w:p>
            <w:pPr>
              <w:pStyle w:val="Compact"/>
              <w:jc w:val="right"/>
            </w:pPr>
            <w:r>
              <w:t xml:space="preserve">$1,750.00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3B</w:t>
            </w:r>
          </w:p>
        </w:tc>
        <w:tc>
          <w:tcPr/>
          <w:p>
            <w:pPr>
              <w:pStyle w:val="Compact"/>
              <w:jc w:val="left"/>
            </w:pPr>
            <w:r>
              <w:t xml:space="preserve">Residential</w:t>
            </w:r>
          </w:p>
        </w:tc>
        <w:tc>
          <w:tcPr/>
          <w:p>
            <w:pPr>
              <w:pStyle w:val="Compact"/>
              <w:jc w:val="right"/>
            </w:pPr>
            <w:r>
              <w:t xml:space="preserve">$1,575.00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3C</w:t>
            </w:r>
          </w:p>
        </w:tc>
        <w:tc>
          <w:tcPr/>
          <w:p>
            <w:pPr>
              <w:pStyle w:val="Compact"/>
              <w:jc w:val="left"/>
            </w:pPr>
            <w:r>
              <w:t xml:space="preserve">Residential</w:t>
            </w:r>
          </w:p>
        </w:tc>
        <w:tc>
          <w:tcPr/>
          <w:p>
            <w:pPr>
              <w:pStyle w:val="Compact"/>
              <w:jc w:val="right"/>
            </w:pPr>
            <w:r>
              <w:t xml:space="preserve">$0.00</w:t>
            </w:r>
          </w:p>
        </w:tc>
        <w:tc>
          <w:tcPr/>
          <w:p>
            <w:pPr>
              <w:pStyle w:val="Compact"/>
              <w:jc w:val="left"/>
            </w:pPr>
            <w:r>
              <w:rPr>
                <w:b/>
                <w:bCs/>
              </w:rPr>
              <w:t xml:space="preserve">VACANT</w:t>
            </w:r>
          </w:p>
        </w:tc>
        <w:tc>
          <w:tcPr/>
          <w:p>
            <w:pPr>
              <w:pStyle w:val="Compact"/>
              <w:jc w:val="left"/>
            </w:pPr>
            <w:r>
              <w:rPr>
                <w:b/>
                <w:bCs/>
              </w:rPr>
              <w:t xml:space="preserve">No (no rent)</w:t>
            </w:r>
          </w:p>
        </w:tc>
      </w:tr>
      <w:tr>
        <w:tc>
          <w:tcPr/>
          <w:p>
            <w:pPr>
              <w:pStyle w:val="Compact"/>
              <w:jc w:val="left"/>
            </w:pPr>
            <w:r>
              <w:t xml:space="preserve">3D</w:t>
            </w:r>
          </w:p>
        </w:tc>
        <w:tc>
          <w:tcPr/>
          <w:p>
            <w:pPr>
              <w:pStyle w:val="Compact"/>
              <w:jc w:val="left"/>
            </w:pPr>
            <w:r>
              <w:t xml:space="preserve">Residential</w:t>
            </w:r>
          </w:p>
        </w:tc>
        <w:tc>
          <w:tcPr/>
          <w:p>
            <w:pPr>
              <w:pStyle w:val="Compact"/>
              <w:jc w:val="right"/>
            </w:pPr>
            <w:r>
              <w:t xml:space="preserve">$1,700.00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3E</w:t>
            </w:r>
          </w:p>
        </w:tc>
        <w:tc>
          <w:tcPr/>
          <w:p>
            <w:pPr>
              <w:pStyle w:val="Compact"/>
              <w:jc w:val="left"/>
            </w:pPr>
            <w:r>
              <w:t xml:space="preserve">Residential</w:t>
            </w:r>
          </w:p>
        </w:tc>
        <w:tc>
          <w:tcPr/>
          <w:p>
            <w:pPr>
              <w:pStyle w:val="Compact"/>
              <w:jc w:val="right"/>
            </w:pPr>
            <w:r>
              <w:t xml:space="preserve">$1,625.00</w:t>
            </w:r>
          </w:p>
        </w:tc>
        <w:tc>
          <w:tcPr/>
          <w:p>
            <w:pPr>
              <w:pStyle w:val="Compact"/>
              <w:jc w:val="left"/>
            </w:pPr>
            <w:r>
              <w:t xml:space="preserve">Paid</w:t>
            </w:r>
          </w:p>
        </w:tc>
        <w:tc>
          <w:tcPr/>
          <w:p>
            <w:pPr>
              <w:pStyle w:val="Compact"/>
              <w:jc w:val="left"/>
            </w:pPr>
            <w:r>
              <w:t xml:space="preserve">Yes</w:t>
            </w:r>
          </w:p>
        </w:tc>
      </w:tr>
      <w:tr>
        <w:tc>
          <w:tcPr/>
          <w:p>
            <w:pPr>
              <w:pStyle w:val="Compact"/>
              <w:jc w:val="left"/>
            </w:pPr>
            <w:r>
              <w:t xml:space="preserve">3F</w:t>
            </w:r>
          </w:p>
        </w:tc>
        <w:tc>
          <w:tcPr/>
          <w:p>
            <w:pPr>
              <w:pStyle w:val="Compact"/>
              <w:jc w:val="left"/>
            </w:pPr>
            <w:r>
              <w:t xml:space="preserve">Residential</w:t>
            </w:r>
          </w:p>
        </w:tc>
        <w:tc>
          <w:tcPr/>
          <w:p>
            <w:pPr>
              <w:pStyle w:val="Compact"/>
              <w:jc w:val="right"/>
            </w:pPr>
            <w:r>
              <w:t xml:space="preserve">$1,650.00</w:t>
            </w:r>
          </w:p>
        </w:tc>
        <w:tc>
          <w:tcPr/>
          <w:p>
            <w:pPr>
              <w:pStyle w:val="Compact"/>
              <w:jc w:val="left"/>
            </w:pPr>
            <w:r>
              <w:t xml:space="preserve">Paid</w:t>
            </w:r>
          </w:p>
        </w:tc>
        <w:tc>
          <w:tcPr/>
          <w:p>
            <w:pPr>
              <w:pStyle w:val="Compact"/>
              <w:jc w:val="left"/>
            </w:pPr>
            <w:r>
              <w:t xml:space="preserve">Yes</w:t>
            </w:r>
          </w:p>
        </w:tc>
      </w:tr>
      <w:tr>
        <w:tc>
          <w:tcPr/>
          <w:p>
            <w:pPr>
              <w:pStyle w:val="Compact"/>
            </w:pPr>
          </w:p>
        </w:tc>
        <w:tc>
          <w:tcPr/>
          <w:p>
            <w:pPr>
              <w:pStyle w:val="Compact"/>
              <w:jc w:val="left"/>
            </w:pPr>
            <w:r>
              <w:rPr>
                <w:b/>
                <w:bCs/>
              </w:rPr>
              <w:t xml:space="preserve">Total Collected (prorated)</w:t>
            </w:r>
          </w:p>
        </w:tc>
        <w:tc>
          <w:tcPr/>
          <w:p>
            <w:pPr>
              <w:pStyle w:val="Compact"/>
              <w:jc w:val="right"/>
            </w:pPr>
            <w:r>
              <w:rPr>
                <w:b/>
                <w:bCs/>
              </w:rPr>
              <w:t xml:space="preserve">$23,600.00</w:t>
            </w:r>
          </w:p>
        </w:tc>
        <w:tc>
          <w:tcPr/>
          <w:p>
            <w:pPr>
              <w:pStyle w:val="Compact"/>
            </w:pPr>
          </w:p>
        </w:tc>
        <w:tc>
          <w:tcPr/>
          <w:p>
            <w:pPr>
              <w:pStyle w:val="Compact"/>
            </w:pPr>
          </w:p>
        </w:tc>
      </w:tr>
      <w:tr>
        <w:tc>
          <w:tcPr/>
          <w:p>
            <w:pPr>
              <w:pStyle w:val="Compact"/>
            </w:pPr>
          </w:p>
        </w:tc>
        <w:tc>
          <w:tcPr/>
          <w:p>
            <w:pPr>
              <w:pStyle w:val="Compact"/>
              <w:jc w:val="left"/>
            </w:pPr>
            <w:r>
              <w:t xml:space="preserve">Total Uncollected (Unit 2E — excluded)</w:t>
            </w:r>
          </w:p>
        </w:tc>
        <w:tc>
          <w:tcPr/>
          <w:p>
            <w:pPr>
              <w:pStyle w:val="Compact"/>
              <w:jc w:val="right"/>
            </w:pPr>
            <w:r>
              <w:t xml:space="preserve">$1,600.00</w:t>
            </w:r>
          </w:p>
        </w:tc>
        <w:tc>
          <w:tcPr/>
          <w:p>
            <w:pPr>
              <w:pStyle w:val="Compact"/>
            </w:pPr>
          </w:p>
        </w:tc>
        <w:tc>
          <w:tcPr/>
          <w:p>
            <w:pPr>
              <w:pStyle w:val="Compact"/>
            </w:pPr>
          </w:p>
        </w:tc>
      </w:tr>
      <w:tr>
        <w:tc>
          <w:tcPr/>
          <w:p>
            <w:pPr>
              <w:pStyle w:val="Compact"/>
            </w:pPr>
          </w:p>
        </w:tc>
        <w:tc>
          <w:tcPr/>
          <w:p>
            <w:pPr>
              <w:pStyle w:val="Compact"/>
              <w:jc w:val="left"/>
            </w:pPr>
            <w:r>
              <w:t xml:space="preserve">Vacancy Loss (Unit 3C — informational)</w:t>
            </w:r>
          </w:p>
        </w:tc>
        <w:tc>
          <w:tcPr/>
          <w:p>
            <w:pPr>
              <w:pStyle w:val="Compact"/>
              <w:jc w:val="right"/>
            </w:pPr>
            <w:r>
              <w:t xml:space="preserve">$1,650.00</w:t>
            </w:r>
          </w:p>
        </w:tc>
        <w:tc>
          <w:tcPr/>
          <w:p>
            <w:pPr>
              <w:pStyle w:val="Compact"/>
            </w:pPr>
          </w:p>
        </w:tc>
        <w:tc>
          <w:tcPr/>
          <w:p>
            <w:pPr>
              <w:pStyle w:val="Compact"/>
            </w:pPr>
          </w:p>
        </w:tc>
      </w:tr>
    </w:tbl>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Proration Calculation</w:t>
            </w:r>
          </w:p>
        </w:tc>
        <w:tc>
          <w:tcPr/>
          <w:p>
            <w:pPr>
              <w:pStyle w:val="Compact"/>
              <w:jc w:val="right"/>
            </w:pPr>
            <w:r>
              <w:t xml:space="preserve">Amount</w:t>
            </w:r>
          </w:p>
        </w:tc>
      </w:tr>
      <w:tr>
        <w:tc>
          <w:tcPr/>
          <w:p>
            <w:pPr>
              <w:pStyle w:val="Compact"/>
              <w:jc w:val="left"/>
            </w:pPr>
            <w:r>
              <w:t xml:space="preserve">Total collected July rent</w:t>
            </w:r>
          </w:p>
        </w:tc>
        <w:tc>
          <w:tcPr/>
          <w:p>
            <w:pPr>
              <w:pStyle w:val="Compact"/>
              <w:jc w:val="right"/>
            </w:pPr>
            <w:r>
              <w:t xml:space="preserve">$23,600.00</w:t>
            </w:r>
          </w:p>
        </w:tc>
      </w:tr>
      <w:tr>
        <w:tc>
          <w:tcPr/>
          <w:p>
            <w:pPr>
              <w:pStyle w:val="Compact"/>
              <w:jc w:val="left"/>
            </w:pPr>
            <w:r>
              <w:t xml:space="preserve">Per diem ($23,600.00 ÷ 31)</w:t>
            </w:r>
          </w:p>
        </w:tc>
        <w:tc>
          <w:tcPr/>
          <w:p>
            <w:pPr>
              <w:pStyle w:val="Compact"/>
              <w:jc w:val="right"/>
            </w:pPr>
            <w:r>
              <w:t xml:space="preserve">$761.2903</w:t>
            </w:r>
          </w:p>
        </w:tc>
      </w:tr>
      <w:tr>
        <w:tc>
          <w:tcPr/>
          <w:p>
            <w:pPr>
              <w:pStyle w:val="Compact"/>
              <w:jc w:val="left"/>
            </w:pPr>
            <w:r>
              <w:t xml:space="preserve">Seller’s share — 14 days (July 1–14)</w:t>
            </w:r>
          </w:p>
        </w:tc>
        <w:tc>
          <w:tcPr/>
          <w:p>
            <w:pPr>
              <w:pStyle w:val="Compact"/>
              <w:jc w:val="right"/>
            </w:pPr>
            <w:r>
              <w:t xml:space="preserve">$10,658.06</w:t>
            </w:r>
          </w:p>
        </w:tc>
      </w:tr>
      <w:tr>
        <w:tc>
          <w:tcPr/>
          <w:p>
            <w:pPr>
              <w:pStyle w:val="Compact"/>
              <w:jc w:val="left"/>
            </w:pPr>
            <w:r>
              <w:rPr>
                <w:b/>
                <w:bCs/>
              </w:rPr>
              <w:t xml:space="preserve">Buyer’s share — 17 days (July 15–31)</w:t>
            </w:r>
          </w:p>
        </w:tc>
        <w:tc>
          <w:tcPr/>
          <w:p>
            <w:pPr>
              <w:pStyle w:val="Compact"/>
              <w:jc w:val="right"/>
            </w:pPr>
            <w:r>
              <w:rPr>
                <w:b/>
                <w:bCs/>
              </w:rPr>
              <w:t xml:space="preserve">$12,941.94</w:t>
            </w:r>
          </w:p>
        </w:tc>
      </w:tr>
      <w:tr>
        <w:tc>
          <w:tcPr/>
          <w:p>
            <w:pPr>
              <w:pStyle w:val="Compact"/>
              <w:jc w:val="left"/>
            </w:pPr>
            <w:r>
              <w:t xml:space="preserve">Check (Seller + Buyer)</w:t>
            </w:r>
          </w:p>
        </w:tc>
        <w:tc>
          <w:tcPr/>
          <w:p>
            <w:pPr>
              <w:pStyle w:val="Compact"/>
              <w:jc w:val="right"/>
            </w:pPr>
            <w:r>
              <w:t xml:space="preserve">$23,600.00</w:t>
            </w:r>
          </w:p>
        </w:tc>
      </w:tr>
      <w:tr>
        <w:tc>
          <w:tcPr/>
          <w:p>
            <w:pPr>
              <w:pStyle w:val="Compact"/>
              <w:jc w:val="left"/>
            </w:pPr>
            <w:r>
              <w:rPr>
                <w:b/>
                <w:bCs/>
              </w:rPr>
              <w:t xml:space="preserve">Treatment</w:t>
            </w:r>
          </w:p>
        </w:tc>
        <w:tc>
          <w:tcPr/>
          <w:p>
            <w:pPr>
              <w:pStyle w:val="Compact"/>
              <w:jc w:val="right"/>
            </w:pPr>
            <w:r>
              <w:rPr>
                <w:b/>
                <w:bCs/>
              </w:rPr>
              <w:t xml:space="preserve">Seller collected the full $23,600.00; Seller credits Buyer $12,941.94 for Buyer’s 17-day share. Debit Seller $12,941.94 (line 513) / Credit Buyer $12,941.94 (line 203).</w:t>
            </w:r>
          </w:p>
        </w:tc>
      </w:tr>
    </w:tbl>
    <w:bookmarkEnd w:id="31"/>
    <w:bookmarkStart w:id="32" w:name="c.3-security-deposits"/>
    <w:p>
      <w:pPr>
        <w:pStyle w:val="Heading3"/>
      </w:pPr>
      <w:r>
        <w:t xml:space="preserve">C.3 Security Deposits</w:t>
      </w:r>
    </w:p>
    <w:p>
      <w:pPr>
        <w:pStyle w:val="FirstParagraph"/>
      </w:pPr>
      <w:r>
        <w:t xml:space="preserve">Per PSA §7.4, all security deposits held by Seller/Property Manager are transferred/credited to Buyer at Closing (debit Seller / credit Buyer). Deposits are held by Bayshore Management Co. at Harborstone Federal Credit Union.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Unit</w:t>
            </w:r>
          </w:p>
        </w:tc>
        <w:tc>
          <w:tcPr/>
          <w:p>
            <w:pPr>
              <w:pStyle w:val="Compact"/>
              <w:jc w:val="left"/>
            </w:pPr>
            <w:r>
              <w:t xml:space="preserve">Type</w:t>
            </w:r>
          </w:p>
        </w:tc>
        <w:tc>
          <w:tcPr/>
          <w:p>
            <w:pPr>
              <w:pStyle w:val="Compact"/>
              <w:jc w:val="right"/>
            </w:pPr>
            <w:r>
              <w:t xml:space="preserve">Security Deposit</w:t>
            </w:r>
          </w:p>
        </w:tc>
      </w:tr>
      <w:tr>
        <w:tc>
          <w:tcPr/>
          <w:p>
            <w:pPr>
              <w:pStyle w:val="Compact"/>
              <w:jc w:val="left"/>
            </w:pPr>
            <w:r>
              <w:t xml:space="preserve">GF</w:t>
            </w:r>
          </w:p>
        </w:tc>
        <w:tc>
          <w:tcPr/>
          <w:p>
            <w:pPr>
              <w:pStyle w:val="Compact"/>
              <w:jc w:val="left"/>
            </w:pPr>
            <w:r>
              <w:t xml:space="preserve">Commercial — Coastal Provisions Market LLC</w:t>
            </w:r>
          </w:p>
        </w:tc>
        <w:tc>
          <w:tcPr/>
          <w:p>
            <w:pPr>
              <w:pStyle w:val="Compact"/>
              <w:jc w:val="right"/>
            </w:pPr>
            <w:r>
              <w:t xml:space="preserve">$14,400.00</w:t>
            </w:r>
          </w:p>
        </w:tc>
      </w:tr>
      <w:tr>
        <w:tc>
          <w:tcPr/>
          <w:p>
            <w:pPr>
              <w:pStyle w:val="Compact"/>
              <w:jc w:val="left"/>
            </w:pPr>
            <w:r>
              <w:t xml:space="preserve">2A</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2B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2C</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2D</w:t>
            </w:r>
          </w:p>
        </w:tc>
        <w:tc>
          <w:tcPr/>
          <w:p>
            <w:pPr>
              <w:pStyle w:val="Compact"/>
              <w:jc w:val="left"/>
            </w:pPr>
            <w:r>
              <w:t xml:space="preserve">Residential</w:t>
            </w:r>
          </w:p>
        </w:tc>
        <w:tc>
          <w:tcPr/>
          <w:p>
            <w:pPr>
              <w:pStyle w:val="Compact"/>
              <w:jc w:val="right"/>
            </w:pPr>
            <w:r>
              <w:t xml:space="preserve">$1,525.00</w:t>
            </w:r>
          </w:p>
        </w:tc>
      </w:tr>
      <w:tr>
        <w:tc>
          <w:tcPr/>
          <w:p>
            <w:pPr>
              <w:pStyle w:val="Compact"/>
              <w:jc w:val="left"/>
            </w:pPr>
            <w:r>
              <w:t xml:space="preserve">2E</w:t>
            </w:r>
          </w:p>
        </w:tc>
        <w:tc>
          <w:tcPr/>
          <w:p>
            <w:pPr>
              <w:pStyle w:val="Compact"/>
              <w:jc w:val="left"/>
            </w:pPr>
            <w:r>
              <w:t xml:space="preserve">Residential (delinquent rent; deposit still held)</w:t>
            </w:r>
          </w:p>
        </w:tc>
        <w:tc>
          <w:tcPr/>
          <w:p>
            <w:pPr>
              <w:pStyle w:val="Compact"/>
              <w:jc w:val="right"/>
            </w:pPr>
            <w:r>
              <w:t xml:space="preserve">$1,600.00</w:t>
            </w:r>
          </w:p>
        </w:tc>
      </w:tr>
      <w:tr>
        <w:tc>
          <w:tcPr/>
          <w:p>
            <w:pPr>
              <w:pStyle w:val="Compact"/>
              <w:jc w:val="left"/>
            </w:pPr>
            <w:r>
              <w:t xml:space="preserve">2F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3A</w:t>
            </w:r>
          </w:p>
        </w:tc>
        <w:tc>
          <w:tcPr/>
          <w:p>
            <w:pPr>
              <w:pStyle w:val="Compact"/>
              <w:jc w:val="left"/>
            </w:pPr>
            <w:r>
              <w:t xml:space="preserve">Residential</w:t>
            </w:r>
          </w:p>
        </w:tc>
        <w:tc>
          <w:tcPr/>
          <w:p>
            <w:pPr>
              <w:pStyle w:val="Compact"/>
              <w:jc w:val="right"/>
            </w:pPr>
            <w:r>
              <w:t xml:space="preserve">$1,750.00</w:t>
            </w:r>
          </w:p>
        </w:tc>
      </w:tr>
      <w:tr>
        <w:tc>
          <w:tcPr/>
          <w:p>
            <w:pPr>
              <w:pStyle w:val="Compact"/>
              <w:jc w:val="left"/>
            </w:pPr>
            <w:r>
              <w:t xml:space="preserve">3B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3C</w:t>
            </w:r>
          </w:p>
        </w:tc>
        <w:tc>
          <w:tcPr/>
          <w:p>
            <w:pPr>
              <w:pStyle w:val="Compact"/>
              <w:jc w:val="left"/>
            </w:pPr>
            <w:r>
              <w:t xml:space="preserve">Residential — VACANT (no deposit; returned to prior tenant 11/01/2024)</w:t>
            </w:r>
          </w:p>
        </w:tc>
        <w:tc>
          <w:tcPr/>
          <w:p>
            <w:pPr>
              <w:pStyle w:val="Compact"/>
              <w:jc w:val="right"/>
            </w:pPr>
            <w:r>
              <w:t xml:space="preserve">$0.00</w:t>
            </w:r>
          </w:p>
        </w:tc>
      </w:tr>
      <w:tr>
        <w:tc>
          <w:tcPr/>
          <w:p>
            <w:pPr>
              <w:pStyle w:val="Compact"/>
              <w:jc w:val="left"/>
            </w:pPr>
            <w:r>
              <w:t xml:space="preserve">3D</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3E</w:t>
            </w:r>
          </w:p>
        </w:tc>
        <w:tc>
          <w:tcPr/>
          <w:p>
            <w:pPr>
              <w:pStyle w:val="Compact"/>
              <w:jc w:val="left"/>
            </w:pPr>
            <w:r>
              <w:t xml:space="preserve">Residential</w:t>
            </w:r>
          </w:p>
        </w:tc>
        <w:tc>
          <w:tcPr/>
          <w:p>
            <w:pPr>
              <w:pStyle w:val="Compact"/>
              <w:jc w:val="right"/>
            </w:pPr>
            <w:r>
              <w:t xml:space="preserve">$1,625.00</w:t>
            </w:r>
          </w:p>
        </w:tc>
      </w:tr>
      <w:tr>
        <w:tc>
          <w:tcPr/>
          <w:p>
            <w:pPr>
              <w:pStyle w:val="Compact"/>
              <w:jc w:val="left"/>
            </w:pPr>
            <w:r>
              <w:t xml:space="preserve">3F</w:t>
            </w:r>
          </w:p>
        </w:tc>
        <w:tc>
          <w:tcPr/>
          <w:p>
            <w:pPr>
              <w:pStyle w:val="Compact"/>
              <w:jc w:val="left"/>
            </w:pPr>
            <w:r>
              <w:t xml:space="preserve">Residential</w:t>
            </w:r>
          </w:p>
        </w:tc>
        <w:tc>
          <w:tcPr/>
          <w:p>
            <w:pPr>
              <w:pStyle w:val="Compact"/>
              <w:jc w:val="right"/>
            </w:pPr>
            <w:r>
              <w:t xml:space="preserve">$1,650.00</w:t>
            </w:r>
          </w:p>
        </w:tc>
      </w:tr>
      <w:tr>
        <w:tc>
          <w:tcPr/>
          <w:p>
            <w:pPr>
              <w:pStyle w:val="Compact"/>
            </w:pPr>
          </w:p>
        </w:tc>
        <w:tc>
          <w:tcPr/>
          <w:p>
            <w:pPr>
              <w:pStyle w:val="Compact"/>
              <w:jc w:val="left"/>
            </w:pPr>
            <w:r>
              <w:rPr>
                <w:b/>
                <w:bCs/>
              </w:rPr>
              <w:t xml:space="preserve">Total Residential (11 units)</w:t>
            </w:r>
          </w:p>
        </w:tc>
        <w:tc>
          <w:tcPr/>
          <w:p>
            <w:pPr>
              <w:pStyle w:val="Compact"/>
              <w:jc w:val="right"/>
            </w:pPr>
            <w:r>
              <w:rPr>
                <w:b/>
                <w:bCs/>
              </w:rPr>
              <w:t xml:space="preserve">$18,000.00</w:t>
            </w:r>
          </w:p>
        </w:tc>
      </w:tr>
      <w:tr>
        <w:tc>
          <w:tcPr/>
          <w:p>
            <w:pPr>
              <w:pStyle w:val="Compact"/>
            </w:pPr>
          </w:p>
        </w:tc>
        <w:tc>
          <w:tcPr/>
          <w:p>
            <w:pPr>
              <w:pStyle w:val="Compact"/>
              <w:jc w:val="left"/>
            </w:pPr>
            <w:r>
              <w:rPr>
                <w:b/>
                <w:bCs/>
              </w:rPr>
              <w:t xml:space="preserve">Total Commercial (1 unit)</w:t>
            </w:r>
          </w:p>
        </w:tc>
        <w:tc>
          <w:tcPr/>
          <w:p>
            <w:pPr>
              <w:pStyle w:val="Compact"/>
              <w:jc w:val="right"/>
            </w:pPr>
            <w:r>
              <w:rPr>
                <w:b/>
                <w:bCs/>
              </w:rPr>
              <w:t xml:space="preserve">$14,400.00</w:t>
            </w:r>
          </w:p>
        </w:tc>
      </w:tr>
      <w:tr>
        <w:tc>
          <w:tcPr/>
          <w:p>
            <w:pPr>
              <w:pStyle w:val="Compact"/>
            </w:pPr>
          </w:p>
        </w:tc>
        <w:tc>
          <w:tcPr/>
          <w:p>
            <w:pPr>
              <w:pStyle w:val="Compact"/>
              <w:jc w:val="left"/>
            </w:pPr>
            <w:r>
              <w:rPr>
                <w:b/>
                <w:bCs/>
              </w:rPr>
              <w:t xml:space="preserve">GRAND TOTAL SECURITY DEPOSITS</w:t>
            </w:r>
          </w:p>
        </w:tc>
        <w:tc>
          <w:tcPr/>
          <w:p>
            <w:pPr>
              <w:pStyle w:val="Compact"/>
              <w:jc w:val="right"/>
            </w:pPr>
            <w:r>
              <w:rPr>
                <w:b/>
                <w:bCs/>
              </w:rPr>
              <w:t xml:space="preserve">$32,400.00</w:t>
            </w:r>
          </w:p>
        </w:tc>
      </w:tr>
      <w:tr>
        <w:tc>
          <w:tcPr/>
          <w:p>
            <w:pPr>
              <w:pStyle w:val="Compact"/>
              <w:jc w:val="left"/>
            </w:pPr>
            <w:r>
              <w:rPr>
                <w:b/>
                <w:bCs/>
              </w:rPr>
              <w:t xml:space="preserve">Treatment</w:t>
            </w:r>
          </w:p>
        </w:tc>
        <w:tc>
          <w:tcPr/>
          <w:p>
            <w:pPr>
              <w:pStyle w:val="Compact"/>
              <w:jc w:val="left"/>
            </w:pPr>
            <w:r>
              <w:rPr>
                <w:b/>
                <w:bCs/>
              </w:rPr>
              <w:t xml:space="preserve">Debit Seller $32,400.00 (line 514) / Credit Buyer $32,400.00 (line 204).</w:t>
            </w:r>
          </w:p>
        </w:tc>
        <w:tc>
          <w:tcPr/>
          <w:p>
            <w:pPr>
              <w:pStyle w:val="Compact"/>
            </w:pPr>
          </w:p>
        </w:tc>
      </w:tr>
    </w:tbl>
    <w:p>
      <w:pPr>
        <w:pStyle w:val="BodyText"/>
      </w:pPr>
      <w:r>
        <w:rPr>
          <w:i/>
          <w:iCs/>
        </w:rPr>
        <w:t xml:space="preserve">Note: Interest accrued on residential deposits under CT Gen. Stat. §47a-21 is not quantified in the closing documents and is excluded from this figure — see Notes Memo.</w:t>
      </w:r>
    </w:p>
    <w:bookmarkEnd w:id="32"/>
    <w:bookmarkStart w:id="33" w:name="Xecbf1aed53650248325e17cb5644850aeb2a3b4"/>
    <w:p>
      <w:pPr>
        <w:pStyle w:val="Heading3"/>
      </w:pPr>
      <w:r>
        <w:t xml:space="preserve">C.4 Utilities — Water/Sewer (City of Bridgeport WPCA)</w:t>
      </w:r>
    </w:p>
    <w:p>
      <w:pPr>
        <w:pStyle w:val="FirstParagraph"/>
      </w:pPr>
      <w:r>
        <w:t xml:space="preserve">Per PSA §7.5(a), where a utility billing period ends on or before the Closing Date, the entire unpaid balance is Seller’s responsibility and is credited to Buyer. The billing period below ends July 14, 2025 (before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Account</w:t>
            </w:r>
          </w:p>
        </w:tc>
        <w:tc>
          <w:tcPr/>
          <w:p>
            <w:pPr>
              <w:pStyle w:val="Compact"/>
              <w:jc w:val="left"/>
            </w:pPr>
            <w:r>
              <w:t xml:space="preserve">WS-0042800-HBV (final read 07/14/2025)</w:t>
            </w:r>
          </w:p>
        </w:tc>
      </w:tr>
      <w:tr>
        <w:tc>
          <w:tcPr/>
          <w:p>
            <w:pPr>
              <w:pStyle w:val="Compact"/>
              <w:jc w:val="left"/>
            </w:pPr>
            <w:r>
              <w:t xml:space="preserve">Billing period</w:t>
            </w:r>
          </w:p>
        </w:tc>
        <w:tc>
          <w:tcPr/>
          <w:p>
            <w:pPr>
              <w:pStyle w:val="Compact"/>
              <w:jc w:val="left"/>
            </w:pPr>
            <w:r>
              <w:t xml:space="preserve">May 15, 2025 – July 14, 2025 (61 service days)</w:t>
            </w:r>
          </w:p>
        </w:tc>
      </w:tr>
      <w:tr>
        <w:tc>
          <w:tcPr/>
          <w:p>
            <w:pPr>
              <w:pStyle w:val="Compact"/>
              <w:jc w:val="left"/>
            </w:pPr>
            <w:r>
              <w:t xml:space="preserve">Water charges</w:t>
            </w:r>
          </w:p>
        </w:tc>
        <w:tc>
          <w:tcPr/>
          <w:p>
            <w:pPr>
              <w:pStyle w:val="Compact"/>
              <w:jc w:val="left"/>
            </w:pPr>
            <w:r>
              <w:t xml:space="preserve">$923.00</w:t>
            </w:r>
          </w:p>
        </w:tc>
      </w:tr>
      <w:tr>
        <w:tc>
          <w:tcPr/>
          <w:p>
            <w:pPr>
              <w:pStyle w:val="Compact"/>
              <w:jc w:val="left"/>
            </w:pPr>
            <w:r>
              <w:t xml:space="preserve">Sewer charges</w:t>
            </w:r>
          </w:p>
        </w:tc>
        <w:tc>
          <w:tcPr/>
          <w:p>
            <w:pPr>
              <w:pStyle w:val="Compact"/>
              <w:jc w:val="left"/>
            </w:pPr>
            <w:r>
              <w:t xml:space="preserve">$708.00</w:t>
            </w:r>
          </w:p>
        </w:tc>
      </w:tr>
      <w:tr>
        <w:tc>
          <w:tcPr/>
          <w:p>
            <w:pPr>
              <w:pStyle w:val="Compact"/>
              <w:jc w:val="left"/>
            </w:pPr>
            <w:r>
              <w:t xml:space="preserve">Other assessments (stormwater + clean water fund)</w:t>
            </w:r>
          </w:p>
        </w:tc>
        <w:tc>
          <w:tcPr/>
          <w:p>
            <w:pPr>
              <w:pStyle w:val="Compact"/>
              <w:jc w:val="left"/>
            </w:pPr>
            <w:r>
              <w:t xml:space="preserve">$216.60</w:t>
            </w:r>
          </w:p>
        </w:tc>
      </w:tr>
      <w:tr>
        <w:tc>
          <w:tcPr/>
          <w:p>
            <w:pPr>
              <w:pStyle w:val="Compact"/>
              <w:jc w:val="left"/>
            </w:pPr>
            <w:r>
              <w:rPr>
                <w:b/>
                <w:bCs/>
              </w:rPr>
              <w:t xml:space="preserve">Total current charges (UNPAID; due 08/01/2025)</w:t>
            </w:r>
          </w:p>
        </w:tc>
        <w:tc>
          <w:tcPr/>
          <w:p>
            <w:pPr>
              <w:pStyle w:val="Compact"/>
              <w:jc w:val="left"/>
            </w:pPr>
            <w:r>
              <w:rPr>
                <w:b/>
                <w:bCs/>
              </w:rPr>
              <w:t xml:space="preserve">$1,847.60</w:t>
            </w:r>
          </w:p>
        </w:tc>
      </w:tr>
      <w:tr>
        <w:tc>
          <w:tcPr/>
          <w:p>
            <w:pPr>
              <w:pStyle w:val="Compact"/>
              <w:jc w:val="left"/>
            </w:pPr>
            <w:r>
              <w:rPr>
                <w:b/>
                <w:bCs/>
              </w:rPr>
              <w:t xml:space="preserve">Treatment</w:t>
            </w:r>
          </w:p>
        </w:tc>
        <w:tc>
          <w:tcPr/>
          <w:p>
            <w:pPr>
              <w:pStyle w:val="Compact"/>
              <w:jc w:val="left"/>
            </w:pPr>
            <w:r>
              <w:rPr>
                <w:b/>
                <w:bCs/>
              </w:rPr>
              <w:t xml:space="preserve">Entire amount is Seller’s responsibility (period ends before Closing). Debit Seller $1,847.60 (line 511) / Credit Buyer $1,847.60 (line 206). Buyer pays the bill when due.</w:t>
            </w:r>
          </w:p>
        </w:tc>
      </w:tr>
    </w:tbl>
    <w:bookmarkEnd w:id="33"/>
    <w:bookmarkStart w:id="34" w:name="c.5-heating-oil"/>
    <w:p>
      <w:pPr>
        <w:pStyle w:val="Heading3"/>
      </w:pPr>
      <w:r>
        <w:t xml:space="preserve">C.5 Heating Oil</w:t>
      </w:r>
    </w:p>
    <w:p>
      <w:pPr>
        <w:pStyle w:val="FirstParagraph"/>
      </w:pPr>
      <w:r>
        <w:t xml:space="preserve">Per PSA §7.6, Buyer reimburses Seller for heating oil remaining in the tank at Seller’s last delivered price, based on the gauge reading at the pre-closing inspection (July 14,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Tank</w:t>
            </w:r>
          </w:p>
        </w:tc>
        <w:tc>
          <w:tcPr/>
          <w:p>
            <w:pPr>
              <w:pStyle w:val="Compact"/>
              <w:jc w:val="left"/>
            </w:pPr>
            <w:r>
              <w:t xml:space="preserve">275-gallon above-ground steel tank (basement mechanical room)</w:t>
            </w:r>
          </w:p>
        </w:tc>
      </w:tr>
      <w:tr>
        <w:tc>
          <w:tcPr/>
          <w:p>
            <w:pPr>
              <w:pStyle w:val="Compact"/>
              <w:jc w:val="left"/>
            </w:pPr>
            <w:r>
              <w:t xml:space="preserve">Gauge reading (07/14/2025, 11:15 a.m.)</w:t>
            </w:r>
          </w:p>
        </w:tc>
        <w:tc>
          <w:tcPr/>
          <w:p>
            <w:pPr>
              <w:pStyle w:val="Compact"/>
              <w:jc w:val="left"/>
            </w:pPr>
            <w:r>
              <w:t xml:space="preserve">180 gallons</w:t>
            </w:r>
          </w:p>
        </w:tc>
      </w:tr>
      <w:tr>
        <w:tc>
          <w:tcPr/>
          <w:p>
            <w:pPr>
              <w:pStyle w:val="Compact"/>
              <w:jc w:val="left"/>
            </w:pPr>
            <w:r>
              <w:t xml:space="preserve">Seller’s last delivered price (Shoreline Fuel &amp; Oil Co., delivery 06/02/2025)</w:t>
            </w:r>
          </w:p>
        </w:tc>
        <w:tc>
          <w:tcPr/>
          <w:p>
            <w:pPr>
              <w:pStyle w:val="Compact"/>
              <w:jc w:val="left"/>
            </w:pPr>
            <w:r>
              <w:t xml:space="preserve">$3.85/gal</w:t>
            </w:r>
          </w:p>
        </w:tc>
      </w:tr>
      <w:tr>
        <w:tc>
          <w:tcPr/>
          <w:p>
            <w:pPr>
              <w:pStyle w:val="Compact"/>
              <w:jc w:val="left"/>
            </w:pPr>
            <w:r>
              <w:rPr>
                <w:b/>
                <w:bCs/>
              </w:rPr>
              <w:t xml:space="preserve">Value (180 gal × $3.85)</w:t>
            </w:r>
          </w:p>
        </w:tc>
        <w:tc>
          <w:tcPr/>
          <w:p>
            <w:pPr>
              <w:pStyle w:val="Compact"/>
              <w:jc w:val="left"/>
            </w:pPr>
            <w:r>
              <w:rPr>
                <w:b/>
                <w:bCs/>
              </w:rPr>
              <w:t xml:space="preserve">$693.00</w:t>
            </w:r>
          </w:p>
        </w:tc>
      </w:tr>
      <w:tr>
        <w:tc>
          <w:tcPr/>
          <w:p>
            <w:pPr>
              <w:pStyle w:val="Compact"/>
              <w:jc w:val="left"/>
            </w:pPr>
            <w:r>
              <w:rPr>
                <w:b/>
                <w:bCs/>
              </w:rPr>
              <w:t xml:space="preserve">Treatment</w:t>
            </w:r>
          </w:p>
        </w:tc>
        <w:tc>
          <w:tcPr/>
          <w:p>
            <w:pPr>
              <w:pStyle w:val="Compact"/>
              <w:jc w:val="left"/>
            </w:pPr>
            <w:r>
              <w:rPr>
                <w:b/>
                <w:bCs/>
              </w:rPr>
              <w:t xml:space="preserve">Credit to Seller / charge to Buyer. Debit Buyer $693.00 (line 113) / Credit Seller $693.00 (line 402).</w:t>
            </w:r>
          </w:p>
        </w:tc>
      </w:tr>
    </w:tbl>
    <w:p>
      <w:r>
        <w:pict>
          <v:rect style="width:0;height:1.5pt" o:hralign="center" o:hrstd="t" o:hr="t"/>
        </w:pict>
      </w:r>
    </w:p>
    <w:bookmarkEnd w:id="34"/>
    <w:bookmarkEnd w:id="35"/>
    <w:bookmarkStart w:id="36" w:name="X1c21c8b9a790b06c67b1182724a9d87a4c47c86"/>
    <w:p>
      <w:pPr>
        <w:pStyle w:val="Heading2"/>
      </w:pPr>
      <w:r>
        <w:t xml:space="preserve">SECTION D — LIEN PAYOFF SCHEDULE (Paid from Seller’s Proceeds)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Lien</w:t>
            </w:r>
          </w:p>
        </w:tc>
        <w:tc>
          <w:tcPr/>
          <w:p>
            <w:pPr>
              <w:pStyle w:val="Compact"/>
              <w:jc w:val="left"/>
            </w:pPr>
            <w:r>
              <w:t xml:space="preserve">Holder</w:t>
            </w:r>
          </w:p>
        </w:tc>
        <w:tc>
          <w:tcPr/>
          <w:p>
            <w:pPr>
              <w:pStyle w:val="Compact"/>
              <w:jc w:val="right"/>
            </w:pPr>
            <w:r>
              <w:t xml:space="preserve">Payoff Amount</w:t>
            </w:r>
          </w:p>
        </w:tc>
        <w:tc>
          <w:tcPr/>
          <w:p>
            <w:pPr>
              <w:pStyle w:val="Compact"/>
              <w:jc w:val="left"/>
            </w:pPr>
            <w:r>
              <w:t xml:space="preserve">Good Through</w:t>
            </w:r>
          </w:p>
        </w:tc>
        <w:tc>
          <w:tcPr/>
          <w:p>
            <w:pPr>
              <w:pStyle w:val="Compact"/>
              <w:jc w:val="left"/>
            </w:pPr>
            <w:r>
              <w:t xml:space="preserve">Per Diem After</w:t>
            </w:r>
          </w:p>
        </w:tc>
      </w:tr>
      <w:tr>
        <w:tc>
          <w:tcPr/>
          <w:p>
            <w:pPr>
              <w:pStyle w:val="Compact"/>
              <w:jc w:val="left"/>
            </w:pPr>
            <w:r>
              <w:t xml:space="preserve">First Mortgage</w:t>
            </w:r>
          </w:p>
        </w:tc>
        <w:tc>
          <w:tcPr/>
          <w:p>
            <w:pPr>
              <w:pStyle w:val="Compact"/>
              <w:jc w:val="left"/>
            </w:pPr>
            <w:r>
              <w:t xml:space="preserve">Harborstone Federal Credit Union (Loan No. 2015-MTG-008174)</w:t>
            </w:r>
          </w:p>
        </w:tc>
        <w:tc>
          <w:tcPr/>
          <w:p>
            <w:pPr>
              <w:pStyle w:val="Compact"/>
              <w:jc w:val="right"/>
            </w:pPr>
            <w:r>
              <w:t xml:space="preserve">$687,412.33</w:t>
            </w:r>
          </w:p>
        </w:tc>
        <w:tc>
          <w:tcPr/>
          <w:p>
            <w:pPr>
              <w:pStyle w:val="Compact"/>
              <w:jc w:val="left"/>
            </w:pPr>
            <w:r>
              <w:t xml:space="preserve">07/20/2025</w:t>
            </w:r>
          </w:p>
        </w:tc>
        <w:tc>
          <w:tcPr/>
          <w:p>
            <w:pPr>
              <w:pStyle w:val="Compact"/>
              <w:jc w:val="left"/>
            </w:pPr>
            <w:r>
              <w:t xml:space="preserve">$112.67/day</w:t>
            </w:r>
          </w:p>
        </w:tc>
      </w:tr>
      <w:tr>
        <w:tc>
          <w:tcPr/>
          <w:p>
            <w:pPr>
              <w:pStyle w:val="Compact"/>
              <w:jc w:val="left"/>
            </w:pPr>
            <w:r>
              <w:t xml:space="preserve">Home Equity Line of Credit</w:t>
            </w:r>
          </w:p>
        </w:tc>
        <w:tc>
          <w:tcPr/>
          <w:p>
            <w:pPr>
              <w:pStyle w:val="Compact"/>
              <w:jc w:val="left"/>
            </w:pPr>
            <w:r>
              <w:t xml:space="preserve">Harborstone Federal Credit Union (Loan No. 2018-HEL-003291)</w:t>
            </w:r>
          </w:p>
        </w:tc>
        <w:tc>
          <w:tcPr/>
          <w:p>
            <w:pPr>
              <w:pStyle w:val="Compact"/>
              <w:jc w:val="right"/>
            </w:pPr>
            <w:r>
              <w:t xml:space="preserve">$148,219.56</w:t>
            </w:r>
          </w:p>
        </w:tc>
        <w:tc>
          <w:tcPr/>
          <w:p>
            <w:pPr>
              <w:pStyle w:val="Compact"/>
              <w:jc w:val="left"/>
            </w:pPr>
            <w:r>
              <w:t xml:space="preserve">07/20/2025</w:t>
            </w:r>
          </w:p>
        </w:tc>
        <w:tc>
          <w:tcPr/>
          <w:p>
            <w:pPr>
              <w:pStyle w:val="Compact"/>
              <w:jc w:val="left"/>
            </w:pPr>
            <w:r>
              <w:t xml:space="preserve">~$27.93/day</w:t>
            </w:r>
          </w:p>
        </w:tc>
      </w:tr>
      <w:tr>
        <w:tc>
          <w:tcPr/>
          <w:p>
            <w:pPr>
              <w:pStyle w:val="Compact"/>
              <w:jc w:val="left"/>
            </w:pPr>
            <w:r>
              <w:t xml:space="preserve">Mechanic’s Lien (settled)</w:t>
            </w:r>
          </w:p>
        </w:tc>
        <w:tc>
          <w:tcPr/>
          <w:p>
            <w:pPr>
              <w:pStyle w:val="Compact"/>
              <w:jc w:val="left"/>
            </w:pPr>
            <w:r>
              <w:t xml:space="preserve">Northbridge Construction Co.</w:t>
            </w:r>
          </w:p>
        </w:tc>
        <w:tc>
          <w:tcPr/>
          <w:p>
            <w:pPr>
              <w:pStyle w:val="Compact"/>
              <w:jc w:val="right"/>
            </w:pPr>
            <w:r>
              <w:t xml:space="preserve">$31,000.00</w:t>
            </w:r>
          </w:p>
        </w:tc>
        <w:tc>
          <w:tcPr/>
          <w:p>
            <w:pPr>
              <w:pStyle w:val="Compact"/>
              <w:jc w:val="left"/>
            </w:pPr>
            <w:r>
              <w:t xml:space="preserve">At Closing</w:t>
            </w:r>
          </w:p>
        </w:tc>
        <w:tc>
          <w:tcPr/>
          <w:p>
            <w:pPr>
              <w:pStyle w:val="Compact"/>
              <w:jc w:val="left"/>
            </w:pPr>
            <w:r>
              <w:t xml:space="preserve">N/A</w:t>
            </w:r>
          </w:p>
        </w:tc>
      </w:tr>
      <w:tr>
        <w:tc>
          <w:tcPr/>
          <w:p>
            <w:pPr>
              <w:pStyle w:val="Compact"/>
              <w:jc w:val="left"/>
            </w:pPr>
            <w:r>
              <w:t xml:space="preserve">Estate Tax Lien</w:t>
            </w:r>
          </w:p>
        </w:tc>
        <w:tc>
          <w:tcPr/>
          <w:p>
            <w:pPr>
              <w:pStyle w:val="Compact"/>
              <w:jc w:val="left"/>
            </w:pPr>
            <w:r>
              <w:t xml:space="preserve">CT Dept. of Revenue Services</w:t>
            </w:r>
          </w:p>
        </w:tc>
        <w:tc>
          <w:tcPr/>
          <w:p>
            <w:pPr>
              <w:pStyle w:val="Compact"/>
              <w:jc w:val="right"/>
            </w:pPr>
            <w:r>
              <w:t xml:space="preserve">$0.00 (release only)</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 Lien Payoffs (monetary)</w:t>
            </w:r>
          </w:p>
        </w:tc>
        <w:tc>
          <w:tcPr/>
          <w:p>
            <w:pPr>
              <w:pStyle w:val="Compact"/>
            </w:pPr>
          </w:p>
        </w:tc>
        <w:tc>
          <w:tcPr/>
          <w:p>
            <w:pPr>
              <w:pStyle w:val="Compact"/>
              <w:jc w:val="right"/>
            </w:pPr>
            <w:r>
              <w:rPr>
                <w:b/>
                <w:bCs/>
              </w:rPr>
              <w:t xml:space="preserve">$866,631.89</w:t>
            </w:r>
          </w:p>
        </w:tc>
        <w:tc>
          <w:tcPr/>
          <w:p>
            <w:pPr>
              <w:pStyle w:val="Compact"/>
            </w:pPr>
          </w:p>
        </w:tc>
        <w:tc>
          <w:tcPr/>
          <w:p>
            <w:pPr>
              <w:pStyle w:val="Compact"/>
            </w:pPr>
          </w:p>
        </w:tc>
      </w:tr>
    </w:tbl>
    <w:p>
      <w:pPr>
        <w:pStyle w:val="BodyText"/>
      </w:pPr>
      <w:r>
        <w:rPr>
          <w:i/>
          <w:iCs/>
        </w:rPr>
        <w:t xml:space="preserve">Closing (07/15/2025) falls within all good-through dates (07/20/2025); no per diem adjustments required. The CT DRS estate tax lien requires only recording of the release (Certificate No. ETL-2025-08834) at Seller’s recording-fee expense ($73.00, line 506); no funds are disbursed to CT DRS.</w:t>
      </w:r>
    </w:p>
    <w:p>
      <w:pPr>
        <w:pStyle w:val="BodyText"/>
      </w:pPr>
      <w:r>
        <w:rPr>
          <w:i/>
          <w:iCs/>
        </w:rPr>
        <w:t xml:space="preserve">First-mortgage payoff composition: principal $685,921.44 + accrued interest $876.89 + escrow shortage $539.00 + release prep fee $75.00 = $687,412.33.</w:t>
      </w:r>
    </w:p>
    <w:p>
      <w:r>
        <w:pict>
          <v:rect style="width:0;height:1.5pt" o:hralign="center" o:hrstd="t" o:hr="t"/>
        </w:pict>
      </w:r>
    </w:p>
    <w:bookmarkEnd w:id="36"/>
    <w:bookmarkStart w:id="37" w:name="section-e-closing-costs-summary"/>
    <w:p>
      <w:pPr>
        <w:pStyle w:val="Heading2"/>
      </w:pPr>
      <w:r>
        <w:t xml:space="preserve">SECTION E — CLOSING COSTS SUMMARY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Cost Item</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Connecticut Real Estate Conveyance Tax (50% / 50%)</w:t>
            </w:r>
          </w:p>
        </w:tc>
        <w:tc>
          <w:tcPr/>
          <w:p>
            <w:pPr>
              <w:pStyle w:val="Compact"/>
              <w:jc w:val="right"/>
            </w:pPr>
            <w:r>
              <w:t xml:space="preserve">$22,375.00</w:t>
            </w:r>
          </w:p>
        </w:tc>
        <w:tc>
          <w:tcPr/>
          <w:p>
            <w:pPr>
              <w:pStyle w:val="Compact"/>
              <w:jc w:val="right"/>
            </w:pPr>
            <w:r>
              <w:t xml:space="preserve">$22,375.00</w:t>
            </w:r>
          </w:p>
        </w:tc>
      </w:tr>
      <w:tr>
        <w:tc>
          <w:tcPr/>
          <w:p>
            <w:pPr>
              <w:pStyle w:val="Compact"/>
              <w:jc w:val="left"/>
            </w:pPr>
            <w:r>
              <w:t xml:space="preserve">Recording Fees</w:t>
            </w:r>
          </w:p>
        </w:tc>
        <w:tc>
          <w:tcPr/>
          <w:p>
            <w:pPr>
              <w:pStyle w:val="Compact"/>
              <w:jc w:val="right"/>
            </w:pPr>
            <w:r>
              <w:t xml:space="preserve">$339.00</w:t>
            </w:r>
          </w:p>
        </w:tc>
        <w:tc>
          <w:tcPr/>
          <w:p>
            <w:pPr>
              <w:pStyle w:val="Compact"/>
              <w:jc w:val="right"/>
            </w:pPr>
            <w:r>
              <w:t xml:space="preserve">$292.00</w:t>
            </w:r>
          </w:p>
        </w:tc>
      </w:tr>
      <w:tr>
        <w:tc>
          <w:tcPr/>
          <w:p>
            <w:pPr>
              <w:pStyle w:val="Compact"/>
              <w:jc w:val="left"/>
            </w:pPr>
            <w:r>
              <w:t xml:space="preserve">Owner’s Title Insurance Premium</w:t>
            </w:r>
          </w:p>
        </w:tc>
        <w:tc>
          <w:tcPr/>
          <w:p>
            <w:pPr>
              <w:pStyle w:val="Compact"/>
              <w:jc w:val="right"/>
            </w:pPr>
            <w:r>
              <w:t xml:space="preserve">—</w:t>
            </w:r>
          </w:p>
        </w:tc>
        <w:tc>
          <w:tcPr/>
          <w:p>
            <w:pPr>
              <w:pStyle w:val="Compact"/>
              <w:jc w:val="right"/>
            </w:pPr>
            <w:r>
              <w:t xml:space="preserve">$8,275.00</w:t>
            </w:r>
          </w:p>
        </w:tc>
      </w:tr>
      <w:tr>
        <w:tc>
          <w:tcPr/>
          <w:p>
            <w:pPr>
              <w:pStyle w:val="Compact"/>
              <w:jc w:val="left"/>
            </w:pPr>
            <w:r>
              <w:t xml:space="preserve">Lender’s Title Insurance Premium</w:t>
            </w:r>
          </w:p>
        </w:tc>
        <w:tc>
          <w:tcPr/>
          <w:p>
            <w:pPr>
              <w:pStyle w:val="Compact"/>
              <w:jc w:val="right"/>
            </w:pPr>
            <w:r>
              <w:t xml:space="preserve">$3,850.00</w:t>
            </w:r>
          </w:p>
        </w:tc>
        <w:tc>
          <w:tcPr/>
          <w:p>
            <w:pPr>
              <w:pStyle w:val="Compact"/>
              <w:jc w:val="right"/>
            </w:pPr>
            <w:r>
              <w:t xml:space="preserve">—</w:t>
            </w:r>
          </w:p>
        </w:tc>
      </w:tr>
      <w:tr>
        <w:tc>
          <w:tcPr/>
          <w:p>
            <w:pPr>
              <w:pStyle w:val="Compact"/>
              <w:jc w:val="left"/>
            </w:pPr>
            <w:r>
              <w:t xml:space="preserve">Title Search &amp; Examination Fee</w:t>
            </w:r>
          </w:p>
        </w:tc>
        <w:tc>
          <w:tcPr/>
          <w:p>
            <w:pPr>
              <w:pStyle w:val="Compact"/>
              <w:jc w:val="right"/>
            </w:pPr>
            <w:r>
              <w:t xml:space="preserve">$1,250.00</w:t>
            </w:r>
          </w:p>
        </w:tc>
        <w:tc>
          <w:tcPr/>
          <w:p>
            <w:pPr>
              <w:pStyle w:val="Compact"/>
              <w:jc w:val="right"/>
            </w:pPr>
            <w:r>
              <w:t xml:space="preserve">—</w:t>
            </w:r>
          </w:p>
        </w:tc>
      </w:tr>
      <w:tr>
        <w:tc>
          <w:tcPr/>
          <w:p>
            <w:pPr>
              <w:pStyle w:val="Compact"/>
              <w:jc w:val="left"/>
            </w:pPr>
            <w:r>
              <w:t xml:space="preserve">Municipal Lien Search Fee</w:t>
            </w:r>
          </w:p>
        </w:tc>
        <w:tc>
          <w:tcPr/>
          <w:p>
            <w:pPr>
              <w:pStyle w:val="Compact"/>
              <w:jc w:val="right"/>
            </w:pPr>
            <w:r>
              <w:t xml:space="preserve">$250.00</w:t>
            </w:r>
          </w:p>
        </w:tc>
        <w:tc>
          <w:tcPr/>
          <w:p>
            <w:pPr>
              <w:pStyle w:val="Compact"/>
              <w:jc w:val="right"/>
            </w:pPr>
            <w:r>
              <w:t xml:space="preserve">—</w:t>
            </w:r>
          </w:p>
        </w:tc>
      </w:tr>
      <w:tr>
        <w:tc>
          <w:tcPr/>
          <w:p>
            <w:pPr>
              <w:pStyle w:val="Compact"/>
              <w:jc w:val="left"/>
            </w:pPr>
            <w:r>
              <w:t xml:space="preserve">Loan Origination Fee (1.00%)</w:t>
            </w:r>
          </w:p>
        </w:tc>
        <w:tc>
          <w:tcPr/>
          <w:p>
            <w:pPr>
              <w:pStyle w:val="Compact"/>
              <w:jc w:val="right"/>
            </w:pPr>
            <w:r>
              <w:t xml:space="preserve">$26,400.00</w:t>
            </w:r>
          </w:p>
        </w:tc>
        <w:tc>
          <w:tcPr/>
          <w:p>
            <w:pPr>
              <w:pStyle w:val="Compact"/>
              <w:jc w:val="right"/>
            </w:pPr>
            <w:r>
              <w:t xml:space="preserve">—</w:t>
            </w:r>
          </w:p>
        </w:tc>
      </w:tr>
      <w:tr>
        <w:tc>
          <w:tcPr/>
          <w:p>
            <w:pPr>
              <w:pStyle w:val="Compact"/>
              <w:jc w:val="left"/>
            </w:pPr>
            <w:r>
              <w:t xml:space="preserve">Flood Certification Fee</w:t>
            </w:r>
          </w:p>
        </w:tc>
        <w:tc>
          <w:tcPr/>
          <w:p>
            <w:pPr>
              <w:pStyle w:val="Compact"/>
              <w:jc w:val="right"/>
            </w:pPr>
            <w:r>
              <w:t xml:space="preserve">$25.00</w:t>
            </w:r>
          </w:p>
        </w:tc>
        <w:tc>
          <w:tcPr/>
          <w:p>
            <w:pPr>
              <w:pStyle w:val="Compact"/>
              <w:jc w:val="right"/>
            </w:pPr>
            <w:r>
              <w:t xml:space="preserve">—</w:t>
            </w:r>
          </w:p>
        </w:tc>
      </w:tr>
      <w:tr>
        <w:tc>
          <w:tcPr/>
          <w:p>
            <w:pPr>
              <w:pStyle w:val="Compact"/>
              <w:jc w:val="left"/>
            </w:pPr>
            <w:r>
              <w:t xml:space="preserve">Tax Service Fee</w:t>
            </w:r>
          </w:p>
        </w:tc>
        <w:tc>
          <w:tcPr/>
          <w:p>
            <w:pPr>
              <w:pStyle w:val="Compact"/>
              <w:jc w:val="right"/>
            </w:pPr>
            <w:r>
              <w:t xml:space="preserve">$85.00</w:t>
            </w:r>
          </w:p>
        </w:tc>
        <w:tc>
          <w:tcPr/>
          <w:p>
            <w:pPr>
              <w:pStyle w:val="Compact"/>
              <w:jc w:val="right"/>
            </w:pPr>
            <w:r>
              <w:t xml:space="preserve">—</w:t>
            </w:r>
          </w:p>
        </w:tc>
      </w:tr>
      <w:tr>
        <w:tc>
          <w:tcPr/>
          <w:p>
            <w:pPr>
              <w:pStyle w:val="Compact"/>
              <w:jc w:val="left"/>
            </w:pPr>
            <w:r>
              <w:t xml:space="preserve">Attorney Fees</w:t>
            </w:r>
          </w:p>
        </w:tc>
        <w:tc>
          <w:tcPr/>
          <w:p>
            <w:pPr>
              <w:pStyle w:val="Compact"/>
              <w:jc w:val="right"/>
            </w:pPr>
            <w:r>
              <w:t xml:space="preserve">$12,500.00</w:t>
            </w:r>
          </w:p>
        </w:tc>
        <w:tc>
          <w:tcPr/>
          <w:p>
            <w:pPr>
              <w:pStyle w:val="Compact"/>
              <w:jc w:val="right"/>
            </w:pPr>
            <w:r>
              <w:t xml:space="preserve">$11,000.00</w:t>
            </w:r>
          </w:p>
        </w:tc>
      </w:tr>
      <w:tr>
        <w:tc>
          <w:tcPr/>
          <w:p>
            <w:pPr>
              <w:pStyle w:val="Compact"/>
              <w:jc w:val="left"/>
            </w:pPr>
            <w:r>
              <w:t xml:space="preserve">Property Management Termination Fee</w:t>
            </w:r>
          </w:p>
        </w:tc>
        <w:tc>
          <w:tcPr/>
          <w:p>
            <w:pPr>
              <w:pStyle w:val="Compact"/>
              <w:jc w:val="right"/>
            </w:pPr>
            <w:r>
              <w:t xml:space="preserve">—</w:t>
            </w:r>
          </w:p>
        </w:tc>
        <w:tc>
          <w:tcPr/>
          <w:p>
            <w:pPr>
              <w:pStyle w:val="Compact"/>
              <w:jc w:val="right"/>
            </w:pPr>
            <w:r>
              <w:t xml:space="preserve">$4,500.00</w:t>
            </w:r>
          </w:p>
        </w:tc>
      </w:tr>
      <w:tr>
        <w:tc>
          <w:tcPr/>
          <w:p>
            <w:pPr>
              <w:pStyle w:val="Compact"/>
              <w:jc w:val="left"/>
            </w:pPr>
            <w:r>
              <w:t xml:space="preserve">Repair Escrow (holdback)</w:t>
            </w:r>
          </w:p>
        </w:tc>
        <w:tc>
          <w:tcPr/>
          <w:p>
            <w:pPr>
              <w:pStyle w:val="Compact"/>
              <w:jc w:val="right"/>
            </w:pPr>
            <w:r>
              <w:t xml:space="preserve">—</w:t>
            </w:r>
          </w:p>
        </w:tc>
        <w:tc>
          <w:tcPr/>
          <w:p>
            <w:pPr>
              <w:pStyle w:val="Compact"/>
              <w:jc w:val="right"/>
            </w:pPr>
            <w:r>
              <w:t xml:space="preserve">$45,000.00</w:t>
            </w:r>
          </w:p>
        </w:tc>
      </w:tr>
      <w:tr>
        <w:tc>
          <w:tcPr/>
          <w:p>
            <w:pPr>
              <w:pStyle w:val="Compact"/>
              <w:jc w:val="left"/>
            </w:pPr>
            <w:r>
              <w:t xml:space="preserve">Heating Oil Reimbursement (Buyer→Seller)</w:t>
            </w:r>
          </w:p>
        </w:tc>
        <w:tc>
          <w:tcPr/>
          <w:p>
            <w:pPr>
              <w:pStyle w:val="Compact"/>
              <w:jc w:val="right"/>
            </w:pPr>
            <w:r>
              <w:t xml:space="preserve">$693.00</w:t>
            </w:r>
          </w:p>
        </w:tc>
        <w:tc>
          <w:tcPr/>
          <w:p>
            <w:pPr>
              <w:pStyle w:val="Compact"/>
              <w:jc w:val="right"/>
            </w:pPr>
            <w:r>
              <w:t xml:space="preserve">—</w:t>
            </w:r>
          </w:p>
        </w:tc>
      </w:tr>
      <w:tr>
        <w:tc>
          <w:tcPr/>
          <w:p>
            <w:pPr>
              <w:pStyle w:val="Compact"/>
              <w:jc w:val="left"/>
            </w:pPr>
            <w:r>
              <w:rPr>
                <w:b/>
                <w:bCs/>
              </w:rPr>
              <w:t xml:space="preserve">Subtotal — Closing Costs (excl. purchase price, payoffs, prorations)</w:t>
            </w:r>
          </w:p>
        </w:tc>
        <w:tc>
          <w:tcPr/>
          <w:p>
            <w:pPr>
              <w:pStyle w:val="Compact"/>
              <w:jc w:val="right"/>
            </w:pPr>
            <w:r>
              <w:rPr>
                <w:b/>
                <w:bCs/>
              </w:rPr>
              <w:t xml:space="preserve">$67,767.00</w:t>
            </w:r>
          </w:p>
        </w:tc>
        <w:tc>
          <w:tcPr/>
          <w:p>
            <w:pPr>
              <w:pStyle w:val="Compact"/>
              <w:jc w:val="right"/>
            </w:pPr>
            <w:r>
              <w:rPr>
                <w:b/>
                <w:bCs/>
              </w:rPr>
              <w:t xml:space="preserve">$91,442.00</w:t>
            </w:r>
          </w:p>
        </w:tc>
      </w:tr>
    </w:tbl>
    <w:p>
      <w:r>
        <w:pict>
          <v:rect style="width:0;height:1.5pt" o:hralign="center" o:hrstd="t" o:hr="t"/>
        </w:pict>
      </w:r>
    </w:p>
    <w:bookmarkEnd w:id="37"/>
    <w:bookmarkStart w:id="41" w:name="section-f-reconciliation-summary"/>
    <w:p>
      <w:pPr>
        <w:pStyle w:val="Heading2"/>
      </w:pPr>
      <w:r>
        <w:t xml:space="preserve">SECTION F — RECONCILIATION SUMMARY</w:t>
      </w:r>
    </w:p>
    <w:bookmarkStart w:id="38" w:name="f.1-sources-of-funds"/>
    <w:p>
      <w:pPr>
        <w:pStyle w:val="Heading3"/>
      </w:pPr>
      <w:r>
        <w:t xml:space="preserve">F.1 Sources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Cash Required from Buyer at Closing</w:t>
            </w:r>
          </w:p>
        </w:tc>
        <w:tc>
          <w:tcPr/>
          <w:p>
            <w:pPr>
              <w:pStyle w:val="Compact"/>
              <w:jc w:val="right"/>
            </w:pPr>
            <w:r>
              <w:t xml:space="preserve">$1,083,564.53</w:t>
            </w:r>
          </w:p>
        </w:tc>
      </w:tr>
      <w:tr>
        <w:tc>
          <w:tcPr/>
          <w:p>
            <w:pPr>
              <w:pStyle w:val="Compact"/>
              <w:jc w:val="left"/>
            </w:pPr>
            <w:r>
              <w:t xml:space="preserve">New Loan Proceeds — Tidewater Savings Bank</w:t>
            </w:r>
          </w:p>
        </w:tc>
        <w:tc>
          <w:tcPr/>
          <w:p>
            <w:pPr>
              <w:pStyle w:val="Compact"/>
              <w:jc w:val="right"/>
            </w:pPr>
            <w:r>
              <w:t xml:space="preserve">$2,640,000.00</w:t>
            </w:r>
          </w:p>
        </w:tc>
      </w:tr>
      <w:tr>
        <w:tc>
          <w:tcPr/>
          <w:p>
            <w:pPr>
              <w:pStyle w:val="Compact"/>
              <w:jc w:val="left"/>
            </w:pPr>
            <w:r>
              <w:t xml:space="preserve">Earnest Money on Deposit (Pinnacle escrow)</w:t>
            </w:r>
          </w:p>
        </w:tc>
        <w:tc>
          <w:tcPr/>
          <w:p>
            <w:pPr>
              <w:pStyle w:val="Compact"/>
              <w:jc w:val="right"/>
            </w:pPr>
            <w:r>
              <w:t xml:space="preserve">$195,000.00</w:t>
            </w:r>
          </w:p>
        </w:tc>
      </w:tr>
      <w:tr>
        <w:tc>
          <w:tcPr/>
          <w:p>
            <w:pPr>
              <w:pStyle w:val="Compact"/>
              <w:jc w:val="left"/>
            </w:pPr>
            <w:r>
              <w:rPr>
                <w:b/>
                <w:bCs/>
              </w:rPr>
              <w:t xml:space="preserve">TOTAL SOURCES OF FUNDS</w:t>
            </w:r>
          </w:p>
        </w:tc>
        <w:tc>
          <w:tcPr/>
          <w:p>
            <w:pPr>
              <w:pStyle w:val="Compact"/>
              <w:jc w:val="right"/>
            </w:pPr>
            <w:r>
              <w:rPr>
                <w:b/>
                <w:bCs/>
              </w:rPr>
              <w:t xml:space="preserve">$3,918,564.53</w:t>
            </w:r>
          </w:p>
        </w:tc>
      </w:tr>
    </w:tbl>
    <w:bookmarkEnd w:id="38"/>
    <w:bookmarkStart w:id="39" w:name="f.2-uses-of-funds-disbursements"/>
    <w:p>
      <w:pPr>
        <w:pStyle w:val="Heading3"/>
      </w:pPr>
      <w:r>
        <w:t xml:space="preserve">F.2 Uses of Funds (Disbursements)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Net Proceeds to Seller (Estate of Gerald T. Whitford)</w:t>
            </w:r>
          </w:p>
        </w:tc>
        <w:tc>
          <w:tcPr/>
          <w:p>
            <w:pPr>
              <w:pStyle w:val="Compact"/>
              <w:jc w:val="right"/>
            </w:pPr>
            <w:r>
              <w:t xml:space="preserve">$2,864,813.84</w:t>
            </w:r>
          </w:p>
        </w:tc>
      </w:tr>
      <w:tr>
        <w:tc>
          <w:tcPr/>
          <w:p>
            <w:pPr>
              <w:pStyle w:val="Compact"/>
              <w:jc w:val="left"/>
            </w:pPr>
            <w:r>
              <w:t xml:space="preserve">Payoff — Harborstone FCU First Mortgage</w:t>
            </w:r>
          </w:p>
        </w:tc>
        <w:tc>
          <w:tcPr/>
          <w:p>
            <w:pPr>
              <w:pStyle w:val="Compact"/>
              <w:jc w:val="right"/>
            </w:pPr>
            <w:r>
              <w:t xml:space="preserve">$687,412.33</w:t>
            </w:r>
          </w:p>
        </w:tc>
      </w:tr>
      <w:tr>
        <w:tc>
          <w:tcPr/>
          <w:p>
            <w:pPr>
              <w:pStyle w:val="Compact"/>
              <w:jc w:val="left"/>
            </w:pPr>
            <w:r>
              <w:t xml:space="preserve">Payoff — Harborstone FCU HELOC</w:t>
            </w:r>
          </w:p>
        </w:tc>
        <w:tc>
          <w:tcPr/>
          <w:p>
            <w:pPr>
              <w:pStyle w:val="Compact"/>
              <w:jc w:val="right"/>
            </w:pPr>
            <w:r>
              <w:t xml:space="preserve">$148,219.56</w:t>
            </w:r>
          </w:p>
        </w:tc>
      </w:tr>
      <w:tr>
        <w:tc>
          <w:tcPr/>
          <w:p>
            <w:pPr>
              <w:pStyle w:val="Compact"/>
              <w:jc w:val="left"/>
            </w:pPr>
            <w:r>
              <w:t xml:space="preserve">Settlement — Northbridge Construction Co. Mechanic’s Lien</w:t>
            </w:r>
          </w:p>
        </w:tc>
        <w:tc>
          <w:tcPr/>
          <w:p>
            <w:pPr>
              <w:pStyle w:val="Compact"/>
              <w:jc w:val="right"/>
            </w:pPr>
            <w:r>
              <w:t xml:space="preserve">$31,000.00</w:t>
            </w:r>
          </w:p>
        </w:tc>
      </w:tr>
      <w:tr>
        <w:tc>
          <w:tcPr/>
          <w:p>
            <w:pPr>
              <w:pStyle w:val="Compact"/>
              <w:jc w:val="left"/>
            </w:pPr>
            <w:r>
              <w:t xml:space="preserve">Delinquent Property Tax + Interest — City of Bridgeport</w:t>
            </w:r>
          </w:p>
        </w:tc>
        <w:tc>
          <w:tcPr/>
          <w:p>
            <w:pPr>
              <w:pStyle w:val="Compact"/>
              <w:jc w:val="right"/>
            </w:pPr>
            <w:r>
              <w:t xml:space="preserve">$28,602.80</w:t>
            </w:r>
          </w:p>
        </w:tc>
      </w:tr>
      <w:tr>
        <w:tc>
          <w:tcPr/>
          <w:p>
            <w:pPr>
              <w:pStyle w:val="Compact"/>
              <w:jc w:val="left"/>
            </w:pPr>
            <w:r>
              <w:t xml:space="preserve">Property Management Termination Fee — Bayshore Management Co.</w:t>
            </w:r>
          </w:p>
        </w:tc>
        <w:tc>
          <w:tcPr/>
          <w:p>
            <w:pPr>
              <w:pStyle w:val="Compact"/>
              <w:jc w:val="right"/>
            </w:pPr>
            <w:r>
              <w:t xml:space="preserve">$4,500.00</w:t>
            </w:r>
          </w:p>
        </w:tc>
      </w:tr>
      <w:tr>
        <w:tc>
          <w:tcPr/>
          <w:p>
            <w:pPr>
              <w:pStyle w:val="Compact"/>
              <w:jc w:val="left"/>
            </w:pPr>
            <w:r>
              <w:t xml:space="preserve">Repair Escrow (held by Escrow Agent)</w:t>
            </w:r>
          </w:p>
        </w:tc>
        <w:tc>
          <w:tcPr/>
          <w:p>
            <w:pPr>
              <w:pStyle w:val="Compact"/>
              <w:jc w:val="right"/>
            </w:pPr>
            <w:r>
              <w:t xml:space="preserve">$45,000.00</w:t>
            </w:r>
          </w:p>
        </w:tc>
      </w:tr>
      <w:tr>
        <w:tc>
          <w:tcPr/>
          <w:p>
            <w:pPr>
              <w:pStyle w:val="Compact"/>
              <w:jc w:val="left"/>
            </w:pPr>
            <w:r>
              <w:t xml:space="preserve">Owner’s Title Insurance Premium</w:t>
            </w:r>
          </w:p>
        </w:tc>
        <w:tc>
          <w:tcPr/>
          <w:p>
            <w:pPr>
              <w:pStyle w:val="Compact"/>
              <w:jc w:val="right"/>
            </w:pPr>
            <w:r>
              <w:t xml:space="preserve">$8,275.00</w:t>
            </w:r>
          </w:p>
        </w:tc>
      </w:tr>
      <w:tr>
        <w:tc>
          <w:tcPr/>
          <w:p>
            <w:pPr>
              <w:pStyle w:val="Compact"/>
              <w:jc w:val="left"/>
            </w:pPr>
            <w:r>
              <w:t xml:space="preserve">Lender’s Title Insurance Premium</w:t>
            </w:r>
          </w:p>
        </w:tc>
        <w:tc>
          <w:tcPr/>
          <w:p>
            <w:pPr>
              <w:pStyle w:val="Compact"/>
              <w:jc w:val="right"/>
            </w:pPr>
            <w:r>
              <w:t xml:space="preserve">$3,850.00</w:t>
            </w:r>
          </w:p>
        </w:tc>
      </w:tr>
      <w:tr>
        <w:tc>
          <w:tcPr/>
          <w:p>
            <w:pPr>
              <w:pStyle w:val="Compact"/>
              <w:jc w:val="left"/>
            </w:pPr>
            <w:r>
              <w:t xml:space="preserve">Title Search &amp; Examination Fee</w:t>
            </w:r>
          </w:p>
        </w:tc>
        <w:tc>
          <w:tcPr/>
          <w:p>
            <w:pPr>
              <w:pStyle w:val="Compact"/>
              <w:jc w:val="right"/>
            </w:pPr>
            <w:r>
              <w:t xml:space="preserve">$1,250.00</w:t>
            </w:r>
          </w:p>
        </w:tc>
      </w:tr>
      <w:tr>
        <w:tc>
          <w:tcPr/>
          <w:p>
            <w:pPr>
              <w:pStyle w:val="Compact"/>
              <w:jc w:val="left"/>
            </w:pPr>
            <w:r>
              <w:t xml:space="preserve">Municipal Lien Search Fee</w:t>
            </w:r>
          </w:p>
        </w:tc>
        <w:tc>
          <w:tcPr/>
          <w:p>
            <w:pPr>
              <w:pStyle w:val="Compact"/>
              <w:jc w:val="right"/>
            </w:pPr>
            <w:r>
              <w:t xml:space="preserve">$250.00</w:t>
            </w:r>
          </w:p>
        </w:tc>
      </w:tr>
      <w:tr>
        <w:tc>
          <w:tcPr/>
          <w:p>
            <w:pPr>
              <w:pStyle w:val="Compact"/>
              <w:jc w:val="left"/>
            </w:pPr>
            <w:r>
              <w:t xml:space="preserve">Recording Fees — Buyer (Deed, Mortgage, Assignment of Leases)</w:t>
            </w:r>
          </w:p>
        </w:tc>
        <w:tc>
          <w:tcPr/>
          <w:p>
            <w:pPr>
              <w:pStyle w:val="Compact"/>
              <w:jc w:val="right"/>
            </w:pPr>
            <w:r>
              <w:t xml:space="preserve">$339.00</w:t>
            </w:r>
          </w:p>
        </w:tc>
      </w:tr>
      <w:tr>
        <w:tc>
          <w:tcPr/>
          <w:p>
            <w:pPr>
              <w:pStyle w:val="Compact"/>
              <w:jc w:val="left"/>
            </w:pPr>
            <w:r>
              <w:t xml:space="preserve">Recording Fees — Seller (4 lien releases)</w:t>
            </w:r>
          </w:p>
        </w:tc>
        <w:tc>
          <w:tcPr/>
          <w:p>
            <w:pPr>
              <w:pStyle w:val="Compact"/>
              <w:jc w:val="right"/>
            </w:pPr>
            <w:r>
              <w:t xml:space="preserve">$292.00</w:t>
            </w:r>
          </w:p>
        </w:tc>
      </w:tr>
      <w:tr>
        <w:tc>
          <w:tcPr/>
          <w:p>
            <w:pPr>
              <w:pStyle w:val="Compact"/>
              <w:jc w:val="left"/>
            </w:pPr>
            <w:r>
              <w:t xml:space="preserve">Connecticut Real Estate Conveyance Tax (total, to City/Town Clerk)</w:t>
            </w:r>
          </w:p>
        </w:tc>
        <w:tc>
          <w:tcPr/>
          <w:p>
            <w:pPr>
              <w:pStyle w:val="Compact"/>
              <w:jc w:val="right"/>
            </w:pPr>
            <w:r>
              <w:t xml:space="preserve">$44,750.00</w:t>
            </w:r>
          </w:p>
        </w:tc>
      </w:tr>
      <w:tr>
        <w:tc>
          <w:tcPr/>
          <w:p>
            <w:pPr>
              <w:pStyle w:val="Compact"/>
              <w:jc w:val="left"/>
            </w:pPr>
            <w:r>
              <w:t xml:space="preserve">Loan Origination Fee — Tidewater Savings Bank</w:t>
            </w:r>
          </w:p>
        </w:tc>
        <w:tc>
          <w:tcPr/>
          <w:p>
            <w:pPr>
              <w:pStyle w:val="Compact"/>
              <w:jc w:val="right"/>
            </w:pPr>
            <w:r>
              <w:t xml:space="preserve">$26,400.00</w:t>
            </w:r>
          </w:p>
        </w:tc>
      </w:tr>
      <w:tr>
        <w:tc>
          <w:tcPr/>
          <w:p>
            <w:pPr>
              <w:pStyle w:val="Compact"/>
              <w:jc w:val="left"/>
            </w:pPr>
            <w:r>
              <w:t xml:space="preserve">Flood Certification Fee</w:t>
            </w:r>
          </w:p>
        </w:tc>
        <w:tc>
          <w:tcPr/>
          <w:p>
            <w:pPr>
              <w:pStyle w:val="Compact"/>
              <w:jc w:val="right"/>
            </w:pPr>
            <w:r>
              <w:t xml:space="preserve">$25.00</w:t>
            </w:r>
          </w:p>
        </w:tc>
      </w:tr>
      <w:tr>
        <w:tc>
          <w:tcPr/>
          <w:p>
            <w:pPr>
              <w:pStyle w:val="Compact"/>
              <w:jc w:val="left"/>
            </w:pPr>
            <w:r>
              <w:t xml:space="preserve">Tax Service Fee</w:t>
            </w:r>
          </w:p>
        </w:tc>
        <w:tc>
          <w:tcPr/>
          <w:p>
            <w:pPr>
              <w:pStyle w:val="Compact"/>
              <w:jc w:val="right"/>
            </w:pPr>
            <w:r>
              <w:t xml:space="preserve">$85.00</w:t>
            </w:r>
          </w:p>
        </w:tc>
      </w:tr>
      <w:tr>
        <w:tc>
          <w:tcPr/>
          <w:p>
            <w:pPr>
              <w:pStyle w:val="Compact"/>
              <w:jc w:val="left"/>
            </w:pPr>
            <w:r>
              <w:t xml:space="preserve">Buyer’s Attorney Fees — Ridgeline Law Group PLLC</w:t>
            </w:r>
          </w:p>
        </w:tc>
        <w:tc>
          <w:tcPr/>
          <w:p>
            <w:pPr>
              <w:pStyle w:val="Compact"/>
              <w:jc w:val="right"/>
            </w:pPr>
            <w:r>
              <w:t xml:space="preserve">$12,500.00</w:t>
            </w:r>
          </w:p>
        </w:tc>
      </w:tr>
      <w:tr>
        <w:tc>
          <w:tcPr/>
          <w:p>
            <w:pPr>
              <w:pStyle w:val="Compact"/>
              <w:jc w:val="left"/>
            </w:pPr>
            <w:r>
              <w:t xml:space="preserve">Seller’s Attorney Fees — Ashford, Clement &amp; Paige LLP</w:t>
            </w:r>
          </w:p>
        </w:tc>
        <w:tc>
          <w:tcPr/>
          <w:p>
            <w:pPr>
              <w:pStyle w:val="Compact"/>
              <w:jc w:val="right"/>
            </w:pPr>
            <w:r>
              <w:t xml:space="preserve">$11,000.00</w:t>
            </w:r>
          </w:p>
        </w:tc>
      </w:tr>
      <w:tr>
        <w:tc>
          <w:tcPr/>
          <w:p>
            <w:pPr>
              <w:pStyle w:val="Compact"/>
              <w:jc w:val="left"/>
            </w:pPr>
            <w:r>
              <w:rPr>
                <w:b/>
                <w:bCs/>
              </w:rPr>
              <w:t xml:space="preserve">TOTAL USES OF FUNDS</w:t>
            </w:r>
          </w:p>
        </w:tc>
        <w:tc>
          <w:tcPr/>
          <w:p>
            <w:pPr>
              <w:pStyle w:val="Compact"/>
              <w:jc w:val="right"/>
            </w:pPr>
            <w:r>
              <w:rPr>
                <w:b/>
                <w:bCs/>
              </w:rPr>
              <w:t xml:space="preserve">$3,918,564.53</w:t>
            </w:r>
          </w:p>
        </w:tc>
      </w:tr>
    </w:tbl>
    <w:bookmarkEnd w:id="39"/>
    <w:bookmarkStart w:id="40" w:name="f.3-reconciliation"/>
    <w:p>
      <w:pPr>
        <w:pStyle w:val="Heading3"/>
      </w:pPr>
      <w:r>
        <w:t xml:space="preserve">F.3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Sources of Funds</w:t>
            </w:r>
          </w:p>
        </w:tc>
        <w:tc>
          <w:tcPr/>
          <w:p>
            <w:pPr>
              <w:pStyle w:val="Compact"/>
              <w:jc w:val="right"/>
            </w:pPr>
            <w:r>
              <w:t xml:space="preserve">$3,918,564.53</w:t>
            </w:r>
          </w:p>
        </w:tc>
      </w:tr>
      <w:tr>
        <w:tc>
          <w:tcPr/>
          <w:p>
            <w:pPr>
              <w:pStyle w:val="Compact"/>
              <w:jc w:val="left"/>
            </w:pPr>
            <w:r>
              <w:t xml:space="preserve">Total Uses of Funds</w:t>
            </w:r>
          </w:p>
        </w:tc>
        <w:tc>
          <w:tcPr/>
          <w:p>
            <w:pPr>
              <w:pStyle w:val="Compact"/>
              <w:jc w:val="right"/>
            </w:pPr>
            <w:r>
              <w:t xml:space="preserve">$3,918,564.53</w:t>
            </w:r>
          </w:p>
        </w:tc>
      </w:tr>
      <w:tr>
        <w:tc>
          <w:tcPr/>
          <w:p>
            <w:pPr>
              <w:pStyle w:val="Compact"/>
              <w:jc w:val="left"/>
            </w:pPr>
            <w:r>
              <w:rPr>
                <w:b/>
                <w:bCs/>
              </w:rPr>
              <w:t xml:space="preserve">Difference (Sources − Uses)</w:t>
            </w:r>
          </w:p>
        </w:tc>
        <w:tc>
          <w:tcPr/>
          <w:p>
            <w:pPr>
              <w:pStyle w:val="Compact"/>
              <w:jc w:val="right"/>
            </w:pPr>
            <w:r>
              <w:rPr>
                <w:b/>
                <w:bCs/>
              </w:rPr>
              <w:t xml:space="preserve">$0.00 — RECONCILED</w:t>
            </w:r>
          </w:p>
        </w:tc>
      </w:tr>
    </w:tbl>
    <w:p>
      <w:pPr>
        <w:pStyle w:val="BodyText"/>
      </w:pPr>
      <w:r>
        <w:rPr>
          <w:i/>
          <w:iCs/>
        </w:rPr>
        <w:t xml:space="preserve">Internal proration adjustments (rents, security deposits, next-FY tax, water/sewer, heating oil) are debit-to-one-party / credit-to-the-other transfers that net to zero across the transaction; they are embedded in the Buyer’s cash and Seller’s net-proceeds figures above and therefore do not appear as separate disbursements in F.2.</w:t>
      </w:r>
    </w:p>
    <w:p>
      <w:r>
        <w:pict>
          <v:rect style="width:0;height:1.5pt" o:hralign="center" o:hrstd="t" o:hr="t"/>
        </w:pict>
      </w:r>
    </w:p>
    <w:bookmarkEnd w:id="40"/>
    <w:bookmarkEnd w:id="41"/>
    <w:bookmarkStart w:id="42" w:name="X112f20ed41146a7a34d30e7bbde7d6225a6a0ee"/>
    <w:p>
      <w:pPr>
        <w:pStyle w:val="Heading2"/>
      </w:pPr>
      <w:r>
        <w:t xml:space="preserve">SECTION G — PAID OUTSIDE OF CLOSING (POC) / DISCLOSURE-ONLY ITEMS</w:t>
      </w:r>
    </w:p>
    <w:p>
      <w:pPr>
        <w:pStyle w:val="FirstParagraph"/>
      </w:pPr>
      <w:r>
        <w:t xml:space="preserve">The following items are disclosed for transparency but are</w:t>
      </w:r>
      <w:r>
        <w:t xml:space="preserve"> </w:t>
      </w:r>
      <w:r>
        <w:rPr>
          <w:b/>
          <w:bCs/>
        </w:rPr>
        <w:t xml:space="preserve">excluded</w:t>
      </w:r>
      <w:r>
        <w:t xml:space="preserve"> </w:t>
      </w:r>
      <w:r>
        <w:t xml:space="preserve">from the cash-to-close and net-proceeds computations (per lender instructions and document evidence).</w:t>
      </w:r>
    </w:p>
    <w:tbl>
      <w:tblPr>
        <w:tblStyle w:val="Table"/>
        <w:tblW w:type="pct" w:w="5000"/>
        <w:jc w:val="left"/>
        <w:tblLayout w:type="fixed"/>
        <w:tblLook w:firstRow="1" w:lastRow="0" w:firstColumn="0" w:lastColumn="0" w:noHBand="0" w:noVBand="0" w:val="0020"/>
      </w:tblPr>
      <w:tblGrid>
        <w:gridCol w:w="1397"/>
        <w:gridCol w:w="1863"/>
        <w:gridCol w:w="1397"/>
        <w:gridCol w:w="1397"/>
        <w:gridCol w:w="1863"/>
      </w:tblGrid>
      <w:tr>
        <w:trPr>
          <w:tblHeader w:val="on"/>
        </w:trPr>
        <w:tc>
          <w:tcPr/>
          <w:p>
            <w:pPr>
              <w:pStyle w:val="Compact"/>
              <w:jc w:val="left"/>
            </w:pPr>
            <w:r>
              <w:t xml:space="preserve">Item</w:t>
            </w:r>
          </w:p>
        </w:tc>
        <w:tc>
          <w:tcPr/>
          <w:p>
            <w:pPr>
              <w:pStyle w:val="Compact"/>
              <w:jc w:val="right"/>
            </w:pPr>
            <w:r>
              <w:t xml:space="preserve">Amount</w:t>
            </w:r>
          </w:p>
        </w:tc>
        <w:tc>
          <w:tcPr/>
          <w:p>
            <w:pPr>
              <w:pStyle w:val="Compact"/>
              <w:jc w:val="left"/>
            </w:pPr>
            <w:r>
              <w:t xml:space="preserve">Party</w:t>
            </w:r>
          </w:p>
        </w:tc>
        <w:tc>
          <w:tcPr/>
          <w:p>
            <w:pPr>
              <w:pStyle w:val="Compact"/>
              <w:jc w:val="left"/>
            </w:pPr>
            <w:r>
              <w:t xml:space="preserve">Status</w:t>
            </w:r>
          </w:p>
        </w:tc>
        <w:tc>
          <w:tcPr/>
          <w:p>
            <w:pPr>
              <w:pStyle w:val="Compact"/>
              <w:jc w:val="right"/>
            </w:pPr>
            <w:r>
              <w:t xml:space="preserve">Impact on Cash-to-Close</w:t>
            </w:r>
          </w:p>
        </w:tc>
      </w:tr>
      <w:tr>
        <w:tc>
          <w:tcPr/>
          <w:p>
            <w:pPr>
              <w:pStyle w:val="Compact"/>
              <w:jc w:val="left"/>
            </w:pPr>
            <w:r>
              <w:t xml:space="preserve">Appraisal Fee (Ashford Valuation Associates LLC)</w:t>
            </w:r>
          </w:p>
        </w:tc>
        <w:tc>
          <w:tcPr/>
          <w:p>
            <w:pPr>
              <w:pStyle w:val="Compact"/>
              <w:jc w:val="right"/>
            </w:pPr>
            <w:r>
              <w:t xml:space="preserve">$4,500.00</w:t>
            </w:r>
          </w:p>
        </w:tc>
        <w:tc>
          <w:tcPr/>
          <w:p>
            <w:pPr>
              <w:pStyle w:val="Compact"/>
              <w:jc w:val="left"/>
            </w:pPr>
            <w:r>
              <w:t xml:space="preserve">Buyer</w:t>
            </w:r>
          </w:p>
        </w:tc>
        <w:tc>
          <w:tcPr/>
          <w:p>
            <w:pPr>
              <w:pStyle w:val="Compact"/>
              <w:jc w:val="left"/>
            </w:pPr>
            <w:r>
              <w:t xml:space="preserve">POC — paid 05/05/2025</w:t>
            </w:r>
          </w:p>
        </w:tc>
        <w:tc>
          <w:tcPr/>
          <w:p>
            <w:pPr>
              <w:pStyle w:val="Compact"/>
              <w:jc w:val="right"/>
            </w:pPr>
            <w:r>
              <w:t xml:space="preserve">$0.00</w:t>
            </w:r>
          </w:p>
        </w:tc>
      </w:tr>
      <w:tr>
        <w:tc>
          <w:tcPr/>
          <w:p>
            <w:pPr>
              <w:pStyle w:val="Compact"/>
              <w:jc w:val="left"/>
            </w:pPr>
            <w:r>
              <w:t xml:space="preserve">Probate Court Certificate Fee</w:t>
            </w:r>
          </w:p>
        </w:tc>
        <w:tc>
          <w:tcPr/>
          <w:p>
            <w:pPr>
              <w:pStyle w:val="Compact"/>
              <w:jc w:val="right"/>
            </w:pPr>
            <w:r>
              <w:t xml:space="preserve">$150.00</w:t>
            </w:r>
          </w:p>
        </w:tc>
        <w:tc>
          <w:tcPr/>
          <w:p>
            <w:pPr>
              <w:pStyle w:val="Compact"/>
              <w:jc w:val="left"/>
            </w:pPr>
            <w:r>
              <w:t xml:space="preserve">Seller</w:t>
            </w:r>
          </w:p>
        </w:tc>
        <w:tc>
          <w:tcPr/>
          <w:p>
            <w:pPr>
              <w:pStyle w:val="Compact"/>
              <w:jc w:val="left"/>
            </w:pPr>
            <w:r>
              <w:t xml:space="preserve">POC — paid per Fiduciary’s Certificate (06/25/2025)</w:t>
            </w:r>
          </w:p>
        </w:tc>
        <w:tc>
          <w:tcPr/>
          <w:p>
            <w:pPr>
              <w:pStyle w:val="Compact"/>
              <w:jc w:val="right"/>
            </w:pPr>
            <w:r>
              <w:t xml:space="preserve">$0.00</w:t>
            </w:r>
          </w:p>
        </w:tc>
      </w:tr>
    </w:tbl>
    <w:p>
      <w:r>
        <w:pict>
          <v:rect style="width:0;height:1.5pt" o:hralign="center" o:hrstd="t" o:hr="t"/>
        </w:pict>
      </w:r>
    </w:p>
    <w:bookmarkEnd w:id="42"/>
    <w:bookmarkStart w:id="43" w:name="section-h-certification-and-signatures"/>
    <w:p>
      <w:pPr>
        <w:pStyle w:val="Heading2"/>
      </w:pPr>
      <w:r>
        <w:t xml:space="preserve">SECTION H — CERTIFICATION AND SIGNATURES</w:t>
      </w:r>
    </w:p>
    <w:p>
      <w:pPr>
        <w:pStyle w:val="FirstParagraph"/>
      </w:pPr>
      <w:r>
        <w:t xml:space="preserve">The parties acknowledge that the foregoing settlement statement reflects the prorations, credits, debits, and adjustments agreed upon in the Purchase and Sale Agreement dated April 22, 2025, and the related closing documents, and that certain items remain subject to confirmation and reproration as noted in the accompanying Notes Memo.</w:t>
      </w:r>
    </w:p>
    <w:p>
      <w:pPr>
        <w:pStyle w:val="BodyText"/>
      </w:pPr>
      <w:r>
        <w:rPr>
          <w:b/>
          <w:bCs/>
        </w:rPr>
        <w:t xml:space="preserve">BUYER:</w:t>
      </w:r>
    </w:p>
    <w:p>
      <w:pPr>
        <w:pStyle w:val="BodyText"/>
      </w:pPr>
      <w:r>
        <w:t xml:space="preserve">MERIDIAN COVE PROPERTIES LLC</w:t>
      </w:r>
    </w:p>
    <w:p>
      <w:pPr>
        <w:pStyle w:val="BodyText"/>
      </w:pPr>
      <w:r>
        <w:t xml:space="preserve">By: _______________________________</w:t>
      </w:r>
    </w:p>
    <w:p>
      <w:pPr>
        <w:pStyle w:val="BodyText"/>
      </w:pPr>
      <w:r>
        <w:t xml:space="preserve">Name: Elaine R. Matsuda</w:t>
      </w:r>
    </w:p>
    <w:p>
      <w:pPr>
        <w:pStyle w:val="BodyText"/>
      </w:pPr>
      <w:r>
        <w:t xml:space="preserve">Title: Manager</w:t>
      </w:r>
    </w:p>
    <w:p>
      <w:pPr>
        <w:pStyle w:val="BodyText"/>
      </w:pPr>
      <w:r>
        <w:t xml:space="preserve">Date: July 15, 2025</w:t>
      </w:r>
    </w:p>
    <w:p>
      <w:pPr>
        <w:pStyle w:val="BodyText"/>
      </w:pPr>
      <w:r>
        <w:rPr>
          <w:b/>
          <w:bCs/>
        </w:rPr>
        <w:t xml:space="preserve">SELLER:</w:t>
      </w:r>
    </w:p>
    <w:p>
      <w:pPr>
        <w:pStyle w:val="BodyText"/>
      </w:pPr>
      <w:r>
        <w:t xml:space="preserve">ESTATE OF GERALD T. WHITFORD</w:t>
      </w:r>
    </w:p>
    <w:p>
      <w:pPr>
        <w:pStyle w:val="BodyText"/>
      </w:pPr>
      <w:r>
        <w:t xml:space="preserve">By: _______________________________</w:t>
      </w:r>
    </w:p>
    <w:p>
      <w:pPr>
        <w:pStyle w:val="BodyText"/>
      </w:pPr>
      <w:r>
        <w:t xml:space="preserve">Name: Claudia Whitford-Barnes</w:t>
      </w:r>
    </w:p>
    <w:p>
      <w:pPr>
        <w:pStyle w:val="BodyText"/>
      </w:pPr>
      <w:r>
        <w:t xml:space="preserve">Title: Executrix</w:t>
      </w:r>
    </w:p>
    <w:p>
      <w:pPr>
        <w:pStyle w:val="BodyText"/>
      </w:pPr>
      <w:r>
        <w:t xml:space="preserve">Date: July 15, 2025</w:t>
      </w:r>
    </w:p>
    <w:p>
      <w:pPr>
        <w:pStyle w:val="BodyText"/>
      </w:pPr>
      <w:r>
        <w:rPr>
          <w:b/>
          <w:bCs/>
        </w:rPr>
        <w:t xml:space="preserve">CLOSING AGENT:</w:t>
      </w:r>
    </w:p>
    <w:p>
      <w:pPr>
        <w:pStyle w:val="BodyText"/>
      </w:pPr>
      <w:r>
        <w:t xml:space="preserve">PINNACLE ABSTRACT &amp; TITLE LLC</w:t>
      </w:r>
    </w:p>
    <w:p>
      <w:pPr>
        <w:pStyle w:val="BodyText"/>
      </w:pPr>
      <w:r>
        <w:t xml:space="preserve">By: _______________________________</w:t>
      </w:r>
    </w:p>
    <w:p>
      <w:pPr>
        <w:pStyle w:val="BodyText"/>
      </w:pPr>
      <w:r>
        <w:t xml:space="preserve">Name: Lorraine M. Grasso</w:t>
      </w:r>
    </w:p>
    <w:p>
      <w:pPr>
        <w:pStyle w:val="BodyText"/>
      </w:pPr>
      <w:r>
        <w:t xml:space="preserve">Title: Closing Officer</w:t>
      </w:r>
    </w:p>
    <w:p>
      <w:pPr>
        <w:pStyle w:val="BodyText"/>
      </w:pPr>
      <w:r>
        <w:t xml:space="preserve">Date: July 15, 2025</w:t>
      </w:r>
    </w:p>
    <w:p>
      <w:r>
        <w:pict>
          <v:rect style="width:0;height:1.5pt" o:hralign="center" o:hrstd="t" o:hr="t"/>
        </w:pict>
      </w:r>
    </w:p>
    <w:p>
      <w:pPr>
        <w:pStyle w:val="FirstParagraph"/>
      </w:pPr>
      <w:r>
        <w:rPr>
          <w:i/>
          <w:iCs/>
        </w:rPr>
        <w:t xml:space="preserve">This settlement statement is prepared for the transaction described above. Proration and adjustment obligations survive Closing for 90 days pursuant to PSA §7.7 and §15.1. Refer to the accompanying Notes Memo for flagged discrepancies, assumptions, and items to be confirmed prior to disbursement.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2026-06-28T21:28:24Z</dcterms:created>
  <dcterms:modified xsi:type="dcterms:W3CDTF">2026-06-28T21:28:24Z</dcterms:modified>
</cp:coreProperties>
</file>

<file path=docProps/custom.xml><?xml version="1.0" encoding="utf-8"?>
<Properties xmlns="http://schemas.openxmlformats.org/officeDocument/2006/custom-properties" xmlns:vt="http://schemas.openxmlformats.org/officeDocument/2006/docPropsVTypes"/>
</file>