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1F3A5F"/>
          <w:sz w:val="40"/>
        </w:rPr>
        <w:t>SETTLEMENT STATEMENT — NOTES MEMORANDUM</w:t>
      </w:r>
    </w:p>
    <w:p>
      <w:pPr>
        <w:spacing w:after="40"/>
        <w:jc w:val="center"/>
      </w:pPr>
      <w:r>
        <w:rPr>
          <w:rFonts w:ascii="Calibri" w:hAnsi="Calibri"/>
          <w:color w:val="555555"/>
          <w:sz w:val="22"/>
        </w:rPr>
        <w:t>Discrepancies, Assumptions &amp; Items Requiring Confirmation</w:t>
      </w:r>
    </w:p>
    <w:p>
      <w:pPr>
        <w:spacing w:after="160"/>
        <w:jc w:val="center"/>
      </w:pPr>
      <w:r>
        <w:rPr>
          <w:rFonts w:ascii="Calibri" w:hAnsi="Calibri"/>
          <w:i/>
          <w:color w:val="555555"/>
          <w:sz w:val="16"/>
        </w:rPr>
        <w:t>CONFIDENTIAL — FOR SETTLEMENT USE ONLY</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blGrid>
        <w:gridCol w:w="5112"/>
        <w:gridCol w:w="5112"/>
      </w:tblGrid>
      <w:tr>
        <w:tc>
          <w:tcPr>
            <w:tcW w:type="dxa" w:w="1872"/>
          </w:tcPr>
          <w:p/>
        </w:tc>
        <w:tc>
          <w:tcPr>
            <w:tcW w:type="dxa" w:w="9072"/>
          </w:tcPr>
          <w:p/>
        </w:tc>
      </w:tr>
      <w:tr>
        <w:tc>
          <w:tcPr>
            <w:tcW w:type="dxa" w:w="5112"/>
            <w:tcMar>
              <w:top w:w="40" w:type="dxa"/>
              <w:bottom w:w="40" w:type="dxa"/>
              <w:start w:w="80" w:type="dxa"/>
              <w:end w:w="80" w:type="dxa"/>
            </w:tcMar>
          </w:tcPr>
          <w:p>
            <w:pPr>
              <w:spacing w:before="20" w:after="20"/>
              <w:jc w:val="left"/>
            </w:pPr>
            <w:r>
              <w:rPr>
                <w:rFonts w:ascii="Calibri" w:hAnsi="Calibri"/>
                <w:b/>
                <w:i w:val="0"/>
                <w:color w:val="1F3A5F"/>
                <w:sz w:val="19"/>
              </w:rPr>
              <w:t>TO:</w:t>
            </w:r>
          </w:p>
        </w:tc>
        <w:tc>
          <w:tcPr>
            <w:tcW w:type="dxa" w:w="5112"/>
            <w:tcMar>
              <w:top w:w="40" w:type="dxa"/>
              <w:bottom w:w="40" w:type="dxa"/>
              <w:start w:w="80" w:type="dxa"/>
              <w:end w:w="80" w:type="dxa"/>
            </w:tcMar>
          </w:tcPr>
          <w:p>
            <w:pPr>
              <w:spacing w:before="20" w:after="20"/>
              <w:jc w:val="left"/>
            </w:pPr>
            <w:r>
              <w:rPr>
                <w:rFonts w:ascii="Calibri" w:hAnsi="Calibri"/>
                <w:b w:val="0"/>
                <w:i w:val="0"/>
                <w:color w:val="222222"/>
                <w:sz w:val="19"/>
              </w:rPr>
              <w:t>Closing File — Pinnacle Abstract &amp; Title LLC (Lorraine M. Grasso, Closing Officer)</w:t>
            </w:r>
          </w:p>
        </w:tc>
      </w:tr>
      <w:tr>
        <w:tc>
          <w:tcPr>
            <w:tcW w:type="dxa" w:w="5112"/>
            <w:tcMar>
              <w:top w:w="40" w:type="dxa"/>
              <w:bottom w:w="40" w:type="dxa"/>
              <w:start w:w="80" w:type="dxa"/>
              <w:end w:w="80" w:type="dxa"/>
            </w:tcMar>
          </w:tcPr>
          <w:p>
            <w:pPr>
              <w:spacing w:before="20" w:after="20"/>
              <w:jc w:val="left"/>
            </w:pPr>
            <w:r>
              <w:rPr>
                <w:rFonts w:ascii="Calibri" w:hAnsi="Calibri"/>
                <w:b/>
                <w:i w:val="0"/>
                <w:color w:val="1F3A5F"/>
                <w:sz w:val="19"/>
              </w:rPr>
              <w:t>FROM:</w:t>
            </w:r>
          </w:p>
        </w:tc>
        <w:tc>
          <w:tcPr>
            <w:tcW w:type="dxa" w:w="5112"/>
            <w:tcMar>
              <w:top w:w="40" w:type="dxa"/>
              <w:bottom w:w="40" w:type="dxa"/>
              <w:start w:w="80" w:type="dxa"/>
              <w:end w:w="80" w:type="dxa"/>
            </w:tcMar>
          </w:tcPr>
          <w:p>
            <w:pPr>
              <w:spacing w:before="20" w:after="20"/>
              <w:jc w:val="left"/>
            </w:pPr>
            <w:r>
              <w:rPr>
                <w:rFonts w:ascii="Calibri" w:hAnsi="Calibri"/>
                <w:b w:val="0"/>
                <w:i w:val="0"/>
                <w:color w:val="222222"/>
                <w:sz w:val="19"/>
              </w:rPr>
              <w:t>Settlement Statement Preparer</w:t>
            </w:r>
          </w:p>
        </w:tc>
      </w:tr>
      <w:tr>
        <w:tc>
          <w:tcPr>
            <w:tcW w:type="dxa" w:w="5112"/>
            <w:tcMar>
              <w:top w:w="40" w:type="dxa"/>
              <w:bottom w:w="40" w:type="dxa"/>
              <w:start w:w="80" w:type="dxa"/>
              <w:end w:w="80" w:type="dxa"/>
            </w:tcMar>
          </w:tcPr>
          <w:p>
            <w:pPr>
              <w:spacing w:before="20" w:after="20"/>
              <w:jc w:val="left"/>
            </w:pPr>
            <w:r>
              <w:rPr>
                <w:rFonts w:ascii="Calibri" w:hAnsi="Calibri"/>
                <w:b/>
                <w:i w:val="0"/>
                <w:color w:val="1F3A5F"/>
                <w:sz w:val="19"/>
              </w:rPr>
              <w:t>DATE:</w:t>
            </w:r>
          </w:p>
        </w:tc>
        <w:tc>
          <w:tcPr>
            <w:tcW w:type="dxa" w:w="5112"/>
            <w:tcMar>
              <w:top w:w="40" w:type="dxa"/>
              <w:bottom w:w="40" w:type="dxa"/>
              <w:start w:w="80" w:type="dxa"/>
              <w:end w:w="80" w:type="dxa"/>
            </w:tcMar>
          </w:tcPr>
          <w:p>
            <w:pPr>
              <w:spacing w:before="20" w:after="20"/>
              <w:jc w:val="left"/>
            </w:pPr>
            <w:r>
              <w:rPr>
                <w:rFonts w:ascii="Calibri" w:hAnsi="Calibri"/>
                <w:b w:val="0"/>
                <w:i w:val="0"/>
                <w:color w:val="222222"/>
                <w:sz w:val="19"/>
              </w:rPr>
              <w:t>July 14, 2025</w:t>
            </w:r>
          </w:p>
        </w:tc>
      </w:tr>
      <w:tr>
        <w:tc>
          <w:tcPr>
            <w:tcW w:type="dxa" w:w="5112"/>
            <w:tcMar>
              <w:top w:w="40" w:type="dxa"/>
              <w:bottom w:w="40" w:type="dxa"/>
              <w:start w:w="80" w:type="dxa"/>
              <w:end w:w="80" w:type="dxa"/>
            </w:tcMar>
          </w:tcPr>
          <w:p>
            <w:pPr>
              <w:spacing w:before="20" w:after="20"/>
              <w:jc w:val="left"/>
            </w:pPr>
            <w:r>
              <w:rPr>
                <w:rFonts w:ascii="Calibri" w:hAnsi="Calibri"/>
                <w:b/>
                <w:i w:val="0"/>
                <w:color w:val="1F3A5F"/>
                <w:sz w:val="19"/>
              </w:rPr>
              <w:t>RE:</w:t>
            </w:r>
          </w:p>
        </w:tc>
        <w:tc>
          <w:tcPr>
            <w:tcW w:type="dxa" w:w="5112"/>
            <w:tcMar>
              <w:top w:w="40" w:type="dxa"/>
              <w:bottom w:w="40" w:type="dxa"/>
              <w:start w:w="80" w:type="dxa"/>
              <w:end w:w="80" w:type="dxa"/>
            </w:tcMar>
          </w:tcPr>
          <w:p>
            <w:pPr>
              <w:spacing w:before="20" w:after="20"/>
              <w:jc w:val="left"/>
            </w:pPr>
            <w:r>
              <w:rPr>
                <w:rFonts w:ascii="Calibri" w:hAnsi="Calibri"/>
                <w:b w:val="0"/>
                <w:i w:val="0"/>
                <w:color w:val="222222"/>
                <w:sz w:val="19"/>
              </w:rPr>
              <w:t>Closing of 4280 Harborview Boulevard, Bridgeport, CT 06604 — Estate of Gerald T. Whitford (Seller) to Meridian Cove Properties LLC (Buyer); Closing Date July 15, 2025</w:t>
            </w:r>
          </w:p>
        </w:tc>
      </w:tr>
    </w:tbl>
    <w:p>
      <w:pPr>
        <w:spacing w:before="280" w:after="80"/>
        <w:pBdr>
          <w:bottom w:val="single" w:sz="6" w:space="2" w:color="1F3A5F"/>
        </w:pBdr>
      </w:pPr>
      <w:r>
        <w:rPr>
          <w:rFonts w:ascii="Calibri" w:hAnsi="Calibri"/>
          <w:b/>
          <w:color w:val="1F3A5F"/>
          <w:sz w:val="24"/>
        </w:rPr>
        <w:t>I. Purpose and Scope</w:t>
      </w:r>
    </w:p>
    <w:p>
      <w:pPr>
        <w:spacing w:before="40" w:after="40"/>
        <w:jc w:val="both"/>
      </w:pPr>
      <w:r>
        <w:rPr>
          <w:rFonts w:ascii="Calibri" w:hAnsi="Calibri"/>
          <w:b w:val="0"/>
          <w:i w:val="0"/>
          <w:color w:val="222222"/>
          <w:sz w:val="20"/>
        </w:rPr>
        <w:t>This memorandum accompanies the settlement statement prepared for the above-referenced commercial real estate closing. It documents the material assumptions relied upon in preparing the statement, identifies discrepancies and internal inconsistencies among the source documents, and lists items that should be confirmed or resolved prior to or at closing. Each item is classified by severity: MATERIAL (may affect the cash-to-close or net proceeds), MODERATE (requires confirmation but unlikely to move the reconciliation), or INFORMATIONAL.</w:t>
      </w:r>
    </w:p>
    <w:p>
      <w:pPr>
        <w:spacing w:before="280" w:after="80"/>
        <w:pBdr>
          <w:bottom w:val="single" w:sz="6" w:space="2" w:color="1F3A5F"/>
        </w:pBdr>
      </w:pPr>
      <w:r>
        <w:rPr>
          <w:rFonts w:ascii="Calibri" w:hAnsi="Calibri"/>
          <w:b/>
          <w:color w:val="1F3A5F"/>
          <w:sz w:val="24"/>
        </w:rPr>
        <w:t>II. Summary of Key Reconciliation Figures</w:t>
      </w:r>
    </w:p>
    <w:tbl>
      <w:tblPr>
        <w:tblW w:type="auto" w:w="0"/>
        <w:jc w:val="center"/>
        <w:tblLayout w:type="fixed"/>
        <w:tblLook w:firstColumn="1" w:firstRow="1" w:lastColumn="0" w:lastRow="0" w:noHBand="0" w:noVBand="1" w:val="04A0"/>
        <w:tblBorders>
          <w:top w:val="single" w:sz="4" w:space="0" w:color="9DB7D1"/>
          <w:left w:val="single" w:sz="4" w:space="0" w:color="9DB7D1"/>
          <w:bottom w:val="single" w:sz="4" w:space="0" w:color="9DB7D1"/>
          <w:right w:val="single" w:sz="4" w:space="0" w:color="9DB7D1"/>
          <w:insideH w:val="single" w:sz="4" w:space="0" w:color="9DB7D1"/>
          <w:insideV w:val="single" w:sz="4" w:space="0" w:color="9DB7D1"/>
        </w:tblBorders>
      </w:tblPr>
      <w:tblGrid>
        <w:gridCol w:w="5112"/>
        <w:gridCol w:w="5112"/>
      </w:tblGrid>
      <w:tr>
        <w:tc>
          <w:tcPr>
            <w:tcW w:type="dxa" w:w="7200"/>
            <w:shd w:val="clear" w:color="auto" w:fill="1F3A5F"/>
            <w:tcMar>
              <w:top w:w="40" w:type="dxa"/>
              <w:bottom w:w="40" w:type="dxa"/>
              <w:start w:w="80" w:type="dxa"/>
              <w:end w:w="80" w:type="dxa"/>
            </w:tcMar>
          </w:tcPr>
          <w:p>
            <w:pPr>
              <w:spacing w:before="20" w:after="20"/>
              <w:jc w:val="left"/>
            </w:pPr>
            <w:r>
              <w:rPr>
                <w:rFonts w:ascii="Calibri" w:hAnsi="Calibri"/>
                <w:b/>
                <w:i w:val="0"/>
                <w:color w:val="FFFFFF"/>
                <w:sz w:val="18"/>
              </w:rPr>
              <w:t>Figure</w:t>
            </w:r>
          </w:p>
        </w:tc>
        <w:tc>
          <w:tcPr>
            <w:tcW w:type="dxa" w:w="3744"/>
            <w:shd w:val="clear" w:color="auto" w:fill="1F3A5F"/>
            <w:tcMar>
              <w:top w:w="40" w:type="dxa"/>
              <w:bottom w:w="40" w:type="dxa"/>
              <w:start w:w="80" w:type="dxa"/>
              <w:end w:w="80" w:type="dxa"/>
            </w:tcMar>
          </w:tcPr>
          <w:p>
            <w:pPr>
              <w:spacing w:before="20" w:after="20"/>
              <w:jc w:val="center"/>
            </w:pPr>
            <w:r>
              <w:rPr>
                <w:rFonts w:ascii="Calibri" w:hAnsi="Calibri"/>
                <w:b/>
                <w:i w:val="0"/>
                <w:color w:val="FFFFFF"/>
                <w:sz w:val="18"/>
              </w:rPr>
              <w:t>Amount</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Contract purchase price</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$3,900,000.00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New loan proceeds (Tidewater Savings Bank)</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$2,640,000.00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Earnest money credited (principal)</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$195,000.00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Total lien payoffs from Seller's proceeds</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$866,631.89</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Repair escrow holdback (from Seller's proceeds)</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$45,000.00</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Total proration adjustments (debit Seller = credit Buyer)</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$47,354.88</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Net proceeds to Seller</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$2,864,663.83</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Cash required from Buyer at closing</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$1,085,412.12</w:t>
            </w:r>
          </w:p>
        </w:tc>
      </w:tr>
      <w:tr>
        <w:tc>
          <w:tcPr>
            <w:tcW w:type="dxa" w:w="5112"/>
            <w:tcMar>
              <w:top w:w="40" w:type="dxa"/>
              <w:bottom w:w="40" w:type="dxa"/>
              <w:start w:w="80" w:type="dxa"/>
              <w:end w:w="80" w:type="dxa"/>
            </w:tcMar>
          </w:tcPr>
          <w:p>
            <w:pPr>
              <w:spacing w:before="20" w:after="20"/>
              <w:jc w:val="left"/>
            </w:pPr>
            <w:r>
              <w:rPr>
                <w:rFonts w:ascii="Calibri" w:hAnsi="Calibri"/>
                <w:b w:val="0"/>
                <w:i w:val="0"/>
                <w:color w:val="222222"/>
                <w:sz w:val="18"/>
              </w:rPr>
              <w:t>Total funds received = total funds disbursed (reconciled)</w:t>
            </w:r>
          </w:p>
        </w:tc>
        <w:tc>
          <w:tcPr>
            <w:tcW w:type="dxa" w:w="5112"/>
            <w:tcMar>
              <w:top w:w="40" w:type="dxa"/>
              <w:bottom w:w="40" w:type="dxa"/>
              <w:start w:w="80" w:type="dxa"/>
              <w:end w:w="80" w:type="dxa"/>
            </w:tcMar>
          </w:tcPr>
          <w:p>
            <w:pPr>
              <w:spacing w:before="20" w:after="20"/>
              <w:jc w:val="right"/>
            </w:pPr>
            <w:r>
              <w:rPr>
                <w:rFonts w:ascii="Calibri" w:hAnsi="Calibri"/>
                <w:b w:val="0"/>
                <w:i w:val="0"/>
                <w:color w:val="222222"/>
                <w:sz w:val="18"/>
              </w:rPr>
              <w:t>$3,920,412.12</w:t>
            </w:r>
          </w:p>
        </w:tc>
      </w:tr>
      <w:tr>
        <w:tc>
          <w:tcPr>
            <w:tcW w:type="dxa" w:w="5112"/>
            <w:tcMar>
              <w:top w:w="40" w:type="dxa"/>
              <w:bottom w:w="40" w:type="dxa"/>
              <w:start w:w="80" w:type="dxa"/>
              <w:end w:w="80" w:type="dxa"/>
            </w:tcMar>
            <w:shd w:val="clear" w:color="auto" w:fill="1F3A5F"/>
          </w:tcPr>
          <w:p>
            <w:pPr>
              <w:spacing w:before="20" w:after="20"/>
              <w:jc w:val="left"/>
            </w:pPr>
            <w:r>
              <w:rPr>
                <w:rFonts w:ascii="Calibri" w:hAnsi="Calibri"/>
                <w:b/>
                <w:i w:val="0"/>
                <w:color w:val="FFFFFF"/>
                <w:sz w:val="19"/>
              </w:rPr>
              <w:t>Reconciliation difference</w:t>
            </w:r>
          </w:p>
        </w:tc>
        <w:tc>
          <w:tcPr>
            <w:tcW w:type="dxa" w:w="5112"/>
            <w:tcMar>
              <w:top w:w="40" w:type="dxa"/>
              <w:bottom w:w="40" w:type="dxa"/>
              <w:start w:w="80" w:type="dxa"/>
              <w:end w:w="80" w:type="dxa"/>
            </w:tcMar>
            <w:shd w:val="clear" w:color="auto" w:fill="1F3A5F"/>
          </w:tcPr>
          <w:p>
            <w:pPr>
              <w:spacing w:before="20" w:after="20"/>
              <w:jc w:val="right"/>
            </w:pPr>
            <w:r>
              <w:rPr>
                <w:rFonts w:ascii="Calibri" w:hAnsi="Calibri"/>
                <w:b/>
                <w:i w:val="0"/>
                <w:color w:val="FFFFFF"/>
                <w:sz w:val="19"/>
              </w:rPr>
              <w:t>$0.00</w:t>
            </w:r>
          </w:p>
        </w:tc>
      </w:tr>
    </w:tbl>
    <w:p>
      <w:pPr>
        <w:spacing w:before="280" w:after="80"/>
        <w:pBdr>
          <w:bottom w:val="single" w:sz="6" w:space="2" w:color="1F3A5F"/>
        </w:pBdr>
      </w:pPr>
      <w:r>
        <w:rPr>
          <w:rFonts w:ascii="Calibri" w:hAnsi="Calibri"/>
          <w:b/>
          <w:color w:val="1F3A5F"/>
          <w:sz w:val="24"/>
        </w:rPr>
        <w:t>III. Material Assumptions</w:t>
      </w:r>
    </w:p>
    <w:p>
      <w:pPr>
        <w:spacing w:before="40" w:after="80"/>
        <w:jc w:val="both"/>
      </w:pPr>
      <w:r>
        <w:rPr>
          <w:rFonts w:ascii="Calibri" w:hAnsi="Calibri"/>
          <w:b w:val="0"/>
          <w:i w:val="0"/>
          <w:color w:val="222222"/>
          <w:sz w:val="20"/>
        </w:rPr>
        <w:t>The settlement statement relies on the following assumptions, each of which is subject to confirmation:</w:t>
      </w:r>
    </w:p>
    <w:p>
      <w:pPr>
        <w:pStyle w:val="ListBullet"/>
        <w:spacing w:before="20" w:after="20"/>
      </w:pPr>
      <w:r>
        <w:rPr>
          <w:rFonts w:ascii="Calibri" w:hAnsi="Calibri"/>
          <w:b/>
          <w:color w:val="222222"/>
          <w:sz w:val="19"/>
        </w:rPr>
        <w:t xml:space="preserve">Proration date convention. </w:t>
      </w:r>
      <w:r>
        <w:rPr>
          <w:rFonts w:ascii="Calibri" w:hAnsi="Calibri"/>
          <w:color w:val="222222"/>
          <w:sz w:val="19"/>
        </w:rPr>
        <w:t>All prorations are computed as of 12:01 a.m. ET on July 15, 2025, with the day of closing allocated to Buyer (PSA §7). Seller's period is July 1–14 (14 days); Buyer's is July 15–31 (17 days for monthly items). A 365-day year is used for tax per diems; actual days (31) for rent per diems.</w:t>
      </w:r>
    </w:p>
    <w:p>
      <w:pPr>
        <w:pStyle w:val="ListBullet"/>
        <w:spacing w:before="20" w:after="20"/>
      </w:pPr>
      <w:r>
        <w:rPr>
          <w:rFonts w:ascii="Calibri" w:hAnsi="Calibri"/>
          <w:b/>
          <w:color w:val="222222"/>
          <w:sz w:val="19"/>
        </w:rPr>
        <w:t xml:space="preserve">Conveyance tax figure. </w:t>
      </w:r>
      <w:r>
        <w:rPr>
          <w:rFonts w:ascii="Calibri" w:hAnsi="Calibri"/>
          <w:color w:val="222222"/>
          <w:sz w:val="19"/>
        </w:rPr>
        <w:t>The Connecticut real estate conveyance tax is shown at the title commitment's estimate of $44,750.00 total ($22,375.00 per party, 50/50 per PSA §12.1). This figure is treated as an estimate pending the Closing Agent's final determination on Form OP-236. See Discrepancy D-1.</w:t>
      </w:r>
    </w:p>
    <w:p>
      <w:pPr>
        <w:pStyle w:val="ListBullet"/>
        <w:spacing w:before="20" w:after="20"/>
      </w:pPr>
      <w:r>
        <w:rPr>
          <w:rFonts w:ascii="Calibri" w:hAnsi="Calibri"/>
          <w:b/>
          <w:color w:val="222222"/>
          <w:sz w:val="19"/>
        </w:rPr>
        <w:t xml:space="preserve">Next-fiscal-year tax estimate. </w:t>
      </w:r>
      <w:r>
        <w:rPr>
          <w:rFonts w:ascii="Calibri" w:hAnsi="Calibri"/>
          <w:color w:val="222222"/>
          <w:sz w:val="19"/>
        </w:rPr>
        <w:t>Because the City of Bridgeport has not yet set the mill rate or issued bills for FY 2025–2026, next-year taxes are estimated at the current-year levy of $52,480.00 (PSA §7.1(b); tax certificate §3). The proration will be reprorated under §7.7 within 90 days after closing.</w:t>
      </w:r>
    </w:p>
    <w:p>
      <w:pPr>
        <w:pStyle w:val="ListBullet"/>
        <w:spacing w:before="20" w:after="20"/>
      </w:pPr>
      <w:r>
        <w:rPr>
          <w:rFonts w:ascii="Calibri" w:hAnsi="Calibri"/>
          <w:b/>
          <w:color w:val="222222"/>
          <w:sz w:val="19"/>
        </w:rPr>
        <w:t xml:space="preserve">Lien payoff figures. </w:t>
      </w:r>
      <w:r>
        <w:rPr>
          <w:rFonts w:ascii="Calibri" w:hAnsi="Calibri"/>
          <w:color w:val="222222"/>
          <w:sz w:val="19"/>
        </w:rPr>
        <w:t>All three monetary lien payoffs ($687,412.33; $148,219.56; $31,000.00) are taken from the payoff letters and are valid through July 20, 2025. Because closing is scheduled for July 15, 2025, no per-diem interest adjustment is applied. The CT DRS estate tax lien requires a release only ($0.00 payoff).</w:t>
      </w:r>
    </w:p>
    <w:p>
      <w:pPr>
        <w:pStyle w:val="ListBullet"/>
        <w:spacing w:before="20" w:after="20"/>
      </w:pPr>
      <w:r>
        <w:rPr>
          <w:rFonts w:ascii="Calibri" w:hAnsi="Calibri"/>
          <w:b/>
          <w:color w:val="222222"/>
          <w:sz w:val="19"/>
        </w:rPr>
        <w:t xml:space="preserve">Security deposit principal. </w:t>
      </w:r>
      <w:r>
        <w:rPr>
          <w:rFonts w:ascii="Calibri" w:hAnsi="Calibri"/>
          <w:color w:val="222222"/>
          <w:sz w:val="19"/>
        </w:rPr>
        <w:t>Security deposits are transferred at the principal amounts shown on the rent roll ($32,400.00 total). Accrued interest on the residential deposits is not quantified in the source documents and is assumed to be confirmed separately (see Item C-2).</w:t>
      </w:r>
    </w:p>
    <w:p>
      <w:pPr>
        <w:pStyle w:val="ListBullet"/>
        <w:spacing w:before="20" w:after="20"/>
      </w:pPr>
      <w:r>
        <w:rPr>
          <w:rFonts w:ascii="Calibri" w:hAnsi="Calibri"/>
          <w:b/>
          <w:color w:val="222222"/>
          <w:sz w:val="19"/>
        </w:rPr>
        <w:t xml:space="preserve">Earnest money principal. </w:t>
      </w:r>
      <w:r>
        <w:rPr>
          <w:rFonts w:ascii="Calibri" w:hAnsi="Calibri"/>
          <w:color w:val="222222"/>
          <w:sz w:val="19"/>
        </w:rPr>
        <w:t>Earnest money is credited at principal ($195,000.00). Accrued interest on the escrowed deposits is not quantified and is assumed to be confirmed and credited to Buyer (PSA §3.2(d); see Item C-1).</w:t>
      </w:r>
    </w:p>
    <w:p>
      <w:pPr>
        <w:pStyle w:val="ListBullet"/>
        <w:spacing w:before="20" w:after="20"/>
      </w:pPr>
      <w:r>
        <w:rPr>
          <w:rFonts w:ascii="Calibri" w:hAnsi="Calibri"/>
          <w:b/>
          <w:color w:val="222222"/>
          <w:sz w:val="19"/>
        </w:rPr>
        <w:t xml:space="preserve">Water/sewer treatment. </w:t>
      </w:r>
      <w:r>
        <w:rPr>
          <w:rFonts w:ascii="Calibri" w:hAnsi="Calibri"/>
          <w:color w:val="222222"/>
          <w:sz w:val="19"/>
        </w:rPr>
        <w:t>The WPCA balance of $1,847.60 (billing period ending July 14, 2025) is treated as 100% Seller's obligation and is paid from Seller's proceeds to the City of Bridgeport, consistent with the municipal payoff statement. Although PSA §7.5(a) references crediting the unpaid balance to Buyer, satisfying it from Seller's proceeds at closing is the cleaner treatment and avoids a post-closing lien; the net effect on Buyer is equivalent.</w:t>
      </w:r>
    </w:p>
    <w:p>
      <w:pPr>
        <w:pStyle w:val="ListBullet"/>
        <w:spacing w:before="20" w:after="20"/>
      </w:pPr>
      <w:r>
        <w:rPr>
          <w:rFonts w:ascii="Calibri" w:hAnsi="Calibri"/>
          <w:b/>
          <w:color w:val="222222"/>
          <w:sz w:val="19"/>
        </w:rPr>
        <w:t xml:space="preserve">Heating oil. </w:t>
      </w:r>
      <w:r>
        <w:rPr>
          <w:rFonts w:ascii="Calibri" w:hAnsi="Calibri"/>
          <w:color w:val="222222"/>
          <w:sz w:val="19"/>
        </w:rPr>
        <w:t>The heating oil credit ($693.00) is based on the 7/14/2025 gauge reading of 180 gallons at the Seller's last delivered price of $3.85/gallon (Shoreline Fuel &amp; Oil Co., 6/2/2025), per the pre-closing inspection report and PSA §7.6.</w:t>
      </w:r>
    </w:p>
    <w:p>
      <w:pPr>
        <w:pStyle w:val="ListBullet"/>
        <w:spacing w:before="20" w:after="20"/>
      </w:pPr>
      <w:r>
        <w:rPr>
          <w:rFonts w:ascii="Calibri" w:hAnsi="Calibri"/>
          <w:b/>
          <w:color w:val="222222"/>
          <w:sz w:val="19"/>
        </w:rPr>
        <w:t xml:space="preserve">Repair escrow. </w:t>
      </w:r>
      <w:r>
        <w:rPr>
          <w:rFonts w:ascii="Calibri" w:hAnsi="Calibri"/>
          <w:color w:val="222222"/>
          <w:sz w:val="19"/>
        </w:rPr>
        <w:t>The $45,000.00 repair escrow is funded solely from Seller's proceeds and held by the Escrow Agent; it is NOT credited to Buyer and is not part of the purchase price (PSA §8.4). It appears only as a deduction from Seller's net proceeds.</w:t>
      </w:r>
    </w:p>
    <w:p>
      <w:pPr>
        <w:pStyle w:val="ListBullet"/>
        <w:spacing w:before="20" w:after="20"/>
      </w:pPr>
      <w:r>
        <w:rPr>
          <w:rFonts w:ascii="Calibri" w:hAnsi="Calibri"/>
          <w:b/>
          <w:color w:val="222222"/>
          <w:sz w:val="19"/>
        </w:rPr>
        <w:t xml:space="preserve">POC appraisal fee. </w:t>
      </w:r>
      <w:r>
        <w:rPr>
          <w:rFonts w:ascii="Calibri" w:hAnsi="Calibri"/>
          <w:color w:val="222222"/>
          <w:sz w:val="19"/>
        </w:rPr>
        <w:t>The $4,500.00 appraisal fee is Paid Outside of Closing and is excluded from Buyer's cash-to-close, per the lender commitment's explicit instructions (§4.2, §6.2).</w:t>
      </w:r>
    </w:p>
    <w:p>
      <w:pPr>
        <w:spacing w:before="280" w:after="80"/>
        <w:pBdr>
          <w:bottom w:val="single" w:sz="6" w:space="2" w:color="1F3A5F"/>
        </w:pBdr>
      </w:pPr>
      <w:r>
        <w:rPr>
          <w:rFonts w:ascii="Calibri" w:hAnsi="Calibri"/>
          <w:b/>
          <w:color w:val="1F3A5F"/>
          <w:sz w:val="24"/>
        </w:rPr>
        <w:t>IV. Discrepancies and Inconsistencies Identified</w:t>
      </w:r>
    </w:p>
    <w:p>
      <w:pPr>
        <w:spacing w:before="40" w:after="80"/>
        <w:jc w:val="both"/>
      </w:pPr>
      <w:r>
        <w:rPr>
          <w:rFonts w:ascii="Calibri" w:hAnsi="Calibri"/>
          <w:b w:val="0"/>
          <w:i w:val="0"/>
          <w:color w:val="222222"/>
          <w:sz w:val="20"/>
        </w:rPr>
        <w:t>The following discrepancies were identified among the source documents (Purchase and Sale Agreement, title commitment, lender commitment, payoff letters, tax lien statement, rent roll, and inspection report). They do not prevent closing but should be reviewed and, where applicable, reconciled.</w:t>
      </w:r>
    </w:p>
    <w:p>
      <w:pPr>
        <w:spacing w:before="120" w:after="20"/>
      </w:pPr>
      <w:r>
        <w:rPr>
          <w:rFonts w:ascii="Calibri" w:hAnsi="Calibri"/>
          <w:b/>
          <w:color w:val="1F3A5F"/>
          <w:sz w:val="20"/>
        </w:rPr>
        <w:t>D-1  [MATERIAL]  Connecticut real estate conveyance tax estimate.</w:t>
      </w:r>
    </w:p>
    <w:p>
      <w:pPr>
        <w:spacing w:before="20" w:after="40"/>
        <w:jc w:val="both"/>
      </w:pPr>
      <w:r>
        <w:rPr>
          <w:rFonts w:ascii="Calibri" w:hAnsi="Calibri"/>
          <w:b w:val="0"/>
          <w:i w:val="0"/>
          <w:color w:val="222222"/>
          <w:sz w:val="19"/>
        </w:rPr>
        <w:t>The title commitment (Schedule C) estimates the total conveyance tax at $44,750.00 ($22,375.00 per party) and states it is 'calculated using the tiered rate structure applicable to the City of Bridgeport.' This figure does not correspond to the standard statutory conveyance tax for non-residential property. The Property is a mixed-use building (12 residential units plus ground-floor commercial) and is not a one-to-four-family dwelling, so it should be classified as non-residential under CGS §12-494, attracting the 1.25% state rate. Applying the 1.25% state rate plus a 0.50% municipal rate (Bridgeport is a targeted-investment community authorized to impose the additional 0.25% municipal conveyance tax) yields 1.75% × $3,900,000 = $68,250.00 ($34,125.00 per party). Even at a 0.25% municipal rate (1.50% total), the tax would be $58,500.00 ($29,250.00 per party). The $44,750.00 estimate is lower than both and does not reconcile to any clean rate combination; the 'tiered rate structure' language is also not consistent with Connecticut's flat-rate-by-property-type structure. RECOMMENDATION: The Closing Agent should confirm the correct classification and rate and recompute the tax on Form OP-236 before closing. If the 1.75% rate applies, each party's share increases by $11,750.00, which would increase Buyer's cash to close and reduce Seller's net proceeds by a like amount. The settlement statement currently uses the title commitment estimate and is flagged accordingly.</w:t>
      </w:r>
    </w:p>
    <w:p>
      <w:pPr>
        <w:spacing w:before="120" w:after="20"/>
      </w:pPr>
      <w:r>
        <w:rPr>
          <w:rFonts w:ascii="Calibri" w:hAnsi="Calibri"/>
          <w:b/>
          <w:color w:val="1F3A5F"/>
          <w:sz w:val="20"/>
        </w:rPr>
        <w:t>D-2  [MODERATE]  Commercial lease remaining term — lender commitment vs. PSA.</w:t>
      </w:r>
    </w:p>
    <w:p>
      <w:pPr>
        <w:spacing w:before="20" w:after="40"/>
        <w:jc w:val="both"/>
      </w:pPr>
      <w:r>
        <w:rPr>
          <w:rFonts w:ascii="Calibri" w:hAnsi="Calibri"/>
          <w:b w:val="0"/>
          <w:i w:val="0"/>
          <w:color w:val="222222"/>
          <w:sz w:val="19"/>
        </w:rPr>
        <w:t>The lender commitment (§5.7) describes the Coastal Provisions Market LLC lease as having 'approximately four and one-half years remaining.' The PSA (§11.1, Exhibit C) and the rent roll state the lease expires December 31, 2030, which from the July 15, 2025 closing date is approximately five years and five months remaining. The lender commitment therefore understates the remaining term by roughly one year. This does not affect the settlement figures but bears on the lender's lease review and underwriting; it should be confirmed with the loan officer (Marcus J. Pellegrino) so the SNDA and lease review reflect the correct term.</w:t>
      </w:r>
    </w:p>
    <w:p>
      <w:pPr>
        <w:spacing w:before="120" w:after="20"/>
      </w:pPr>
      <w:r>
        <w:rPr>
          <w:rFonts w:ascii="Calibri" w:hAnsi="Calibri"/>
          <w:b/>
          <w:color w:val="1F3A5F"/>
          <w:sz w:val="20"/>
        </w:rPr>
        <w:t>D-3  [MODERATE]  Loan-to-value ratio — internal inconsistency in lender commitment.</w:t>
      </w:r>
    </w:p>
    <w:p>
      <w:pPr>
        <w:spacing w:before="20" w:after="40"/>
        <w:jc w:val="both"/>
      </w:pPr>
      <w:r>
        <w:rPr>
          <w:rFonts w:ascii="Calibri" w:hAnsi="Calibri"/>
          <w:b w:val="0"/>
          <w:i w:val="0"/>
          <w:color w:val="222222"/>
          <w:sz w:val="19"/>
        </w:rPr>
        <w:t>The lender commitment (§2) states the LTV is 'approximately 67.7%, based on the appraised value' of $3,920,000.00, but then computes $2,640,000.00 ÷ $3,920,000.00 = 67.35% and rounds it to 'approximately 67.7%.' The 67.7% figure actually corresponds to the loan divided by the purchase price ($2,640,000.00 ÷ $3,900,000.00 = 67.69%), not the appraised value. The stated basis (appraised value) and the rounded figure (purchase-price basis) are inconsistent. This is informational only and does not affect closing funds.</w:t>
      </w:r>
    </w:p>
    <w:p>
      <w:pPr>
        <w:spacing w:before="120" w:after="20"/>
      </w:pPr>
      <w:r>
        <w:rPr>
          <w:rFonts w:ascii="Calibri" w:hAnsi="Calibri"/>
          <w:b/>
          <w:color w:val="1F3A5F"/>
          <w:sz w:val="20"/>
        </w:rPr>
        <w:t>D-4  [MODERATE]  Title insurance underwriter name inconsistency.</w:t>
      </w:r>
    </w:p>
    <w:p>
      <w:pPr>
        <w:spacing w:before="20" w:after="40"/>
        <w:jc w:val="both"/>
      </w:pPr>
      <w:r>
        <w:rPr>
          <w:rFonts w:ascii="Calibri" w:hAnsi="Calibri"/>
          <w:b w:val="0"/>
          <w:i w:val="0"/>
          <w:color w:val="222222"/>
          <w:sz w:val="19"/>
        </w:rPr>
        <w:t>The title commitment header and countersignature block name the underwriter as 'Continental Fidelity Title Insurance Company,' while the body of the commitment refers to 'Continental Hartleigh Title Insurance Company.' The correct legal name of the issuing underwriter should be confirmed with Pinnacle Abstract &amp; Title LLC, as it will appear on the issued owner's and lender's policies.</w:t>
      </w:r>
    </w:p>
    <w:p>
      <w:pPr>
        <w:spacing w:before="120" w:after="20"/>
      </w:pPr>
      <w:r>
        <w:rPr>
          <w:rFonts w:ascii="Calibri" w:hAnsi="Calibri"/>
          <w:b/>
          <w:color w:val="1F3A5F"/>
          <w:sz w:val="20"/>
        </w:rPr>
        <w:t>D-5  [MODERATE]  Closing agent / escrow agent address variations.</w:t>
      </w:r>
    </w:p>
    <w:p>
      <w:pPr>
        <w:spacing w:before="20" w:after="40"/>
        <w:jc w:val="both"/>
      </w:pPr>
      <w:r>
        <w:rPr>
          <w:rFonts w:ascii="Calibri" w:hAnsi="Calibri"/>
          <w:b w:val="0"/>
          <w:i w:val="0"/>
          <w:color w:val="222222"/>
          <w:sz w:val="19"/>
        </w:rPr>
        <w:t>The PSA (§6.1) and title commitment list the closing location as 88 Field Point Road, Greenwich, CT 06830. However, the municipal tax lien statement is addressed to Pinnacle Abstract &amp; Title LLC at 1200 Post Road East, Suite 214, Westport, CT 06880, and the lien payoff cover letter is addressed to 3100 Main Street, Suite 204, Bridgeport, CT 06604. These appear to be different office locations for the same entity. RECOMMENDATION: Confirm the correct office for the closing and, critically, verify wire instructions directly with Lorraine M. Grasso by telephone using a known number to guard against wire-fraud diversion.</w:t>
      </w:r>
    </w:p>
    <w:p>
      <w:pPr>
        <w:spacing w:before="120" w:after="20"/>
      </w:pPr>
      <w:r>
        <w:rPr>
          <w:rFonts w:ascii="Calibri" w:hAnsi="Calibri"/>
          <w:b/>
          <w:color w:val="1F3A5F"/>
          <w:sz w:val="20"/>
        </w:rPr>
        <w:t>D-6  [INFORMATIONAL]  Probate fiduciary certificate currency.</w:t>
      </w:r>
    </w:p>
    <w:p>
      <w:pPr>
        <w:spacing w:before="20" w:after="40"/>
        <w:jc w:val="both"/>
      </w:pPr>
      <w:r>
        <w:rPr>
          <w:rFonts w:ascii="Calibri" w:hAnsi="Calibri"/>
          <w:b w:val="0"/>
          <w:i w:val="0"/>
          <w:color w:val="222222"/>
          <w:sz w:val="19"/>
        </w:rPr>
        <w:t>The Fiduciary's Certificate is dated June 25, 2025. The title commitment (Requirement 2) and lender commitment (§5.12) require it dated no more than 60 days prior to closing; June 25 to July 15, 2025 is 20 days, so the certificate is within the required window. No action required, but if closing is delayed beyond late August 2025, a refreshed certificate may be needed.</w:t>
      </w:r>
    </w:p>
    <w:p>
      <w:pPr>
        <w:spacing w:before="280" w:after="80"/>
        <w:pBdr>
          <w:bottom w:val="single" w:sz="6" w:space="2" w:color="1F3A5F"/>
        </w:pBdr>
      </w:pPr>
      <w:r>
        <w:rPr>
          <w:rFonts w:ascii="Calibri" w:hAnsi="Calibri"/>
          <w:b/>
          <w:color w:val="1F3A5F"/>
          <w:sz w:val="24"/>
        </w:rPr>
        <w:t>V. Items Requiring Confirmation Prior to or at Closing</w:t>
      </w:r>
    </w:p>
    <w:p>
      <w:pPr>
        <w:pStyle w:val="ListBullet"/>
        <w:spacing w:before="20" w:after="20"/>
      </w:pPr>
      <w:r>
        <w:rPr>
          <w:rFonts w:ascii="Calibri" w:hAnsi="Calibri"/>
          <w:b/>
          <w:color w:val="222222"/>
          <w:sz w:val="19"/>
        </w:rPr>
        <w:t xml:space="preserve">C-1. Earnest money interest. </w:t>
      </w:r>
      <w:r>
        <w:rPr>
          <w:rFonts w:ascii="Calibri" w:hAnsi="Calibri"/>
          <w:color w:val="222222"/>
          <w:sz w:val="19"/>
        </w:rPr>
        <w:t>Confirm the accrued interest on the $195,000.00 earnest money (held since April 24 and May 22, 2025) and credit it to Buyer (PSA §3.2(d)). No interest amount appears in the source documents.</w:t>
      </w:r>
    </w:p>
    <w:p>
      <w:pPr>
        <w:pStyle w:val="ListBullet"/>
        <w:spacing w:before="20" w:after="20"/>
      </w:pPr>
      <w:r>
        <w:rPr>
          <w:rFonts w:ascii="Calibri" w:hAnsi="Calibri"/>
          <w:b/>
          <w:color w:val="222222"/>
          <w:sz w:val="19"/>
        </w:rPr>
        <w:t xml:space="preserve">C-2. Residential security deposit interest. </w:t>
      </w:r>
      <w:r>
        <w:rPr>
          <w:rFonts w:ascii="Calibri" w:hAnsi="Calibri"/>
          <w:color w:val="222222"/>
          <w:sz w:val="19"/>
        </w:rPr>
        <w:t>Confirm accrued interest on the eleven residential security deposits ($18,000.00 principal) held in the interest-bearing Harborstone FCU escrow account, as required by CGS §47a-21, and add it to the $32,400.00 transfer. The commercial deposit ($14,400.00) is non-interest-bearing per the management agreement.</w:t>
      </w:r>
    </w:p>
    <w:p>
      <w:pPr>
        <w:pStyle w:val="ListBullet"/>
        <w:spacing w:before="20" w:after="20"/>
      </w:pPr>
      <w:r>
        <w:rPr>
          <w:rFonts w:ascii="Calibri" w:hAnsi="Calibri"/>
          <w:b/>
          <w:color w:val="222222"/>
          <w:sz w:val="19"/>
        </w:rPr>
        <w:t xml:space="preserve">C-3. Gas and electric utility prorations. </w:t>
      </w:r>
      <w:r>
        <w:rPr>
          <w:rFonts w:ascii="Calibri" w:hAnsi="Calibri"/>
          <w:color w:val="222222"/>
          <w:sz w:val="19"/>
        </w:rPr>
        <w:t>The only utility account documented is water/sewer (WPCA). PSA §7.5 also requires proration of gas and electric charges. Obtain final meter readings/bills for gas and electric accounts; if unavailable, estimate at closing and reprorate under §7.7 within 90 days. The building has a gas-fired water heater and the commercial space uses a separate electric rooftop HVAC unit.</w:t>
      </w:r>
    </w:p>
    <w:p>
      <w:pPr>
        <w:pStyle w:val="ListBullet"/>
        <w:spacing w:before="20" w:after="20"/>
      </w:pPr>
      <w:r>
        <w:rPr>
          <w:rFonts w:ascii="Calibri" w:hAnsi="Calibri"/>
          <w:b/>
          <w:color w:val="222222"/>
          <w:sz w:val="19"/>
        </w:rPr>
        <w:t xml:space="preserve">C-4. Updated rent roll. </w:t>
      </w:r>
      <w:r>
        <w:rPr>
          <w:rFonts w:ascii="Calibri" w:hAnsi="Calibri"/>
          <w:color w:val="222222"/>
          <w:sz w:val="19"/>
        </w:rPr>
        <w:t>PSA §9.7 requires Seller to deliver an updated rent roll and security deposit schedule no later than three business days before closing (i.e., by approximately July 10, 2025). The rent roll in the file is dated July 1, 2025. Confirm that an updated rent roll reflecting status as of the closing date has been delivered and reconcile any changes to the rent and security deposit prorations.</w:t>
      </w:r>
    </w:p>
    <w:p>
      <w:pPr>
        <w:pStyle w:val="ListBullet"/>
        <w:spacing w:before="20" w:after="20"/>
      </w:pPr>
      <w:r>
        <w:rPr>
          <w:rFonts w:ascii="Calibri" w:hAnsi="Calibri"/>
          <w:b/>
          <w:color w:val="222222"/>
          <w:sz w:val="19"/>
        </w:rPr>
        <w:t xml:space="preserve">C-5. Conveyance tax determination. </w:t>
      </w:r>
      <w:r>
        <w:rPr>
          <w:rFonts w:ascii="Calibri" w:hAnsi="Calibri"/>
          <w:color w:val="222222"/>
          <w:sz w:val="19"/>
        </w:rPr>
        <w:t>Resolve Discrepancy D-1 with the Closing Agent and finalize the conveyance tax on Form OP-236 before recording. The 50/50 split is fixed by the PSA; only the total amount is in question.</w:t>
      </w:r>
    </w:p>
    <w:p>
      <w:pPr>
        <w:pStyle w:val="ListBullet"/>
        <w:spacing w:before="20" w:after="20"/>
      </w:pPr>
      <w:r>
        <w:rPr>
          <w:rFonts w:ascii="Calibri" w:hAnsi="Calibri"/>
          <w:b/>
          <w:color w:val="222222"/>
          <w:sz w:val="19"/>
        </w:rPr>
        <w:t xml:space="preserve">C-6. Lien payoff recency. </w:t>
      </w:r>
      <w:r>
        <w:rPr>
          <w:rFonts w:ascii="Calibri" w:hAnsi="Calibri"/>
          <w:color w:val="222222"/>
          <w:sz w:val="19"/>
        </w:rPr>
        <w:t>All monetary payoffs are valid through July 20, 2025. If closing does not occur on July 15, 2025, obtain updated payoff figures (per-diem interest: first mortgage $112.67/day; HELOC ~$27.93/day; delinquent tax $13.12/day) and revalidate the municipal tax certificate.</w:t>
      </w:r>
    </w:p>
    <w:p>
      <w:pPr>
        <w:pStyle w:val="ListBullet"/>
        <w:spacing w:before="20" w:after="20"/>
      </w:pPr>
      <w:r>
        <w:rPr>
          <w:rFonts w:ascii="Calibri" w:hAnsi="Calibri"/>
          <w:b/>
          <w:color w:val="222222"/>
          <w:sz w:val="19"/>
        </w:rPr>
        <w:t xml:space="preserve">C-7. FIRPTA / non-foreign certification. </w:t>
      </w:r>
      <w:r>
        <w:rPr>
          <w:rFonts w:ascii="Calibri" w:hAnsi="Calibri"/>
          <w:color w:val="222222"/>
          <w:sz w:val="19"/>
        </w:rPr>
        <w:t>PSA §6.2(i) requires a FIRPTA affidavit or estate-equivalent non-foreign certification. The decedent was a U.S. resident (Bridgeport, CT), so no §1445 withholding is anticipated, but the certification must be delivered at closing.</w:t>
      </w:r>
    </w:p>
    <w:p>
      <w:pPr>
        <w:pStyle w:val="ListBullet"/>
        <w:spacing w:before="20" w:after="20"/>
      </w:pPr>
      <w:r>
        <w:rPr>
          <w:rFonts w:ascii="Calibri" w:hAnsi="Calibri"/>
          <w:b/>
          <w:color w:val="222222"/>
          <w:sz w:val="19"/>
        </w:rPr>
        <w:t xml:space="preserve">C-8. Repair escrow adequacy. </w:t>
      </w:r>
      <w:r>
        <w:rPr>
          <w:rFonts w:ascii="Calibri" w:hAnsi="Calibri"/>
          <w:color w:val="222222"/>
          <w:sz w:val="19"/>
        </w:rPr>
        <w:t>The pre-closing inspection report warns that the $45,000.00 repair escrow may be insufficient to cover the full roof scope (membrane blistering/delamination, compromised flashing, ponding water, and EPDM seam separation). Buyer should obtain at least two competitive bids promptly after closing to confirm adequacy, as required by PSA §8.4(e).</w:t>
      </w:r>
    </w:p>
    <w:p>
      <w:pPr>
        <w:pStyle w:val="ListBullet"/>
        <w:spacing w:before="20" w:after="20"/>
      </w:pPr>
      <w:r>
        <w:rPr>
          <w:rFonts w:ascii="Calibri" w:hAnsi="Calibri"/>
          <w:b/>
          <w:color w:val="222222"/>
          <w:sz w:val="19"/>
        </w:rPr>
        <w:t xml:space="preserve">C-9. Security deposit transfer mechanics. </w:t>
      </w:r>
      <w:r>
        <w:rPr>
          <w:rFonts w:ascii="Calibri" w:hAnsi="Calibri"/>
          <w:color w:val="222222"/>
          <w:sz w:val="19"/>
        </w:rPr>
        <w:t>Confirm that Bayshore Management Co. has transferred all security deposit funds (and accrued residential interest) to the Closing Agent or directly to Buyer on or before the closing date, per the termination notice and PSA §7.4(d).</w:t>
      </w:r>
    </w:p>
    <w:p>
      <w:pPr>
        <w:pStyle w:val="ListBullet"/>
        <w:spacing w:before="20" w:after="20"/>
      </w:pPr>
      <w:r>
        <w:rPr>
          <w:rFonts w:ascii="Calibri" w:hAnsi="Calibri"/>
          <w:b/>
          <w:color w:val="222222"/>
          <w:sz w:val="19"/>
        </w:rPr>
        <w:t xml:space="preserve">C-10. SNDA and lease assignments. </w:t>
      </w:r>
      <w:r>
        <w:rPr>
          <w:rFonts w:ascii="Calibri" w:hAnsi="Calibri"/>
          <w:color w:val="222222"/>
          <w:sz w:val="19"/>
        </w:rPr>
        <w:t>Confirm execution of the Subordination, Non-Disturbance and Attornment Agreement with Coastal Provisions Market LLC (lender condition §5.7) and the Assignment and Assumption of Leases by both parties (PSA §6.2(c), §6.3(f)).</w:t>
      </w:r>
    </w:p>
    <w:p>
      <w:pPr>
        <w:spacing w:before="280" w:after="80"/>
        <w:pBdr>
          <w:bottom w:val="single" w:sz="6" w:space="2" w:color="1F3A5F"/>
        </w:pBdr>
      </w:pPr>
      <w:r>
        <w:rPr>
          <w:rFonts w:ascii="Calibri" w:hAnsi="Calibri"/>
          <w:b/>
          <w:color w:val="1F3A5F"/>
          <w:sz w:val="24"/>
        </w:rPr>
        <w:t>VI. Proration Survival and Reproration</w:t>
      </w:r>
    </w:p>
    <w:p>
      <w:pPr>
        <w:spacing w:before="40" w:after="80"/>
        <w:jc w:val="both"/>
      </w:pPr>
      <w:r>
        <w:rPr>
          <w:rFonts w:ascii="Calibri" w:hAnsi="Calibri"/>
          <w:b w:val="0"/>
          <w:i w:val="0"/>
          <w:color w:val="222222"/>
          <w:sz w:val="20"/>
        </w:rPr>
        <w:t>Pursuant to PSA §7.7 and §15.1, the proration and adjustment obligations survive closing for 90 days. The following items are estimated at closing and will be reprorated when final figures become available, with any balance due paid within 10 business days of demand:</w:t>
      </w:r>
    </w:p>
    <w:p>
      <w:pPr>
        <w:pStyle w:val="ListBullet"/>
        <w:spacing w:before="20" w:after="20"/>
      </w:pPr>
      <w:r>
        <w:rPr>
          <w:rFonts w:ascii="Calibri" w:hAnsi="Calibri"/>
          <w:color w:val="222222"/>
          <w:sz w:val="19"/>
        </w:rPr>
        <w:t>Next-fiscal-year real property taxes (FY 2025–2026), once the new mill rate is set and the bill issues.</w:t>
      </w:r>
    </w:p>
    <w:p>
      <w:pPr>
        <w:pStyle w:val="ListBullet"/>
        <w:spacing w:before="20" w:after="20"/>
      </w:pPr>
      <w:r>
        <w:rPr>
          <w:rFonts w:ascii="Calibri" w:hAnsi="Calibri"/>
          <w:color w:val="222222"/>
          <w:sz w:val="19"/>
        </w:rPr>
        <w:t>Gas and electric utility charges, if final readings are not available at closing.</w:t>
      </w:r>
    </w:p>
    <w:p>
      <w:pPr>
        <w:pStyle w:val="ListBullet"/>
        <w:spacing w:before="20" w:after="20"/>
      </w:pPr>
      <w:r>
        <w:rPr>
          <w:rFonts w:ascii="Calibri" w:hAnsi="Calibri"/>
          <w:color w:val="222222"/>
          <w:sz w:val="19"/>
        </w:rPr>
        <w:t>Any utility billing period that straddles the closing date, if estimated.</w:t>
      </w:r>
    </w:p>
    <w:p>
      <w:pPr>
        <w:spacing w:before="80" w:after="40"/>
        <w:jc w:val="both"/>
      </w:pPr>
      <w:r>
        <w:rPr>
          <w:rFonts w:ascii="Calibri" w:hAnsi="Calibri"/>
          <w:b w:val="0"/>
          <w:i w:val="0"/>
          <w:color w:val="222222"/>
          <w:sz w:val="19"/>
        </w:rPr>
        <w:t>Representations and warranties survive closing for 12 months (PSA §15.1). The repair escrow survives for 12 months, with any unused balance (plus interest) returned to Seller thereafter (PSA §8.4(e)).</w:t>
      </w:r>
    </w:p>
    <w:p>
      <w:pPr>
        <w:spacing w:before="280" w:after="80"/>
        <w:pBdr>
          <w:bottom w:val="single" w:sz="6" w:space="2" w:color="1F3A5F"/>
        </w:pBdr>
      </w:pPr>
      <w:r>
        <w:rPr>
          <w:rFonts w:ascii="Calibri" w:hAnsi="Calibri"/>
          <w:b/>
          <w:color w:val="1F3A5F"/>
          <w:sz w:val="24"/>
        </w:rPr>
        <w:t>VII. Items Excluded from the Settlement Statement</w:t>
      </w:r>
    </w:p>
    <w:p>
      <w:pPr>
        <w:pStyle w:val="ListBullet"/>
        <w:spacing w:before="20" w:after="20"/>
      </w:pPr>
      <w:r>
        <w:rPr>
          <w:rFonts w:ascii="Calibri" w:hAnsi="Calibri"/>
          <w:b/>
          <w:color w:val="222222"/>
          <w:sz w:val="19"/>
        </w:rPr>
        <w:t xml:space="preserve">Unit 2E delinquent rent. </w:t>
      </w:r>
      <w:r>
        <w:rPr>
          <w:rFonts w:ascii="Calibri" w:hAnsi="Calibri"/>
          <w:color w:val="222222"/>
          <w:sz w:val="19"/>
        </w:rPr>
        <w:t>Delinquent July 2025 rent for Unit 2E ($1,600.00) — excluded from the rent proration per PSA §7.3; no credit to either party. Buyer may collect post-closing, applying first to current rent and remitting any excess to Seller within 30 days.</w:t>
      </w:r>
    </w:p>
    <w:p>
      <w:pPr>
        <w:pStyle w:val="ListBullet"/>
        <w:spacing w:before="20" w:after="20"/>
      </w:pPr>
      <w:r>
        <w:rPr>
          <w:rFonts w:ascii="Calibri" w:hAnsi="Calibri"/>
          <w:b/>
          <w:color w:val="222222"/>
          <w:sz w:val="19"/>
        </w:rPr>
        <w:t xml:space="preserve">Unit 3C vacancy. </w:t>
      </w:r>
      <w:r>
        <w:rPr>
          <w:rFonts w:ascii="Calibri" w:hAnsi="Calibri"/>
          <w:color w:val="222222"/>
          <w:sz w:val="19"/>
        </w:rPr>
        <w:t>Vacant Unit 3C — no rent and no security deposit; excluded from prorations. Estimated market rent of $1,650.00/month is informational only. Buyer assumes vacancy/leasing risk from closing.</w:t>
      </w:r>
    </w:p>
    <w:p>
      <w:pPr>
        <w:pStyle w:val="ListBullet"/>
        <w:spacing w:before="20" w:after="20"/>
      </w:pPr>
      <w:r>
        <w:rPr>
          <w:rFonts w:ascii="Calibri" w:hAnsi="Calibri"/>
          <w:b/>
          <w:color w:val="222222"/>
          <w:sz w:val="19"/>
        </w:rPr>
        <w:t xml:space="preserve">POC appraisal fee. </w:t>
      </w:r>
      <w:r>
        <w:rPr>
          <w:rFonts w:ascii="Calibri" w:hAnsi="Calibri"/>
          <w:color w:val="222222"/>
          <w:sz w:val="19"/>
        </w:rPr>
        <w:t>Appraisal fee ($4,500.00) — Paid Outside of Closing; disclosed only, with $0.00 impact on cash to close.</w:t>
      </w:r>
    </w:p>
    <w:p>
      <w:pPr>
        <w:pStyle w:val="ListBullet"/>
        <w:spacing w:before="20" w:after="20"/>
      </w:pPr>
      <w:r>
        <w:rPr>
          <w:rFonts w:ascii="Calibri" w:hAnsi="Calibri"/>
          <w:b/>
          <w:color w:val="222222"/>
          <w:sz w:val="19"/>
        </w:rPr>
        <w:t xml:space="preserve">Repair escrow. </w:t>
      </w:r>
      <w:r>
        <w:rPr>
          <w:rFonts w:ascii="Calibri" w:hAnsi="Calibri"/>
          <w:color w:val="222222"/>
          <w:sz w:val="19"/>
        </w:rPr>
        <w:t>Repair escrow ($45,000.00) — shown as a Seller deduction only; not a credit to Buyer and not part of the purchase price.</w:t>
      </w:r>
    </w:p>
    <w:p>
      <w:pPr>
        <w:pStyle w:val="ListBullet"/>
        <w:spacing w:before="20" w:after="20"/>
      </w:pPr>
      <w:r>
        <w:rPr>
          <w:rFonts w:ascii="Calibri" w:hAnsi="Calibri"/>
          <w:b/>
          <w:color w:val="222222"/>
          <w:sz w:val="19"/>
        </w:rPr>
        <w:t xml:space="preserve">Brokerage. </w:t>
      </w:r>
      <w:r>
        <w:rPr>
          <w:rFonts w:ascii="Calibri" w:hAnsi="Calibri"/>
          <w:color w:val="222222"/>
          <w:sz w:val="19"/>
        </w:rPr>
        <w:t>Brokerage commissions — none; the PSA (§15.7) confirms no broker was involved and no commission is due.</w:t>
      </w:r>
    </w:p>
    <w:p>
      <w:pPr>
        <w:spacing w:before="280" w:after="80"/>
        <w:pBdr>
          <w:bottom w:val="single" w:sz="6" w:space="2" w:color="1F3A5F"/>
        </w:pBdr>
      </w:pPr>
      <w:r>
        <w:rPr>
          <w:rFonts w:ascii="Calibri" w:hAnsi="Calibri"/>
          <w:b/>
          <w:color w:val="1F3A5F"/>
          <w:sz w:val="24"/>
        </w:rPr>
        <w:t>VIII. Source Documents Reviewed</w:t>
      </w:r>
    </w:p>
    <w:p>
      <w:pPr>
        <w:pStyle w:val="ListBullet"/>
        <w:spacing w:before="20" w:after="20"/>
      </w:pPr>
      <w:r>
        <w:rPr>
          <w:rFonts w:ascii="Calibri" w:hAnsi="Calibri"/>
          <w:color w:val="222222"/>
          <w:sz w:val="19"/>
        </w:rPr>
        <w:t>Purchase and Sale Agreement dated April 22, 2025 (with Exhibits A–D)</w:t>
      </w:r>
    </w:p>
    <w:p>
      <w:pPr>
        <w:pStyle w:val="ListBullet"/>
        <w:spacing w:before="20" w:after="20"/>
      </w:pPr>
      <w:r>
        <w:rPr>
          <w:rFonts w:ascii="Calibri" w:hAnsi="Calibri"/>
          <w:color w:val="222222"/>
          <w:sz w:val="19"/>
        </w:rPr>
        <w:t>Rent Roll and Security Deposit Schedule (Bayshore Management Co., dated July 1, 2025)</w:t>
      </w:r>
    </w:p>
    <w:p>
      <w:pPr>
        <w:pStyle w:val="ListBullet"/>
        <w:spacing w:before="20" w:after="20"/>
      </w:pPr>
      <w:r>
        <w:rPr>
          <w:rFonts w:ascii="Calibri" w:hAnsi="Calibri"/>
          <w:color w:val="222222"/>
          <w:sz w:val="19"/>
        </w:rPr>
        <w:t>Municipal Tax Status Certificate and Payoff Statement (City of Bridgeport, TLC-2025-04892, July 10, 2025)</w:t>
      </w:r>
    </w:p>
    <w:p>
      <w:pPr>
        <w:pStyle w:val="ListBullet"/>
        <w:spacing w:before="20" w:after="20"/>
      </w:pPr>
      <w:r>
        <w:rPr>
          <w:rFonts w:ascii="Calibri" w:hAnsi="Calibri"/>
          <w:color w:val="222222"/>
          <w:sz w:val="19"/>
        </w:rPr>
        <w:t>WPCA Utility Account Statement / Final Read (City of Bridgeport, July 7, 2025)</w:t>
      </w:r>
    </w:p>
    <w:p>
      <w:pPr>
        <w:pStyle w:val="ListBullet"/>
        <w:spacing w:before="20" w:after="20"/>
      </w:pPr>
      <w:r>
        <w:rPr>
          <w:rFonts w:ascii="Calibri" w:hAnsi="Calibri"/>
          <w:color w:val="222222"/>
          <w:sz w:val="19"/>
        </w:rPr>
        <w:t>Pre-Closing Inspection Report and Heating Oil Tank Reading (Soundview Property Inspections LLC, July 14, 2025)</w:t>
      </w:r>
    </w:p>
    <w:p>
      <w:pPr>
        <w:pStyle w:val="ListBullet"/>
        <w:spacing w:before="20" w:after="20"/>
      </w:pPr>
      <w:r>
        <w:rPr>
          <w:rFonts w:ascii="Calibri" w:hAnsi="Calibri"/>
          <w:color w:val="222222"/>
          <w:sz w:val="19"/>
        </w:rPr>
        <w:t>Lender Commitment Letter and Closing Instructions (Tidewater Savings Bank, June 24, 2025)</w:t>
      </w:r>
    </w:p>
    <w:p>
      <w:pPr>
        <w:pStyle w:val="ListBullet"/>
        <w:spacing w:before="20" w:after="20"/>
      </w:pPr>
      <w:r>
        <w:rPr>
          <w:rFonts w:ascii="Calibri" w:hAnsi="Calibri"/>
          <w:color w:val="222222"/>
          <w:sz w:val="19"/>
        </w:rPr>
        <w:t>Existing Lien Payoff Letters compilation (Ashford, Clement &amp; Paige LLP, July 10, 2025)</w:t>
      </w:r>
    </w:p>
    <w:p>
      <w:pPr>
        <w:pStyle w:val="ListBullet"/>
        <w:spacing w:before="20" w:after="20"/>
      </w:pPr>
      <w:r>
        <w:rPr>
          <w:rFonts w:ascii="Calibri" w:hAnsi="Calibri"/>
          <w:color w:val="222222"/>
          <w:sz w:val="19"/>
        </w:rPr>
        <w:t>Property Management Agreement and Notice of Termination (October 15, 2024 / June 13, 2025)</w:t>
      </w:r>
    </w:p>
    <w:p>
      <w:pPr>
        <w:pStyle w:val="ListBullet"/>
        <w:spacing w:before="20" w:after="20"/>
      </w:pPr>
      <w:r>
        <w:rPr>
          <w:rFonts w:ascii="Calibri" w:hAnsi="Calibri"/>
          <w:color w:val="222222"/>
          <w:sz w:val="19"/>
        </w:rPr>
        <w:t>Fiduciary's Certificate and Estate Summary (Fairfield County Probate Court / Ashford, Clement &amp; Paige LLP, June 25 / July 10, 2025)</w:t>
      </w:r>
    </w:p>
    <w:p>
      <w:pPr>
        <w:pStyle w:val="ListBullet"/>
        <w:spacing w:before="20" w:after="20"/>
      </w:pPr>
      <w:r>
        <w:rPr>
          <w:rFonts w:ascii="Calibri" w:hAnsi="Calibri"/>
          <w:color w:val="222222"/>
          <w:sz w:val="19"/>
        </w:rPr>
        <w:t>Commitment for Title Insurance (Pinnacle Abstract &amp; Title LLC, TC-2025-07182, June 18, 2025)</w:t>
      </w:r>
    </w:p>
    <w:p>
      <w:pPr>
        <w:spacing w:before="200" w:after="40"/>
        <w:jc w:val="center"/>
      </w:pPr>
      <w:r>
        <w:rPr>
          <w:rFonts w:ascii="Calibri" w:hAnsi="Calibri"/>
          <w:b w:val="0"/>
          <w:i/>
          <w:color w:val="555555"/>
          <w:sz w:val="17"/>
        </w:rPr>
        <w:t>This memorandum is prepared for the internal use of the closing parties and their counsel in connection with the settlement of the above transaction and is subject to revision as additional information becomes available.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