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color w:val="1F3A5F"/>
          <w:sz w:val="40"/>
        </w:rPr>
        <w:t>SETTLEMENT STATEMENT</w:t>
      </w:r>
    </w:p>
    <w:p>
      <w:pPr>
        <w:spacing w:after="40"/>
        <w:jc w:val="center"/>
      </w:pPr>
      <w:r>
        <w:rPr>
          <w:rFonts w:ascii="Calibri" w:hAnsi="Calibri"/>
          <w:color w:val="555555"/>
          <w:sz w:val="22"/>
        </w:rPr>
        <w:t>Commercial Real Estate Closing — 4280 Harborview Boulevard, Bridgeport, CT 06604</w:t>
      </w:r>
    </w:p>
    <w:p>
      <w:pPr>
        <w:spacing w:after="160"/>
        <w:jc w:val="center"/>
      </w:pPr>
      <w:r>
        <w:rPr>
          <w:rFonts w:ascii="Calibri" w:hAnsi="Calibri"/>
          <w:i/>
          <w:color w:val="555555"/>
          <w:sz w:val="16"/>
        </w:rPr>
        <w:t>CONFIDENTIAL — FOR SETTLEMENT USE ONLY</w:t>
      </w:r>
    </w:p>
    <w:p>
      <w:pPr>
        <w:spacing w:before="280" w:after="80"/>
        <w:pBdr>
          <w:bottom w:val="single" w:sz="6" w:space="2" w:color="1F3A5F"/>
        </w:pBdr>
      </w:pPr>
      <w:r>
        <w:rPr>
          <w:rFonts w:ascii="Calibri" w:hAnsi="Calibri"/>
          <w:b/>
          <w:color w:val="1F3A5F"/>
          <w:sz w:val="24"/>
        </w:rPr>
        <w:t>Closing Information</w:t>
      </w:r>
    </w:p>
    <w:tbl>
      <w:tblPr>
        <w:tblW w:type="auto" w:w="0"/>
        <w:jc w:val="center"/>
        <w:tblLayout w:type="fixed"/>
        <w:tblLook w:firstColumn="1" w:firstRow="1" w:lastColumn="0" w:lastRow="0" w:noHBand="0" w:noVBand="1" w:val="04A0"/>
        <w:tblBorders>
          <w:top w:val="single" w:sz="4" w:space="0" w:color="9DB7D1"/>
          <w:left w:val="single" w:sz="4" w:space="0" w:color="9DB7D1"/>
          <w:bottom w:val="single" w:sz="4" w:space="0" w:color="9DB7D1"/>
          <w:right w:val="single" w:sz="4" w:space="0" w:color="9DB7D1"/>
          <w:insideH w:val="single" w:sz="4" w:space="0" w:color="9DB7D1"/>
          <w:insideV w:val="single" w:sz="4" w:space="0" w:color="9DB7D1"/>
        </w:tblBorders>
      </w:tblPr>
      <w:tblGrid>
        <w:gridCol w:w="2556"/>
        <w:gridCol w:w="2556"/>
        <w:gridCol w:w="2556"/>
        <w:gridCol w:w="2556"/>
      </w:tblGrid>
      <w:tr>
        <w:tc>
          <w:tcPr>
            <w:tcW w:type="dxa" w:w="2160"/>
            <w:shd w:val="clear" w:color="auto" w:fill="1F3A5F"/>
            <w:tcMar>
              <w:top w:w="40" w:type="dxa"/>
              <w:bottom w:w="40" w:type="dxa"/>
              <w:start w:w="80" w:type="dxa"/>
              <w:end w:w="80" w:type="dxa"/>
            </w:tcMar>
          </w:tcPr>
          <w:p>
            <w:pPr>
              <w:spacing w:before="20" w:after="20"/>
              <w:jc w:val="left"/>
            </w:pPr>
            <w:r>
              <w:rPr>
                <w:rFonts w:ascii="Calibri" w:hAnsi="Calibri"/>
                <w:b/>
                <w:i w:val="0"/>
                <w:color w:val="FFFFFF"/>
                <w:sz w:val="18"/>
              </w:rPr>
              <w:t>Field</w:t>
            </w:r>
          </w:p>
        </w:tc>
        <w:tc>
          <w:tcPr>
            <w:tcW w:type="dxa" w:w="4320"/>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Detail</w:t>
            </w:r>
          </w:p>
        </w:tc>
        <w:tc>
          <w:tcPr>
            <w:tcW w:type="dxa" w:w="2160"/>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Field</w:t>
            </w:r>
          </w:p>
        </w:tc>
        <w:tc>
          <w:tcPr>
            <w:tcW w:type="dxa" w:w="2880"/>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Detail</w:t>
            </w:r>
          </w:p>
        </w:tc>
      </w:tr>
      <w:tr>
        <w:tc>
          <w:tcPr>
            <w:tcW w:type="dxa" w:w="2556"/>
            <w:tcMar>
              <w:top w:w="40" w:type="dxa"/>
              <w:bottom w:w="40" w:type="dxa"/>
              <w:start w:w="80" w:type="dxa"/>
              <w:end w:w="80" w:type="dxa"/>
            </w:tcMar>
          </w:tcPr>
          <w:p>
            <w:pPr>
              <w:spacing w:before="20" w:after="20"/>
              <w:jc w:val="left"/>
            </w:pPr>
            <w:r>
              <w:rPr>
                <w:rFonts w:ascii="Calibri" w:hAnsi="Calibri"/>
                <w:b/>
                <w:i w:val="0"/>
                <w:color w:val="1F3A5F"/>
                <w:sz w:val="17"/>
              </w:rPr>
              <w:t>Property:</w:t>
            </w:r>
          </w:p>
        </w:tc>
        <w:tc>
          <w:tcPr>
            <w:tcW w:type="dxa" w:w="2556"/>
            <w:tcMar>
              <w:top w:w="40" w:type="dxa"/>
              <w:bottom w:w="40" w:type="dxa"/>
              <w:start w:w="80" w:type="dxa"/>
              <w:end w:w="80" w:type="dxa"/>
            </w:tcMar>
          </w:tcPr>
          <w:p>
            <w:pPr>
              <w:spacing w:before="20" w:after="20"/>
              <w:jc w:val="left"/>
            </w:pPr>
            <w:r>
              <w:rPr>
                <w:rFonts w:ascii="Calibri" w:hAnsi="Calibri"/>
                <w:b w:val="0"/>
                <w:i w:val="0"/>
                <w:color w:val="222222"/>
                <w:sz w:val="17"/>
              </w:rPr>
              <w:t>4280 Harborview Boulevard, Bridgeport, CT 06604</w:t>
            </w:r>
          </w:p>
        </w:tc>
        <w:tc>
          <w:tcPr>
            <w:tcW w:type="dxa" w:w="2556"/>
            <w:tcMar>
              <w:top w:w="40" w:type="dxa"/>
              <w:bottom w:w="40" w:type="dxa"/>
              <w:start w:w="80" w:type="dxa"/>
              <w:end w:w="80" w:type="dxa"/>
            </w:tcMar>
          </w:tcPr>
          <w:p>
            <w:pPr>
              <w:spacing w:before="20" w:after="20"/>
              <w:jc w:val="left"/>
            </w:pPr>
            <w:r>
              <w:rPr>
                <w:rFonts w:ascii="Calibri" w:hAnsi="Calibri"/>
                <w:b/>
                <w:i w:val="0"/>
                <w:color w:val="1F3A5F"/>
                <w:sz w:val="17"/>
              </w:rPr>
              <w:t>Closing Date:</w:t>
            </w:r>
          </w:p>
        </w:tc>
        <w:tc>
          <w:tcPr>
            <w:tcW w:type="dxa" w:w="2556"/>
            <w:tcMar>
              <w:top w:w="40" w:type="dxa"/>
              <w:bottom w:w="40" w:type="dxa"/>
              <w:start w:w="80" w:type="dxa"/>
              <w:end w:w="80" w:type="dxa"/>
            </w:tcMar>
          </w:tcPr>
          <w:p>
            <w:pPr>
              <w:spacing w:before="20" w:after="20"/>
              <w:jc w:val="left"/>
            </w:pPr>
            <w:r>
              <w:rPr>
                <w:rFonts w:ascii="Calibri" w:hAnsi="Calibri"/>
                <w:b w:val="0"/>
                <w:i w:val="0"/>
                <w:color w:val="222222"/>
                <w:sz w:val="17"/>
              </w:rPr>
              <w:t>July 15, 2025</w:t>
            </w:r>
          </w:p>
        </w:tc>
      </w:tr>
      <w:tr>
        <w:tc>
          <w:tcPr>
            <w:tcW w:type="dxa" w:w="2556"/>
            <w:tcMar>
              <w:top w:w="40" w:type="dxa"/>
              <w:bottom w:w="40" w:type="dxa"/>
              <w:start w:w="80" w:type="dxa"/>
              <w:end w:w="80" w:type="dxa"/>
            </w:tcMar>
          </w:tcPr>
          <w:p>
            <w:pPr>
              <w:spacing w:before="20" w:after="20"/>
              <w:jc w:val="left"/>
            </w:pPr>
            <w:r>
              <w:rPr>
                <w:rFonts w:ascii="Calibri" w:hAnsi="Calibri"/>
                <w:b/>
                <w:i w:val="0"/>
                <w:color w:val="1F3A5F"/>
                <w:sz w:val="17"/>
              </w:rPr>
              <w:t>Legal Description:</w:t>
            </w:r>
          </w:p>
        </w:tc>
        <w:tc>
          <w:tcPr>
            <w:tcW w:type="dxa" w:w="2556"/>
            <w:tcMar>
              <w:top w:w="40" w:type="dxa"/>
              <w:bottom w:w="40" w:type="dxa"/>
              <w:start w:w="80" w:type="dxa"/>
              <w:end w:w="80" w:type="dxa"/>
            </w:tcMar>
          </w:tcPr>
          <w:p>
            <w:pPr>
              <w:spacing w:before="20" w:after="20"/>
              <w:jc w:val="left"/>
            </w:pPr>
            <w:r>
              <w:rPr>
                <w:rFonts w:ascii="Calibri" w:hAnsi="Calibri"/>
                <w:b w:val="0"/>
                <w:i w:val="0"/>
                <w:color w:val="222222"/>
                <w:sz w:val="17"/>
              </w:rPr>
              <w:t>Lot 17, Block 42, Bridgeport Harbor Redevelopment Plat (Vol. 312, Pg. 88)</w:t>
            </w:r>
          </w:p>
        </w:tc>
        <w:tc>
          <w:tcPr>
            <w:tcW w:type="dxa" w:w="2556"/>
            <w:tcMar>
              <w:top w:w="40" w:type="dxa"/>
              <w:bottom w:w="40" w:type="dxa"/>
              <w:start w:w="80" w:type="dxa"/>
              <w:end w:w="80" w:type="dxa"/>
            </w:tcMar>
          </w:tcPr>
          <w:p>
            <w:pPr>
              <w:spacing w:before="20" w:after="20"/>
              <w:jc w:val="left"/>
            </w:pPr>
            <w:r>
              <w:rPr>
                <w:rFonts w:ascii="Calibri" w:hAnsi="Calibri"/>
                <w:b/>
                <w:i w:val="0"/>
                <w:color w:val="1F3A5F"/>
                <w:sz w:val="17"/>
              </w:rPr>
              <w:t>Proration Date/Time:</w:t>
            </w:r>
          </w:p>
        </w:tc>
        <w:tc>
          <w:tcPr>
            <w:tcW w:type="dxa" w:w="2556"/>
            <w:tcMar>
              <w:top w:w="40" w:type="dxa"/>
              <w:bottom w:w="40" w:type="dxa"/>
              <w:start w:w="80" w:type="dxa"/>
              <w:end w:w="80" w:type="dxa"/>
            </w:tcMar>
          </w:tcPr>
          <w:p>
            <w:pPr>
              <w:spacing w:before="20" w:after="20"/>
              <w:jc w:val="left"/>
            </w:pPr>
            <w:r>
              <w:rPr>
                <w:rFonts w:ascii="Calibri" w:hAnsi="Calibri"/>
                <w:b w:val="0"/>
                <w:i w:val="0"/>
                <w:color w:val="222222"/>
                <w:sz w:val="17"/>
              </w:rPr>
              <w:t>12:01 a.m. ET, July 15, 2025</w:t>
            </w:r>
          </w:p>
        </w:tc>
      </w:tr>
      <w:tr>
        <w:tc>
          <w:tcPr>
            <w:tcW w:type="dxa" w:w="2556"/>
            <w:tcMar>
              <w:top w:w="40" w:type="dxa"/>
              <w:bottom w:w="40" w:type="dxa"/>
              <w:start w:w="80" w:type="dxa"/>
              <w:end w:w="80" w:type="dxa"/>
            </w:tcMar>
          </w:tcPr>
          <w:p>
            <w:pPr>
              <w:spacing w:before="20" w:after="20"/>
              <w:jc w:val="left"/>
            </w:pPr>
            <w:r>
              <w:rPr>
                <w:rFonts w:ascii="Calibri" w:hAnsi="Calibri"/>
                <w:b/>
                <w:i w:val="0"/>
                <w:color w:val="1F3A5F"/>
                <w:sz w:val="17"/>
              </w:rPr>
              <w:t>Seller:</w:t>
            </w:r>
          </w:p>
        </w:tc>
        <w:tc>
          <w:tcPr>
            <w:tcW w:type="dxa" w:w="2556"/>
            <w:tcMar>
              <w:top w:w="40" w:type="dxa"/>
              <w:bottom w:w="40" w:type="dxa"/>
              <w:start w:w="80" w:type="dxa"/>
              <w:end w:w="80" w:type="dxa"/>
            </w:tcMar>
          </w:tcPr>
          <w:p>
            <w:pPr>
              <w:spacing w:before="20" w:after="20"/>
              <w:jc w:val="left"/>
            </w:pPr>
            <w:r>
              <w:rPr>
                <w:rFonts w:ascii="Calibri" w:hAnsi="Calibri"/>
                <w:b w:val="0"/>
                <w:i w:val="0"/>
                <w:color w:val="222222"/>
                <w:sz w:val="17"/>
              </w:rPr>
              <w:t>Estate of Gerald T. Whitford (Claudia Whitford-Barnes, Executrix)</w:t>
            </w:r>
          </w:p>
        </w:tc>
        <w:tc>
          <w:tcPr>
            <w:tcW w:type="dxa" w:w="2556"/>
            <w:tcMar>
              <w:top w:w="40" w:type="dxa"/>
              <w:bottom w:w="40" w:type="dxa"/>
              <w:start w:w="80" w:type="dxa"/>
              <w:end w:w="80" w:type="dxa"/>
            </w:tcMar>
          </w:tcPr>
          <w:p>
            <w:pPr>
              <w:spacing w:before="20" w:after="20"/>
              <w:jc w:val="left"/>
            </w:pPr>
            <w:r>
              <w:rPr>
                <w:rFonts w:ascii="Calibri" w:hAnsi="Calibri"/>
                <w:b/>
                <w:i w:val="0"/>
                <w:color w:val="1F3A5F"/>
                <w:sz w:val="17"/>
              </w:rPr>
              <w:t>Day of Closing:</w:t>
            </w:r>
          </w:p>
        </w:tc>
        <w:tc>
          <w:tcPr>
            <w:tcW w:type="dxa" w:w="2556"/>
            <w:tcMar>
              <w:top w:w="40" w:type="dxa"/>
              <w:bottom w:w="40" w:type="dxa"/>
              <w:start w:w="80" w:type="dxa"/>
              <w:end w:w="80" w:type="dxa"/>
            </w:tcMar>
          </w:tcPr>
          <w:p>
            <w:pPr>
              <w:spacing w:before="20" w:after="20"/>
              <w:jc w:val="left"/>
            </w:pPr>
            <w:r>
              <w:rPr>
                <w:rFonts w:ascii="Calibri" w:hAnsi="Calibri"/>
                <w:b w:val="0"/>
                <w:i w:val="0"/>
                <w:color w:val="222222"/>
                <w:sz w:val="17"/>
              </w:rPr>
              <w:t>Allocated to Buyer</w:t>
            </w:r>
          </w:p>
        </w:tc>
      </w:tr>
      <w:tr>
        <w:tc>
          <w:tcPr>
            <w:tcW w:type="dxa" w:w="2556"/>
            <w:tcMar>
              <w:top w:w="40" w:type="dxa"/>
              <w:bottom w:w="40" w:type="dxa"/>
              <w:start w:w="80" w:type="dxa"/>
              <w:end w:w="80" w:type="dxa"/>
            </w:tcMar>
          </w:tcPr>
          <w:p>
            <w:pPr>
              <w:spacing w:before="20" w:after="20"/>
              <w:jc w:val="left"/>
            </w:pPr>
            <w:r>
              <w:rPr>
                <w:rFonts w:ascii="Calibri" w:hAnsi="Calibri"/>
                <w:b/>
                <w:i w:val="0"/>
                <w:color w:val="1F3A5F"/>
                <w:sz w:val="17"/>
              </w:rPr>
              <w:t>Buyer:</w:t>
            </w:r>
          </w:p>
        </w:tc>
        <w:tc>
          <w:tcPr>
            <w:tcW w:type="dxa" w:w="2556"/>
            <w:tcMar>
              <w:top w:w="40" w:type="dxa"/>
              <w:bottom w:w="40" w:type="dxa"/>
              <w:start w:w="80" w:type="dxa"/>
              <w:end w:w="80" w:type="dxa"/>
            </w:tcMar>
          </w:tcPr>
          <w:p>
            <w:pPr>
              <w:spacing w:before="20" w:after="20"/>
              <w:jc w:val="left"/>
            </w:pPr>
            <w:r>
              <w:rPr>
                <w:rFonts w:ascii="Calibri" w:hAnsi="Calibri"/>
                <w:b w:val="0"/>
                <w:i w:val="0"/>
                <w:color w:val="222222"/>
                <w:sz w:val="17"/>
              </w:rPr>
              <w:t>Meridian Cove Properties LLC (Elaine R. Matsuda, Manager)</w:t>
            </w:r>
          </w:p>
        </w:tc>
        <w:tc>
          <w:tcPr>
            <w:tcW w:type="dxa" w:w="2556"/>
            <w:tcMar>
              <w:top w:w="40" w:type="dxa"/>
              <w:bottom w:w="40" w:type="dxa"/>
              <w:start w:w="80" w:type="dxa"/>
              <w:end w:w="80" w:type="dxa"/>
            </w:tcMar>
          </w:tcPr>
          <w:p>
            <w:pPr>
              <w:spacing w:before="20" w:after="20"/>
              <w:jc w:val="left"/>
            </w:pPr>
            <w:r>
              <w:rPr>
                <w:rFonts w:ascii="Calibri" w:hAnsi="Calibri"/>
                <w:b/>
                <w:i w:val="0"/>
                <w:color w:val="1F3A5F"/>
                <w:sz w:val="17"/>
              </w:rPr>
              <w:t>Purchase Price:</w:t>
            </w:r>
          </w:p>
        </w:tc>
        <w:tc>
          <w:tcPr>
            <w:tcW w:type="dxa" w:w="2556"/>
            <w:tcMar>
              <w:top w:w="40" w:type="dxa"/>
              <w:bottom w:w="40" w:type="dxa"/>
              <w:start w:w="80" w:type="dxa"/>
              <w:end w:w="80" w:type="dxa"/>
            </w:tcMar>
          </w:tcPr>
          <w:p>
            <w:pPr>
              <w:spacing w:before="20" w:after="20"/>
              <w:jc w:val="left"/>
            </w:pPr>
            <w:r>
              <w:rPr>
                <w:rFonts w:ascii="Calibri" w:hAnsi="Calibri"/>
                <w:b w:val="0"/>
                <w:i w:val="0"/>
                <w:color w:val="222222"/>
                <w:sz w:val="17"/>
              </w:rPr>
              <w:t>$3,900,000.00</w:t>
            </w:r>
          </w:p>
        </w:tc>
      </w:tr>
      <w:tr>
        <w:tc>
          <w:tcPr>
            <w:tcW w:type="dxa" w:w="2556"/>
            <w:tcMar>
              <w:top w:w="40" w:type="dxa"/>
              <w:bottom w:w="40" w:type="dxa"/>
              <w:start w:w="80" w:type="dxa"/>
              <w:end w:w="80" w:type="dxa"/>
            </w:tcMar>
          </w:tcPr>
          <w:p>
            <w:pPr>
              <w:spacing w:before="20" w:after="20"/>
              <w:jc w:val="left"/>
            </w:pPr>
            <w:r>
              <w:rPr>
                <w:rFonts w:ascii="Calibri" w:hAnsi="Calibri"/>
                <w:b/>
                <w:i w:val="0"/>
                <w:color w:val="1F3A5F"/>
                <w:sz w:val="17"/>
              </w:rPr>
              <w:t>Closing/Escrow Agent:</w:t>
            </w:r>
          </w:p>
        </w:tc>
        <w:tc>
          <w:tcPr>
            <w:tcW w:type="dxa" w:w="2556"/>
            <w:tcMar>
              <w:top w:w="40" w:type="dxa"/>
              <w:bottom w:w="40" w:type="dxa"/>
              <w:start w:w="80" w:type="dxa"/>
              <w:end w:w="80" w:type="dxa"/>
            </w:tcMar>
          </w:tcPr>
          <w:p>
            <w:pPr>
              <w:spacing w:before="20" w:after="20"/>
              <w:jc w:val="left"/>
            </w:pPr>
            <w:r>
              <w:rPr>
                <w:rFonts w:ascii="Calibri" w:hAnsi="Calibri"/>
                <w:b w:val="0"/>
                <w:i w:val="0"/>
                <w:color w:val="222222"/>
                <w:sz w:val="17"/>
              </w:rPr>
              <w:t>Pinnacle Abstract &amp; Title LLC (Lorraine M. Grasso)</w:t>
            </w:r>
          </w:p>
        </w:tc>
        <w:tc>
          <w:tcPr>
            <w:tcW w:type="dxa" w:w="2556"/>
            <w:tcMar>
              <w:top w:w="40" w:type="dxa"/>
              <w:bottom w:w="40" w:type="dxa"/>
              <w:start w:w="80" w:type="dxa"/>
              <w:end w:w="80" w:type="dxa"/>
            </w:tcMar>
          </w:tcPr>
          <w:p>
            <w:pPr>
              <w:spacing w:before="20" w:after="20"/>
              <w:jc w:val="left"/>
            </w:pPr>
            <w:r>
              <w:rPr>
                <w:rFonts w:ascii="Calibri" w:hAnsi="Calibri"/>
                <w:b/>
                <w:i w:val="0"/>
                <w:color w:val="1F3A5F"/>
                <w:sz w:val="17"/>
              </w:rPr>
              <w:t>Loan Amount:</w:t>
            </w:r>
          </w:p>
        </w:tc>
        <w:tc>
          <w:tcPr>
            <w:tcW w:type="dxa" w:w="2556"/>
            <w:tcMar>
              <w:top w:w="40" w:type="dxa"/>
              <w:bottom w:w="40" w:type="dxa"/>
              <w:start w:w="80" w:type="dxa"/>
              <w:end w:w="80" w:type="dxa"/>
            </w:tcMar>
          </w:tcPr>
          <w:p>
            <w:pPr>
              <w:spacing w:before="20" w:after="20"/>
              <w:jc w:val="left"/>
            </w:pPr>
            <w:r>
              <w:rPr>
                <w:rFonts w:ascii="Calibri" w:hAnsi="Calibri"/>
                <w:b w:val="0"/>
                <w:i w:val="0"/>
                <w:color w:val="222222"/>
                <w:sz w:val="17"/>
              </w:rPr>
              <w:t>$2,640,000.00</w:t>
            </w:r>
          </w:p>
        </w:tc>
      </w:tr>
      <w:tr>
        <w:tc>
          <w:tcPr>
            <w:tcW w:type="dxa" w:w="2556"/>
            <w:tcMar>
              <w:top w:w="40" w:type="dxa"/>
              <w:bottom w:w="40" w:type="dxa"/>
              <w:start w:w="80" w:type="dxa"/>
              <w:end w:w="80" w:type="dxa"/>
            </w:tcMar>
          </w:tcPr>
          <w:p>
            <w:pPr>
              <w:spacing w:before="20" w:after="20"/>
              <w:jc w:val="left"/>
            </w:pPr>
            <w:r>
              <w:rPr>
                <w:rFonts w:ascii="Calibri" w:hAnsi="Calibri"/>
                <w:b/>
                <w:i w:val="0"/>
                <w:color w:val="1F3A5F"/>
                <w:sz w:val="17"/>
              </w:rPr>
              <w:t>Title Insurer:</w:t>
            </w:r>
          </w:p>
        </w:tc>
        <w:tc>
          <w:tcPr>
            <w:tcW w:type="dxa" w:w="2556"/>
            <w:tcMar>
              <w:top w:w="40" w:type="dxa"/>
              <w:bottom w:w="40" w:type="dxa"/>
              <w:start w:w="80" w:type="dxa"/>
              <w:end w:w="80" w:type="dxa"/>
            </w:tcMar>
          </w:tcPr>
          <w:p>
            <w:pPr>
              <w:spacing w:before="20" w:after="20"/>
              <w:jc w:val="left"/>
            </w:pPr>
            <w:r>
              <w:rPr>
                <w:rFonts w:ascii="Calibri" w:hAnsi="Calibri"/>
                <w:b w:val="0"/>
                <w:i w:val="0"/>
                <w:color w:val="222222"/>
                <w:sz w:val="17"/>
              </w:rPr>
              <w:t>Continental Fidelity Title Insurance Company</w:t>
            </w:r>
          </w:p>
        </w:tc>
        <w:tc>
          <w:tcPr>
            <w:tcW w:type="dxa" w:w="2556"/>
            <w:tcMar>
              <w:top w:w="40" w:type="dxa"/>
              <w:bottom w:w="40" w:type="dxa"/>
              <w:start w:w="80" w:type="dxa"/>
              <w:end w:w="80" w:type="dxa"/>
            </w:tcMar>
          </w:tcPr>
          <w:p>
            <w:pPr>
              <w:spacing w:before="20" w:after="20"/>
              <w:jc w:val="left"/>
            </w:pPr>
            <w:r>
              <w:rPr>
                <w:rFonts w:ascii="Calibri" w:hAnsi="Calibri"/>
                <w:b/>
                <w:i w:val="0"/>
                <w:color w:val="1F3A5F"/>
                <w:sz w:val="17"/>
              </w:rPr>
              <w:t>Lender:</w:t>
            </w:r>
          </w:p>
        </w:tc>
        <w:tc>
          <w:tcPr>
            <w:tcW w:type="dxa" w:w="2556"/>
            <w:tcMar>
              <w:top w:w="40" w:type="dxa"/>
              <w:bottom w:w="40" w:type="dxa"/>
              <w:start w:w="80" w:type="dxa"/>
              <w:end w:w="80" w:type="dxa"/>
            </w:tcMar>
          </w:tcPr>
          <w:p>
            <w:pPr>
              <w:spacing w:before="20" w:after="20"/>
              <w:jc w:val="left"/>
            </w:pPr>
            <w:r>
              <w:rPr>
                <w:rFonts w:ascii="Calibri" w:hAnsi="Calibri"/>
                <w:b w:val="0"/>
                <w:i w:val="0"/>
                <w:color w:val="222222"/>
                <w:sz w:val="17"/>
              </w:rPr>
              <w:t>Tidewater Savings Bank</w:t>
            </w:r>
          </w:p>
        </w:tc>
      </w:tr>
      <w:tr>
        <w:tc>
          <w:tcPr>
            <w:tcW w:type="dxa" w:w="2556"/>
            <w:tcMar>
              <w:top w:w="40" w:type="dxa"/>
              <w:bottom w:w="40" w:type="dxa"/>
              <w:start w:w="80" w:type="dxa"/>
              <w:end w:w="80" w:type="dxa"/>
            </w:tcMar>
          </w:tcPr>
          <w:p>
            <w:pPr>
              <w:spacing w:before="20" w:after="20"/>
              <w:jc w:val="left"/>
            </w:pPr>
            <w:r>
              <w:rPr>
                <w:rFonts w:ascii="Calibri" w:hAnsi="Calibri"/>
                <w:b/>
                <w:i w:val="0"/>
                <w:color w:val="1F3A5F"/>
                <w:sz w:val="17"/>
              </w:rPr>
              <w:t>Seller's Counsel:</w:t>
            </w:r>
          </w:p>
        </w:tc>
        <w:tc>
          <w:tcPr>
            <w:tcW w:type="dxa" w:w="2556"/>
            <w:tcMar>
              <w:top w:w="40" w:type="dxa"/>
              <w:bottom w:w="40" w:type="dxa"/>
              <w:start w:w="80" w:type="dxa"/>
              <w:end w:w="80" w:type="dxa"/>
            </w:tcMar>
          </w:tcPr>
          <w:p>
            <w:pPr>
              <w:spacing w:before="20" w:after="20"/>
              <w:jc w:val="left"/>
            </w:pPr>
            <w:r>
              <w:rPr>
                <w:rFonts w:ascii="Calibri" w:hAnsi="Calibri"/>
                <w:b w:val="0"/>
                <w:i w:val="0"/>
                <w:color w:val="222222"/>
                <w:sz w:val="17"/>
              </w:rPr>
              <w:t>Ashford, Clement &amp; Paige LLP (David H. Clement, Esq.)</w:t>
            </w:r>
          </w:p>
        </w:tc>
        <w:tc>
          <w:tcPr>
            <w:tcW w:type="dxa" w:w="2556"/>
            <w:tcMar>
              <w:top w:w="40" w:type="dxa"/>
              <w:bottom w:w="40" w:type="dxa"/>
              <w:start w:w="80" w:type="dxa"/>
              <w:end w:w="80" w:type="dxa"/>
            </w:tcMar>
          </w:tcPr>
          <w:p>
            <w:pPr>
              <w:spacing w:before="20" w:after="20"/>
              <w:jc w:val="left"/>
            </w:pPr>
            <w:r>
              <w:rPr>
                <w:rFonts w:ascii="Calibri" w:hAnsi="Calibri"/>
                <w:b/>
                <w:i w:val="0"/>
                <w:color w:val="1F3A5F"/>
                <w:sz w:val="17"/>
              </w:rPr>
              <w:t>Buyer's Counsel:</w:t>
            </w:r>
          </w:p>
        </w:tc>
        <w:tc>
          <w:tcPr>
            <w:tcW w:type="dxa" w:w="2556"/>
            <w:tcMar>
              <w:top w:w="40" w:type="dxa"/>
              <w:bottom w:w="40" w:type="dxa"/>
              <w:start w:w="80" w:type="dxa"/>
              <w:end w:w="80" w:type="dxa"/>
            </w:tcMar>
          </w:tcPr>
          <w:p>
            <w:pPr>
              <w:spacing w:before="20" w:after="20"/>
              <w:jc w:val="left"/>
            </w:pPr>
            <w:r>
              <w:rPr>
                <w:rFonts w:ascii="Calibri" w:hAnsi="Calibri"/>
                <w:b w:val="0"/>
                <w:i w:val="0"/>
                <w:color w:val="222222"/>
                <w:sz w:val="17"/>
              </w:rPr>
              <w:t>Ridgeline Law Group PLLC (Nora F. Kapadia, Esq.)</w:t>
            </w:r>
          </w:p>
        </w:tc>
      </w:tr>
    </w:tbl>
    <w:p>
      <w:pPr>
        <w:spacing w:before="280" w:after="80"/>
        <w:pBdr>
          <w:bottom w:val="single" w:sz="6" w:space="2" w:color="1F3A5F"/>
        </w:pBdr>
      </w:pPr>
      <w:r>
        <w:rPr>
          <w:rFonts w:ascii="Calibri" w:hAnsi="Calibri"/>
          <w:b/>
          <w:color w:val="1F3A5F"/>
          <w:sz w:val="24"/>
        </w:rPr>
        <w:t>I. Transaction Summary</w:t>
      </w:r>
    </w:p>
    <w:tbl>
      <w:tblPr>
        <w:tblW w:type="auto" w:w="0"/>
        <w:jc w:val="center"/>
        <w:tblLayout w:type="fixed"/>
        <w:tblLook w:firstColumn="1" w:firstRow="1" w:lastColumn="0" w:lastRow="0" w:noHBand="0" w:noVBand="1" w:val="04A0"/>
        <w:tblBorders>
          <w:top w:val="single" w:sz="4" w:space="0" w:color="9DB7D1"/>
          <w:left w:val="single" w:sz="4" w:space="0" w:color="9DB7D1"/>
          <w:bottom w:val="single" w:sz="4" w:space="0" w:color="9DB7D1"/>
          <w:right w:val="single" w:sz="4" w:space="0" w:color="9DB7D1"/>
          <w:insideH w:val="single" w:sz="4" w:space="0" w:color="9DB7D1"/>
          <w:insideV w:val="single" w:sz="4" w:space="0" w:color="9DB7D1"/>
        </w:tblBorders>
      </w:tblPr>
      <w:tblGrid>
        <w:gridCol w:w="3408"/>
        <w:gridCol w:w="3408"/>
        <w:gridCol w:w="3408"/>
      </w:tblGrid>
      <w:tr>
        <w:tc>
          <w:tcPr>
            <w:tcW w:type="dxa" w:w="5184"/>
            <w:shd w:val="clear" w:color="auto" w:fill="1F3A5F"/>
            <w:tcMar>
              <w:top w:w="40" w:type="dxa"/>
              <w:bottom w:w="40" w:type="dxa"/>
              <w:start w:w="80" w:type="dxa"/>
              <w:end w:w="80" w:type="dxa"/>
            </w:tcMar>
          </w:tcPr>
          <w:p>
            <w:pPr>
              <w:spacing w:before="20" w:after="20"/>
              <w:jc w:val="left"/>
            </w:pPr>
            <w:r>
              <w:rPr>
                <w:rFonts w:ascii="Calibri" w:hAnsi="Calibri"/>
                <w:b/>
                <w:i w:val="0"/>
                <w:color w:val="FFFFFF"/>
                <w:sz w:val="18"/>
              </w:rPr>
              <w:t>Component</w:t>
            </w:r>
          </w:p>
        </w:tc>
        <w:tc>
          <w:tcPr>
            <w:tcW w:type="dxa" w:w="3168"/>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Amount</w:t>
            </w:r>
          </w:p>
        </w:tc>
        <w:tc>
          <w:tcPr>
            <w:tcW w:type="dxa" w:w="3168"/>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Basis / Source</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8"/>
              </w:rPr>
              <w:t>Contract Purchase Price</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$3,900,000.00</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8"/>
              </w:rPr>
              <w:t>PSA §3.1</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8"/>
              </w:rPr>
              <w:t>Buyer's New Loan (Tidewater Savings Bank)</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$2,640,000.00</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8"/>
              </w:rPr>
              <w:t>PSA §3.3; Commitment §2</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8"/>
              </w:rPr>
              <w:t>Earnest Money on Deposit (First + Second)</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$195,000.00</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8"/>
              </w:rPr>
              <w:t>PSA §3.2 ($100,000 + $95,000)</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8"/>
              </w:rPr>
              <w:t>Buyer Equity Contribution (indicated minimum)</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$1,260,000.00</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8"/>
              </w:rPr>
              <w:t>Commitment §3 (PP − Loan)</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8"/>
              </w:rPr>
              <w:t>Appraised Value (as-is, May 28, 2025)</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$3,920,000.00</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8"/>
              </w:rPr>
              <w:t>Commitment §2 (informational)</w:t>
            </w:r>
          </w:p>
        </w:tc>
      </w:tr>
    </w:tbl>
    <w:p>
      <w:pPr>
        <w:spacing w:before="280" w:after="80"/>
        <w:pBdr>
          <w:bottom w:val="single" w:sz="6" w:space="2" w:color="1F3A5F"/>
        </w:pBdr>
      </w:pPr>
      <w:r>
        <w:rPr>
          <w:rFonts w:ascii="Calibri" w:hAnsi="Calibri"/>
          <w:b/>
          <w:color w:val="1F3A5F"/>
          <w:sz w:val="24"/>
        </w:rPr>
        <w:t>II. Proration Schedules</w:t>
      </w:r>
    </w:p>
    <w:p>
      <w:pPr>
        <w:spacing w:before="40" w:after="40"/>
        <w:jc w:val="left"/>
      </w:pPr>
      <w:r>
        <w:rPr>
          <w:rFonts w:ascii="Calibri" w:hAnsi="Calibri"/>
          <w:b w:val="0"/>
          <w:i/>
          <w:color w:val="555555"/>
          <w:sz w:val="18"/>
        </w:rPr>
        <w:t>All prorations are made as of 12:01 a.m. ET on July 15, 2025. The day of closing is allocated to Buyer. Seller is responsible for the period July 1–14, 2025 (14 days); Buyer is responsible for July 15, 2025 and thereafter. Per diem calculations use a 365-day year unless otherwise noted (rent uses actual days in July = 31).</w:t>
      </w:r>
    </w:p>
    <w:p>
      <w:pPr>
        <w:spacing w:before="160" w:after="80"/>
      </w:pPr>
      <w:r>
        <w:rPr>
          <w:rFonts w:ascii="Calibri" w:hAnsi="Calibri"/>
          <w:b/>
          <w:color w:val="1F3A5F"/>
          <w:sz w:val="22"/>
        </w:rPr>
        <w:t>II-A. Real Property Tax Proration</w:t>
      </w:r>
    </w:p>
    <w:p>
      <w:pPr>
        <w:spacing w:before="80" w:after="40"/>
        <w:jc w:val="left"/>
      </w:pPr>
      <w:r>
        <w:rPr>
          <w:rFonts w:ascii="Calibri" w:hAnsi="Calibri"/>
          <w:b/>
          <w:i w:val="0"/>
          <w:color w:val="1F3A5F"/>
          <w:sz w:val="19"/>
        </w:rPr>
        <w:t>(a) Current Fiscal Year (July 1, 2024 – June 30, 2025) — Delinquent Second Installment</w:t>
      </w:r>
    </w:p>
    <w:tbl>
      <w:tblPr>
        <w:tblW w:type="auto" w:w="0"/>
        <w:jc w:val="center"/>
        <w:tblLayout w:type="fixed"/>
        <w:tblLook w:firstColumn="1" w:firstRow="1" w:lastColumn="0" w:lastRow="0" w:noHBand="0" w:noVBand="1" w:val="04A0"/>
        <w:tblBorders>
          <w:top w:val="single" w:sz="4" w:space="0" w:color="9DB7D1"/>
          <w:left w:val="single" w:sz="4" w:space="0" w:color="9DB7D1"/>
          <w:bottom w:val="single" w:sz="4" w:space="0" w:color="9DB7D1"/>
          <w:right w:val="single" w:sz="4" w:space="0" w:color="9DB7D1"/>
          <w:insideH w:val="single" w:sz="4" w:space="0" w:color="9DB7D1"/>
          <w:insideV w:val="single" w:sz="4" w:space="0" w:color="9DB7D1"/>
        </w:tblBorders>
      </w:tblPr>
      <w:tblGrid>
        <w:gridCol w:w="3408"/>
        <w:gridCol w:w="3408"/>
        <w:gridCol w:w="3408"/>
      </w:tblGrid>
      <w:tr>
        <w:tc>
          <w:tcPr>
            <w:tcW w:type="dxa" w:w="6192"/>
            <w:shd w:val="clear" w:color="auto" w:fill="1F3A5F"/>
            <w:tcMar>
              <w:top w:w="40" w:type="dxa"/>
              <w:bottom w:w="40" w:type="dxa"/>
              <w:start w:w="80" w:type="dxa"/>
              <w:end w:w="80" w:type="dxa"/>
            </w:tcMar>
          </w:tcPr>
          <w:p>
            <w:pPr>
              <w:spacing w:before="20" w:after="20"/>
              <w:jc w:val="left"/>
            </w:pPr>
            <w:r>
              <w:rPr>
                <w:rFonts w:ascii="Calibri" w:hAnsi="Calibri"/>
                <w:b/>
                <w:i w:val="0"/>
                <w:color w:val="FFFFFF"/>
                <w:sz w:val="18"/>
              </w:rPr>
              <w:t>Item</w:t>
            </w:r>
          </w:p>
        </w:tc>
        <w:tc>
          <w:tcPr>
            <w:tcW w:type="dxa" w:w="2736"/>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Amount</w:t>
            </w:r>
          </w:p>
        </w:tc>
        <w:tc>
          <w:tcPr>
            <w:tcW w:type="dxa" w:w="2592"/>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Responsible Party</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8"/>
              </w:rPr>
              <w:t>Delinquent 2nd installment (due 1/1/2025)</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$26,240.00</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Seller</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8"/>
              </w:rPr>
              <w:t>Statutory interest accrued through 7/15/2025 (1.5%/mo., CGS §12-146)</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$2,362.80</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Seller</w:t>
            </w:r>
          </w:p>
        </w:tc>
      </w:tr>
      <w:tr>
        <w:tc>
          <w:tcPr>
            <w:tcW w:type="dxa" w:w="3408"/>
            <w:tcMar>
              <w:top w:w="40" w:type="dxa"/>
              <w:bottom w:w="40" w:type="dxa"/>
              <w:start w:w="80" w:type="dxa"/>
              <w:end w:w="80" w:type="dxa"/>
            </w:tcMar>
            <w:shd w:val="clear" w:color="auto" w:fill="B8CCE4"/>
          </w:tcPr>
          <w:p>
            <w:pPr>
              <w:spacing w:before="20" w:after="20"/>
              <w:jc w:val="left"/>
            </w:pPr>
            <w:r>
              <w:rPr>
                <w:rFonts w:ascii="Calibri" w:hAnsi="Calibri"/>
                <w:b/>
                <w:i w:val="0"/>
                <w:color w:val="222222"/>
                <w:sz w:val="18"/>
              </w:rPr>
              <w:t>Subtotal — delinquent tax payoff (valid through 7/20/2025)</w:t>
            </w:r>
          </w:p>
        </w:tc>
        <w:tc>
          <w:tcPr>
            <w:tcW w:type="dxa" w:w="3408"/>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$28,602.80</w:t>
            </w:r>
          </w:p>
        </w:tc>
        <w:tc>
          <w:tcPr>
            <w:tcW w:type="dxa" w:w="3408"/>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Seller</w:t>
            </w:r>
          </w:p>
        </w:tc>
      </w:tr>
    </w:tbl>
    <w:p>
      <w:pPr>
        <w:spacing w:before="40" w:after="40"/>
        <w:jc w:val="left"/>
      </w:pPr>
      <w:r>
        <w:rPr>
          <w:rFonts w:ascii="Calibri" w:hAnsi="Calibri"/>
          <w:b w:val="0"/>
          <w:i/>
          <w:color w:val="555555"/>
          <w:sz w:val="17"/>
        </w:rPr>
        <w:t>Per diem interest after 7/15/2025: $13.12/day. Paid from Seller's proceeds to the City of Bridgeport at closing. This is a Seller payoff, not a proration (entire FY precedes closing).</w:t>
      </w:r>
    </w:p>
    <w:p>
      <w:pPr>
        <w:spacing w:before="120" w:after="40"/>
        <w:jc w:val="left"/>
      </w:pPr>
      <w:r>
        <w:rPr>
          <w:rFonts w:ascii="Calibri" w:hAnsi="Calibri"/>
          <w:b/>
          <w:i w:val="0"/>
          <w:color w:val="1F3A5F"/>
          <w:sz w:val="19"/>
        </w:rPr>
        <w:t>(b) Next Fiscal Year (July 1, 2025 – June 30, 2026) — Estimated Proration</w:t>
      </w:r>
    </w:p>
    <w:tbl>
      <w:tblPr>
        <w:tblW w:type="auto" w:w="0"/>
        <w:jc w:val="center"/>
        <w:tblLayout w:type="fixed"/>
        <w:tblLook w:firstColumn="1" w:firstRow="1" w:lastColumn="0" w:lastRow="0" w:noHBand="0" w:noVBand="1" w:val="04A0"/>
        <w:tblBorders>
          <w:top w:val="single" w:sz="4" w:space="0" w:color="9DB7D1"/>
          <w:left w:val="single" w:sz="4" w:space="0" w:color="9DB7D1"/>
          <w:bottom w:val="single" w:sz="4" w:space="0" w:color="9DB7D1"/>
          <w:right w:val="single" w:sz="4" w:space="0" w:color="9DB7D1"/>
          <w:insideH w:val="single" w:sz="4" w:space="0" w:color="9DB7D1"/>
          <w:insideV w:val="single" w:sz="4" w:space="0" w:color="9DB7D1"/>
        </w:tblBorders>
      </w:tblPr>
      <w:tblGrid>
        <w:gridCol w:w="2556"/>
        <w:gridCol w:w="2556"/>
        <w:gridCol w:w="2556"/>
        <w:gridCol w:w="2556"/>
      </w:tblGrid>
      <w:tr>
        <w:tc>
          <w:tcPr>
            <w:tcW w:type="dxa" w:w="4320"/>
            <w:shd w:val="clear" w:color="auto" w:fill="1F3A5F"/>
            <w:tcMar>
              <w:top w:w="40" w:type="dxa"/>
              <w:bottom w:w="40" w:type="dxa"/>
              <w:start w:w="80" w:type="dxa"/>
              <w:end w:w="80" w:type="dxa"/>
            </w:tcMar>
          </w:tcPr>
          <w:p>
            <w:pPr>
              <w:spacing w:before="20" w:after="20"/>
              <w:jc w:val="left"/>
            </w:pPr>
            <w:r>
              <w:rPr>
                <w:rFonts w:ascii="Calibri" w:hAnsi="Calibri"/>
                <w:b/>
                <w:i w:val="0"/>
                <w:color w:val="FFFFFF"/>
                <w:sz w:val="18"/>
              </w:rPr>
              <w:t>Basis</w:t>
            </w:r>
          </w:p>
        </w:tc>
        <w:tc>
          <w:tcPr>
            <w:tcW w:type="dxa" w:w="2160"/>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Days</w:t>
            </w:r>
          </w:p>
        </w:tc>
        <w:tc>
          <w:tcPr>
            <w:tcW w:type="dxa" w:w="2448"/>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Amount</w:t>
            </w:r>
          </w:p>
        </w:tc>
        <w:tc>
          <w:tcPr>
            <w:tcW w:type="dxa" w:w="2592"/>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Party</w:t>
            </w:r>
          </w:p>
        </w:tc>
      </w:tr>
      <w:tr>
        <w:tc>
          <w:tcPr>
            <w:tcW w:type="dxa" w:w="2556"/>
            <w:tcMar>
              <w:top w:w="40" w:type="dxa"/>
              <w:bottom w:w="40" w:type="dxa"/>
              <w:start w:w="80" w:type="dxa"/>
              <w:end w:w="80" w:type="dxa"/>
            </w:tcMar>
          </w:tcPr>
          <w:p>
            <w:pPr>
              <w:spacing w:before="20" w:after="20"/>
              <w:jc w:val="left"/>
            </w:pPr>
            <w:r>
              <w:rPr>
                <w:rFonts w:ascii="Calibri" w:hAnsi="Calibri"/>
                <w:b w:val="0"/>
                <w:i w:val="0"/>
                <w:color w:val="222222"/>
                <w:sz w:val="18"/>
              </w:rPr>
              <w:t>Estimated annual tax (current FY basis, §7.1(b))</w:t>
            </w:r>
          </w:p>
        </w:tc>
        <w:tc>
          <w:tcPr>
            <w:tcW w:type="dxa" w:w="2556"/>
            <w:tcMar>
              <w:top w:w="40" w:type="dxa"/>
              <w:bottom w:w="40" w:type="dxa"/>
              <w:start w:w="80" w:type="dxa"/>
              <w:end w:w="80" w:type="dxa"/>
            </w:tcMar>
          </w:tcPr>
          <w:p>
            <w:pPr>
              <w:spacing w:before="20" w:after="20"/>
              <w:jc w:val="right"/>
            </w:pPr>
            <w:r>
              <w:rPr>
                <w:rFonts w:ascii="Calibri" w:hAnsi="Calibri"/>
                <w:b w:val="0"/>
                <w:i w:val="0"/>
                <w:color w:val="222222"/>
                <w:sz w:val="18"/>
              </w:rPr>
              <w:t>365</w:t>
            </w:r>
          </w:p>
        </w:tc>
        <w:tc>
          <w:tcPr>
            <w:tcW w:type="dxa" w:w="2556"/>
            <w:tcMar>
              <w:top w:w="40" w:type="dxa"/>
              <w:bottom w:w="40" w:type="dxa"/>
              <w:start w:w="80" w:type="dxa"/>
              <w:end w:w="80" w:type="dxa"/>
            </w:tcMar>
          </w:tcPr>
          <w:p>
            <w:pPr>
              <w:spacing w:before="20" w:after="20"/>
              <w:jc w:val="right"/>
            </w:pPr>
            <w:r>
              <w:rPr>
                <w:rFonts w:ascii="Calibri" w:hAnsi="Calibri"/>
                <w:b w:val="0"/>
                <w:i w:val="0"/>
                <w:color w:val="222222"/>
                <w:sz w:val="18"/>
              </w:rPr>
              <w:t>$52,480.00</w:t>
            </w:r>
          </w:p>
        </w:tc>
        <w:tc>
          <w:tcPr>
            <w:tcW w:type="dxa" w:w="2556"/>
            <w:tcMar>
              <w:top w:w="40" w:type="dxa"/>
              <w:bottom w:w="40" w:type="dxa"/>
              <w:start w:w="80" w:type="dxa"/>
              <w:end w:w="80" w:type="dxa"/>
            </w:tcMar>
          </w:tcPr>
          <w:p>
            <w:pPr>
              <w:spacing w:before="20" w:after="20"/>
              <w:jc w:val="right"/>
            </w:pPr>
            <w:r>
              <w:rPr>
                <w:rFonts w:ascii="Calibri" w:hAnsi="Calibri"/>
                <w:b w:val="0"/>
                <w:i w:val="0"/>
                <w:color w:val="222222"/>
                <w:sz w:val="18"/>
              </w:rPr>
              <w:t>—</w:t>
            </w:r>
          </w:p>
        </w:tc>
      </w:tr>
      <w:tr>
        <w:tc>
          <w:tcPr>
            <w:tcW w:type="dxa" w:w="2556"/>
            <w:tcMar>
              <w:top w:w="40" w:type="dxa"/>
              <w:bottom w:w="40" w:type="dxa"/>
              <w:start w:w="80" w:type="dxa"/>
              <w:end w:w="80" w:type="dxa"/>
            </w:tcMar>
          </w:tcPr>
          <w:p>
            <w:pPr>
              <w:spacing w:before="20" w:after="20"/>
              <w:jc w:val="left"/>
            </w:pPr>
            <w:r>
              <w:rPr>
                <w:rFonts w:ascii="Calibri" w:hAnsi="Calibri"/>
                <w:b w:val="0"/>
                <w:i w:val="0"/>
                <w:color w:val="222222"/>
                <w:sz w:val="18"/>
              </w:rPr>
              <w:t>Per diem rate ($52,480.00 ÷ 365)</w:t>
            </w:r>
          </w:p>
        </w:tc>
        <w:tc>
          <w:tcPr>
            <w:tcW w:type="dxa" w:w="2556"/>
            <w:tcMar>
              <w:top w:w="40" w:type="dxa"/>
              <w:bottom w:w="40" w:type="dxa"/>
              <w:start w:w="80" w:type="dxa"/>
              <w:end w:w="80" w:type="dxa"/>
            </w:tcMar>
          </w:tcPr>
          <w:p>
            <w:pPr>
              <w:spacing w:before="20" w:after="20"/>
              <w:jc w:val="right"/>
            </w:pPr>
            <w:r>
              <w:rPr>
                <w:rFonts w:ascii="Calibri" w:hAnsi="Calibri"/>
                <w:b w:val="0"/>
                <w:i w:val="0"/>
                <w:color w:val="222222"/>
                <w:sz w:val="18"/>
              </w:rPr>
              <w:t>1</w:t>
            </w:r>
          </w:p>
        </w:tc>
        <w:tc>
          <w:tcPr>
            <w:tcW w:type="dxa" w:w="2556"/>
            <w:tcMar>
              <w:top w:w="40" w:type="dxa"/>
              <w:bottom w:w="40" w:type="dxa"/>
              <w:start w:w="80" w:type="dxa"/>
              <w:end w:w="80" w:type="dxa"/>
            </w:tcMar>
          </w:tcPr>
          <w:p>
            <w:pPr>
              <w:spacing w:before="20" w:after="20"/>
              <w:jc w:val="right"/>
            </w:pPr>
            <w:r>
              <w:rPr>
                <w:rFonts w:ascii="Calibri" w:hAnsi="Calibri"/>
                <w:b w:val="0"/>
                <w:i w:val="0"/>
                <w:color w:val="222222"/>
                <w:sz w:val="18"/>
              </w:rPr>
              <w:t>$143.78</w:t>
            </w:r>
          </w:p>
        </w:tc>
        <w:tc>
          <w:tcPr>
            <w:tcW w:type="dxa" w:w="2556"/>
            <w:tcMar>
              <w:top w:w="40" w:type="dxa"/>
              <w:bottom w:w="40" w:type="dxa"/>
              <w:start w:w="80" w:type="dxa"/>
              <w:end w:w="80" w:type="dxa"/>
            </w:tcMar>
          </w:tcPr>
          <w:p>
            <w:pPr>
              <w:spacing w:before="20" w:after="20"/>
              <w:jc w:val="right"/>
            </w:pPr>
            <w:r>
              <w:rPr>
                <w:rFonts w:ascii="Calibri" w:hAnsi="Calibri"/>
                <w:b w:val="0"/>
                <w:i w:val="0"/>
                <w:color w:val="222222"/>
                <w:sz w:val="18"/>
              </w:rPr>
              <w:t>—</w:t>
            </w:r>
          </w:p>
        </w:tc>
      </w:tr>
      <w:tr>
        <w:tc>
          <w:tcPr>
            <w:tcW w:type="dxa" w:w="2556"/>
            <w:tcMar>
              <w:top w:w="40" w:type="dxa"/>
              <w:bottom w:w="40" w:type="dxa"/>
              <w:start w:w="80" w:type="dxa"/>
              <w:end w:w="80" w:type="dxa"/>
            </w:tcMar>
          </w:tcPr>
          <w:p>
            <w:pPr>
              <w:spacing w:before="20" w:after="20"/>
              <w:jc w:val="left"/>
            </w:pPr>
            <w:r>
              <w:rPr>
                <w:rFonts w:ascii="Calibri" w:hAnsi="Calibri"/>
                <w:b w:val="0"/>
                <w:i w:val="0"/>
                <w:color w:val="222222"/>
                <w:sz w:val="18"/>
              </w:rPr>
              <w:t>Seller's share (Jul 1–14, 2025)</w:t>
            </w:r>
          </w:p>
        </w:tc>
        <w:tc>
          <w:tcPr>
            <w:tcW w:type="dxa" w:w="2556"/>
            <w:tcMar>
              <w:top w:w="40" w:type="dxa"/>
              <w:bottom w:w="40" w:type="dxa"/>
              <w:start w:w="80" w:type="dxa"/>
              <w:end w:w="80" w:type="dxa"/>
            </w:tcMar>
          </w:tcPr>
          <w:p>
            <w:pPr>
              <w:spacing w:before="20" w:after="20"/>
              <w:jc w:val="right"/>
            </w:pPr>
            <w:r>
              <w:rPr>
                <w:rFonts w:ascii="Calibri" w:hAnsi="Calibri"/>
                <w:b w:val="0"/>
                <w:i w:val="0"/>
                <w:color w:val="222222"/>
                <w:sz w:val="18"/>
              </w:rPr>
              <w:t>14</w:t>
            </w:r>
          </w:p>
        </w:tc>
        <w:tc>
          <w:tcPr>
            <w:tcW w:type="dxa" w:w="2556"/>
            <w:tcMar>
              <w:top w:w="40" w:type="dxa"/>
              <w:bottom w:w="40" w:type="dxa"/>
              <w:start w:w="80" w:type="dxa"/>
              <w:end w:w="80" w:type="dxa"/>
            </w:tcMar>
          </w:tcPr>
          <w:p>
            <w:pPr>
              <w:spacing w:before="20" w:after="20"/>
              <w:jc w:val="right"/>
            </w:pPr>
            <w:r>
              <w:rPr>
                <w:rFonts w:ascii="Calibri" w:hAnsi="Calibri"/>
                <w:b w:val="0"/>
                <w:i w:val="0"/>
                <w:color w:val="222222"/>
                <w:sz w:val="18"/>
              </w:rPr>
              <w:t>$2,012.93</w:t>
            </w:r>
          </w:p>
        </w:tc>
        <w:tc>
          <w:tcPr>
            <w:tcW w:type="dxa" w:w="2556"/>
            <w:tcMar>
              <w:top w:w="40" w:type="dxa"/>
              <w:bottom w:w="40" w:type="dxa"/>
              <w:start w:w="80" w:type="dxa"/>
              <w:end w:w="80" w:type="dxa"/>
            </w:tcMar>
          </w:tcPr>
          <w:p>
            <w:pPr>
              <w:spacing w:before="20" w:after="20"/>
              <w:jc w:val="right"/>
            </w:pPr>
            <w:r>
              <w:rPr>
                <w:rFonts w:ascii="Calibri" w:hAnsi="Calibri"/>
                <w:b w:val="0"/>
                <w:i w:val="0"/>
                <w:color w:val="222222"/>
                <w:sz w:val="18"/>
              </w:rPr>
              <w:t>Seller (debit)</w:t>
            </w:r>
          </w:p>
        </w:tc>
      </w:tr>
      <w:tr>
        <w:tc>
          <w:tcPr>
            <w:tcW w:type="dxa" w:w="2556"/>
            <w:tcMar>
              <w:top w:w="40" w:type="dxa"/>
              <w:bottom w:w="40" w:type="dxa"/>
              <w:start w:w="80" w:type="dxa"/>
              <w:end w:w="80" w:type="dxa"/>
            </w:tcMar>
          </w:tcPr>
          <w:p>
            <w:pPr>
              <w:spacing w:before="20" w:after="20"/>
              <w:jc w:val="left"/>
            </w:pPr>
            <w:r>
              <w:rPr>
                <w:rFonts w:ascii="Calibri" w:hAnsi="Calibri"/>
                <w:b w:val="0"/>
                <w:i w:val="0"/>
                <w:color w:val="222222"/>
                <w:sz w:val="18"/>
              </w:rPr>
              <w:t>Buyer's share (Jul 15, 2025–Jun 30, 2026)</w:t>
            </w:r>
          </w:p>
        </w:tc>
        <w:tc>
          <w:tcPr>
            <w:tcW w:type="dxa" w:w="2556"/>
            <w:tcMar>
              <w:top w:w="40" w:type="dxa"/>
              <w:bottom w:w="40" w:type="dxa"/>
              <w:start w:w="80" w:type="dxa"/>
              <w:end w:w="80" w:type="dxa"/>
            </w:tcMar>
          </w:tcPr>
          <w:p>
            <w:pPr>
              <w:spacing w:before="20" w:after="20"/>
              <w:jc w:val="right"/>
            </w:pPr>
            <w:r>
              <w:rPr>
                <w:rFonts w:ascii="Calibri" w:hAnsi="Calibri"/>
                <w:b w:val="0"/>
                <w:i w:val="0"/>
                <w:color w:val="222222"/>
                <w:sz w:val="18"/>
              </w:rPr>
              <w:t>351</w:t>
            </w:r>
          </w:p>
        </w:tc>
        <w:tc>
          <w:tcPr>
            <w:tcW w:type="dxa" w:w="2556"/>
            <w:tcMar>
              <w:top w:w="40" w:type="dxa"/>
              <w:bottom w:w="40" w:type="dxa"/>
              <w:start w:w="80" w:type="dxa"/>
              <w:end w:w="80" w:type="dxa"/>
            </w:tcMar>
          </w:tcPr>
          <w:p>
            <w:pPr>
              <w:spacing w:before="20" w:after="20"/>
              <w:jc w:val="right"/>
            </w:pPr>
            <w:r>
              <w:rPr>
                <w:rFonts w:ascii="Calibri" w:hAnsi="Calibri"/>
                <w:b w:val="0"/>
                <w:i w:val="0"/>
                <w:color w:val="222222"/>
                <w:sz w:val="18"/>
              </w:rPr>
              <w:t>$50,467.07</w:t>
            </w:r>
          </w:p>
        </w:tc>
        <w:tc>
          <w:tcPr>
            <w:tcW w:type="dxa" w:w="2556"/>
            <w:tcMar>
              <w:top w:w="40" w:type="dxa"/>
              <w:bottom w:w="40" w:type="dxa"/>
              <w:start w:w="80" w:type="dxa"/>
              <w:end w:w="80" w:type="dxa"/>
            </w:tcMar>
          </w:tcPr>
          <w:p>
            <w:pPr>
              <w:spacing w:before="20" w:after="20"/>
              <w:jc w:val="right"/>
            </w:pPr>
            <w:r>
              <w:rPr>
                <w:rFonts w:ascii="Calibri" w:hAnsi="Calibri"/>
                <w:b w:val="0"/>
                <w:i w:val="0"/>
                <w:color w:val="222222"/>
                <w:sz w:val="18"/>
              </w:rPr>
              <w:t>Buyer</w:t>
            </w:r>
          </w:p>
        </w:tc>
      </w:tr>
      <w:tr>
        <w:tc>
          <w:tcPr>
            <w:tcW w:type="dxa" w:w="2556"/>
            <w:tcMar>
              <w:top w:w="40" w:type="dxa"/>
              <w:bottom w:w="40" w:type="dxa"/>
              <w:start w:w="80" w:type="dxa"/>
              <w:end w:w="80" w:type="dxa"/>
            </w:tcMar>
            <w:shd w:val="clear" w:color="auto" w:fill="B8CCE4"/>
          </w:tcPr>
          <w:p>
            <w:pPr>
              <w:spacing w:before="20" w:after="20"/>
              <w:jc w:val="left"/>
            </w:pPr>
            <w:r>
              <w:rPr>
                <w:rFonts w:ascii="Calibri" w:hAnsi="Calibri"/>
                <w:b/>
                <w:i w:val="0"/>
                <w:color w:val="222222"/>
                <w:sz w:val="18"/>
              </w:rPr>
              <w:t>Total estimated next-FY tax</w:t>
            </w:r>
          </w:p>
        </w:tc>
        <w:tc>
          <w:tcPr>
            <w:tcW w:type="dxa" w:w="2556"/>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365</w:t>
            </w:r>
          </w:p>
        </w:tc>
        <w:tc>
          <w:tcPr>
            <w:tcW w:type="dxa" w:w="2556"/>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$52,480.00</w:t>
            </w:r>
          </w:p>
        </w:tc>
        <w:tc>
          <w:tcPr>
            <w:tcW w:type="dxa" w:w="2556"/>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w:t>
            </w:r>
          </w:p>
        </w:tc>
      </w:tr>
    </w:tbl>
    <w:p>
      <w:pPr>
        <w:spacing w:before="40" w:after="40"/>
        <w:jc w:val="left"/>
      </w:pPr>
      <w:r>
        <w:rPr>
          <w:rFonts w:ascii="Calibri" w:hAnsi="Calibri"/>
          <w:b w:val="0"/>
          <w:i/>
          <w:color w:val="555555"/>
          <w:sz w:val="17"/>
        </w:rPr>
        <w:t>Net proration entry: Debit Seller $2,012.93 / Credit Buyer $2,012.93. New mill rate not yet set; subject to reproration under PSA §7.7 when the actual bill issues.</w:t>
      </w:r>
    </w:p>
    <w:p>
      <w:pPr>
        <w:spacing w:before="160" w:after="80"/>
      </w:pPr>
      <w:r>
        <w:rPr>
          <w:rFonts w:ascii="Calibri" w:hAnsi="Calibri"/>
          <w:b/>
          <w:color w:val="1F3A5F"/>
          <w:sz w:val="22"/>
        </w:rPr>
        <w:t>II-B. Rent Proration — Collected July 2025 Rents</w:t>
      </w:r>
    </w:p>
    <w:p>
      <w:pPr>
        <w:spacing w:before="40" w:after="40"/>
        <w:jc w:val="left"/>
      </w:pPr>
      <w:r>
        <w:rPr>
          <w:rFonts w:ascii="Calibri" w:hAnsi="Calibri"/>
          <w:b w:val="0"/>
          <w:i/>
          <w:color w:val="555555"/>
          <w:sz w:val="18"/>
        </w:rPr>
        <w:t>Only rents actually collected by Seller as of closing are prorated (PSA §7.2). Delinquent Unit 2E ($1,600) and vacant Unit 3C ($0) are excluded entirely per §7.3 — no credit to either party. Seller = 14/31 days; Buyer = 17/31 days.</w:t>
      </w:r>
    </w:p>
    <w:tbl>
      <w:tblPr>
        <w:tblW w:type="auto" w:w="0"/>
        <w:jc w:val="center"/>
        <w:tblLayout w:type="fixed"/>
        <w:tblLook w:firstColumn="1" w:firstRow="1" w:lastColumn="0" w:lastRow="0" w:noHBand="0" w:noVBand="1" w:val="04A0"/>
        <w:tblBorders>
          <w:top w:val="single" w:sz="4" w:space="0" w:color="9DB7D1"/>
          <w:left w:val="single" w:sz="4" w:space="0" w:color="9DB7D1"/>
          <w:bottom w:val="single" w:sz="4" w:space="0" w:color="9DB7D1"/>
          <w:right w:val="single" w:sz="4" w:space="0" w:color="9DB7D1"/>
          <w:insideH w:val="single" w:sz="4" w:space="0" w:color="9DB7D1"/>
          <w:insideV w:val="single" w:sz="4" w:space="0" w:color="9DB7D1"/>
        </w:tblBorders>
      </w:tblPr>
      <w:tblGrid>
        <w:gridCol w:w="2045"/>
        <w:gridCol w:w="2045"/>
        <w:gridCol w:w="2045"/>
        <w:gridCol w:w="2045"/>
        <w:gridCol w:w="2045"/>
      </w:tblGrid>
      <w:tr>
        <w:tc>
          <w:tcPr>
            <w:tcW w:type="dxa" w:w="1440"/>
            <w:shd w:val="clear" w:color="auto" w:fill="1F3A5F"/>
            <w:tcMar>
              <w:top w:w="40" w:type="dxa"/>
              <w:bottom w:w="40" w:type="dxa"/>
              <w:start w:w="80" w:type="dxa"/>
              <w:end w:w="80" w:type="dxa"/>
            </w:tcMar>
          </w:tcPr>
          <w:p>
            <w:pPr>
              <w:spacing w:before="20" w:after="20"/>
              <w:jc w:val="left"/>
            </w:pPr>
            <w:r>
              <w:rPr>
                <w:rFonts w:ascii="Calibri" w:hAnsi="Calibri"/>
                <w:b/>
                <w:i w:val="0"/>
                <w:color w:val="FFFFFF"/>
                <w:sz w:val="18"/>
              </w:rPr>
              <w:t>Unit</w:t>
            </w:r>
          </w:p>
        </w:tc>
        <w:tc>
          <w:tcPr>
            <w:tcW w:type="dxa" w:w="3600"/>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Tenant / Type</w:t>
            </w:r>
          </w:p>
        </w:tc>
        <w:tc>
          <w:tcPr>
            <w:tcW w:type="dxa" w:w="1872"/>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Monthly Rent</w:t>
            </w:r>
          </w:p>
        </w:tc>
        <w:tc>
          <w:tcPr>
            <w:tcW w:type="dxa" w:w="2016"/>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Seller (14d)</w:t>
            </w:r>
          </w:p>
        </w:tc>
        <w:tc>
          <w:tcPr>
            <w:tcW w:type="dxa" w:w="2016"/>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Buyer (17d)</w:t>
            </w:r>
          </w:p>
        </w:tc>
      </w:tr>
      <w:tr>
        <w:tc>
          <w:tcPr>
            <w:tcW w:type="dxa" w:w="2045"/>
            <w:tcMar>
              <w:top w:w="40" w:type="dxa"/>
              <w:bottom w:w="40" w:type="dxa"/>
              <w:start w:w="80" w:type="dxa"/>
              <w:end w:w="80" w:type="dxa"/>
            </w:tcMar>
          </w:tcPr>
          <w:p>
            <w:pPr>
              <w:spacing w:before="20" w:after="20"/>
              <w:jc w:val="center"/>
            </w:pPr>
            <w:r>
              <w:rPr>
                <w:rFonts w:ascii="Calibri" w:hAnsi="Calibri"/>
                <w:b w:val="0"/>
                <w:i w:val="0"/>
                <w:color w:val="222222"/>
                <w:sz w:val="17"/>
              </w:rPr>
              <w:t>GF</w:t>
            </w:r>
          </w:p>
        </w:tc>
        <w:tc>
          <w:tcPr>
            <w:tcW w:type="dxa" w:w="2045"/>
            <w:tcMar>
              <w:top w:w="40" w:type="dxa"/>
              <w:bottom w:w="40" w:type="dxa"/>
              <w:start w:w="80" w:type="dxa"/>
              <w:end w:w="80" w:type="dxa"/>
            </w:tcMar>
          </w:tcPr>
          <w:p>
            <w:pPr>
              <w:spacing w:before="20" w:after="20"/>
              <w:jc w:val="left"/>
            </w:pPr>
            <w:r>
              <w:rPr>
                <w:rFonts w:ascii="Calibri" w:hAnsi="Calibri"/>
                <w:b w:val="0"/>
                <w:i w:val="0"/>
                <w:color w:val="222222"/>
                <w:sz w:val="17"/>
              </w:rPr>
              <w:t>Coastal Provisions Market LLC — Commercial</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$7,200.00</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$3,251.61</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$3,948.39</w:t>
            </w:r>
          </w:p>
        </w:tc>
      </w:tr>
      <w:tr>
        <w:tc>
          <w:tcPr>
            <w:tcW w:type="dxa" w:w="2045"/>
            <w:tcMar>
              <w:top w:w="40" w:type="dxa"/>
              <w:bottom w:w="40" w:type="dxa"/>
              <w:start w:w="80" w:type="dxa"/>
              <w:end w:w="80" w:type="dxa"/>
            </w:tcMar>
          </w:tcPr>
          <w:p>
            <w:pPr>
              <w:spacing w:before="20" w:after="20"/>
              <w:jc w:val="center"/>
            </w:pPr>
            <w:r>
              <w:rPr>
                <w:rFonts w:ascii="Calibri" w:hAnsi="Calibri"/>
                <w:b w:val="0"/>
                <w:i w:val="0"/>
                <w:color w:val="222222"/>
                <w:sz w:val="17"/>
              </w:rPr>
              <w:t>2A</w:t>
            </w:r>
          </w:p>
        </w:tc>
        <w:tc>
          <w:tcPr>
            <w:tcW w:type="dxa" w:w="2045"/>
            <w:tcMar>
              <w:top w:w="40" w:type="dxa"/>
              <w:bottom w:w="40" w:type="dxa"/>
              <w:start w:w="80" w:type="dxa"/>
              <w:end w:w="80" w:type="dxa"/>
            </w:tcMar>
          </w:tcPr>
          <w:p>
            <w:pPr>
              <w:spacing w:before="20" w:after="20"/>
              <w:jc w:val="left"/>
            </w:pPr>
            <w:r>
              <w:rPr>
                <w:rFonts w:ascii="Calibri" w:hAnsi="Calibri"/>
                <w:b w:val="0"/>
                <w:i w:val="0"/>
                <w:color w:val="222222"/>
                <w:sz w:val="17"/>
              </w:rPr>
              <w:t>Residential — 1BR (paid)</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$1,650.00</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$745.16</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$904.84</w:t>
            </w:r>
          </w:p>
        </w:tc>
      </w:tr>
      <w:tr>
        <w:tc>
          <w:tcPr>
            <w:tcW w:type="dxa" w:w="2045"/>
            <w:tcMar>
              <w:top w:w="40" w:type="dxa"/>
              <w:bottom w:w="40" w:type="dxa"/>
              <w:start w:w="80" w:type="dxa"/>
              <w:end w:w="80" w:type="dxa"/>
            </w:tcMar>
          </w:tcPr>
          <w:p>
            <w:pPr>
              <w:spacing w:before="20" w:after="20"/>
              <w:jc w:val="center"/>
            </w:pPr>
            <w:r>
              <w:rPr>
                <w:rFonts w:ascii="Calibri" w:hAnsi="Calibri"/>
                <w:b w:val="0"/>
                <w:i w:val="0"/>
                <w:color w:val="222222"/>
                <w:sz w:val="17"/>
              </w:rPr>
              <w:t>2B</w:t>
            </w:r>
          </w:p>
        </w:tc>
        <w:tc>
          <w:tcPr>
            <w:tcW w:type="dxa" w:w="2045"/>
            <w:tcMar>
              <w:top w:w="40" w:type="dxa"/>
              <w:bottom w:w="40" w:type="dxa"/>
              <w:start w:w="80" w:type="dxa"/>
              <w:end w:w="80" w:type="dxa"/>
            </w:tcMar>
          </w:tcPr>
          <w:p>
            <w:pPr>
              <w:spacing w:before="20" w:after="20"/>
              <w:jc w:val="left"/>
            </w:pPr>
            <w:r>
              <w:rPr>
                <w:rFonts w:ascii="Calibri" w:hAnsi="Calibri"/>
                <w:b w:val="0"/>
                <w:i w:val="0"/>
                <w:color w:val="222222"/>
                <w:sz w:val="17"/>
              </w:rPr>
              <w:t>Residential — 1BR (paid, M-to-M)</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$1,575.00</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$711.29</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$863.71</w:t>
            </w:r>
          </w:p>
        </w:tc>
      </w:tr>
      <w:tr>
        <w:tc>
          <w:tcPr>
            <w:tcW w:type="dxa" w:w="2045"/>
            <w:tcMar>
              <w:top w:w="40" w:type="dxa"/>
              <w:bottom w:w="40" w:type="dxa"/>
              <w:start w:w="80" w:type="dxa"/>
              <w:end w:w="80" w:type="dxa"/>
            </w:tcMar>
          </w:tcPr>
          <w:p>
            <w:pPr>
              <w:spacing w:before="20" w:after="20"/>
              <w:jc w:val="center"/>
            </w:pPr>
            <w:r>
              <w:rPr>
                <w:rFonts w:ascii="Calibri" w:hAnsi="Calibri"/>
                <w:b w:val="0"/>
                <w:i w:val="0"/>
                <w:color w:val="222222"/>
                <w:sz w:val="17"/>
              </w:rPr>
              <w:t>2C</w:t>
            </w:r>
          </w:p>
        </w:tc>
        <w:tc>
          <w:tcPr>
            <w:tcW w:type="dxa" w:w="2045"/>
            <w:tcMar>
              <w:top w:w="40" w:type="dxa"/>
              <w:bottom w:w="40" w:type="dxa"/>
              <w:start w:w="80" w:type="dxa"/>
              <w:end w:w="80" w:type="dxa"/>
            </w:tcMar>
          </w:tcPr>
          <w:p>
            <w:pPr>
              <w:spacing w:before="20" w:after="20"/>
              <w:jc w:val="left"/>
            </w:pPr>
            <w:r>
              <w:rPr>
                <w:rFonts w:ascii="Calibri" w:hAnsi="Calibri"/>
                <w:b w:val="0"/>
                <w:i w:val="0"/>
                <w:color w:val="222222"/>
                <w:sz w:val="17"/>
              </w:rPr>
              <w:t>Residential — 2BR (paid, M-to-M)</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$1,700.00</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$767.74</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$932.26</w:t>
            </w:r>
          </w:p>
        </w:tc>
      </w:tr>
      <w:tr>
        <w:tc>
          <w:tcPr>
            <w:tcW w:type="dxa" w:w="2045"/>
            <w:tcMar>
              <w:top w:w="40" w:type="dxa"/>
              <w:bottom w:w="40" w:type="dxa"/>
              <w:start w:w="80" w:type="dxa"/>
              <w:end w:w="80" w:type="dxa"/>
            </w:tcMar>
          </w:tcPr>
          <w:p>
            <w:pPr>
              <w:spacing w:before="20" w:after="20"/>
              <w:jc w:val="center"/>
            </w:pPr>
            <w:r>
              <w:rPr>
                <w:rFonts w:ascii="Calibri" w:hAnsi="Calibri"/>
                <w:b w:val="0"/>
                <w:i w:val="0"/>
                <w:color w:val="222222"/>
                <w:sz w:val="17"/>
              </w:rPr>
              <w:t>2D</w:t>
            </w:r>
          </w:p>
        </w:tc>
        <w:tc>
          <w:tcPr>
            <w:tcW w:type="dxa" w:w="2045"/>
            <w:tcMar>
              <w:top w:w="40" w:type="dxa"/>
              <w:bottom w:w="40" w:type="dxa"/>
              <w:start w:w="80" w:type="dxa"/>
              <w:end w:w="80" w:type="dxa"/>
            </w:tcMar>
          </w:tcPr>
          <w:p>
            <w:pPr>
              <w:spacing w:before="20" w:after="20"/>
              <w:jc w:val="left"/>
            </w:pPr>
            <w:r>
              <w:rPr>
                <w:rFonts w:ascii="Calibri" w:hAnsi="Calibri"/>
                <w:b w:val="0"/>
                <w:i w:val="0"/>
                <w:color w:val="222222"/>
                <w:sz w:val="17"/>
              </w:rPr>
              <w:t>Residential — 1BR (paid)</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$1,525.00</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$688.71</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$836.29</w:t>
            </w:r>
          </w:p>
        </w:tc>
      </w:tr>
      <w:tr>
        <w:tc>
          <w:tcPr>
            <w:tcW w:type="dxa" w:w="2045"/>
            <w:tcMar>
              <w:top w:w="40" w:type="dxa"/>
              <w:bottom w:w="40" w:type="dxa"/>
              <w:start w:w="80" w:type="dxa"/>
              <w:end w:w="80" w:type="dxa"/>
            </w:tcMar>
            <w:shd w:val="clear" w:color="auto" w:fill="FCE4D6"/>
          </w:tcPr>
          <w:p>
            <w:pPr>
              <w:spacing w:before="20" w:after="20"/>
              <w:jc w:val="center"/>
            </w:pPr>
            <w:r>
              <w:rPr>
                <w:rFonts w:ascii="Calibri" w:hAnsi="Calibri"/>
                <w:b w:val="0"/>
                <w:i w:val="0"/>
                <w:color w:val="222222"/>
                <w:sz w:val="17"/>
              </w:rPr>
              <w:t>2E</w:t>
            </w:r>
          </w:p>
        </w:tc>
        <w:tc>
          <w:tcPr>
            <w:tcW w:type="dxa" w:w="2045"/>
            <w:tcMar>
              <w:top w:w="40" w:type="dxa"/>
              <w:bottom w:w="40" w:type="dxa"/>
              <w:start w:w="80" w:type="dxa"/>
              <w:end w:w="80" w:type="dxa"/>
            </w:tcMar>
            <w:shd w:val="clear" w:color="auto" w:fill="FCE4D6"/>
          </w:tcPr>
          <w:p>
            <w:pPr>
              <w:spacing w:before="20" w:after="20"/>
              <w:jc w:val="left"/>
            </w:pPr>
            <w:r>
              <w:rPr>
                <w:rFonts w:ascii="Calibri" w:hAnsi="Calibri"/>
                <w:b w:val="0"/>
                <w:i w:val="0"/>
                <w:color w:val="222222"/>
                <w:sz w:val="17"/>
              </w:rPr>
              <w:t>Residential — 1BR (DELINQUENT — excluded)</w:t>
            </w:r>
          </w:p>
        </w:tc>
        <w:tc>
          <w:tcPr>
            <w:tcW w:type="dxa" w:w="2045"/>
            <w:tcMar>
              <w:top w:w="40" w:type="dxa"/>
              <w:bottom w:w="40" w:type="dxa"/>
              <w:start w:w="80" w:type="dxa"/>
              <w:end w:w="80" w:type="dxa"/>
            </w:tcMar>
            <w:shd w:val="clear" w:color="auto" w:fill="FCE4D6"/>
          </w:tcPr>
          <w:p>
            <w:pPr>
              <w:spacing w:before="20" w:after="20"/>
              <w:jc w:val="right"/>
            </w:pPr>
            <w:r>
              <w:rPr>
                <w:rFonts w:ascii="Calibri" w:hAnsi="Calibri"/>
                <w:b w:val="0"/>
                <w:i w:val="0"/>
                <w:color w:val="222222"/>
                <w:sz w:val="17"/>
              </w:rPr>
              <w:t>$1,600.00</w:t>
            </w:r>
          </w:p>
        </w:tc>
        <w:tc>
          <w:tcPr>
            <w:tcW w:type="dxa" w:w="2045"/>
            <w:tcMar>
              <w:top w:w="40" w:type="dxa"/>
              <w:bottom w:w="40" w:type="dxa"/>
              <w:start w:w="80" w:type="dxa"/>
              <w:end w:w="80" w:type="dxa"/>
            </w:tcMar>
            <w:shd w:val="clear" w:color="auto" w:fill="FCE4D6"/>
          </w:tcPr>
          <w:p>
            <w:pPr>
              <w:spacing w:before="20" w:after="20"/>
              <w:jc w:val="right"/>
            </w:pPr>
            <w:r>
              <w:rPr>
                <w:rFonts w:ascii="Calibri" w:hAnsi="Calibri"/>
                <w:b w:val="0"/>
                <w:i w:val="0"/>
                <w:color w:val="222222"/>
                <w:sz w:val="17"/>
              </w:rPr>
              <w:t>—</w:t>
            </w:r>
          </w:p>
        </w:tc>
        <w:tc>
          <w:tcPr>
            <w:tcW w:type="dxa" w:w="2045"/>
            <w:tcMar>
              <w:top w:w="40" w:type="dxa"/>
              <w:bottom w:w="40" w:type="dxa"/>
              <w:start w:w="80" w:type="dxa"/>
              <w:end w:w="80" w:type="dxa"/>
            </w:tcMar>
            <w:shd w:val="clear" w:color="auto" w:fill="FCE4D6"/>
          </w:tcPr>
          <w:p>
            <w:pPr>
              <w:spacing w:before="20" w:after="20"/>
              <w:jc w:val="right"/>
            </w:pPr>
            <w:r>
              <w:rPr>
                <w:rFonts w:ascii="Calibri" w:hAnsi="Calibri"/>
                <w:b w:val="0"/>
                <w:i w:val="0"/>
                <w:color w:val="222222"/>
                <w:sz w:val="17"/>
              </w:rPr>
              <w:t>—</w:t>
            </w:r>
          </w:p>
        </w:tc>
      </w:tr>
      <w:tr>
        <w:tc>
          <w:tcPr>
            <w:tcW w:type="dxa" w:w="2045"/>
            <w:tcMar>
              <w:top w:w="40" w:type="dxa"/>
              <w:bottom w:w="40" w:type="dxa"/>
              <w:start w:w="80" w:type="dxa"/>
              <w:end w:w="80" w:type="dxa"/>
            </w:tcMar>
          </w:tcPr>
          <w:p>
            <w:pPr>
              <w:spacing w:before="20" w:after="20"/>
              <w:jc w:val="center"/>
            </w:pPr>
            <w:r>
              <w:rPr>
                <w:rFonts w:ascii="Calibri" w:hAnsi="Calibri"/>
                <w:b w:val="0"/>
                <w:i w:val="0"/>
                <w:color w:val="222222"/>
                <w:sz w:val="17"/>
              </w:rPr>
              <w:t>2F</w:t>
            </w:r>
          </w:p>
        </w:tc>
        <w:tc>
          <w:tcPr>
            <w:tcW w:type="dxa" w:w="2045"/>
            <w:tcMar>
              <w:top w:w="40" w:type="dxa"/>
              <w:bottom w:w="40" w:type="dxa"/>
              <w:start w:w="80" w:type="dxa"/>
              <w:end w:w="80" w:type="dxa"/>
            </w:tcMar>
          </w:tcPr>
          <w:p>
            <w:pPr>
              <w:spacing w:before="20" w:after="20"/>
              <w:jc w:val="left"/>
            </w:pPr>
            <w:r>
              <w:rPr>
                <w:rFonts w:ascii="Calibri" w:hAnsi="Calibri"/>
                <w:b w:val="0"/>
                <w:i w:val="0"/>
                <w:color w:val="222222"/>
                <w:sz w:val="17"/>
              </w:rPr>
              <w:t>Residential — 2BR (paid)</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$1,650.00</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$745.16</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$904.84</w:t>
            </w:r>
          </w:p>
        </w:tc>
      </w:tr>
      <w:tr>
        <w:tc>
          <w:tcPr>
            <w:tcW w:type="dxa" w:w="2045"/>
            <w:tcMar>
              <w:top w:w="40" w:type="dxa"/>
              <w:bottom w:w="40" w:type="dxa"/>
              <w:start w:w="80" w:type="dxa"/>
              <w:end w:w="80" w:type="dxa"/>
            </w:tcMar>
          </w:tcPr>
          <w:p>
            <w:pPr>
              <w:spacing w:before="20" w:after="20"/>
              <w:jc w:val="center"/>
            </w:pPr>
            <w:r>
              <w:rPr>
                <w:rFonts w:ascii="Calibri" w:hAnsi="Calibri"/>
                <w:b w:val="0"/>
                <w:i w:val="0"/>
                <w:color w:val="222222"/>
                <w:sz w:val="17"/>
              </w:rPr>
              <w:t>3A</w:t>
            </w:r>
          </w:p>
        </w:tc>
        <w:tc>
          <w:tcPr>
            <w:tcW w:type="dxa" w:w="2045"/>
            <w:tcMar>
              <w:top w:w="40" w:type="dxa"/>
              <w:bottom w:w="40" w:type="dxa"/>
              <w:start w:w="80" w:type="dxa"/>
              <w:end w:w="80" w:type="dxa"/>
            </w:tcMar>
          </w:tcPr>
          <w:p>
            <w:pPr>
              <w:spacing w:before="20" w:after="20"/>
              <w:jc w:val="left"/>
            </w:pPr>
            <w:r>
              <w:rPr>
                <w:rFonts w:ascii="Calibri" w:hAnsi="Calibri"/>
                <w:b w:val="0"/>
                <w:i w:val="0"/>
                <w:color w:val="222222"/>
                <w:sz w:val="17"/>
              </w:rPr>
              <w:t>Residential — 2BR (paid)</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$1,750.00</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$790.32</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$959.68</w:t>
            </w:r>
          </w:p>
        </w:tc>
      </w:tr>
      <w:tr>
        <w:tc>
          <w:tcPr>
            <w:tcW w:type="dxa" w:w="2045"/>
            <w:tcMar>
              <w:top w:w="40" w:type="dxa"/>
              <w:bottom w:w="40" w:type="dxa"/>
              <w:start w:w="80" w:type="dxa"/>
              <w:end w:w="80" w:type="dxa"/>
            </w:tcMar>
          </w:tcPr>
          <w:p>
            <w:pPr>
              <w:spacing w:before="20" w:after="20"/>
              <w:jc w:val="center"/>
            </w:pPr>
            <w:r>
              <w:rPr>
                <w:rFonts w:ascii="Calibri" w:hAnsi="Calibri"/>
                <w:b w:val="0"/>
                <w:i w:val="0"/>
                <w:color w:val="222222"/>
                <w:sz w:val="17"/>
              </w:rPr>
              <w:t>3B</w:t>
            </w:r>
          </w:p>
        </w:tc>
        <w:tc>
          <w:tcPr>
            <w:tcW w:type="dxa" w:w="2045"/>
            <w:tcMar>
              <w:top w:w="40" w:type="dxa"/>
              <w:bottom w:w="40" w:type="dxa"/>
              <w:start w:w="80" w:type="dxa"/>
              <w:end w:w="80" w:type="dxa"/>
            </w:tcMar>
          </w:tcPr>
          <w:p>
            <w:pPr>
              <w:spacing w:before="20" w:after="20"/>
              <w:jc w:val="left"/>
            </w:pPr>
            <w:r>
              <w:rPr>
                <w:rFonts w:ascii="Calibri" w:hAnsi="Calibri"/>
                <w:b w:val="0"/>
                <w:i w:val="0"/>
                <w:color w:val="222222"/>
                <w:sz w:val="17"/>
              </w:rPr>
              <w:t>Residential — 1BR (paid, M-to-M)</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$1,575.00</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$711.29</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$863.71</w:t>
            </w:r>
          </w:p>
        </w:tc>
      </w:tr>
      <w:tr>
        <w:tc>
          <w:tcPr>
            <w:tcW w:type="dxa" w:w="2045"/>
            <w:tcMar>
              <w:top w:w="40" w:type="dxa"/>
              <w:bottom w:w="40" w:type="dxa"/>
              <w:start w:w="80" w:type="dxa"/>
              <w:end w:w="80" w:type="dxa"/>
            </w:tcMar>
            <w:shd w:val="clear" w:color="auto" w:fill="FCE4D6"/>
          </w:tcPr>
          <w:p>
            <w:pPr>
              <w:spacing w:before="20" w:after="20"/>
              <w:jc w:val="center"/>
            </w:pPr>
            <w:r>
              <w:rPr>
                <w:rFonts w:ascii="Calibri" w:hAnsi="Calibri"/>
                <w:b w:val="0"/>
                <w:i w:val="0"/>
                <w:color w:val="222222"/>
                <w:sz w:val="17"/>
              </w:rPr>
              <w:t>3C</w:t>
            </w:r>
          </w:p>
        </w:tc>
        <w:tc>
          <w:tcPr>
            <w:tcW w:type="dxa" w:w="2045"/>
            <w:tcMar>
              <w:top w:w="40" w:type="dxa"/>
              <w:bottom w:w="40" w:type="dxa"/>
              <w:start w:w="80" w:type="dxa"/>
              <w:end w:w="80" w:type="dxa"/>
            </w:tcMar>
            <w:shd w:val="clear" w:color="auto" w:fill="FCE4D6"/>
          </w:tcPr>
          <w:p>
            <w:pPr>
              <w:spacing w:before="20" w:after="20"/>
              <w:jc w:val="left"/>
            </w:pPr>
            <w:r>
              <w:rPr>
                <w:rFonts w:ascii="Calibri" w:hAnsi="Calibri"/>
                <w:b w:val="0"/>
                <w:i w:val="0"/>
                <w:color w:val="222222"/>
                <w:sz w:val="17"/>
              </w:rPr>
              <w:t>Residential — 1BR (VACANT — excluded)</w:t>
            </w:r>
          </w:p>
        </w:tc>
        <w:tc>
          <w:tcPr>
            <w:tcW w:type="dxa" w:w="2045"/>
            <w:tcMar>
              <w:top w:w="40" w:type="dxa"/>
              <w:bottom w:w="40" w:type="dxa"/>
              <w:start w:w="80" w:type="dxa"/>
              <w:end w:w="80" w:type="dxa"/>
            </w:tcMar>
            <w:shd w:val="clear" w:color="auto" w:fill="FCE4D6"/>
          </w:tcPr>
          <w:p>
            <w:pPr>
              <w:spacing w:before="20" w:after="20"/>
              <w:jc w:val="right"/>
            </w:pPr>
            <w:r>
              <w:rPr>
                <w:rFonts w:ascii="Calibri" w:hAnsi="Calibri"/>
                <w:b w:val="0"/>
                <w:i w:val="0"/>
                <w:color w:val="222222"/>
                <w:sz w:val="17"/>
              </w:rPr>
              <w:t>$0.00</w:t>
            </w:r>
          </w:p>
        </w:tc>
        <w:tc>
          <w:tcPr>
            <w:tcW w:type="dxa" w:w="2045"/>
            <w:tcMar>
              <w:top w:w="40" w:type="dxa"/>
              <w:bottom w:w="40" w:type="dxa"/>
              <w:start w:w="80" w:type="dxa"/>
              <w:end w:w="80" w:type="dxa"/>
            </w:tcMar>
            <w:shd w:val="clear" w:color="auto" w:fill="FCE4D6"/>
          </w:tcPr>
          <w:p>
            <w:pPr>
              <w:spacing w:before="20" w:after="20"/>
              <w:jc w:val="right"/>
            </w:pPr>
            <w:r>
              <w:rPr>
                <w:rFonts w:ascii="Calibri" w:hAnsi="Calibri"/>
                <w:b w:val="0"/>
                <w:i w:val="0"/>
                <w:color w:val="222222"/>
                <w:sz w:val="17"/>
              </w:rPr>
              <w:t>—</w:t>
            </w:r>
          </w:p>
        </w:tc>
        <w:tc>
          <w:tcPr>
            <w:tcW w:type="dxa" w:w="2045"/>
            <w:tcMar>
              <w:top w:w="40" w:type="dxa"/>
              <w:bottom w:w="40" w:type="dxa"/>
              <w:start w:w="80" w:type="dxa"/>
              <w:end w:w="80" w:type="dxa"/>
            </w:tcMar>
            <w:shd w:val="clear" w:color="auto" w:fill="FCE4D6"/>
          </w:tcPr>
          <w:p>
            <w:pPr>
              <w:spacing w:before="20" w:after="20"/>
              <w:jc w:val="right"/>
            </w:pPr>
            <w:r>
              <w:rPr>
                <w:rFonts w:ascii="Calibri" w:hAnsi="Calibri"/>
                <w:b w:val="0"/>
                <w:i w:val="0"/>
                <w:color w:val="222222"/>
                <w:sz w:val="17"/>
              </w:rPr>
              <w:t>—</w:t>
            </w:r>
          </w:p>
        </w:tc>
      </w:tr>
      <w:tr>
        <w:tc>
          <w:tcPr>
            <w:tcW w:type="dxa" w:w="2045"/>
            <w:tcMar>
              <w:top w:w="40" w:type="dxa"/>
              <w:bottom w:w="40" w:type="dxa"/>
              <w:start w:w="80" w:type="dxa"/>
              <w:end w:w="80" w:type="dxa"/>
            </w:tcMar>
          </w:tcPr>
          <w:p>
            <w:pPr>
              <w:spacing w:before="20" w:after="20"/>
              <w:jc w:val="center"/>
            </w:pPr>
            <w:r>
              <w:rPr>
                <w:rFonts w:ascii="Calibri" w:hAnsi="Calibri"/>
                <w:b w:val="0"/>
                <w:i w:val="0"/>
                <w:color w:val="222222"/>
                <w:sz w:val="17"/>
              </w:rPr>
              <w:t>3D</w:t>
            </w:r>
          </w:p>
        </w:tc>
        <w:tc>
          <w:tcPr>
            <w:tcW w:type="dxa" w:w="2045"/>
            <w:tcMar>
              <w:top w:w="40" w:type="dxa"/>
              <w:bottom w:w="40" w:type="dxa"/>
              <w:start w:w="80" w:type="dxa"/>
              <w:end w:w="80" w:type="dxa"/>
            </w:tcMar>
          </w:tcPr>
          <w:p>
            <w:pPr>
              <w:spacing w:before="20" w:after="20"/>
              <w:jc w:val="left"/>
            </w:pPr>
            <w:r>
              <w:rPr>
                <w:rFonts w:ascii="Calibri" w:hAnsi="Calibri"/>
                <w:b w:val="0"/>
                <w:i w:val="0"/>
                <w:color w:val="222222"/>
                <w:sz w:val="17"/>
              </w:rPr>
              <w:t>Residential — 2BR (paid, M-to-M)</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$1,700.00</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$767.74</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$932.26</w:t>
            </w:r>
          </w:p>
        </w:tc>
      </w:tr>
      <w:tr>
        <w:tc>
          <w:tcPr>
            <w:tcW w:type="dxa" w:w="2045"/>
            <w:tcMar>
              <w:top w:w="40" w:type="dxa"/>
              <w:bottom w:w="40" w:type="dxa"/>
              <w:start w:w="80" w:type="dxa"/>
              <w:end w:w="80" w:type="dxa"/>
            </w:tcMar>
          </w:tcPr>
          <w:p>
            <w:pPr>
              <w:spacing w:before="20" w:after="20"/>
              <w:jc w:val="center"/>
            </w:pPr>
            <w:r>
              <w:rPr>
                <w:rFonts w:ascii="Calibri" w:hAnsi="Calibri"/>
                <w:b w:val="0"/>
                <w:i w:val="0"/>
                <w:color w:val="222222"/>
                <w:sz w:val="17"/>
              </w:rPr>
              <w:t>3E</w:t>
            </w:r>
          </w:p>
        </w:tc>
        <w:tc>
          <w:tcPr>
            <w:tcW w:type="dxa" w:w="2045"/>
            <w:tcMar>
              <w:top w:w="40" w:type="dxa"/>
              <w:bottom w:w="40" w:type="dxa"/>
              <w:start w:w="80" w:type="dxa"/>
              <w:end w:w="80" w:type="dxa"/>
            </w:tcMar>
          </w:tcPr>
          <w:p>
            <w:pPr>
              <w:spacing w:before="20" w:after="20"/>
              <w:jc w:val="left"/>
            </w:pPr>
            <w:r>
              <w:rPr>
                <w:rFonts w:ascii="Calibri" w:hAnsi="Calibri"/>
                <w:b w:val="0"/>
                <w:i w:val="0"/>
                <w:color w:val="222222"/>
                <w:sz w:val="17"/>
              </w:rPr>
              <w:t>Residential — 1BR (paid)</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$1,625.00</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$733.87</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$891.13</w:t>
            </w:r>
          </w:p>
        </w:tc>
      </w:tr>
      <w:tr>
        <w:tc>
          <w:tcPr>
            <w:tcW w:type="dxa" w:w="2045"/>
            <w:tcMar>
              <w:top w:w="40" w:type="dxa"/>
              <w:bottom w:w="40" w:type="dxa"/>
              <w:start w:w="80" w:type="dxa"/>
              <w:end w:w="80" w:type="dxa"/>
            </w:tcMar>
          </w:tcPr>
          <w:p>
            <w:pPr>
              <w:spacing w:before="20" w:after="20"/>
              <w:jc w:val="center"/>
            </w:pPr>
            <w:r>
              <w:rPr>
                <w:rFonts w:ascii="Calibri" w:hAnsi="Calibri"/>
                <w:b w:val="0"/>
                <w:i w:val="0"/>
                <w:color w:val="222222"/>
                <w:sz w:val="17"/>
              </w:rPr>
              <w:t>3F</w:t>
            </w:r>
          </w:p>
        </w:tc>
        <w:tc>
          <w:tcPr>
            <w:tcW w:type="dxa" w:w="2045"/>
            <w:tcMar>
              <w:top w:w="40" w:type="dxa"/>
              <w:bottom w:w="40" w:type="dxa"/>
              <w:start w:w="80" w:type="dxa"/>
              <w:end w:w="80" w:type="dxa"/>
            </w:tcMar>
          </w:tcPr>
          <w:p>
            <w:pPr>
              <w:spacing w:before="20" w:after="20"/>
              <w:jc w:val="left"/>
            </w:pPr>
            <w:r>
              <w:rPr>
                <w:rFonts w:ascii="Calibri" w:hAnsi="Calibri"/>
                <w:b w:val="0"/>
                <w:i w:val="0"/>
                <w:color w:val="222222"/>
                <w:sz w:val="17"/>
              </w:rPr>
              <w:t>Residential — 2BR (paid, M-to-M)</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$1,650.00</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$745.16</w:t>
            </w:r>
          </w:p>
        </w:tc>
        <w:tc>
          <w:tcPr>
            <w:tcW w:type="dxa" w:w="2045"/>
            <w:tcMar>
              <w:top w:w="40" w:type="dxa"/>
              <w:bottom w:w="40" w:type="dxa"/>
              <w:start w:w="80" w:type="dxa"/>
              <w:end w:w="80" w:type="dxa"/>
            </w:tcMar>
          </w:tcPr>
          <w:p>
            <w:pPr>
              <w:spacing w:before="20" w:after="20"/>
              <w:jc w:val="right"/>
            </w:pPr>
            <w:r>
              <w:rPr>
                <w:rFonts w:ascii="Calibri" w:hAnsi="Calibri"/>
                <w:b w:val="0"/>
                <w:i w:val="0"/>
                <w:color w:val="222222"/>
                <w:sz w:val="17"/>
              </w:rPr>
              <w:t>$904.84</w:t>
            </w:r>
          </w:p>
        </w:tc>
      </w:tr>
      <w:tr>
        <w:tc>
          <w:tcPr>
            <w:tcW w:type="dxa" w:w="2045"/>
            <w:tcMar>
              <w:top w:w="40" w:type="dxa"/>
              <w:bottom w:w="40" w:type="dxa"/>
              <w:start w:w="80" w:type="dxa"/>
              <w:end w:w="80" w:type="dxa"/>
            </w:tcMar>
            <w:shd w:val="clear" w:color="auto" w:fill="B8CCE4"/>
          </w:tcPr>
          <w:p>
            <w:pPr>
              <w:spacing w:before="20" w:after="20"/>
              <w:jc w:val="center"/>
            </w:pPr>
            <w:r>
              <w:rPr>
                <w:rFonts w:ascii="Calibri" w:hAnsi="Calibri"/>
                <w:b/>
                <w:i w:val="0"/>
                <w:color w:val="222222"/>
                <w:sz w:val="18"/>
              </w:rPr>
            </w:r>
          </w:p>
        </w:tc>
        <w:tc>
          <w:tcPr>
            <w:tcW w:type="dxa" w:w="2045"/>
            <w:tcMar>
              <w:top w:w="40" w:type="dxa"/>
              <w:bottom w:w="40" w:type="dxa"/>
              <w:start w:w="80" w:type="dxa"/>
              <w:end w:w="80" w:type="dxa"/>
            </w:tcMar>
            <w:shd w:val="clear" w:color="auto" w:fill="B8CCE4"/>
          </w:tcPr>
          <w:p>
            <w:pPr>
              <w:spacing w:before="20" w:after="20"/>
              <w:jc w:val="left"/>
            </w:pPr>
            <w:r>
              <w:rPr>
                <w:rFonts w:ascii="Calibri" w:hAnsi="Calibri"/>
                <w:b/>
                <w:i w:val="0"/>
                <w:color w:val="222222"/>
                <w:sz w:val="18"/>
              </w:rPr>
              <w:t>Total Collected Rents Prorated</w:t>
            </w:r>
          </w:p>
        </w:tc>
        <w:tc>
          <w:tcPr>
            <w:tcW w:type="dxa" w:w="2045"/>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$23,600.00</w:t>
            </w:r>
          </w:p>
        </w:tc>
        <w:tc>
          <w:tcPr>
            <w:tcW w:type="dxa" w:w="2045"/>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$10,658.05</w:t>
            </w:r>
          </w:p>
        </w:tc>
        <w:tc>
          <w:tcPr>
            <w:tcW w:type="dxa" w:w="2045"/>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$12,941.95</w:t>
            </w:r>
          </w:p>
        </w:tc>
      </w:tr>
    </w:tbl>
    <w:p>
      <w:pPr>
        <w:spacing w:before="40" w:after="40"/>
        <w:jc w:val="left"/>
      </w:pPr>
      <w:r>
        <w:rPr>
          <w:rFonts w:ascii="Calibri" w:hAnsi="Calibri"/>
          <w:b w:val="0"/>
          <w:i/>
          <w:color w:val="555555"/>
          <w:sz w:val="17"/>
        </w:rPr>
        <w:t>Net proration entry: Debit Seller $12,941.95 / Credit Buyer $12,941.95 (Seller remits Buyer's 17-day share of collected rents). Uncollected Unit 2E rent ($1,600.00) is excluded; Buyer may collect post-closing per §7.3(b), applying first to current rent and remitting any excess to Seller within 30 days.</w:t>
      </w:r>
    </w:p>
    <w:p>
      <w:pPr>
        <w:spacing w:before="160" w:after="80"/>
      </w:pPr>
      <w:r>
        <w:rPr>
          <w:rFonts w:ascii="Calibri" w:hAnsi="Calibri"/>
          <w:b/>
          <w:color w:val="1F3A5F"/>
          <w:sz w:val="22"/>
        </w:rPr>
        <w:t>II-C. Security Deposit Transfer</w:t>
      </w:r>
    </w:p>
    <w:p>
      <w:pPr>
        <w:spacing w:before="40" w:after="40"/>
        <w:jc w:val="left"/>
      </w:pPr>
      <w:r>
        <w:rPr>
          <w:rFonts w:ascii="Calibri" w:hAnsi="Calibri"/>
          <w:b w:val="0"/>
          <w:i/>
          <w:color w:val="555555"/>
          <w:sz w:val="18"/>
        </w:rPr>
        <w:t>All security deposits held by Seller/Property Manager transfer to Buyer at closing (PSA §7.4): debit Seller / credit Buyer.</w:t>
      </w:r>
    </w:p>
    <w:tbl>
      <w:tblPr>
        <w:tblW w:type="auto" w:w="0"/>
        <w:jc w:val="center"/>
        <w:tblLayout w:type="fixed"/>
        <w:tblLook w:firstColumn="1" w:firstRow="1" w:lastColumn="0" w:lastRow="0" w:noHBand="0" w:noVBand="1" w:val="04A0"/>
        <w:tblBorders>
          <w:top w:val="single" w:sz="4" w:space="0" w:color="9DB7D1"/>
          <w:left w:val="single" w:sz="4" w:space="0" w:color="9DB7D1"/>
          <w:bottom w:val="single" w:sz="4" w:space="0" w:color="9DB7D1"/>
          <w:right w:val="single" w:sz="4" w:space="0" w:color="9DB7D1"/>
          <w:insideH w:val="single" w:sz="4" w:space="0" w:color="9DB7D1"/>
          <w:insideV w:val="single" w:sz="4" w:space="0" w:color="9DB7D1"/>
        </w:tblBorders>
      </w:tblPr>
      <w:tblGrid>
        <w:gridCol w:w="3408"/>
        <w:gridCol w:w="3408"/>
        <w:gridCol w:w="3408"/>
      </w:tblGrid>
      <w:tr>
        <w:tc>
          <w:tcPr>
            <w:tcW w:type="dxa" w:w="1440"/>
            <w:shd w:val="clear" w:color="auto" w:fill="1F3A5F"/>
            <w:tcMar>
              <w:top w:w="40" w:type="dxa"/>
              <w:bottom w:w="40" w:type="dxa"/>
              <w:start w:w="80" w:type="dxa"/>
              <w:end w:w="80" w:type="dxa"/>
            </w:tcMar>
          </w:tcPr>
          <w:p>
            <w:pPr>
              <w:spacing w:before="20" w:after="20"/>
              <w:jc w:val="left"/>
            </w:pPr>
            <w:r>
              <w:rPr>
                <w:rFonts w:ascii="Calibri" w:hAnsi="Calibri"/>
                <w:b/>
                <w:i w:val="0"/>
                <w:color w:val="FFFFFF"/>
                <w:sz w:val="18"/>
              </w:rPr>
              <w:t>Unit</w:t>
            </w:r>
          </w:p>
        </w:tc>
        <w:tc>
          <w:tcPr>
            <w:tcW w:type="dxa" w:w="6192"/>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Description</w:t>
            </w:r>
          </w:p>
        </w:tc>
        <w:tc>
          <w:tcPr>
            <w:tcW w:type="dxa" w:w="3312"/>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Deposit Amount</w:t>
            </w:r>
          </w:p>
        </w:tc>
      </w:tr>
      <w:tr>
        <w:tc>
          <w:tcPr>
            <w:tcW w:type="dxa" w:w="3408"/>
            <w:tcMar>
              <w:top w:w="40" w:type="dxa"/>
              <w:bottom w:w="40" w:type="dxa"/>
              <w:start w:w="80" w:type="dxa"/>
              <w:end w:w="80" w:type="dxa"/>
            </w:tcMar>
          </w:tcPr>
          <w:p>
            <w:pPr>
              <w:spacing w:before="20" w:after="20"/>
              <w:jc w:val="center"/>
            </w:pPr>
            <w:r>
              <w:rPr>
                <w:rFonts w:ascii="Calibri" w:hAnsi="Calibri"/>
                <w:b w:val="0"/>
                <w:i w:val="0"/>
                <w:color w:val="222222"/>
                <w:sz w:val="17"/>
              </w:rPr>
              <w:t>GF</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Coastal Provisions Market LLC — commercial (2 months' rent)</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$14,400.00</w:t>
            </w:r>
          </w:p>
        </w:tc>
      </w:tr>
      <w:tr>
        <w:tc>
          <w:tcPr>
            <w:tcW w:type="dxa" w:w="3408"/>
            <w:tcMar>
              <w:top w:w="40" w:type="dxa"/>
              <w:bottom w:w="40" w:type="dxa"/>
              <w:start w:w="80" w:type="dxa"/>
              <w:end w:w="80" w:type="dxa"/>
            </w:tcMar>
          </w:tcPr>
          <w:p>
            <w:pPr>
              <w:spacing w:before="20" w:after="20"/>
              <w:jc w:val="center"/>
            </w:pPr>
            <w:r>
              <w:rPr>
                <w:rFonts w:ascii="Calibri" w:hAnsi="Calibri"/>
                <w:b w:val="0"/>
                <w:i w:val="0"/>
                <w:color w:val="222222"/>
                <w:sz w:val="17"/>
              </w:rPr>
              <w:t>2A</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Residential — 1BR</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$1,650.00</w:t>
            </w:r>
          </w:p>
        </w:tc>
      </w:tr>
      <w:tr>
        <w:tc>
          <w:tcPr>
            <w:tcW w:type="dxa" w:w="3408"/>
            <w:tcMar>
              <w:top w:w="40" w:type="dxa"/>
              <w:bottom w:w="40" w:type="dxa"/>
              <w:start w:w="80" w:type="dxa"/>
              <w:end w:w="80" w:type="dxa"/>
            </w:tcMar>
          </w:tcPr>
          <w:p>
            <w:pPr>
              <w:spacing w:before="20" w:after="20"/>
              <w:jc w:val="center"/>
            </w:pPr>
            <w:r>
              <w:rPr>
                <w:rFonts w:ascii="Calibri" w:hAnsi="Calibri"/>
                <w:b w:val="0"/>
                <w:i w:val="0"/>
                <w:color w:val="222222"/>
                <w:sz w:val="17"/>
              </w:rPr>
              <w:t>2B</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Residential — 1BR</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$1,575.00</w:t>
            </w:r>
          </w:p>
        </w:tc>
      </w:tr>
      <w:tr>
        <w:tc>
          <w:tcPr>
            <w:tcW w:type="dxa" w:w="3408"/>
            <w:tcMar>
              <w:top w:w="40" w:type="dxa"/>
              <w:bottom w:w="40" w:type="dxa"/>
              <w:start w:w="80" w:type="dxa"/>
              <w:end w:w="80" w:type="dxa"/>
            </w:tcMar>
          </w:tcPr>
          <w:p>
            <w:pPr>
              <w:spacing w:before="20" w:after="20"/>
              <w:jc w:val="center"/>
            </w:pPr>
            <w:r>
              <w:rPr>
                <w:rFonts w:ascii="Calibri" w:hAnsi="Calibri"/>
                <w:b w:val="0"/>
                <w:i w:val="0"/>
                <w:color w:val="222222"/>
                <w:sz w:val="17"/>
              </w:rPr>
              <w:t>2C</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Residential — 2BR</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$1,700.00</w:t>
            </w:r>
          </w:p>
        </w:tc>
      </w:tr>
      <w:tr>
        <w:tc>
          <w:tcPr>
            <w:tcW w:type="dxa" w:w="3408"/>
            <w:tcMar>
              <w:top w:w="40" w:type="dxa"/>
              <w:bottom w:w="40" w:type="dxa"/>
              <w:start w:w="80" w:type="dxa"/>
              <w:end w:w="80" w:type="dxa"/>
            </w:tcMar>
          </w:tcPr>
          <w:p>
            <w:pPr>
              <w:spacing w:before="20" w:after="20"/>
              <w:jc w:val="center"/>
            </w:pPr>
            <w:r>
              <w:rPr>
                <w:rFonts w:ascii="Calibri" w:hAnsi="Calibri"/>
                <w:b w:val="0"/>
                <w:i w:val="0"/>
                <w:color w:val="222222"/>
                <w:sz w:val="17"/>
              </w:rPr>
              <w:t>2D</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Residential — 1BR</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$1,525.00</w:t>
            </w:r>
          </w:p>
        </w:tc>
      </w:tr>
      <w:tr>
        <w:tc>
          <w:tcPr>
            <w:tcW w:type="dxa" w:w="3408"/>
            <w:tcMar>
              <w:top w:w="40" w:type="dxa"/>
              <w:bottom w:w="40" w:type="dxa"/>
              <w:start w:w="80" w:type="dxa"/>
              <w:end w:w="80" w:type="dxa"/>
            </w:tcMar>
          </w:tcPr>
          <w:p>
            <w:pPr>
              <w:spacing w:before="20" w:after="20"/>
              <w:jc w:val="center"/>
            </w:pPr>
            <w:r>
              <w:rPr>
                <w:rFonts w:ascii="Calibri" w:hAnsi="Calibri"/>
                <w:b w:val="0"/>
                <w:i w:val="0"/>
                <w:color w:val="222222"/>
                <w:sz w:val="17"/>
              </w:rPr>
              <w:t>2E</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Residential — 1BR (tenant delinquent; deposit retained)</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$1,600.00</w:t>
            </w:r>
          </w:p>
        </w:tc>
      </w:tr>
      <w:tr>
        <w:tc>
          <w:tcPr>
            <w:tcW w:type="dxa" w:w="3408"/>
            <w:tcMar>
              <w:top w:w="40" w:type="dxa"/>
              <w:bottom w:w="40" w:type="dxa"/>
              <w:start w:w="80" w:type="dxa"/>
              <w:end w:w="80" w:type="dxa"/>
            </w:tcMar>
          </w:tcPr>
          <w:p>
            <w:pPr>
              <w:spacing w:before="20" w:after="20"/>
              <w:jc w:val="center"/>
            </w:pPr>
            <w:r>
              <w:rPr>
                <w:rFonts w:ascii="Calibri" w:hAnsi="Calibri"/>
                <w:b w:val="0"/>
                <w:i w:val="0"/>
                <w:color w:val="222222"/>
                <w:sz w:val="17"/>
              </w:rPr>
              <w:t>2F</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Residential — 2BR</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$1,650.00</w:t>
            </w:r>
          </w:p>
        </w:tc>
      </w:tr>
      <w:tr>
        <w:tc>
          <w:tcPr>
            <w:tcW w:type="dxa" w:w="3408"/>
            <w:tcMar>
              <w:top w:w="40" w:type="dxa"/>
              <w:bottom w:w="40" w:type="dxa"/>
              <w:start w:w="80" w:type="dxa"/>
              <w:end w:w="80" w:type="dxa"/>
            </w:tcMar>
          </w:tcPr>
          <w:p>
            <w:pPr>
              <w:spacing w:before="20" w:after="20"/>
              <w:jc w:val="center"/>
            </w:pPr>
            <w:r>
              <w:rPr>
                <w:rFonts w:ascii="Calibri" w:hAnsi="Calibri"/>
                <w:b w:val="0"/>
                <w:i w:val="0"/>
                <w:color w:val="222222"/>
                <w:sz w:val="17"/>
              </w:rPr>
              <w:t>3A</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Residential — 2BR</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$1,750.00</w:t>
            </w:r>
          </w:p>
        </w:tc>
      </w:tr>
      <w:tr>
        <w:tc>
          <w:tcPr>
            <w:tcW w:type="dxa" w:w="3408"/>
            <w:tcMar>
              <w:top w:w="40" w:type="dxa"/>
              <w:bottom w:w="40" w:type="dxa"/>
              <w:start w:w="80" w:type="dxa"/>
              <w:end w:w="80" w:type="dxa"/>
            </w:tcMar>
          </w:tcPr>
          <w:p>
            <w:pPr>
              <w:spacing w:before="20" w:after="20"/>
              <w:jc w:val="center"/>
            </w:pPr>
            <w:r>
              <w:rPr>
                <w:rFonts w:ascii="Calibri" w:hAnsi="Calibri"/>
                <w:b w:val="0"/>
                <w:i w:val="0"/>
                <w:color w:val="222222"/>
                <w:sz w:val="17"/>
              </w:rPr>
              <w:t>3B</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Residential — 1BR</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$1,575.00</w:t>
            </w:r>
          </w:p>
        </w:tc>
      </w:tr>
      <w:tr>
        <w:tc>
          <w:tcPr>
            <w:tcW w:type="dxa" w:w="3408"/>
            <w:tcMar>
              <w:top w:w="40" w:type="dxa"/>
              <w:bottom w:w="40" w:type="dxa"/>
              <w:start w:w="80" w:type="dxa"/>
              <w:end w:w="80" w:type="dxa"/>
            </w:tcMar>
          </w:tcPr>
          <w:p>
            <w:pPr>
              <w:spacing w:before="20" w:after="20"/>
              <w:jc w:val="center"/>
            </w:pPr>
            <w:r>
              <w:rPr>
                <w:rFonts w:ascii="Calibri" w:hAnsi="Calibri"/>
                <w:b w:val="0"/>
                <w:i w:val="0"/>
                <w:color w:val="222222"/>
                <w:sz w:val="17"/>
              </w:rPr>
              <w:t>3C</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Residential — VACANT (no deposit held)</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$0.00</w:t>
            </w:r>
          </w:p>
        </w:tc>
      </w:tr>
      <w:tr>
        <w:tc>
          <w:tcPr>
            <w:tcW w:type="dxa" w:w="3408"/>
            <w:tcMar>
              <w:top w:w="40" w:type="dxa"/>
              <w:bottom w:w="40" w:type="dxa"/>
              <w:start w:w="80" w:type="dxa"/>
              <w:end w:w="80" w:type="dxa"/>
            </w:tcMar>
          </w:tcPr>
          <w:p>
            <w:pPr>
              <w:spacing w:before="20" w:after="20"/>
              <w:jc w:val="center"/>
            </w:pPr>
            <w:r>
              <w:rPr>
                <w:rFonts w:ascii="Calibri" w:hAnsi="Calibri"/>
                <w:b w:val="0"/>
                <w:i w:val="0"/>
                <w:color w:val="222222"/>
                <w:sz w:val="17"/>
              </w:rPr>
              <w:t>3D</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Residential — 2BR</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$1,700.00</w:t>
            </w:r>
          </w:p>
        </w:tc>
      </w:tr>
      <w:tr>
        <w:tc>
          <w:tcPr>
            <w:tcW w:type="dxa" w:w="3408"/>
            <w:tcMar>
              <w:top w:w="40" w:type="dxa"/>
              <w:bottom w:w="40" w:type="dxa"/>
              <w:start w:w="80" w:type="dxa"/>
              <w:end w:w="80" w:type="dxa"/>
            </w:tcMar>
          </w:tcPr>
          <w:p>
            <w:pPr>
              <w:spacing w:before="20" w:after="20"/>
              <w:jc w:val="center"/>
            </w:pPr>
            <w:r>
              <w:rPr>
                <w:rFonts w:ascii="Calibri" w:hAnsi="Calibri"/>
                <w:b w:val="0"/>
                <w:i w:val="0"/>
                <w:color w:val="222222"/>
                <w:sz w:val="17"/>
              </w:rPr>
              <w:t>3E</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Residential — 1BR</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$1,625.00</w:t>
            </w:r>
          </w:p>
        </w:tc>
      </w:tr>
      <w:tr>
        <w:tc>
          <w:tcPr>
            <w:tcW w:type="dxa" w:w="3408"/>
            <w:tcMar>
              <w:top w:w="40" w:type="dxa"/>
              <w:bottom w:w="40" w:type="dxa"/>
              <w:start w:w="80" w:type="dxa"/>
              <w:end w:w="80" w:type="dxa"/>
            </w:tcMar>
          </w:tcPr>
          <w:p>
            <w:pPr>
              <w:spacing w:before="20" w:after="20"/>
              <w:jc w:val="center"/>
            </w:pPr>
            <w:r>
              <w:rPr>
                <w:rFonts w:ascii="Calibri" w:hAnsi="Calibri"/>
                <w:b w:val="0"/>
                <w:i w:val="0"/>
                <w:color w:val="222222"/>
                <w:sz w:val="17"/>
              </w:rPr>
              <w:t>3F</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Residential — 2BR</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$1,650.00</w:t>
            </w:r>
          </w:p>
        </w:tc>
      </w:tr>
      <w:tr>
        <w:tc>
          <w:tcPr>
            <w:tcW w:type="dxa" w:w="3408"/>
            <w:tcMar>
              <w:top w:w="40" w:type="dxa"/>
              <w:bottom w:w="40" w:type="dxa"/>
              <w:start w:w="80" w:type="dxa"/>
              <w:end w:w="80" w:type="dxa"/>
            </w:tcMar>
            <w:shd w:val="clear" w:color="auto" w:fill="B8CCE4"/>
          </w:tcPr>
          <w:p>
            <w:pPr>
              <w:spacing w:before="20" w:after="20"/>
              <w:jc w:val="center"/>
            </w:pPr>
            <w:r>
              <w:rPr>
                <w:rFonts w:ascii="Calibri" w:hAnsi="Calibri"/>
                <w:b/>
                <w:i w:val="0"/>
                <w:color w:val="222222"/>
                <w:sz w:val="18"/>
              </w:rPr>
            </w:r>
          </w:p>
        </w:tc>
        <w:tc>
          <w:tcPr>
            <w:tcW w:type="dxa" w:w="3408"/>
            <w:tcMar>
              <w:top w:w="40" w:type="dxa"/>
              <w:bottom w:w="40" w:type="dxa"/>
              <w:start w:w="80" w:type="dxa"/>
              <w:end w:w="80" w:type="dxa"/>
            </w:tcMar>
            <w:shd w:val="clear" w:color="auto" w:fill="B8CCE4"/>
          </w:tcPr>
          <w:p>
            <w:pPr>
              <w:spacing w:before="20" w:after="20"/>
              <w:jc w:val="left"/>
            </w:pPr>
            <w:r>
              <w:rPr>
                <w:rFonts w:ascii="Calibri" w:hAnsi="Calibri"/>
                <w:b/>
                <w:i w:val="0"/>
                <w:color w:val="222222"/>
                <w:sz w:val="18"/>
              </w:rPr>
              <w:t>Total Security Deposits Transferred</w:t>
            </w:r>
          </w:p>
        </w:tc>
        <w:tc>
          <w:tcPr>
            <w:tcW w:type="dxa" w:w="3408"/>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$32,400.00</w:t>
            </w:r>
          </w:p>
        </w:tc>
      </w:tr>
    </w:tbl>
    <w:p>
      <w:pPr>
        <w:spacing w:before="40" w:after="40"/>
        <w:jc w:val="left"/>
      </w:pPr>
      <w:r>
        <w:rPr>
          <w:rFonts w:ascii="Calibri" w:hAnsi="Calibri"/>
          <w:b w:val="0"/>
          <w:i/>
          <w:color w:val="555555"/>
          <w:sz w:val="17"/>
        </w:rPr>
        <w:t>Residential deposits ($18,000.00) held in interest-bearing escrow at Harborstone FCU; commercial deposit ($14,400.00) non-interest-bearing. Accrued interest on residential deposits (CGS §47a-21), if any, to be confirmed and added — see Notes Memo.</w:t>
      </w:r>
    </w:p>
    <w:p>
      <w:pPr>
        <w:spacing w:before="160" w:after="80"/>
      </w:pPr>
      <w:r>
        <w:rPr>
          <w:rFonts w:ascii="Calibri" w:hAnsi="Calibri"/>
          <w:b/>
          <w:color w:val="1F3A5F"/>
          <w:sz w:val="22"/>
        </w:rPr>
        <w:t>II-D. Utility Proration — Water &amp; Sewer (WPCA)</w:t>
      </w:r>
    </w:p>
    <w:tbl>
      <w:tblPr>
        <w:tblW w:type="auto" w:w="0"/>
        <w:jc w:val="center"/>
        <w:tblLayout w:type="fixed"/>
        <w:tblLook w:firstColumn="1" w:firstRow="1" w:lastColumn="0" w:lastRow="0" w:noHBand="0" w:noVBand="1" w:val="04A0"/>
        <w:tblBorders>
          <w:top w:val="single" w:sz="4" w:space="0" w:color="9DB7D1"/>
          <w:left w:val="single" w:sz="4" w:space="0" w:color="9DB7D1"/>
          <w:bottom w:val="single" w:sz="4" w:space="0" w:color="9DB7D1"/>
          <w:right w:val="single" w:sz="4" w:space="0" w:color="9DB7D1"/>
          <w:insideH w:val="single" w:sz="4" w:space="0" w:color="9DB7D1"/>
          <w:insideV w:val="single" w:sz="4" w:space="0" w:color="9DB7D1"/>
        </w:tblBorders>
      </w:tblPr>
      <w:tblGrid>
        <w:gridCol w:w="3408"/>
        <w:gridCol w:w="3408"/>
        <w:gridCol w:w="3408"/>
      </w:tblGrid>
      <w:tr>
        <w:tc>
          <w:tcPr>
            <w:tcW w:type="dxa" w:w="5184"/>
            <w:shd w:val="clear" w:color="auto" w:fill="1F3A5F"/>
            <w:tcMar>
              <w:top w:w="40" w:type="dxa"/>
              <w:bottom w:w="40" w:type="dxa"/>
              <w:start w:w="80" w:type="dxa"/>
              <w:end w:w="80" w:type="dxa"/>
            </w:tcMar>
          </w:tcPr>
          <w:p>
            <w:pPr>
              <w:spacing w:before="20" w:after="20"/>
              <w:jc w:val="left"/>
            </w:pPr>
            <w:r>
              <w:rPr>
                <w:rFonts w:ascii="Calibri" w:hAnsi="Calibri"/>
                <w:b/>
                <w:i w:val="0"/>
                <w:color w:val="FFFFFF"/>
                <w:sz w:val="18"/>
              </w:rPr>
              <w:t>Item</w:t>
            </w:r>
          </w:p>
        </w:tc>
        <w:tc>
          <w:tcPr>
            <w:tcW w:type="dxa" w:w="3168"/>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Amount</w:t>
            </w:r>
          </w:p>
        </w:tc>
        <w:tc>
          <w:tcPr>
            <w:tcW w:type="dxa" w:w="2592"/>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Party</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8"/>
              </w:rPr>
              <w:t>Billing period May 15 – July 14, 2025 (61 days; ends before closing)</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$1,847.60</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Seller (100%)</w:t>
            </w:r>
          </w:p>
        </w:tc>
      </w:tr>
      <w:tr>
        <w:tc>
          <w:tcPr>
            <w:tcW w:type="dxa" w:w="3408"/>
            <w:tcMar>
              <w:top w:w="40" w:type="dxa"/>
              <w:bottom w:w="40" w:type="dxa"/>
              <w:start w:w="80" w:type="dxa"/>
              <w:end w:w="80" w:type="dxa"/>
            </w:tcMar>
            <w:shd w:val="clear" w:color="auto" w:fill="B8CCE4"/>
          </w:tcPr>
          <w:p>
            <w:pPr>
              <w:spacing w:before="20" w:after="20"/>
              <w:jc w:val="left"/>
            </w:pPr>
            <w:r>
              <w:rPr>
                <w:rFonts w:ascii="Calibri" w:hAnsi="Calibri"/>
                <w:b/>
                <w:i w:val="0"/>
                <w:color w:val="222222"/>
                <w:sz w:val="18"/>
              </w:rPr>
              <w:t>Water/sewer final balance — paid from Seller's proceeds</w:t>
            </w:r>
          </w:p>
        </w:tc>
        <w:tc>
          <w:tcPr>
            <w:tcW w:type="dxa" w:w="3408"/>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$1,847.60</w:t>
            </w:r>
          </w:p>
        </w:tc>
        <w:tc>
          <w:tcPr>
            <w:tcW w:type="dxa" w:w="3408"/>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Seller (debit)</w:t>
            </w:r>
          </w:p>
        </w:tc>
      </w:tr>
    </w:tbl>
    <w:p>
      <w:pPr>
        <w:spacing w:before="40" w:after="40"/>
        <w:jc w:val="left"/>
      </w:pPr>
      <w:r>
        <w:rPr>
          <w:rFonts w:ascii="Calibri" w:hAnsi="Calibri"/>
          <w:b w:val="0"/>
          <w:i/>
          <w:color w:val="555555"/>
          <w:sz w:val="17"/>
        </w:rPr>
        <w:t>Entire billing period precedes the closing date, so 100% is Seller's responsibility (PSA §7.5(a)). Satisfied from Seller's proceeds to the City of Bridgeport per municipal payoff statement (Cert. TLC-2025-04892). Gas and electric accounts not addressed in provided documents — see Notes Memo.</w:t>
      </w:r>
    </w:p>
    <w:p>
      <w:pPr>
        <w:spacing w:before="160" w:after="80"/>
      </w:pPr>
      <w:r>
        <w:rPr>
          <w:rFonts w:ascii="Calibri" w:hAnsi="Calibri"/>
          <w:b/>
          <w:color w:val="1F3A5F"/>
          <w:sz w:val="22"/>
        </w:rPr>
        <w:t>II-E. Heating Oil Adjustment</w:t>
      </w:r>
    </w:p>
    <w:tbl>
      <w:tblPr>
        <w:tblW w:type="auto" w:w="0"/>
        <w:jc w:val="center"/>
        <w:tblLayout w:type="fixed"/>
        <w:tblLook w:firstColumn="1" w:firstRow="1" w:lastColumn="0" w:lastRow="0" w:noHBand="0" w:noVBand="1" w:val="04A0"/>
        <w:tblBorders>
          <w:top w:val="single" w:sz="4" w:space="0" w:color="9DB7D1"/>
          <w:left w:val="single" w:sz="4" w:space="0" w:color="9DB7D1"/>
          <w:bottom w:val="single" w:sz="4" w:space="0" w:color="9DB7D1"/>
          <w:right w:val="single" w:sz="4" w:space="0" w:color="9DB7D1"/>
          <w:insideH w:val="single" w:sz="4" w:space="0" w:color="9DB7D1"/>
          <w:insideV w:val="single" w:sz="4" w:space="0" w:color="9DB7D1"/>
        </w:tblBorders>
      </w:tblPr>
      <w:tblGrid>
        <w:gridCol w:w="3408"/>
        <w:gridCol w:w="3408"/>
        <w:gridCol w:w="3408"/>
      </w:tblGrid>
      <w:tr>
        <w:tc>
          <w:tcPr>
            <w:tcW w:type="dxa" w:w="5184"/>
            <w:shd w:val="clear" w:color="auto" w:fill="1F3A5F"/>
            <w:tcMar>
              <w:top w:w="40" w:type="dxa"/>
              <w:bottom w:w="40" w:type="dxa"/>
              <w:start w:w="80" w:type="dxa"/>
              <w:end w:w="80" w:type="dxa"/>
            </w:tcMar>
          </w:tcPr>
          <w:p>
            <w:pPr>
              <w:spacing w:before="20" w:after="20"/>
              <w:jc w:val="left"/>
            </w:pPr>
            <w:r>
              <w:rPr>
                <w:rFonts w:ascii="Calibri" w:hAnsi="Calibri"/>
                <w:b/>
                <w:i w:val="0"/>
                <w:color w:val="FFFFFF"/>
                <w:sz w:val="18"/>
              </w:rPr>
              <w:t>Item</w:t>
            </w:r>
          </w:p>
        </w:tc>
        <w:tc>
          <w:tcPr>
            <w:tcW w:type="dxa" w:w="3168"/>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Amount</w:t>
            </w:r>
          </w:p>
        </w:tc>
        <w:tc>
          <w:tcPr>
            <w:tcW w:type="dxa" w:w="2592"/>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Entry</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8"/>
              </w:rPr>
              <w:t>Gallons remaining (gauge reading, 7/14/2025)</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180 gal</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8"/>
              </w:rPr>
              <w:t>Seller's last delivered price (Shoreline Fuel, 6/2/2025)</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$3.85/gal</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w:t>
            </w:r>
          </w:p>
        </w:tc>
      </w:tr>
      <w:tr>
        <w:tc>
          <w:tcPr>
            <w:tcW w:type="dxa" w:w="3408"/>
            <w:tcMar>
              <w:top w:w="40" w:type="dxa"/>
              <w:bottom w:w="40" w:type="dxa"/>
              <w:start w:w="80" w:type="dxa"/>
              <w:end w:w="80" w:type="dxa"/>
            </w:tcMar>
            <w:shd w:val="clear" w:color="auto" w:fill="B8CCE4"/>
          </w:tcPr>
          <w:p>
            <w:pPr>
              <w:spacing w:before="20" w:after="20"/>
              <w:jc w:val="left"/>
            </w:pPr>
            <w:r>
              <w:rPr>
                <w:rFonts w:ascii="Calibri" w:hAnsi="Calibri"/>
                <w:b/>
                <w:i w:val="0"/>
                <w:color w:val="222222"/>
                <w:sz w:val="18"/>
              </w:rPr>
              <w:t>Heating oil reimbursement (180 × $3.85)</w:t>
            </w:r>
          </w:p>
        </w:tc>
        <w:tc>
          <w:tcPr>
            <w:tcW w:type="dxa" w:w="3408"/>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$693.00</w:t>
            </w:r>
          </w:p>
        </w:tc>
        <w:tc>
          <w:tcPr>
            <w:tcW w:type="dxa" w:w="3408"/>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Debit Buyer / Credit Seller</w:t>
            </w:r>
          </w:p>
        </w:tc>
      </w:tr>
    </w:tbl>
    <w:p>
      <w:pPr>
        <w:spacing w:before="160" w:after="80"/>
      </w:pPr>
      <w:r>
        <w:rPr>
          <w:rFonts w:ascii="Calibri" w:hAnsi="Calibri"/>
          <w:b/>
          <w:color w:val="1F3A5F"/>
          <w:sz w:val="22"/>
        </w:rPr>
        <w:t>II-F. Proration Summary (Net Entries)</w:t>
      </w:r>
    </w:p>
    <w:tbl>
      <w:tblPr>
        <w:tblW w:type="auto" w:w="0"/>
        <w:jc w:val="center"/>
        <w:tblLayout w:type="fixed"/>
        <w:tblLook w:firstColumn="1" w:firstRow="1" w:lastColumn="0" w:lastRow="0" w:noHBand="0" w:noVBand="1" w:val="04A0"/>
        <w:tblBorders>
          <w:top w:val="single" w:sz="4" w:space="0" w:color="9DB7D1"/>
          <w:left w:val="single" w:sz="4" w:space="0" w:color="9DB7D1"/>
          <w:bottom w:val="single" w:sz="4" w:space="0" w:color="9DB7D1"/>
          <w:right w:val="single" w:sz="4" w:space="0" w:color="9DB7D1"/>
          <w:insideH w:val="single" w:sz="4" w:space="0" w:color="9DB7D1"/>
          <w:insideV w:val="single" w:sz="4" w:space="0" w:color="9DB7D1"/>
        </w:tblBorders>
      </w:tblPr>
      <w:tblGrid>
        <w:gridCol w:w="3408"/>
        <w:gridCol w:w="3408"/>
        <w:gridCol w:w="3408"/>
      </w:tblGrid>
      <w:tr>
        <w:tc>
          <w:tcPr>
            <w:tcW w:type="dxa" w:w="5184"/>
            <w:shd w:val="clear" w:color="auto" w:fill="1F3A5F"/>
            <w:tcMar>
              <w:top w:w="40" w:type="dxa"/>
              <w:bottom w:w="40" w:type="dxa"/>
              <w:start w:w="80" w:type="dxa"/>
              <w:end w:w="80" w:type="dxa"/>
            </w:tcMar>
          </w:tcPr>
          <w:p>
            <w:pPr>
              <w:spacing w:before="20" w:after="20"/>
              <w:jc w:val="left"/>
            </w:pPr>
            <w:r>
              <w:rPr>
                <w:rFonts w:ascii="Calibri" w:hAnsi="Calibri"/>
                <w:b/>
                <w:i w:val="0"/>
                <w:color w:val="FFFFFF"/>
                <w:sz w:val="18"/>
              </w:rPr>
              <w:t>Proration / Adjustment</w:t>
            </w:r>
          </w:p>
        </w:tc>
        <w:tc>
          <w:tcPr>
            <w:tcW w:type="dxa" w:w="3168"/>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Debit Seller</w:t>
            </w:r>
          </w:p>
        </w:tc>
        <w:tc>
          <w:tcPr>
            <w:tcW w:type="dxa" w:w="2592"/>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Credit Buyer</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8"/>
              </w:rPr>
              <w:t>Next-FY real property tax (Seller's 14 days)</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$2,012.93</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$2,012.93</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8"/>
              </w:rPr>
              <w:t>Collected rents (Buyer's 17-day share)</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$12,941.95</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$12,941.95</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8"/>
              </w:rPr>
              <w:t>Security deposits transferred</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$32,400.00</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$32,400.00</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8"/>
              </w:rPr>
              <w:t>Heating oil reimbursement (reverse entry)</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 xml:space="preserve">  Heating oil — Debit Buyer / Credit Seller</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$693.00 (Buyer db)</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$693.00 (Seller cr)</w:t>
            </w:r>
          </w:p>
        </w:tc>
      </w:tr>
      <w:tr>
        <w:tc>
          <w:tcPr>
            <w:tcW w:type="dxa" w:w="3408"/>
            <w:tcMar>
              <w:top w:w="40" w:type="dxa"/>
              <w:bottom w:w="40" w:type="dxa"/>
              <w:start w:w="80" w:type="dxa"/>
              <w:end w:w="80" w:type="dxa"/>
            </w:tcMar>
            <w:shd w:val="clear" w:color="auto" w:fill="B8CCE4"/>
          </w:tcPr>
          <w:p>
            <w:pPr>
              <w:spacing w:before="20" w:after="20"/>
              <w:jc w:val="left"/>
            </w:pPr>
            <w:r>
              <w:rPr>
                <w:rFonts w:ascii="Calibri" w:hAnsi="Calibri"/>
                <w:b/>
                <w:i w:val="0"/>
                <w:color w:val="222222"/>
                <w:sz w:val="18"/>
              </w:rPr>
              <w:t>Total proration adjustments</w:t>
            </w:r>
          </w:p>
        </w:tc>
        <w:tc>
          <w:tcPr>
            <w:tcW w:type="dxa" w:w="3408"/>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$47,354.88</w:t>
            </w:r>
          </w:p>
        </w:tc>
        <w:tc>
          <w:tcPr>
            <w:tcW w:type="dxa" w:w="3408"/>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$47,354.88</w:t>
            </w:r>
          </w:p>
        </w:tc>
      </w:tr>
    </w:tbl>
    <w:p>
      <w:pPr>
        <w:spacing w:before="280" w:after="80"/>
        <w:pBdr>
          <w:bottom w:val="single" w:sz="6" w:space="2" w:color="1F3A5F"/>
        </w:pBdr>
      </w:pPr>
      <w:r>
        <w:rPr>
          <w:rFonts w:ascii="Calibri" w:hAnsi="Calibri"/>
          <w:b/>
          <w:color w:val="1F3A5F"/>
          <w:sz w:val="24"/>
        </w:rPr>
        <w:t>III. Settlement Statement</w:t>
      </w:r>
    </w:p>
    <w:p>
      <w:pPr>
        <w:spacing w:before="120" w:after="40"/>
        <w:jc w:val="left"/>
      </w:pPr>
      <w:r>
        <w:rPr>
          <w:rFonts w:ascii="Calibri" w:hAnsi="Calibri"/>
          <w:b/>
          <w:i w:val="0"/>
          <w:color w:val="1F3A5F"/>
          <w:sz w:val="21"/>
        </w:rPr>
        <w:t>SELLER'S STATEMENT — Estate of Gerald T. Whitford</w:t>
      </w:r>
    </w:p>
    <w:tbl>
      <w:tblPr>
        <w:tblW w:type="auto" w:w="0"/>
        <w:jc w:val="center"/>
        <w:tblLayout w:type="fixed"/>
        <w:tblLook w:firstColumn="1" w:firstRow="1" w:lastColumn="0" w:lastRow="0" w:noHBand="0" w:noVBand="1" w:val="04A0"/>
        <w:tblBorders>
          <w:top w:val="single" w:sz="4" w:space="0" w:color="9DB7D1"/>
          <w:left w:val="single" w:sz="4" w:space="0" w:color="9DB7D1"/>
          <w:bottom w:val="single" w:sz="4" w:space="0" w:color="9DB7D1"/>
          <w:right w:val="single" w:sz="4" w:space="0" w:color="9DB7D1"/>
          <w:insideH w:val="single" w:sz="4" w:space="0" w:color="9DB7D1"/>
          <w:insideV w:val="single" w:sz="4" w:space="0" w:color="9DB7D1"/>
        </w:tblBorders>
      </w:tblPr>
      <w:tblGrid>
        <w:gridCol w:w="5112"/>
        <w:gridCol w:w="5112"/>
      </w:tblGrid>
      <w:tr>
        <w:tc>
          <w:tcPr>
            <w:tcW w:type="dxa" w:w="7920"/>
            <w:shd w:val="clear" w:color="auto" w:fill="1F3A5F"/>
            <w:tcMar>
              <w:top w:w="40" w:type="dxa"/>
              <w:bottom w:w="40" w:type="dxa"/>
              <w:start w:w="80" w:type="dxa"/>
              <w:end w:w="80" w:type="dxa"/>
            </w:tcMar>
          </w:tcPr>
          <w:p>
            <w:pPr>
              <w:spacing w:before="20" w:after="20"/>
              <w:jc w:val="left"/>
            </w:pPr>
            <w:r>
              <w:rPr>
                <w:rFonts w:ascii="Calibri" w:hAnsi="Calibri"/>
                <w:b/>
                <w:i w:val="0"/>
                <w:color w:val="FFFFFF"/>
                <w:sz w:val="18"/>
              </w:rPr>
              <w:t>Credits / (Debits) to Seller</w:t>
            </w:r>
          </w:p>
        </w:tc>
        <w:tc>
          <w:tcPr>
            <w:tcW w:type="dxa" w:w="3024"/>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Amount</w:t>
            </w:r>
          </w:p>
        </w:tc>
      </w:tr>
      <w:tr>
        <w:tc>
          <w:tcPr>
            <w:tcW w:type="dxa" w:w="5112"/>
            <w:tcMar>
              <w:top w:w="40" w:type="dxa"/>
              <w:bottom w:w="40" w:type="dxa"/>
              <w:start w:w="80" w:type="dxa"/>
              <w:end w:w="80" w:type="dxa"/>
            </w:tcMar>
            <w:shd w:val="clear" w:color="auto" w:fill="DCE6F1"/>
          </w:tcPr>
          <w:p>
            <w:pPr>
              <w:spacing w:before="20" w:after="20"/>
              <w:jc w:val="left"/>
            </w:pPr>
            <w:r>
              <w:rPr>
                <w:rFonts w:ascii="Calibri" w:hAnsi="Calibri"/>
                <w:b/>
                <w:i w:val="0"/>
                <w:color w:val="1F3A5F"/>
                <w:sz w:val="18"/>
              </w:rPr>
              <w:t>CREDITS TO SELLER</w:t>
            </w:r>
          </w:p>
        </w:tc>
        <w:tc>
          <w:tcPr>
            <w:tcW w:type="dxa" w:w="5112"/>
            <w:tcMar>
              <w:top w:w="40" w:type="dxa"/>
              <w:bottom w:w="40" w:type="dxa"/>
              <w:start w:w="80" w:type="dxa"/>
              <w:end w:w="80" w:type="dxa"/>
            </w:tcMar>
            <w:shd w:val="clear" w:color="auto" w:fill="DCE6F1"/>
          </w:tcPr>
          <w:p>
            <w:pPr>
              <w:spacing w:before="20" w:after="20"/>
              <w:jc w:val="right"/>
            </w:pPr>
            <w:r>
              <w:rPr>
                <w:rFonts w:ascii="Calibri" w:hAnsi="Calibri"/>
                <w:b/>
                <w:i w:val="0"/>
                <w:color w:val="1F3A5F"/>
                <w:sz w:val="18"/>
              </w:rPr>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Contract purchase price</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$3,900,000.00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Heating oil reimbursement (from Buyer, §7.6)</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$693.00</w:t>
            </w:r>
          </w:p>
        </w:tc>
      </w:tr>
      <w:tr>
        <w:tc>
          <w:tcPr>
            <w:tcW w:type="dxa" w:w="5112"/>
            <w:tcMar>
              <w:top w:w="40" w:type="dxa"/>
              <w:bottom w:w="40" w:type="dxa"/>
              <w:start w:w="80" w:type="dxa"/>
              <w:end w:w="80" w:type="dxa"/>
            </w:tcMar>
            <w:shd w:val="clear" w:color="auto" w:fill="B8CCE4"/>
          </w:tcPr>
          <w:p>
            <w:pPr>
              <w:spacing w:before="20" w:after="20"/>
              <w:jc w:val="left"/>
            </w:pPr>
            <w:r>
              <w:rPr>
                <w:rFonts w:ascii="Calibri" w:hAnsi="Calibri"/>
                <w:b/>
                <w:i w:val="0"/>
                <w:color w:val="222222"/>
                <w:sz w:val="18"/>
              </w:rPr>
              <w:t>Total credits to Seller</w:t>
            </w:r>
          </w:p>
        </w:tc>
        <w:tc>
          <w:tcPr>
            <w:tcW w:type="dxa" w:w="5112"/>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$3,900,693.00</w:t>
            </w:r>
          </w:p>
        </w:tc>
      </w:tr>
      <w:tr>
        <w:tc>
          <w:tcPr>
            <w:tcW w:type="dxa" w:w="5112"/>
            <w:tcMar>
              <w:top w:w="40" w:type="dxa"/>
              <w:bottom w:w="40" w:type="dxa"/>
              <w:start w:w="80" w:type="dxa"/>
              <w:end w:w="80" w:type="dxa"/>
            </w:tcMar>
            <w:shd w:val="clear" w:color="auto" w:fill="DCE6F1"/>
          </w:tcPr>
          <w:p>
            <w:pPr>
              <w:spacing w:before="20" w:after="20"/>
              <w:jc w:val="left"/>
            </w:pPr>
            <w:r>
              <w:rPr>
                <w:rFonts w:ascii="Calibri" w:hAnsi="Calibri"/>
                <w:b/>
                <w:i w:val="0"/>
                <w:color w:val="1F3A5F"/>
                <w:sz w:val="18"/>
              </w:rPr>
              <w:t>DEBITS TO SELLER (paid from proceeds)</w:t>
            </w:r>
          </w:p>
        </w:tc>
        <w:tc>
          <w:tcPr>
            <w:tcW w:type="dxa" w:w="5112"/>
            <w:tcMar>
              <w:top w:w="40" w:type="dxa"/>
              <w:bottom w:w="40" w:type="dxa"/>
              <w:start w:w="80" w:type="dxa"/>
              <w:end w:w="80" w:type="dxa"/>
            </w:tcMar>
            <w:shd w:val="clear" w:color="auto" w:fill="DCE6F1"/>
          </w:tcPr>
          <w:p>
            <w:pPr>
              <w:spacing w:before="20" w:after="20"/>
              <w:jc w:val="right"/>
            </w:pPr>
            <w:r>
              <w:rPr>
                <w:rFonts w:ascii="Calibri" w:hAnsi="Calibri"/>
                <w:b/>
                <w:i w:val="0"/>
                <w:color w:val="1F3A5F"/>
                <w:sz w:val="18"/>
              </w:rPr>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Payoff — Harborstone FCU first mortgage (good thru 7/20/25)</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($687,412.33)</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Payoff — Harborstone FCU HELOC (good thru 7/20/25)</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($148,219.56)</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Settlement — Northbridge Construction Co. mechanic's lien</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($31,000.00)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Delinquent real property tax + interest (to City of Bridgeport)</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($28,602.80)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Water/sewer final balance (to City of Bridgeport)</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($1,847.60)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Next-FY property tax proration (Seller's 14 days, to Buyer)</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($2,012.93)</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Collected rent proration (Buyer's 17-day share)</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($12,941.95)</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Security deposits transferred to Buyer</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($32,400.00)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Repair escrow (roof) — held by Escrow Agent (§8.4)</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($45,000.00)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Owner's title insurance premium (§5.4(a))</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($8,275.00)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Seller recording fees (4 lien releases × $73)</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($292.00)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CT real estate conveyance tax — Seller's 50% (est.)</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($22,375.00)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Seller's attorney fees (Ashford, Clement &amp; Paige LLP)</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($11,000.00)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Probate Court Certificate (§6.2(e))</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($150.00)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Management agreement termination fee (§9.9)</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($4,500.00)</w:t>
            </w:r>
          </w:p>
        </w:tc>
      </w:tr>
      <w:tr>
        <w:tc>
          <w:tcPr>
            <w:tcW w:type="dxa" w:w="5112"/>
            <w:tcMar>
              <w:top w:w="40" w:type="dxa"/>
              <w:bottom w:w="40" w:type="dxa"/>
              <w:start w:w="80" w:type="dxa"/>
              <w:end w:w="80" w:type="dxa"/>
            </w:tcMar>
            <w:shd w:val="clear" w:color="auto" w:fill="B8CCE4"/>
          </w:tcPr>
          <w:p>
            <w:pPr>
              <w:spacing w:before="20" w:after="20"/>
              <w:jc w:val="left"/>
            </w:pPr>
            <w:r>
              <w:rPr>
                <w:rFonts w:ascii="Calibri" w:hAnsi="Calibri"/>
                <w:b/>
                <w:i w:val="0"/>
                <w:color w:val="222222"/>
                <w:sz w:val="18"/>
              </w:rPr>
              <w:t>Total debits to Seller</w:t>
            </w:r>
          </w:p>
        </w:tc>
        <w:tc>
          <w:tcPr>
            <w:tcW w:type="dxa" w:w="5112"/>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($1,036,029.17)</w:t>
            </w:r>
          </w:p>
        </w:tc>
      </w:tr>
      <w:tr>
        <w:tc>
          <w:tcPr>
            <w:tcW w:type="dxa" w:w="5112"/>
            <w:tcMar>
              <w:top w:w="40" w:type="dxa"/>
              <w:bottom w:w="40" w:type="dxa"/>
              <w:start w:w="80" w:type="dxa"/>
              <w:end w:w="80" w:type="dxa"/>
            </w:tcMar>
            <w:shd w:val="clear" w:color="auto" w:fill="1F3A5F"/>
          </w:tcPr>
          <w:p>
            <w:pPr>
              <w:spacing w:before="20" w:after="20"/>
              <w:jc w:val="left"/>
            </w:pPr>
            <w:r>
              <w:rPr>
                <w:rFonts w:ascii="Calibri" w:hAnsi="Calibri"/>
                <w:b/>
                <w:i w:val="0"/>
                <w:color w:val="FFFFFF"/>
                <w:sz w:val="20"/>
              </w:rPr>
              <w:t>NET PROCEEDS TO SELLER</w:t>
            </w:r>
          </w:p>
        </w:tc>
        <w:tc>
          <w:tcPr>
            <w:tcW w:type="dxa" w:w="5112"/>
            <w:tcMar>
              <w:top w:w="40" w:type="dxa"/>
              <w:bottom w:w="40" w:type="dxa"/>
              <w:start w:w="80" w:type="dxa"/>
              <w:end w:w="80" w:type="dxa"/>
            </w:tcMar>
            <w:shd w:val="clear" w:color="auto" w:fill="1F3A5F"/>
          </w:tcPr>
          <w:p>
            <w:pPr>
              <w:spacing w:before="20" w:after="20"/>
              <w:jc w:val="right"/>
            </w:pPr>
            <w:r>
              <w:rPr>
                <w:rFonts w:ascii="Calibri" w:hAnsi="Calibri"/>
                <w:b/>
                <w:i w:val="0"/>
                <w:color w:val="FFFFFF"/>
                <w:sz w:val="20"/>
              </w:rPr>
              <w:t>$2,864,663.83</w:t>
            </w:r>
          </w:p>
        </w:tc>
      </w:tr>
    </w:tbl>
    <w:p>
      <w:pPr>
        <w:spacing w:before="200" w:after="40"/>
        <w:jc w:val="left"/>
      </w:pPr>
      <w:r>
        <w:rPr>
          <w:rFonts w:ascii="Calibri" w:hAnsi="Calibri"/>
          <w:b/>
          <w:i w:val="0"/>
          <w:color w:val="1F3A5F"/>
          <w:sz w:val="21"/>
        </w:rPr>
        <w:t>BUYER'S STATEMENT — Meridian Cove Properties LLC</w:t>
      </w:r>
    </w:p>
    <w:tbl>
      <w:tblPr>
        <w:tblW w:type="auto" w:w="0"/>
        <w:jc w:val="center"/>
        <w:tblLayout w:type="fixed"/>
        <w:tblLook w:firstColumn="1" w:firstRow="1" w:lastColumn="0" w:lastRow="0" w:noHBand="0" w:noVBand="1" w:val="04A0"/>
        <w:tblBorders>
          <w:top w:val="single" w:sz="4" w:space="0" w:color="9DB7D1"/>
          <w:left w:val="single" w:sz="4" w:space="0" w:color="9DB7D1"/>
          <w:bottom w:val="single" w:sz="4" w:space="0" w:color="9DB7D1"/>
          <w:right w:val="single" w:sz="4" w:space="0" w:color="9DB7D1"/>
          <w:insideH w:val="single" w:sz="4" w:space="0" w:color="9DB7D1"/>
          <w:insideV w:val="single" w:sz="4" w:space="0" w:color="9DB7D1"/>
        </w:tblBorders>
      </w:tblPr>
      <w:tblGrid>
        <w:gridCol w:w="5112"/>
        <w:gridCol w:w="5112"/>
      </w:tblGrid>
      <w:tr>
        <w:tc>
          <w:tcPr>
            <w:tcW w:type="dxa" w:w="7920"/>
            <w:shd w:val="clear" w:color="auto" w:fill="1F3A5F"/>
            <w:tcMar>
              <w:top w:w="40" w:type="dxa"/>
              <w:bottom w:w="40" w:type="dxa"/>
              <w:start w:w="80" w:type="dxa"/>
              <w:end w:w="80" w:type="dxa"/>
            </w:tcMar>
          </w:tcPr>
          <w:p>
            <w:pPr>
              <w:spacing w:before="20" w:after="20"/>
              <w:jc w:val="left"/>
            </w:pPr>
            <w:r>
              <w:rPr>
                <w:rFonts w:ascii="Calibri" w:hAnsi="Calibri"/>
                <w:b/>
                <w:i w:val="0"/>
                <w:color w:val="FFFFFF"/>
                <w:sz w:val="18"/>
              </w:rPr>
              <w:t>Debits / (Credits) to Buyer</w:t>
            </w:r>
          </w:p>
        </w:tc>
        <w:tc>
          <w:tcPr>
            <w:tcW w:type="dxa" w:w="3024"/>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Amount</w:t>
            </w:r>
          </w:p>
        </w:tc>
      </w:tr>
      <w:tr>
        <w:tc>
          <w:tcPr>
            <w:tcW w:type="dxa" w:w="5112"/>
            <w:tcMar>
              <w:top w:w="40" w:type="dxa"/>
              <w:bottom w:w="40" w:type="dxa"/>
              <w:start w:w="80" w:type="dxa"/>
              <w:end w:w="80" w:type="dxa"/>
            </w:tcMar>
            <w:shd w:val="clear" w:color="auto" w:fill="DCE6F1"/>
          </w:tcPr>
          <w:p>
            <w:pPr>
              <w:spacing w:before="20" w:after="20"/>
              <w:jc w:val="left"/>
            </w:pPr>
            <w:r>
              <w:rPr>
                <w:rFonts w:ascii="Calibri" w:hAnsi="Calibri"/>
                <w:b/>
                <w:i w:val="0"/>
                <w:color w:val="1F3A5F"/>
                <w:sz w:val="18"/>
              </w:rPr>
              <w:t>DEBITS TO BUYER</w:t>
            </w:r>
          </w:p>
        </w:tc>
        <w:tc>
          <w:tcPr>
            <w:tcW w:type="dxa" w:w="5112"/>
            <w:tcMar>
              <w:top w:w="40" w:type="dxa"/>
              <w:bottom w:w="40" w:type="dxa"/>
              <w:start w:w="80" w:type="dxa"/>
              <w:end w:w="80" w:type="dxa"/>
            </w:tcMar>
            <w:shd w:val="clear" w:color="auto" w:fill="DCE6F1"/>
          </w:tcPr>
          <w:p>
            <w:pPr>
              <w:spacing w:before="20" w:after="20"/>
              <w:jc w:val="right"/>
            </w:pPr>
            <w:r>
              <w:rPr>
                <w:rFonts w:ascii="Calibri" w:hAnsi="Calibri"/>
                <w:b/>
                <w:i w:val="0"/>
                <w:color w:val="1F3A5F"/>
                <w:sz w:val="18"/>
              </w:rPr>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Contract purchase price</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$3,900,000.00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Heating oil reimbursement (to Seller, §7.6)</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$693.00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Lender's title insurance premium (simultaneous issue)</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$3,850.00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Title search and examination fee</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$1,250.00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Municipal lien search fee</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$250.00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Buyer recording fees (deed, mortgage, lease assignment)</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$339.00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CT real estate conveyance tax — Buyer's 50% (est.)</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$22,375.00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Buyer's attorney fees (Ridgeline Law Group PLLC)</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$12,500.00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Loan origination fee (1.00% of loan)</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$26,400.00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Flood certification fee</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$25.00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Tax service fee</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$85.00</w:t>
            </w:r>
          </w:p>
        </w:tc>
      </w:tr>
      <w:tr>
        <w:tc>
          <w:tcPr>
            <w:tcW w:type="dxa" w:w="5112"/>
            <w:tcMar>
              <w:top w:w="40" w:type="dxa"/>
              <w:bottom w:w="40" w:type="dxa"/>
              <w:start w:w="80" w:type="dxa"/>
              <w:end w:w="80" w:type="dxa"/>
            </w:tcMar>
            <w:shd w:val="clear" w:color="auto" w:fill="B8CCE4"/>
          </w:tcPr>
          <w:p>
            <w:pPr>
              <w:spacing w:before="20" w:after="20"/>
              <w:jc w:val="left"/>
            </w:pPr>
            <w:r>
              <w:rPr>
                <w:rFonts w:ascii="Calibri" w:hAnsi="Calibri"/>
                <w:b/>
                <w:i w:val="0"/>
                <w:color w:val="222222"/>
                <w:sz w:val="18"/>
              </w:rPr>
              <w:t>Total debits to Buyer</w:t>
            </w:r>
          </w:p>
        </w:tc>
        <w:tc>
          <w:tcPr>
            <w:tcW w:type="dxa" w:w="5112"/>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$3,967,767.00</w:t>
            </w:r>
          </w:p>
        </w:tc>
      </w:tr>
      <w:tr>
        <w:tc>
          <w:tcPr>
            <w:tcW w:type="dxa" w:w="5112"/>
            <w:tcMar>
              <w:top w:w="40" w:type="dxa"/>
              <w:bottom w:w="40" w:type="dxa"/>
              <w:start w:w="80" w:type="dxa"/>
              <w:end w:w="80" w:type="dxa"/>
            </w:tcMar>
            <w:shd w:val="clear" w:color="auto" w:fill="DCE6F1"/>
          </w:tcPr>
          <w:p>
            <w:pPr>
              <w:spacing w:before="20" w:after="20"/>
              <w:jc w:val="left"/>
            </w:pPr>
            <w:r>
              <w:rPr>
                <w:rFonts w:ascii="Calibri" w:hAnsi="Calibri"/>
                <w:b/>
                <w:i w:val="0"/>
                <w:color w:val="1F3A5F"/>
                <w:sz w:val="18"/>
              </w:rPr>
              <w:t>CREDITS TO BUYER</w:t>
            </w:r>
          </w:p>
        </w:tc>
        <w:tc>
          <w:tcPr>
            <w:tcW w:type="dxa" w:w="5112"/>
            <w:tcMar>
              <w:top w:w="40" w:type="dxa"/>
              <w:bottom w:w="40" w:type="dxa"/>
              <w:start w:w="80" w:type="dxa"/>
              <w:end w:w="80" w:type="dxa"/>
            </w:tcMar>
            <w:shd w:val="clear" w:color="auto" w:fill="DCE6F1"/>
          </w:tcPr>
          <w:p>
            <w:pPr>
              <w:spacing w:before="20" w:after="20"/>
              <w:jc w:val="right"/>
            </w:pPr>
            <w:r>
              <w:rPr>
                <w:rFonts w:ascii="Calibri" w:hAnsi="Calibri"/>
                <w:b/>
                <w:i w:val="0"/>
                <w:color w:val="1F3A5F"/>
                <w:sz w:val="18"/>
              </w:rPr>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New loan proceeds (Tidewater Savings Bank)</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($2,640,000.00)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Earnest money on deposit (principal)</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($195,000.00)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Collected rent proration (Buyer's 17-day share)</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($12,941.95)</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Security deposits transferred from Seller</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($32,400.00)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Next-FY property tax proration (Seller's 14 days)</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($2,012.93)</w:t>
            </w:r>
          </w:p>
        </w:tc>
      </w:tr>
      <w:tr>
        <w:tc>
          <w:tcPr>
            <w:tcW w:type="dxa" w:w="5112"/>
            <w:tcMar>
              <w:top w:w="40" w:type="dxa"/>
              <w:bottom w:w="40" w:type="dxa"/>
              <w:start w:w="80" w:type="dxa"/>
              <w:end w:w="80" w:type="dxa"/>
            </w:tcMar>
            <w:shd w:val="clear" w:color="auto" w:fill="B8CCE4"/>
          </w:tcPr>
          <w:p>
            <w:pPr>
              <w:spacing w:before="20" w:after="20"/>
              <w:jc w:val="left"/>
            </w:pPr>
            <w:r>
              <w:rPr>
                <w:rFonts w:ascii="Calibri" w:hAnsi="Calibri"/>
                <w:b/>
                <w:i w:val="0"/>
                <w:color w:val="222222"/>
                <w:sz w:val="18"/>
              </w:rPr>
              <w:t>Total credits to Buyer</w:t>
            </w:r>
          </w:p>
        </w:tc>
        <w:tc>
          <w:tcPr>
            <w:tcW w:type="dxa" w:w="5112"/>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($2,882,354.88)</w:t>
            </w:r>
          </w:p>
        </w:tc>
      </w:tr>
      <w:tr>
        <w:tc>
          <w:tcPr>
            <w:tcW w:type="dxa" w:w="5112"/>
            <w:tcMar>
              <w:top w:w="40" w:type="dxa"/>
              <w:bottom w:w="40" w:type="dxa"/>
              <w:start w:w="80" w:type="dxa"/>
              <w:end w:w="80" w:type="dxa"/>
            </w:tcMar>
            <w:shd w:val="clear" w:color="auto" w:fill="1F3A5F"/>
          </w:tcPr>
          <w:p>
            <w:pPr>
              <w:spacing w:before="20" w:after="20"/>
              <w:jc w:val="left"/>
            </w:pPr>
            <w:r>
              <w:rPr>
                <w:rFonts w:ascii="Calibri" w:hAnsi="Calibri"/>
                <w:b/>
                <w:i w:val="0"/>
                <w:color w:val="FFFFFF"/>
                <w:sz w:val="20"/>
              </w:rPr>
              <w:t>CASH REQUIRED FROM BUYER AT CLOSING</w:t>
            </w:r>
          </w:p>
        </w:tc>
        <w:tc>
          <w:tcPr>
            <w:tcW w:type="dxa" w:w="5112"/>
            <w:tcMar>
              <w:top w:w="40" w:type="dxa"/>
              <w:bottom w:w="40" w:type="dxa"/>
              <w:start w:w="80" w:type="dxa"/>
              <w:end w:w="80" w:type="dxa"/>
            </w:tcMar>
            <w:shd w:val="clear" w:color="auto" w:fill="1F3A5F"/>
          </w:tcPr>
          <w:p>
            <w:pPr>
              <w:spacing w:before="20" w:after="20"/>
              <w:jc w:val="right"/>
            </w:pPr>
            <w:r>
              <w:rPr>
                <w:rFonts w:ascii="Calibri" w:hAnsi="Calibri"/>
                <w:b/>
                <w:i w:val="0"/>
                <w:color w:val="FFFFFF"/>
                <w:sz w:val="20"/>
              </w:rPr>
              <w:t>$1,085,412.12</w:t>
            </w:r>
          </w:p>
        </w:tc>
      </w:tr>
    </w:tbl>
    <w:p>
      <w:pPr>
        <w:spacing w:before="280" w:after="80"/>
        <w:pBdr>
          <w:bottom w:val="single" w:sz="6" w:space="2" w:color="1F3A5F"/>
        </w:pBdr>
      </w:pPr>
      <w:r>
        <w:rPr>
          <w:rFonts w:ascii="Calibri" w:hAnsi="Calibri"/>
          <w:b/>
          <w:color w:val="1F3A5F"/>
          <w:sz w:val="24"/>
        </w:rPr>
        <w:t>IV. Reconciliation Summary</w:t>
      </w:r>
    </w:p>
    <w:p>
      <w:pPr>
        <w:spacing w:before="40" w:after="40"/>
        <w:jc w:val="left"/>
      </w:pPr>
      <w:r>
        <w:rPr>
          <w:rFonts w:ascii="Calibri" w:hAnsi="Calibri"/>
          <w:b w:val="0"/>
          <w:i/>
          <w:color w:val="555555"/>
          <w:sz w:val="18"/>
        </w:rPr>
        <w:t>Total funds received by the Closing Agent must equal total funds disbursed.</w:t>
      </w:r>
    </w:p>
    <w:tbl>
      <w:tblPr>
        <w:tblW w:type="auto" w:w="0"/>
        <w:jc w:val="center"/>
        <w:tblLayout w:type="fixed"/>
        <w:tblLook w:firstColumn="1" w:firstRow="1" w:lastColumn="0" w:lastRow="0" w:noHBand="0" w:noVBand="1" w:val="04A0"/>
        <w:tblBorders>
          <w:top w:val="single" w:sz="4" w:space="0" w:color="9DB7D1"/>
          <w:left w:val="single" w:sz="4" w:space="0" w:color="9DB7D1"/>
          <w:bottom w:val="single" w:sz="4" w:space="0" w:color="9DB7D1"/>
          <w:right w:val="single" w:sz="4" w:space="0" w:color="9DB7D1"/>
          <w:insideH w:val="single" w:sz="4" w:space="0" w:color="9DB7D1"/>
          <w:insideV w:val="single" w:sz="4" w:space="0" w:color="9DB7D1"/>
        </w:tblBorders>
      </w:tblPr>
      <w:tblGrid>
        <w:gridCol w:w="5112"/>
        <w:gridCol w:w="5112"/>
      </w:tblGrid>
      <w:tr>
        <w:tc>
          <w:tcPr>
            <w:tcW w:type="dxa" w:w="7920"/>
            <w:shd w:val="clear" w:color="auto" w:fill="1F3A5F"/>
            <w:tcMar>
              <w:top w:w="40" w:type="dxa"/>
              <w:bottom w:w="40" w:type="dxa"/>
              <w:start w:w="80" w:type="dxa"/>
              <w:end w:w="80" w:type="dxa"/>
            </w:tcMar>
          </w:tcPr>
          <w:p>
            <w:pPr>
              <w:spacing w:before="20" w:after="20"/>
              <w:jc w:val="left"/>
            </w:pPr>
            <w:r>
              <w:rPr>
                <w:rFonts w:ascii="Calibri" w:hAnsi="Calibri"/>
                <w:b/>
                <w:i w:val="0"/>
                <w:color w:val="FFFFFF"/>
                <w:sz w:val="18"/>
              </w:rPr>
              <w:t>Funds Received (Sources)</w:t>
            </w:r>
          </w:p>
        </w:tc>
        <w:tc>
          <w:tcPr>
            <w:tcW w:type="dxa" w:w="3024"/>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Amount</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Buyer's cash to close (wire)</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$1,085,412.12</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Loan proceeds (Tidewater Savings Bank)</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$2,640,000.00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Earnest money on deposit</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$195,000.00</w:t>
            </w:r>
          </w:p>
        </w:tc>
      </w:tr>
      <w:tr>
        <w:tc>
          <w:tcPr>
            <w:tcW w:type="dxa" w:w="5112"/>
            <w:tcMar>
              <w:top w:w="40" w:type="dxa"/>
              <w:bottom w:w="40" w:type="dxa"/>
              <w:start w:w="80" w:type="dxa"/>
              <w:end w:w="80" w:type="dxa"/>
            </w:tcMar>
            <w:shd w:val="clear" w:color="auto" w:fill="B8CCE4"/>
          </w:tcPr>
          <w:p>
            <w:pPr>
              <w:spacing w:before="20" w:after="20"/>
              <w:jc w:val="left"/>
            </w:pPr>
            <w:r>
              <w:rPr>
                <w:rFonts w:ascii="Calibri" w:hAnsi="Calibri"/>
                <w:b/>
                <w:i w:val="0"/>
                <w:color w:val="222222"/>
                <w:sz w:val="18"/>
              </w:rPr>
              <w:t>Total funds received</w:t>
            </w:r>
          </w:p>
        </w:tc>
        <w:tc>
          <w:tcPr>
            <w:tcW w:type="dxa" w:w="5112"/>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$3,920,412.12</w:t>
            </w:r>
          </w:p>
        </w:tc>
      </w:tr>
      <w:tr>
        <w:tc>
          <w:tcPr>
            <w:tcW w:type="dxa" w:w="5112"/>
            <w:tcMar>
              <w:top w:w="40" w:type="dxa"/>
              <w:bottom w:w="40" w:type="dxa"/>
              <w:start w:w="80" w:type="dxa"/>
              <w:end w:w="80" w:type="dxa"/>
            </w:tcMar>
            <w:shd w:val="clear" w:color="auto" w:fill="DCE6F1"/>
          </w:tcPr>
          <w:p>
            <w:pPr>
              <w:spacing w:before="20" w:after="20"/>
              <w:jc w:val="left"/>
            </w:pPr>
            <w:r>
              <w:rPr>
                <w:rFonts w:ascii="Calibri" w:hAnsi="Calibri"/>
                <w:b/>
                <w:i w:val="0"/>
                <w:color w:val="1F3A5F"/>
                <w:sz w:val="18"/>
              </w:rPr>
              <w:t>Funds Disbursed (Uses)</w:t>
            </w:r>
          </w:p>
        </w:tc>
        <w:tc>
          <w:tcPr>
            <w:tcW w:type="dxa" w:w="5112"/>
            <w:tcMar>
              <w:top w:w="40" w:type="dxa"/>
              <w:bottom w:w="40" w:type="dxa"/>
              <w:start w:w="80" w:type="dxa"/>
              <w:end w:w="80" w:type="dxa"/>
            </w:tcMar>
            <w:shd w:val="clear" w:color="auto" w:fill="DCE6F1"/>
          </w:tcPr>
          <w:p>
            <w:pPr>
              <w:spacing w:before="20" w:after="20"/>
              <w:jc w:val="right"/>
            </w:pPr>
            <w:r>
              <w:rPr>
                <w:rFonts w:ascii="Calibri" w:hAnsi="Calibri"/>
                <w:b/>
                <w:i w:val="0"/>
                <w:color w:val="1F3A5F"/>
                <w:sz w:val="18"/>
              </w:rPr>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Net proceeds to Seller</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$2,864,663.83</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Harborstone FCU — first mortgage payoff</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$687,412.33</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Harborstone FCU — HELOC payoff</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$148,219.56</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Northbridge Construction Co. — lien settlement</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$31,000.00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City of Bridgeport — delinquent tax + interest</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$28,602.80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City of Bridgeport — water/sewer</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$1,847.60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Repair escrow (held by Escrow Agent)</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$45,000.00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Owner's title insurance premium</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$8,275.00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Lender's title insurance premium</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$3,850.00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Title search &amp; municipal lien search</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$1,500.00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Recording fees (Buyer $339 + Seller $292)</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$631.00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CT real estate conveyance tax (total)</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$44,750.00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Attorney fees (Buyer $12,500 + Seller $11,000)</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$23,500.00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Loan origination, flood cert., tax service</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$26,510.00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Probate certificate + management termination</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$4,650.00</w:t>
            </w:r>
          </w:p>
        </w:tc>
      </w:tr>
      <w:tr>
        <w:tc>
          <w:tcPr>
            <w:tcW w:type="dxa" w:w="5112"/>
            <w:tcMar>
              <w:top w:w="40" w:type="dxa"/>
              <w:bottom w:w="40" w:type="dxa"/>
              <w:start w:w="80" w:type="dxa"/>
              <w:end w:w="80" w:type="dxa"/>
            </w:tcMar>
            <w:shd w:val="clear" w:color="auto" w:fill="B8CCE4"/>
          </w:tcPr>
          <w:p>
            <w:pPr>
              <w:spacing w:before="20" w:after="20"/>
              <w:jc w:val="left"/>
            </w:pPr>
            <w:r>
              <w:rPr>
                <w:rFonts w:ascii="Calibri" w:hAnsi="Calibri"/>
                <w:b/>
                <w:i w:val="0"/>
                <w:color w:val="222222"/>
                <w:sz w:val="18"/>
              </w:rPr>
              <w:t>Total funds disbursed</w:t>
            </w:r>
          </w:p>
        </w:tc>
        <w:tc>
          <w:tcPr>
            <w:tcW w:type="dxa" w:w="5112"/>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$3,920,412.12</w:t>
            </w:r>
          </w:p>
        </w:tc>
      </w:tr>
      <w:tr>
        <w:tc>
          <w:tcPr>
            <w:tcW w:type="dxa" w:w="5112"/>
            <w:tcMar>
              <w:top w:w="40" w:type="dxa"/>
              <w:bottom w:w="40" w:type="dxa"/>
              <w:start w:w="80" w:type="dxa"/>
              <w:end w:w="80" w:type="dxa"/>
            </w:tcMar>
            <w:shd w:val="clear" w:color="auto" w:fill="1F3A5F"/>
          </w:tcPr>
          <w:p>
            <w:pPr>
              <w:spacing w:before="20" w:after="20"/>
              <w:jc w:val="left"/>
            </w:pPr>
            <w:r>
              <w:rPr>
                <w:rFonts w:ascii="Calibri" w:hAnsi="Calibri"/>
                <w:b/>
                <w:i w:val="0"/>
                <w:color w:val="FFFFFF"/>
                <w:sz w:val="20"/>
              </w:rPr>
              <w:t>RECONCILED — Difference</w:t>
            </w:r>
          </w:p>
        </w:tc>
        <w:tc>
          <w:tcPr>
            <w:tcW w:type="dxa" w:w="5112"/>
            <w:tcMar>
              <w:top w:w="40" w:type="dxa"/>
              <w:bottom w:w="40" w:type="dxa"/>
              <w:start w:w="80" w:type="dxa"/>
              <w:end w:w="80" w:type="dxa"/>
            </w:tcMar>
            <w:shd w:val="clear" w:color="auto" w:fill="1F3A5F"/>
          </w:tcPr>
          <w:p>
            <w:pPr>
              <w:spacing w:before="20" w:after="20"/>
              <w:jc w:val="right"/>
            </w:pPr>
            <w:r>
              <w:rPr>
                <w:rFonts w:ascii="Calibri" w:hAnsi="Calibri"/>
                <w:b/>
                <w:i w:val="0"/>
                <w:color w:val="FFFFFF"/>
                <w:sz w:val="20"/>
              </w:rPr>
              <w:t>$0.00</w:t>
            </w:r>
          </w:p>
        </w:tc>
      </w:tr>
    </w:tbl>
    <w:p>
      <w:pPr>
        <w:spacing w:before="280" w:after="80"/>
        <w:pBdr>
          <w:bottom w:val="single" w:sz="6" w:space="2" w:color="1F3A5F"/>
        </w:pBdr>
      </w:pPr>
      <w:r>
        <w:rPr>
          <w:rFonts w:ascii="Calibri" w:hAnsi="Calibri"/>
          <w:b/>
          <w:color w:val="1F3A5F"/>
          <w:sz w:val="24"/>
        </w:rPr>
        <w:t>V. Disbursement Schedule (Payees)</w:t>
      </w:r>
    </w:p>
    <w:tbl>
      <w:tblPr>
        <w:tblW w:type="auto" w:w="0"/>
        <w:jc w:val="center"/>
        <w:tblLayout w:type="fixed"/>
        <w:tblLook w:firstColumn="1" w:firstRow="1" w:lastColumn="0" w:lastRow="0" w:noHBand="0" w:noVBand="1" w:val="04A0"/>
        <w:tblBorders>
          <w:top w:val="single" w:sz="4" w:space="0" w:color="9DB7D1"/>
          <w:left w:val="single" w:sz="4" w:space="0" w:color="9DB7D1"/>
          <w:bottom w:val="single" w:sz="4" w:space="0" w:color="9DB7D1"/>
          <w:right w:val="single" w:sz="4" w:space="0" w:color="9DB7D1"/>
          <w:insideH w:val="single" w:sz="4" w:space="0" w:color="9DB7D1"/>
          <w:insideV w:val="single" w:sz="4" w:space="0" w:color="9DB7D1"/>
        </w:tblBorders>
      </w:tblPr>
      <w:tblGrid>
        <w:gridCol w:w="3408"/>
        <w:gridCol w:w="3408"/>
        <w:gridCol w:w="3408"/>
      </w:tblGrid>
      <w:tr>
        <w:tc>
          <w:tcPr>
            <w:tcW w:type="dxa" w:w="5328"/>
            <w:shd w:val="clear" w:color="auto" w:fill="1F3A5F"/>
            <w:tcMar>
              <w:top w:w="40" w:type="dxa"/>
              <w:bottom w:w="40" w:type="dxa"/>
              <w:start w:w="80" w:type="dxa"/>
              <w:end w:w="80" w:type="dxa"/>
            </w:tcMar>
          </w:tcPr>
          <w:p>
            <w:pPr>
              <w:spacing w:before="20" w:after="20"/>
              <w:jc w:val="left"/>
            </w:pPr>
            <w:r>
              <w:rPr>
                <w:rFonts w:ascii="Calibri" w:hAnsi="Calibri"/>
                <w:b/>
                <w:i w:val="0"/>
                <w:color w:val="FFFFFF"/>
                <w:sz w:val="18"/>
              </w:rPr>
              <w:t>Payee</w:t>
            </w:r>
          </w:p>
        </w:tc>
        <w:tc>
          <w:tcPr>
            <w:tcW w:type="dxa" w:w="3312"/>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Purpose</w:t>
            </w:r>
          </w:p>
        </w:tc>
        <w:tc>
          <w:tcPr>
            <w:tcW w:type="dxa" w:w="2304"/>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Amount</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Estate of Gerald T. Whitford (Executrix)</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Net proceeds to Seller</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$2,864,663.83</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Harborstone Federal Credit Union</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First mortgage payoff</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$687,412.33</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Harborstone Federal Credit Union</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HELOC payoff</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$148,219.56</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Northbridge Construction Co.</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Mechanic's lien settlement</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$31,000.00</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City of Bridgeport (Tax Collector)</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Delinquent tax + interest</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$28,602.80</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City of Bridgeport (WPCA)</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Water/sewer final balance</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$1,847.60</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Pinnacle Abstract &amp; Title LLC (escrow)</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Repair escrow holdback</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$45,000.00</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Pinnacle Abstract &amp; Title LLC</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Owner's title insurance premium</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$8,275.00</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Pinnacle Abstract &amp; Title LLC</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Lender's title insurance premium</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$3,850.00</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Pinnacle Abstract &amp; Title LLC</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Title search/exam. + municipal lien search</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$1,500.00</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City of Bridgeport (Town Clerk)</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Recording fees (deed, mortgage, releases, etc.)</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$631.00</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CT Dept. of Revenue Services / Town Clerk</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Real estate conveyance tax (total)</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$44,750.00</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Ridgeline Law Group PLLC</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Buyer's attorney fees</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$12,500.00</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Ashford, Clement &amp; Paige LLP</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Seller's attorney fees</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$11,000.00</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Tidewater Savings Bank</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Loan origination fee</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$26,400.00</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CoreLogic Flood Services</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Flood certification fee</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$25.00</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Tidewater Savings Bank (tax service provider)</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Tax service fee</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$85.00</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Fairfield County Probate Court</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Probate Court Certificate</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$150.00</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Bayshore Management Co.</w:t>
            </w:r>
          </w:p>
        </w:tc>
        <w:tc>
          <w:tcPr>
            <w:tcW w:type="dxa" w:w="3408"/>
            <w:tcMar>
              <w:top w:w="40" w:type="dxa"/>
              <w:bottom w:w="40" w:type="dxa"/>
              <w:start w:w="80" w:type="dxa"/>
              <w:end w:w="80" w:type="dxa"/>
            </w:tcMar>
          </w:tcPr>
          <w:p>
            <w:pPr>
              <w:spacing w:before="20" w:after="20"/>
              <w:jc w:val="left"/>
            </w:pPr>
            <w:r>
              <w:rPr>
                <w:rFonts w:ascii="Calibri" w:hAnsi="Calibri"/>
                <w:b w:val="0"/>
                <w:i w:val="0"/>
                <w:color w:val="222222"/>
                <w:sz w:val="17"/>
              </w:rPr>
              <w:t>Management agreement termination fee</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7"/>
              </w:rPr>
              <w:t>$4,500.00</w:t>
            </w:r>
          </w:p>
        </w:tc>
      </w:tr>
      <w:tr>
        <w:tc>
          <w:tcPr>
            <w:tcW w:type="dxa" w:w="3408"/>
            <w:tcMar>
              <w:top w:w="40" w:type="dxa"/>
              <w:bottom w:w="40" w:type="dxa"/>
              <w:start w:w="80" w:type="dxa"/>
              <w:end w:w="80" w:type="dxa"/>
            </w:tcMar>
            <w:shd w:val="clear" w:color="auto" w:fill="B8CCE4"/>
          </w:tcPr>
          <w:p>
            <w:pPr>
              <w:spacing w:before="20" w:after="20"/>
              <w:jc w:val="left"/>
            </w:pPr>
            <w:r>
              <w:rPr>
                <w:rFonts w:ascii="Calibri" w:hAnsi="Calibri"/>
                <w:b/>
                <w:i w:val="0"/>
                <w:color w:val="222222"/>
                <w:sz w:val="18"/>
              </w:rPr>
              <w:t>TOTAL DISBURSEMENTS</w:t>
            </w:r>
          </w:p>
        </w:tc>
        <w:tc>
          <w:tcPr>
            <w:tcW w:type="dxa" w:w="3408"/>
            <w:tcMar>
              <w:top w:w="40" w:type="dxa"/>
              <w:bottom w:w="40" w:type="dxa"/>
              <w:start w:w="80" w:type="dxa"/>
              <w:end w:w="80" w:type="dxa"/>
            </w:tcMar>
            <w:shd w:val="clear" w:color="auto" w:fill="B8CCE4"/>
          </w:tcPr>
          <w:p>
            <w:pPr>
              <w:spacing w:before="20" w:after="20"/>
              <w:jc w:val="left"/>
            </w:pPr>
            <w:r>
              <w:rPr>
                <w:rFonts w:ascii="Calibri" w:hAnsi="Calibri"/>
                <w:b/>
                <w:i w:val="0"/>
                <w:color w:val="222222"/>
                <w:sz w:val="18"/>
              </w:rPr>
            </w:r>
          </w:p>
        </w:tc>
        <w:tc>
          <w:tcPr>
            <w:tcW w:type="dxa" w:w="3408"/>
            <w:tcMar>
              <w:top w:w="40" w:type="dxa"/>
              <w:bottom w:w="40" w:type="dxa"/>
              <w:start w:w="80" w:type="dxa"/>
              <w:end w:w="80" w:type="dxa"/>
            </w:tcMar>
            <w:shd w:val="clear" w:color="auto" w:fill="B8CCE4"/>
          </w:tcPr>
          <w:p>
            <w:pPr>
              <w:spacing w:before="20" w:after="20"/>
              <w:jc w:val="right"/>
            </w:pPr>
            <w:r>
              <w:rPr>
                <w:rFonts w:ascii="Calibri" w:hAnsi="Calibri"/>
                <w:b/>
                <w:i w:val="0"/>
                <w:color w:val="222222"/>
                <w:sz w:val="18"/>
              </w:rPr>
              <w:t>$3,920,412.12</w:t>
            </w:r>
          </w:p>
        </w:tc>
      </w:tr>
    </w:tbl>
    <w:p>
      <w:pPr>
        <w:spacing w:before="280" w:after="80"/>
        <w:pBdr>
          <w:bottom w:val="single" w:sz="6" w:space="2" w:color="1F3A5F"/>
        </w:pBdr>
      </w:pPr>
      <w:r>
        <w:rPr>
          <w:rFonts w:ascii="Calibri" w:hAnsi="Calibri"/>
          <w:b/>
          <w:color w:val="1F3A5F"/>
          <w:sz w:val="24"/>
        </w:rPr>
        <w:t>VI. Paid Outside of Closing (POC) — Disclosure Only</w:t>
      </w:r>
    </w:p>
    <w:tbl>
      <w:tblPr>
        <w:tblW w:type="auto" w:w="0"/>
        <w:jc w:val="center"/>
        <w:tblLayout w:type="fixed"/>
        <w:tblLook w:firstColumn="1" w:firstRow="1" w:lastColumn="0" w:lastRow="0" w:noHBand="0" w:noVBand="1" w:val="04A0"/>
        <w:tblBorders>
          <w:top w:val="single" w:sz="4" w:space="0" w:color="9DB7D1"/>
          <w:left w:val="single" w:sz="4" w:space="0" w:color="9DB7D1"/>
          <w:bottom w:val="single" w:sz="4" w:space="0" w:color="9DB7D1"/>
          <w:right w:val="single" w:sz="4" w:space="0" w:color="9DB7D1"/>
          <w:insideH w:val="single" w:sz="4" w:space="0" w:color="9DB7D1"/>
          <w:insideV w:val="single" w:sz="4" w:space="0" w:color="9DB7D1"/>
        </w:tblBorders>
      </w:tblPr>
      <w:tblGrid>
        <w:gridCol w:w="3408"/>
        <w:gridCol w:w="3408"/>
        <w:gridCol w:w="3408"/>
      </w:tblGrid>
      <w:tr>
        <w:tc>
          <w:tcPr>
            <w:tcW w:type="dxa" w:w="5184"/>
            <w:shd w:val="clear" w:color="auto" w:fill="1F3A5F"/>
            <w:tcMar>
              <w:top w:w="40" w:type="dxa"/>
              <w:bottom w:w="40" w:type="dxa"/>
              <w:start w:w="80" w:type="dxa"/>
              <w:end w:w="80" w:type="dxa"/>
            </w:tcMar>
          </w:tcPr>
          <w:p>
            <w:pPr>
              <w:spacing w:before="20" w:after="20"/>
              <w:jc w:val="left"/>
            </w:pPr>
            <w:r>
              <w:rPr>
                <w:rFonts w:ascii="Calibri" w:hAnsi="Calibri"/>
                <w:b/>
                <w:i w:val="0"/>
                <w:color w:val="FFFFFF"/>
                <w:sz w:val="18"/>
              </w:rPr>
              <w:t>Item</w:t>
            </w:r>
          </w:p>
        </w:tc>
        <w:tc>
          <w:tcPr>
            <w:tcW w:type="dxa" w:w="2448"/>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Amount</w:t>
            </w:r>
          </w:p>
        </w:tc>
        <w:tc>
          <w:tcPr>
            <w:tcW w:type="dxa" w:w="3312"/>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Status / Impact</w:t>
            </w:r>
          </w:p>
        </w:tc>
      </w:tr>
      <w:tr>
        <w:tc>
          <w:tcPr>
            <w:tcW w:type="dxa" w:w="3408"/>
            <w:tcMar>
              <w:top w:w="40" w:type="dxa"/>
              <w:bottom w:w="40" w:type="dxa"/>
              <w:start w:w="80" w:type="dxa"/>
              <w:end w:w="80" w:type="dxa"/>
            </w:tcMar>
          </w:tcPr>
          <w:p>
            <w:pPr>
              <w:spacing w:before="20" w:after="20"/>
              <w:jc w:val="left"/>
            </w:pPr>
            <w:r>
              <w:rPr>
                <w:rFonts w:ascii="Calibri" w:hAnsi="Calibri"/>
                <w:b w:val="0"/>
                <w:i w:val="0"/>
                <w:color w:val="222222"/>
                <w:sz w:val="18"/>
              </w:rPr>
              <w:t>Appraisal fee (Ashford Valuation Associates LLC)</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$4,500.00</w:t>
            </w:r>
          </w:p>
        </w:tc>
        <w:tc>
          <w:tcPr>
            <w:tcW w:type="dxa" w:w="3408"/>
            <w:tcMar>
              <w:top w:w="40" w:type="dxa"/>
              <w:bottom w:w="40" w:type="dxa"/>
              <w:start w:w="80" w:type="dxa"/>
              <w:end w:w="80" w:type="dxa"/>
            </w:tcMar>
          </w:tcPr>
          <w:p>
            <w:pPr>
              <w:spacing w:before="20" w:after="20"/>
              <w:jc w:val="right"/>
            </w:pPr>
            <w:r>
              <w:rPr>
                <w:rFonts w:ascii="Calibri" w:hAnsi="Calibri"/>
                <w:b w:val="0"/>
                <w:i w:val="0"/>
                <w:color w:val="222222"/>
                <w:sz w:val="18"/>
              </w:rPr>
              <w:t>POC — paid 5/5/2025; $0.00 impact on cash to close</w:t>
            </w:r>
          </w:p>
        </w:tc>
      </w:tr>
    </w:tbl>
    <w:p>
      <w:pPr>
        <w:spacing w:before="40" w:after="40"/>
        <w:jc w:val="left"/>
      </w:pPr>
      <w:r>
        <w:rPr>
          <w:rFonts w:ascii="Calibri" w:hAnsi="Calibri"/>
          <w:b w:val="0"/>
          <w:i/>
          <w:color w:val="555555"/>
          <w:sz w:val="17"/>
        </w:rPr>
        <w:t>Per lender commitment §4.2 and §6.2, the appraisal fee was paid directly by Buyer outside of closing and is shown for disclosure only. It is NOT included in any computation of funds due from Buyer and does not appear as a debit in the Buyer's statement above.</w:t>
      </w:r>
    </w:p>
    <w:p>
      <w:pPr>
        <w:spacing w:before="200" w:after="80"/>
      </w:pPr>
      <w:r>
        <w:rPr>
          <w:rFonts w:ascii="Calibri" w:hAnsi="Calibri"/>
          <w:b/>
          <w:color w:val="1F3A5F"/>
          <w:sz w:val="22"/>
        </w:rPr>
        <w:t>Notes on Estimates and Assumptions</w:t>
      </w:r>
    </w:p>
    <w:p>
      <w:pPr>
        <w:pStyle w:val="ListBullet"/>
        <w:spacing w:before="20" w:after="20"/>
      </w:pPr>
      <w:r>
        <w:rPr>
          <w:rFonts w:ascii="Calibri" w:hAnsi="Calibri"/>
          <w:b/>
          <w:color w:val="222222"/>
          <w:sz w:val="18"/>
        </w:rPr>
        <w:t xml:space="preserve">Conveyance tax. </w:t>
      </w:r>
      <w:r>
        <w:rPr>
          <w:rFonts w:ascii="Calibri" w:hAnsi="Calibri"/>
          <w:color w:val="222222"/>
          <w:sz w:val="18"/>
        </w:rPr>
        <w:t>The CT real estate conveyance tax ($44,750.00 total) reflects the title commitment estimate (Schedule C) and is subject to confirmation upon filing Form OP-236. See Notes Memo for a discrepancy analysis.</w:t>
      </w:r>
    </w:p>
    <w:p>
      <w:pPr>
        <w:pStyle w:val="ListBullet"/>
        <w:spacing w:before="20" w:after="20"/>
      </w:pPr>
      <w:r>
        <w:rPr>
          <w:rFonts w:ascii="Calibri" w:hAnsi="Calibri"/>
          <w:b/>
          <w:color w:val="222222"/>
          <w:sz w:val="18"/>
        </w:rPr>
        <w:t xml:space="preserve">Earnest money interest. </w:t>
      </w:r>
      <w:r>
        <w:rPr>
          <w:rFonts w:ascii="Calibri" w:hAnsi="Calibri"/>
          <w:color w:val="222222"/>
          <w:sz w:val="18"/>
        </w:rPr>
        <w:t>Earnest money is credited at principal ($195,000.00); accrued interest, if any, is to be confirmed and credited to Buyer (PSA §3.2(d)).</w:t>
      </w:r>
    </w:p>
    <w:p>
      <w:pPr>
        <w:pStyle w:val="ListBullet"/>
        <w:spacing w:before="20" w:after="20"/>
      </w:pPr>
      <w:r>
        <w:rPr>
          <w:rFonts w:ascii="Calibri" w:hAnsi="Calibri"/>
          <w:b/>
          <w:color w:val="222222"/>
          <w:sz w:val="18"/>
        </w:rPr>
        <w:t xml:space="preserve">Security deposit interest. </w:t>
      </w:r>
      <w:r>
        <w:rPr>
          <w:rFonts w:ascii="Calibri" w:hAnsi="Calibri"/>
          <w:color w:val="222222"/>
          <w:sz w:val="18"/>
        </w:rPr>
        <w:t>Residential security deposit interest under CGS §47a-21 is not quantified in the source documents and should be confirmed and added to the $32,400.00 transfer.</w:t>
      </w:r>
    </w:p>
    <w:p>
      <w:pPr>
        <w:pStyle w:val="ListBullet"/>
        <w:spacing w:before="20" w:after="20"/>
      </w:pPr>
      <w:r>
        <w:rPr>
          <w:rFonts w:ascii="Calibri" w:hAnsi="Calibri"/>
          <w:b/>
          <w:color w:val="222222"/>
          <w:sz w:val="18"/>
        </w:rPr>
        <w:t xml:space="preserve">Tax estimate. </w:t>
      </w:r>
      <w:r>
        <w:rPr>
          <w:rFonts w:ascii="Calibri" w:hAnsi="Calibri"/>
          <w:color w:val="222222"/>
          <w:sz w:val="18"/>
        </w:rPr>
        <w:t>Next-fiscal-year taxes are estimated at the current-year levy and will be reprorated under PSA §7.7 within 90 days after closing.</w:t>
      </w:r>
    </w:p>
    <w:p>
      <w:pPr>
        <w:pStyle w:val="ListBullet"/>
        <w:spacing w:before="20" w:after="20"/>
      </w:pPr>
      <w:r>
        <w:rPr>
          <w:rFonts w:ascii="Calibri" w:hAnsi="Calibri"/>
          <w:b/>
          <w:color w:val="222222"/>
          <w:sz w:val="18"/>
        </w:rPr>
        <w:t xml:space="preserve">Payoff validity. </w:t>
      </w:r>
      <w:r>
        <w:rPr>
          <w:rFonts w:ascii="Calibri" w:hAnsi="Calibri"/>
          <w:color w:val="222222"/>
          <w:sz w:val="18"/>
        </w:rPr>
        <w:t>All lien payoffs are valid through July 20, 2025; closing on July 15, 2025 requires no per-diem adjustment. If closing is delayed, updated payoffs are required.</w:t>
      </w:r>
    </w:p>
    <w:p>
      <w:pPr>
        <w:spacing w:before="240" w:after="80"/>
      </w:pPr>
      <w:r>
        <w:rPr>
          <w:rFonts w:ascii="Calibri" w:hAnsi="Calibri"/>
          <w:b/>
          <w:color w:val="1F3A5F"/>
          <w:sz w:val="22"/>
        </w:rPr>
        <w:t>Acknowledgment of Parties</w:t>
      </w:r>
    </w:p>
    <w:tbl>
      <w:tblPr>
        <w:tblW w:type="auto" w:w="0"/>
        <w:jc w:val="center"/>
        <w:tblLayout w:type="fixed"/>
        <w:tblLook w:firstColumn="1" w:firstRow="1" w:lastColumn="0" w:lastRow="0" w:noHBand="0" w:noVBand="1" w:val="04A0"/>
        <w:tblBorders>
          <w:top w:val="single" w:sz="4" w:space="0" w:color="9DB7D1"/>
          <w:left w:val="single" w:sz="4" w:space="0" w:color="9DB7D1"/>
          <w:bottom w:val="single" w:sz="4" w:space="0" w:color="9DB7D1"/>
          <w:right w:val="single" w:sz="4" w:space="0" w:color="9DB7D1"/>
          <w:insideH w:val="single" w:sz="4" w:space="0" w:color="9DB7D1"/>
          <w:insideV w:val="single" w:sz="4" w:space="0" w:color="9DB7D1"/>
        </w:tblBorders>
      </w:tblPr>
      <w:tblGrid>
        <w:gridCol w:w="5112"/>
        <w:gridCol w:w="5112"/>
      </w:tblGrid>
      <w:tr>
        <w:tc>
          <w:tcPr>
            <w:tcW w:type="dxa" w:w="5472"/>
          </w:tcPr>
          <w:p/>
        </w:tc>
        <w:tc>
          <w:tcPr>
            <w:tcW w:type="dxa" w:w="5472"/>
          </w:tcPr>
          <w:p/>
        </w:tc>
      </w:tr>
      <w:tr>
        <w:tc>
          <w:tcPr>
            <w:tcW w:type="dxa" w:w="5112"/>
            <w:tcMar>
              <w:top w:w="40" w:type="dxa"/>
              <w:bottom w:w="40" w:type="dxa"/>
              <w:start w:w="80" w:type="dxa"/>
              <w:end w:w="80" w:type="dxa"/>
            </w:tcMar>
          </w:tcPr>
          <w:p>
            <w:pPr>
              <w:spacing w:before="20" w:after="20"/>
              <w:jc w:val="left"/>
            </w:pPr>
            <w:r>
              <w:rPr>
                <w:rFonts w:ascii="Calibri" w:hAnsi="Calibri"/>
                <w:b/>
                <w:i w:val="0"/>
                <w:color w:val="1F3A5F"/>
                <w:sz w:val="18"/>
              </w:rPr>
              <w:t>SELLER — Estate of Gerald T. Whitford</w:t>
            </w:r>
          </w:p>
        </w:tc>
        <w:tc>
          <w:tcPr>
            <w:tcW w:type="dxa" w:w="5112"/>
            <w:tcMar>
              <w:top w:w="40" w:type="dxa"/>
              <w:bottom w:w="40" w:type="dxa"/>
              <w:start w:w="80" w:type="dxa"/>
              <w:end w:w="80" w:type="dxa"/>
            </w:tcMar>
          </w:tcPr>
          <w:p>
            <w:pPr>
              <w:spacing w:before="20" w:after="20"/>
              <w:jc w:val="left"/>
            </w:pPr>
            <w:r>
              <w:rPr>
                <w:rFonts w:ascii="Calibri" w:hAnsi="Calibri"/>
                <w:b/>
                <w:i w:val="0"/>
                <w:color w:val="1F3A5F"/>
                <w:sz w:val="18"/>
              </w:rPr>
              <w:t>BUYER — Meridian Cove Properties LLC</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By: ____________________________</w:t>
            </w:r>
          </w:p>
        </w:tc>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By: ____________________________</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Claudia Whitford-Barnes, Executrix</w:t>
            </w:r>
          </w:p>
        </w:tc>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Elaine R. Matsuda, Manager</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Date: ____________________</w:t>
            </w:r>
          </w:p>
        </w:tc>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Date: ____________________</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r>
          </w:p>
        </w:tc>
      </w:tr>
      <w:tr>
        <w:tc>
          <w:tcPr>
            <w:tcW w:type="dxa" w:w="5112"/>
            <w:tcMar>
              <w:top w:w="40" w:type="dxa"/>
              <w:bottom w:w="40" w:type="dxa"/>
              <w:start w:w="80" w:type="dxa"/>
              <w:end w:w="80" w:type="dxa"/>
            </w:tcMar>
          </w:tcPr>
          <w:p>
            <w:pPr>
              <w:spacing w:before="20" w:after="20"/>
              <w:jc w:val="left"/>
            </w:pPr>
            <w:r>
              <w:rPr>
                <w:rFonts w:ascii="Calibri" w:hAnsi="Calibri"/>
                <w:b/>
                <w:i w:val="0"/>
                <w:color w:val="1F3A5F"/>
                <w:sz w:val="18"/>
              </w:rPr>
              <w:t>CLOSING AGENT — Pinnacle Abstract &amp; Title LLC</w:t>
            </w:r>
          </w:p>
        </w:tc>
        <w:tc>
          <w:tcPr>
            <w:tcW w:type="dxa" w:w="5112"/>
            <w:tcMar>
              <w:top w:w="40" w:type="dxa"/>
              <w:bottom w:w="40" w:type="dxa"/>
              <w:start w:w="80" w:type="dxa"/>
              <w:end w:w="80" w:type="dxa"/>
            </w:tcMar>
          </w:tcPr>
          <w:p>
            <w:pPr>
              <w:spacing w:before="20" w:after="20"/>
              <w:jc w:val="left"/>
            </w:pPr>
            <w:r>
              <w:rPr>
                <w:rFonts w:ascii="Calibri" w:hAnsi="Calibri"/>
                <w:b/>
                <w:i w:val="0"/>
                <w:color w:val="1F3A5F"/>
                <w:sz w:val="18"/>
              </w:rPr>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By: ____________________________     Lorraine M. Grasso, Closing Officer</w:t>
            </w:r>
          </w:p>
        </w:tc>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Date: ____________________</w:t>
            </w:r>
          </w:p>
        </w:tc>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r>
          </w:p>
        </w:tc>
      </w:tr>
    </w:tbl>
    <w:p>
      <w:pPr>
        <w:spacing w:before="160" w:after="40"/>
        <w:jc w:val="center"/>
      </w:pPr>
      <w:r>
        <w:rPr>
          <w:rFonts w:ascii="Calibri" w:hAnsi="Calibri"/>
          <w:b w:val="0"/>
          <w:i/>
          <w:color w:val="555555"/>
          <w:sz w:val="16"/>
        </w:rPr>
        <w:t>Prepared by the Closing Agent. This settlement statement is subject to verification of all payoff figures, proration inputs, and the final conveyance tax determination at closing. Proration and adjustment obligations survive closing for 90 days (PSA §7.7, §15.1).</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