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ax-issue-identification-report"/>
    <w:p>
      <w:pPr>
        <w:pStyle w:val="Heading1"/>
      </w:pPr>
      <w:r>
        <w:t xml:space="preserve">Tax Issue Identification Report</w:t>
      </w:r>
    </w:p>
    <w:bookmarkStart w:id="20" w:name="Xef6ff7f4724a6e088c095e596693f71334fb09b"/>
    <w:p>
      <w:pPr>
        <w:pStyle w:val="Heading2"/>
      </w:pPr>
      <w:r>
        <w:t xml:space="preserve">Review of Transaction Structure Memorandum — Acquisition of Prism Health Analytics, Inc.</w:t>
      </w:r>
    </w:p>
    <w:p>
      <w:pPr>
        <w:pStyle w:val="FirstParagraph"/>
      </w:pPr>
      <w:r>
        <w:rPr>
          <w:b/>
          <w:bCs/>
        </w:rPr>
        <w:t xml:space="preserve">PRIVILEGED AND CONFIDENTIAL — ATTORNEY WORK PRODUCT</w:t>
      </w:r>
    </w:p>
    <w:p>
      <w:pPr>
        <w:pStyle w:val="BodyText"/>
      </w:pPr>
      <w:r>
        <w:rPr>
          <w:b/>
          <w:bCs/>
        </w:rPr>
        <w:t xml:space="preserve">Prepared for:</w:t>
      </w:r>
      <w:r>
        <w:t xml:space="preserve"> </w:t>
      </w:r>
      <w:r>
        <w:t xml:space="preserve">Ridgeline Capital Partners Fund III, LP — Investment Committee</w:t>
      </w:r>
      <w:r>
        <w:t xml:space="preserve"> </w:t>
      </w:r>
      <w:r>
        <w:rPr>
          <w:b/>
          <w:bCs/>
        </w:rPr>
        <w:t xml:space="preserve">Re:</w:t>
      </w:r>
      <w:r>
        <w:t xml:space="preserve"> </w:t>
      </w:r>
      <w:r>
        <w:t xml:space="preserve">Tax Structure Memorandum dated February 10, 2025 (Calloway, Stern &amp; Whitaker LLP) — Issue Identification and Consistency Review</w:t>
      </w:r>
      <w:r>
        <w:t xml:space="preserve"> </w:t>
      </w:r>
      <w:r>
        <w:rPr>
          <w:b/>
          <w:bCs/>
        </w:rPr>
        <w:t xml:space="preserve">Date of Review:</w:t>
      </w:r>
      <w:r>
        <w:t xml:space="preserve"> </w:t>
      </w:r>
      <w:r>
        <w:t xml:space="preserve">February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presents the results of a consistency review of the Tax Structure Memorandum dated February 10, 2025 (the</w:t>
      </w:r>
      <w:r>
        <w:t xml:space="preserve"> </w:t>
      </w:r>
      <w:r>
        <w:t xml:space="preserve">“</w:t>
      </w:r>
      <w:r>
        <w:t xml:space="preserve">Memo</w:t>
      </w:r>
      <w:r>
        <w:t xml:space="preserve">”</w:t>
      </w:r>
      <w:r>
        <w:t xml:space="preserve">), prepared by Calloway, Stern &amp; Whitaker LLP (</w:t>
      </w:r>
      <w:r>
        <w:t xml:space="preserve">“</w:t>
      </w:r>
      <w:r>
        <w:t xml:space="preserve">CSW</w:t>
      </w:r>
      <w:r>
        <w:t xml:space="preserve">”</w:t>
      </w:r>
      <w:r>
        <w:t xml:space="preserve">) in connection with the proposed acquisition of Prism Health Analytics, Inc. (</w:t>
      </w:r>
      <w:r>
        <w:t xml:space="preserve">“</w:t>
      </w:r>
      <w:r>
        <w:t xml:space="preserve">Prism</w:t>
      </w:r>
      <w:r>
        <w:t xml:space="preserve">”</w:t>
      </w:r>
      <w:r>
        <w:t xml:space="preserve">) by Ridgeline Capital Partners Fund III, LP (</w:t>
      </w:r>
      <w:r>
        <w:t xml:space="preserve">“</w:t>
      </w:r>
      <w:r>
        <w:t xml:space="preserve">Fund III</w:t>
      </w:r>
      <w:r>
        <w:t xml:space="preserve">”</w:t>
      </w:r>
      <w:r>
        <w:t xml:space="preserve"> </w:t>
      </w:r>
      <w:r>
        <w:t xml:space="preserve">or</w:t>
      </w:r>
      <w:r>
        <w:t xml:space="preserve"> </w:t>
      </w:r>
      <w:r>
        <w:t xml:space="preserve">“</w:t>
      </w:r>
      <w:r>
        <w:t xml:space="preserve">Buyer</w:t>
      </w:r>
      <w:r>
        <w:t xml:space="preserve">”</w:t>
      </w:r>
      <w:r>
        <w:t xml:space="preserve">). The Memo was reviewed against the supporting deal documents: the Thornfield Accounting Group, LLP Tax Due Diligence Report dated January 15, 2025 (the</w:t>
      </w:r>
      <w:r>
        <w:t xml:space="preserve"> </w:t>
      </w:r>
      <w:r>
        <w:t xml:space="preserve">“</w:t>
      </w:r>
      <w:r>
        <w:t xml:space="preserve">DD Report</w:t>
      </w:r>
      <w:r>
        <w:t xml:space="preserve">”</w:t>
      </w:r>
      <w:r>
        <w:t xml:space="preserve">); the Agreement and Plan of Merger dated January 28, 2025 (the</w:t>
      </w:r>
      <w:r>
        <w:t xml:space="preserve"> </w:t>
      </w:r>
      <w:r>
        <w:t xml:space="preserve">“</w:t>
      </w:r>
      <w:r>
        <w:t xml:space="preserve">Purchase Agreement</w:t>
      </w:r>
      <w:r>
        <w:t xml:space="preserve">”</w:t>
      </w:r>
      <w:r>
        <w:t xml:space="preserve">); the Beacon Insights, LLC Amended and Restated Operating Agreement (the</w:t>
      </w:r>
      <w:r>
        <w:t xml:space="preserve"> </w:t>
      </w:r>
      <w:r>
        <w:t xml:space="preserve">“</w:t>
      </w:r>
      <w:r>
        <w:t xml:space="preserve">Beacon OA</w:t>
      </w:r>
      <w:r>
        <w:t xml:space="preserve">”</w:t>
      </w:r>
      <w:r>
        <w:t xml:space="preserve">); the Thornfield Asset Valuation Summary / Preliminary Purchase Price Allocation (the</w:t>
      </w:r>
      <w:r>
        <w:t xml:space="preserve"> </w:t>
      </w:r>
      <w:r>
        <w:t xml:space="preserve">“</w:t>
      </w:r>
      <w:r>
        <w:t xml:space="preserve">Asset Valuation</w:t>
      </w:r>
      <w:r>
        <w:t xml:space="preserve">”</w:t>
      </w:r>
      <w:r>
        <w:t xml:space="preserve">); the Prism capitalization table (the</w:t>
      </w:r>
      <w:r>
        <w:t xml:space="preserve"> </w:t>
      </w:r>
      <w:r>
        <w:t xml:space="preserve">“</w:t>
      </w:r>
      <w:r>
        <w:t xml:space="preserve">Cap Table</w:t>
      </w:r>
      <w:r>
        <w:t xml:space="preserve">”</w:t>
      </w:r>
      <w:r>
        <w:t xml:space="preserve">); and the Linden Rock Advisory / CSW email thread regarding QSBS eligibility (the</w:t>
      </w:r>
      <w:r>
        <w:t xml:space="preserve"> </w:t>
      </w:r>
      <w:r>
        <w:t xml:space="preserve">“</w:t>
      </w:r>
      <w:r>
        <w:t xml:space="preserve">QSBS Email Thread</w:t>
      </w:r>
      <w:r>
        <w:t xml:space="preserve">”</w:t>
      </w:r>
      <w:r>
        <w:t xml:space="preserve">).</w:t>
      </w:r>
    </w:p>
    <w:p>
      <w:pPr>
        <w:pStyle w:val="BodyText"/>
      </w:pPr>
      <w:r>
        <w:t xml:space="preserve">The review identified</w:t>
      </w:r>
      <w:r>
        <w:t xml:space="preserve"> </w:t>
      </w:r>
      <w:r>
        <w:rPr>
          <w:b/>
          <w:bCs/>
        </w:rPr>
        <w:t xml:space="preserve">28 issues</w:t>
      </w:r>
      <w:r>
        <w:t xml:space="preserve"> </w:t>
      </w:r>
      <w:r>
        <w:t xml:space="preserve">— a combination of computational errors, factual inconsistencies with the supporting documents, and material omissions. The issues are severity-ranked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Errors or omissions that could invalidate the transaction structure, produce materially incorrect tax filings, or reflect a failure to disclose a known material risk</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Material inconsistencies or omissions that should be resolved before closing and that affect tax amounts, deal economics, or closing conditions</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Notable inconsistencies or analytical gaps that should be addressed but are unlikely to be transaction-blocking</w:t>
            </w:r>
          </w:p>
        </w:tc>
      </w:tr>
      <w:tr>
        <w:tc>
          <w:tcPr/>
          <w:p>
            <w:pPr>
              <w:pStyle w:val="Compact"/>
              <w:jc w:val="left"/>
            </w:pPr>
            <w:r>
              <w:rPr>
                <w:b/>
                <w:bCs/>
              </w:rPr>
              <w:t xml:space="preserve">Low</w:t>
            </w:r>
          </w:p>
        </w:tc>
        <w:tc>
          <w:tcPr/>
          <w:p>
            <w:pPr>
              <w:pStyle w:val="Compact"/>
              <w:jc w:val="left"/>
            </w:pPr>
            <w:r>
              <w:t xml:space="preserve">9</w:t>
            </w:r>
          </w:p>
        </w:tc>
        <w:tc>
          <w:tcPr/>
          <w:p>
            <w:pPr>
              <w:pStyle w:val="Compact"/>
              <w:jc w:val="left"/>
            </w:pPr>
            <w:r>
              <w:t xml:space="preserve">Minor inconsistencies, presentation issues, or items warranting confirmation</w:t>
            </w:r>
          </w:p>
        </w:tc>
      </w:tr>
    </w:tbl>
    <w:p>
      <w:pPr>
        <w:pStyle w:val="BodyText"/>
      </w:pPr>
      <w:r>
        <w:rPr>
          <w:b/>
          <w:bCs/>
        </w:rPr>
        <w:t xml:space="preserve">The three Critical findings are the most urgent:</w:t>
      </w:r>
    </w:p>
    <w:p>
      <w:pPr>
        <w:numPr>
          <w:ilvl w:val="0"/>
          <w:numId w:val="1001"/>
        </w:numPr>
      </w:pPr>
      <w:r>
        <w:rPr>
          <w:b/>
          <w:bCs/>
        </w:rPr>
        <w:t xml:space="preserve">Aggregate Deemed Sale Price (ADSP) is overstated by $48 million.</w:t>
      </w:r>
      <w:r>
        <w:t xml:space="preserve"> </w:t>
      </w:r>
      <w:r>
        <w:t xml:space="preserve">The Memo computes ADSP as enterprise value ($425M) plus funded debt ($48M) = $473M. This double-counts the funded debt, which is already embedded in enterprise value (EV = equity value + net debt). Under Treas. Reg. 1.338-4, ADSP should be computed from the amount realized on the stock ($370M) plus target liabilities ($48M funded debt + $7M seller expenses) = $425M. The Asset Valuation explicitly flags this as a</w:t>
      </w:r>
      <w:r>
        <w:t xml:space="preserve"> </w:t>
      </w:r>
      <w:r>
        <w:t xml:space="preserve">“</w:t>
      </w:r>
      <w:r>
        <w:t xml:space="preserve">SIGNIFICANT DISCREPANCY.</w:t>
      </w:r>
      <w:r>
        <w:t xml:space="preserve">”</w:t>
      </w:r>
      <w:r>
        <w:t xml:space="preserve"> </w:t>
      </w:r>
      <w:r>
        <w:t xml:space="preserve">The $48M overstatement flows directly into the Class VII goodwill residual, inflating it by $76.5M in total (when combined with the Class V error described below) and would produce an incorrect Form 8883 and tax returns.</w:t>
      </w:r>
    </w:p>
    <w:p>
      <w:pPr>
        <w:numPr>
          <w:ilvl w:val="0"/>
          <w:numId w:val="1001"/>
        </w:numPr>
      </w:pPr>
      <w:r>
        <w:rPr>
          <w:b/>
          <w:bCs/>
        </w:rPr>
        <w:t xml:space="preserve">The Memo affirmatively misstates S corporation shareholder eligibility.</w:t>
      </w:r>
      <w:r>
        <w:t xml:space="preserve"> </w:t>
      </w:r>
      <w:r>
        <w:t xml:space="preserve">The Memo states that</w:t>
      </w:r>
      <w:r>
        <w:t xml:space="preserve"> </w:t>
      </w:r>
      <w:r>
        <w:t xml:space="preserve">“</w:t>
      </w:r>
      <w:r>
        <w:t xml:space="preserve">All shareholders of Prism are U.S. individuals, and we are not aware of any ineligible shareholders</w:t>
      </w:r>
      <w:r>
        <w:t xml:space="preserve">”</w:t>
      </w:r>
      <w:r>
        <w:t xml:space="preserve"> </w:t>
      </w:r>
      <w:r>
        <w:t xml:space="preserve">and that</w:t>
      </w:r>
      <w:r>
        <w:t xml:space="preserve"> </w:t>
      </w:r>
      <w:r>
        <w:t xml:space="preserve">“</w:t>
      </w:r>
      <w:r>
        <w:t xml:space="preserve">No events causing a termination of the S election have been identified.</w:t>
      </w:r>
      <w:r>
        <w:t xml:space="preserve">”</w:t>
      </w:r>
      <w:r>
        <w:t xml:space="preserve"> </w:t>
      </w:r>
      <w:r>
        <w:t xml:space="preserve">This directly contradicts the DD Report’s</w:t>
      </w:r>
      <w:r>
        <w:t xml:space="preserve"> </w:t>
      </w:r>
      <w:r>
        <w:rPr>
          <w:b/>
          <w:bCs/>
        </w:rPr>
        <w:t xml:space="preserve">Critical</w:t>
      </w:r>
      <w:r>
        <w:t xml:space="preserve"> </w:t>
      </w:r>
      <w:r>
        <w:t xml:space="preserve">finding (2 of 8 restricted stock holders have unconfirmed eligibility, including an H-1B visa holder and a possible transfer to an ineligible family LLC) and the Cap Table (which flags</w:t>
      </w:r>
      <w:r>
        <w:t xml:space="preserve"> </w:t>
      </w:r>
      <w:r>
        <w:rPr>
          <w:b/>
          <w:bCs/>
        </w:rPr>
        <w:t xml:space="preserve">three</w:t>
      </w:r>
      <w:r>
        <w:t xml:space="preserve"> </w:t>
      </w:r>
      <w:r>
        <w:t xml:space="preserve">holders as</w:t>
      </w:r>
      <w:r>
        <w:t xml:space="preserve"> </w:t>
      </w:r>
      <w:r>
        <w:t xml:space="preserve">“</w:t>
      </w:r>
      <w:r>
        <w:t xml:space="preserve">Unconfirmed</w:t>
      </w:r>
      <w:r>
        <w:t xml:space="preserve">”</w:t>
      </w:r>
      <w:r>
        <w:t xml:space="preserve">). S election validity is a threshold requirement for the Section 338(h)(10) election; if the S election was inadvertently terminated, the entire transaction structure collapses.</w:t>
      </w:r>
    </w:p>
    <w:p>
      <w:pPr>
        <w:numPr>
          <w:ilvl w:val="0"/>
          <w:numId w:val="1001"/>
        </w:numPr>
      </w:pPr>
      <w:r>
        <w:rPr>
          <w:b/>
          <w:bCs/>
        </w:rPr>
        <w:t xml:space="preserve">The QSBS / Section 1202 analysis is entirely omitted.</w:t>
      </w:r>
      <w:r>
        <w:t xml:space="preserve"> </w:t>
      </w:r>
      <w:r>
        <w:t xml:space="preserve">The QSBS Email Thread documents a formal request from Linden Rock Advisory (the shareholders’ financial advisor) for a QSBS analysis, an express acknowledgment and commitment by CSW’s own senior partner to include a QSBS section in the Memo, a follow-up noting that no analysis had been received, and the subsequent signing of the Purchase Agreement without the analysis. The Memo — dated after the Purchase Agreement was signed — contains no QSBS analysis and does not mention Section 1202 at all. This is material (a potential 100% federal gain exclusion for eligible shareholders) and directly interacts with the 338(h)(10) deemed asset sale framework.</w:t>
      </w:r>
    </w:p>
    <w:p>
      <w:pPr>
        <w:pStyle w:val="FirstParagraph"/>
      </w:pPr>
      <w:r>
        <w:rPr>
          <w:b/>
          <w:bCs/>
        </w:rPr>
        <w:t xml:space="preserve">Additional themes.</w:t>
      </w:r>
      <w:r>
        <w:t xml:space="preserve"> </w:t>
      </w:r>
      <w:r>
        <w:t xml:space="preserve">Beyond the Critical findings, the review identified: (i) a $28.5 million understatement in the Class V asset allocation (developed technology valued at $19M in the Memo vs. $41.8M in the Asset Valuation, plus omitted government software licenses); (ii) a $21.5 million inconsistency in the aggregate adjusted tax basis used to compute the deemed sale gain; (iii) a direct contradiction between the Memo’s escrow tax treatment (Section 453 installment deferral) and the Purchase Agreement (report as amount realized in the year of closing); (iv) failure to address the non-transferable North Carolina data processing license in the context of the deemed asset sale (putting ~$19M of annual government-sector revenue at risk); (v) failure to address the automatic termination of the Beacon IP license upon a deemed transfer / change of control; and (vi) omission of the $6.3 million Section 482 transfer-pricing exposure identified in the DD Report.</w:t>
      </w:r>
    </w:p>
    <w:p>
      <w:pPr>
        <w:pStyle w:val="BodyText"/>
      </w:pPr>
      <w:r>
        <w:rPr>
          <w:b/>
          <w:bCs/>
        </w:rPr>
        <w:t xml:space="preserve">Recommendation.</w:t>
      </w:r>
      <w:r>
        <w:t xml:space="preserve"> </w:t>
      </w:r>
      <w:r>
        <w:t xml:space="preserve">The Critical and High findings should be resolved, and the Memo revised, before the Investment Committee relies on it and before Form 8023 / Form 8883 are filed. Several findings (S corporation eligibility, Beacon consents, NC license status) also implicate closing conditions under the Purchase Agreement and should be addressed in the pre-closing period.</w:t>
      </w:r>
    </w:p>
    <w:p>
      <w:r>
        <w:pict>
          <v:rect style="width:0;height:1.5pt" o:hralign="center" o:hrstd="t" o:hr="t"/>
        </w:pict>
      </w:r>
    </w:p>
    <w:bookmarkEnd w:id="21"/>
    <w:bookmarkStart w:id="22" w:name="ii.-scope-and-methodology"/>
    <w:p>
      <w:pPr>
        <w:pStyle w:val="Heading2"/>
      </w:pPr>
      <w:r>
        <w:t xml:space="preserve">II. Scope and Methodology</w:t>
      </w:r>
    </w:p>
    <w:p>
      <w:pPr>
        <w:pStyle w:val="FirstParagraph"/>
      </w:pPr>
      <w:r>
        <w:rPr>
          <w:b/>
          <w:bCs/>
        </w:rPr>
        <w:t xml:space="preserve">Documents reviewed:</w:t>
      </w:r>
    </w:p>
    <w:p>
      <w:pPr>
        <w:pStyle w:val="Compact"/>
        <w:numPr>
          <w:ilvl w:val="0"/>
          <w:numId w:val="1002"/>
        </w:numPr>
      </w:pPr>
      <w:r>
        <w:t xml:space="preserve">Transaction Structure Memorandum dated February 10, 2025 (Calloway, Stern &amp; Whitaker LLP) — the subject of this review.</w:t>
      </w:r>
    </w:p>
    <w:p>
      <w:pPr>
        <w:pStyle w:val="Compact"/>
        <w:numPr>
          <w:ilvl w:val="0"/>
          <w:numId w:val="1002"/>
        </w:numPr>
      </w:pPr>
      <w:r>
        <w:t xml:space="preserve">Tax Due Diligence Report dated January 15, 2025 (Thornfield Accounting Group, LLP).</w:t>
      </w:r>
    </w:p>
    <w:p>
      <w:pPr>
        <w:pStyle w:val="Compact"/>
        <w:numPr>
          <w:ilvl w:val="0"/>
          <w:numId w:val="1002"/>
        </w:numPr>
      </w:pPr>
      <w:r>
        <w:t xml:space="preserve">Agreement and Plan of Merger dated January 28, 2025 (selected excerpts).</w:t>
      </w:r>
    </w:p>
    <w:p>
      <w:pPr>
        <w:pStyle w:val="Compact"/>
        <w:numPr>
          <w:ilvl w:val="0"/>
          <w:numId w:val="1002"/>
        </w:numPr>
      </w:pPr>
      <w:r>
        <w:t xml:space="preserve">Amended and Restated Operating Agreement of Beacon Insights, LLC (selected provisions).</w:t>
      </w:r>
    </w:p>
    <w:p>
      <w:pPr>
        <w:pStyle w:val="Compact"/>
        <w:numPr>
          <w:ilvl w:val="0"/>
          <w:numId w:val="1002"/>
        </w:numPr>
      </w:pPr>
      <w:r>
        <w:t xml:space="preserve">Asset Valuation Summary / Preliminary Purchase Price Allocation (Thornfield Accounting Group, LLP) — Excel workbook.</w:t>
      </w:r>
    </w:p>
    <w:p>
      <w:pPr>
        <w:pStyle w:val="Compact"/>
        <w:numPr>
          <w:ilvl w:val="0"/>
          <w:numId w:val="1002"/>
        </w:numPr>
      </w:pPr>
      <w:r>
        <w:t xml:space="preserve">Prism Health Analytics, Inc. Capitalization Table — Excel workbook.</w:t>
      </w:r>
    </w:p>
    <w:p>
      <w:pPr>
        <w:pStyle w:val="Compact"/>
        <w:numPr>
          <w:ilvl w:val="0"/>
          <w:numId w:val="1002"/>
        </w:numPr>
      </w:pPr>
      <w:r>
        <w:t xml:space="preserve">Email thread re: QSBS Eligibility — Angel Investor Shareholders (Linden Rock Advisory / CSW, November 2024 – January 2025).</w:t>
      </w:r>
    </w:p>
    <w:p>
      <w:pPr>
        <w:pStyle w:val="FirstParagraph"/>
      </w:pPr>
      <w:r>
        <w:rPr>
          <w:b/>
          <w:bCs/>
        </w:rPr>
        <w:t xml:space="preserve">Methodology.</w:t>
      </w:r>
      <w:r>
        <w:t xml:space="preserve"> </w:t>
      </w:r>
      <w:r>
        <w:t xml:space="preserve">Each material representation, calculation, and conclusion in the Memo was traced to the corresponding provision or data point in the supporting documents. Discrepancies were categorized by severity based on (a) the magnitude of the dollar impact, (b) the significance of the legal/tax consequence, and (c) whether the issue affects a threshold requirement for the transaction structure or a closing condition. This report identifies issues; it does not opine on the correct tax treatment, which remains the responsibility of tax counsel.</w:t>
      </w:r>
    </w:p>
    <w:p>
      <w:r>
        <w:pict>
          <v:rect style="width:0;height:1.5pt" o:hralign="center" o:hrstd="t" o:hr="t"/>
        </w:pict>
      </w:r>
    </w:p>
    <w:bookmarkEnd w:id="22"/>
    <w:bookmarkStart w:id="55" w:name="iii.-severity-ranked-findings"/>
    <w:p>
      <w:pPr>
        <w:pStyle w:val="Heading2"/>
      </w:pPr>
      <w:r>
        <w:t xml:space="preserve">III. Severity-Ranked Findings</w:t>
      </w:r>
    </w:p>
    <w:bookmarkStart w:id="26" w:name="a.-critical-findings"/>
    <w:p>
      <w:pPr>
        <w:pStyle w:val="Heading3"/>
      </w:pPr>
      <w:r>
        <w:t xml:space="preserve">A. Critical Findings</w:t>
      </w:r>
    </w:p>
    <w:bookmarkStart w:id="23" w:name="X60758c589e0da1b603e55a99462d0fbff7c64dd"/>
    <w:p>
      <w:pPr>
        <w:pStyle w:val="Heading4"/>
      </w:pPr>
      <w:r>
        <w:t xml:space="preserve">C-1. ADSP Calculation Double-Counts Funded Debt ($48 Million Overstatement)</w:t>
      </w:r>
    </w:p>
    <w:p>
      <w:pPr>
        <w:pStyle w:val="FirstParagraph"/>
      </w:pPr>
      <w:r>
        <w:rPr>
          <w:b/>
          <w:bCs/>
        </w:rPr>
        <w:t xml:space="preserve">The issue.</w:t>
      </w:r>
      <w:r>
        <w:t xml:space="preserve"> </w:t>
      </w:r>
      <w:r>
        <w:t xml:space="preserve">The Memo (Section IV.B) computes the Aggregate Deemed Sale Price 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Memo Amount</w:t>
            </w:r>
          </w:p>
        </w:tc>
      </w:tr>
      <w:tr>
        <w:tc>
          <w:tcPr/>
          <w:p>
            <w:pPr>
              <w:pStyle w:val="Compact"/>
              <w:jc w:val="left"/>
            </w:pPr>
            <w:r>
              <w:t xml:space="preserve">Enterprise Value</w:t>
            </w:r>
          </w:p>
        </w:tc>
        <w:tc>
          <w:tcPr/>
          <w:p>
            <w:pPr>
              <w:pStyle w:val="Compact"/>
              <w:jc w:val="left"/>
            </w:pPr>
            <w:r>
              <w:t xml:space="preserve">$425,000,000</w:t>
            </w:r>
          </w:p>
        </w:tc>
      </w:tr>
      <w:tr>
        <w:tc>
          <w:tcPr/>
          <w:p>
            <w:pPr>
              <w:pStyle w:val="Compact"/>
              <w:jc w:val="left"/>
            </w:pPr>
            <w:r>
              <w:t xml:space="preserve">Plus: Assumed Liabilities (Funded Debt)</w:t>
            </w:r>
          </w:p>
        </w:tc>
        <w:tc>
          <w:tcPr/>
          <w:p>
            <w:pPr>
              <w:pStyle w:val="Compact"/>
              <w:jc w:val="left"/>
            </w:pPr>
            <w:r>
              <w:t xml:space="preserve">$48,000,000</w:t>
            </w:r>
          </w:p>
        </w:tc>
      </w:tr>
      <w:tr>
        <w:tc>
          <w:tcPr/>
          <w:p>
            <w:pPr>
              <w:pStyle w:val="Compact"/>
              <w:jc w:val="left"/>
            </w:pPr>
            <w:r>
              <w:rPr>
                <w:b/>
                <w:bCs/>
              </w:rPr>
              <w:t xml:space="preserve">ADSP</w:t>
            </w:r>
          </w:p>
        </w:tc>
        <w:tc>
          <w:tcPr/>
          <w:p>
            <w:pPr>
              <w:pStyle w:val="Compact"/>
              <w:jc w:val="left"/>
            </w:pPr>
            <w:r>
              <w:rPr>
                <w:b/>
                <w:bCs/>
              </w:rPr>
              <w:t xml:space="preserve">$473,000,000</w:t>
            </w:r>
          </w:p>
        </w:tc>
      </w:tr>
    </w:tbl>
    <w:p>
      <w:pPr>
        <w:pStyle w:val="BodyText"/>
      </w:pPr>
      <w:r>
        <w:t xml:space="preserve">This is incorrect. Enterprise value already includes the funded debt component (EV = equity value + net debt). The equity value of $370M was itself derived by subtracting the $48M funded debt and $7M seller expenses from enterprise value ($425M − $48M − $7M = $370M). Adding the $48M funded debt back to enterprise value double-counts the debt.</w:t>
      </w:r>
    </w:p>
    <w:p>
      <w:pPr>
        <w:pStyle w:val="BodyText"/>
      </w:pPr>
      <w:r>
        <w:rPr>
          <w:b/>
          <w:bCs/>
        </w:rPr>
        <w:t xml:space="preserve">Correct computation (per Treas. Reg. 1.338-4 and the Asset Valuation).</w:t>
      </w:r>
      <w:r>
        <w:t xml:space="preserve"> </w:t>
      </w:r>
      <w:r>
        <w:t xml:space="preserve">ADSP equals the grossed-up amount realized on the sale of old target’s stock</w:t>
      </w:r>
      <w:r>
        <w:t xml:space="preserve"> </w:t>
      </w:r>
      <w:r>
        <w:rPr>
          <w:b/>
          <w:bCs/>
        </w:rPr>
        <w:t xml:space="preserve">plus</w:t>
      </w:r>
      <w:r>
        <w:t xml:space="preserve"> </w:t>
      </w:r>
      <w:r>
        <w:t xml:space="preserve">the liabilities of old target. The amount realized on the stock is the equity value ($370M = $333M cash + $37M rollover equity). Target liabilities are the $48M funded debt and (conservatively) the $7M seller transaction expenses. ADSP = $370M + $48M + $7M =</w:t>
      </w:r>
      <w:r>
        <w:t xml:space="preserve"> </w:t>
      </w:r>
      <w:r>
        <w:rPr>
          <w:b/>
          <w:bCs/>
        </w:rPr>
        <w:t xml:space="preserve">$425,000,000</w:t>
      </w:r>
      <w:r>
        <w:t xml:space="preserve">.</w:t>
      </w:r>
    </w:p>
    <w:p>
      <w:pPr>
        <w:pStyle w:val="BodyText"/>
      </w:pPr>
      <w:r>
        <w:rPr>
          <w:b/>
          <w:bCs/>
        </w:rPr>
        <w:t xml:space="preserve">Supporting document.</w:t>
      </w:r>
      <w:r>
        <w:t xml:space="preserve"> </w:t>
      </w:r>
      <w:r>
        <w:t xml:space="preserve">The Asset Valuation (Allocation Summary tab) explicitly flags this as a</w:t>
      </w:r>
      <w:r>
        <w:t xml:space="preserve"> </w:t>
      </w:r>
      <w:r>
        <w:t xml:space="preserve">“</w:t>
      </w:r>
      <w:r>
        <w:t xml:space="preserve">SIGNIFICANT DISCREPANCY,</w:t>
      </w:r>
      <w:r>
        <w:t xml:space="preserve">”</w:t>
      </w:r>
      <w:r>
        <w:t xml:space="preserve"> </w:t>
      </w:r>
      <w:r>
        <w:t xml:space="preserve">stating:</w:t>
      </w:r>
      <w:r>
        <w:t xml:space="preserve"> </w:t>
      </w:r>
      <w:r>
        <w:t xml:space="preserve">“</w:t>
      </w:r>
      <w:r>
        <w:t xml:space="preserve">The memorandum computes ADSP as $425M enterprise value + $48M liabilities = $473M. This double-counts the $48M funded debt, which was already subtracted to derive equity value… Under Treas. Reg. 1.338-4, ADSP should be computed starting from the amount realized on the stock ($370M) plus target liabilities. Thornfield’s computation: $370M + $48M + $7M = $425M.</w:t>
      </w:r>
      <w:r>
        <w:t xml:space="preserve">”</w:t>
      </w:r>
    </w:p>
    <w:p>
      <w:pPr>
        <w:pStyle w:val="BodyText"/>
      </w:pPr>
      <w:r>
        <w:rPr>
          <w:b/>
          <w:bCs/>
        </w:rPr>
        <w:t xml:space="preserve">Impact.</w:t>
      </w:r>
      <w:r>
        <w:t xml:space="preserve"> </w:t>
      </w:r>
      <w:r>
        <w:t xml:space="preserve">The $48M ADSP overstatement inflates the Class VII goodwill residual by $48M (and by $76.5M in total when combined with the Class V understatement in H-1). This would cause an incorrect Form 8883 (Asset Allocation Statement) to be filed, incorrect depreciation/amortization schedules, and overstated tax benefit estimates. The Memo’s stated goodwill of $272.8M should be approximately $196.3M under the corrected figures.</w:t>
      </w:r>
    </w:p>
    <w:p>
      <w:pPr>
        <w:pStyle w:val="BodyText"/>
      </w:pPr>
      <w:r>
        <w:rPr>
          <w:b/>
          <w:bCs/>
        </w:rPr>
        <w:t xml:space="preserve">Recommendation.</w:t>
      </w:r>
      <w:r>
        <w:t xml:space="preserve"> </w:t>
      </w:r>
      <w:r>
        <w:t xml:space="preserve">Recompute ADSP from the amount realized on the stock ($370M) plus target liabilities. Revise the entire purchase price allocation, the deemed sale gain computation, and the Buyer’s depreciation/amortization benefit analysis. Reconcile with Thornfield before any Form 8023 or Form 8883 is filed.</w:t>
      </w:r>
    </w:p>
    <w:p>
      <w:r>
        <w:pict>
          <v:rect style="width:0;height:1.5pt" o:hralign="center" o:hrstd="t" o:hr="t"/>
        </w:pict>
      </w:r>
    </w:p>
    <w:bookmarkEnd w:id="23"/>
    <w:bookmarkStart w:id="24" w:name="X682b43f7ea5da6ef924cc62afae8a6442608c89"/>
    <w:p>
      <w:pPr>
        <w:pStyle w:val="Heading4"/>
      </w:pPr>
      <w:r>
        <w:t xml:space="preserve">C-2. S Corporation Shareholder Eligibility — Memo Contradicts Due Diligence and Cap Table</w:t>
      </w:r>
    </w:p>
    <w:p>
      <w:pPr>
        <w:pStyle w:val="FirstParagraph"/>
      </w:pPr>
      <w:r>
        <w:rPr>
          <w:b/>
          <w:bCs/>
        </w:rPr>
        <w:t xml:space="preserve">The issue.</w:t>
      </w:r>
      <w:r>
        <w:t xml:space="preserve"> </w:t>
      </w:r>
      <w:r>
        <w:t xml:space="preserve">The Memo (Section III.A) states:</w:t>
      </w:r>
      <w:r>
        <w:t xml:space="preserve"> </w:t>
      </w:r>
      <w:r>
        <w:t xml:space="preserve">“</w:t>
      </w:r>
      <w:r>
        <w:t xml:space="preserve">No events causing a termination of the S election have been identified. All shareholders of Prism are U.S. individuals, and we are not aware of any ineligible shareholders.</w:t>
      </w:r>
      <w:r>
        <w:t xml:space="preserve">”</w:t>
      </w:r>
      <w:r>
        <w:t xml:space="preserve"> </w:t>
      </w:r>
      <w:r>
        <w:t xml:space="preserve">The Memo repeats this position in Section II.B (describing the qualified stock purchase) and relies on it throughout.</w:t>
      </w:r>
    </w:p>
    <w:p>
      <w:pPr>
        <w:pStyle w:val="BodyText"/>
      </w:pPr>
      <w:r>
        <w:t xml:space="preserve">This affirmatively contradicts both the DD Report and the Cap Table:</w:t>
      </w:r>
    </w:p>
    <w:p>
      <w:pPr>
        <w:numPr>
          <w:ilvl w:val="0"/>
          <w:numId w:val="1003"/>
        </w:numPr>
      </w:pPr>
      <w:r>
        <w:rPr>
          <w:b/>
          <w:bCs/>
        </w:rPr>
        <w:t xml:space="preserve">DD Report (Section III.B —</w:t>
      </w:r>
      <w:r>
        <w:rPr>
          <w:b/>
          <w:bCs/>
        </w:rPr>
        <w:t xml:space="preserve"> </w:t>
      </w:r>
      <w:r>
        <w:rPr>
          <w:b/>
          <w:bCs/>
        </w:rPr>
        <w:t xml:space="preserve">“</w:t>
      </w:r>
      <w:r>
        <w:rPr>
          <w:b/>
          <w:bCs/>
        </w:rPr>
        <w:t xml:space="preserve">Critical Finding</w:t>
      </w:r>
      <w:r>
        <w:rPr>
          <w:b/>
          <w:bCs/>
        </w:rPr>
        <w:t xml:space="preserve">”</w:t>
      </w:r>
      <w:r>
        <w:rPr>
          <w:b/>
          <w:bCs/>
        </w:rPr>
        <w:t xml:space="preserve">).</w:t>
      </w:r>
      <w:r>
        <w:t xml:space="preserve"> </w:t>
      </w:r>
      <w:r>
        <w:t xml:space="preserve">Thornfield was</w:t>
      </w:r>
      <w:r>
        <w:t xml:space="preserve"> </w:t>
      </w:r>
      <w:r>
        <w:t xml:space="preserve">“</w:t>
      </w:r>
      <w:r>
        <w:t xml:space="preserve">unable to confirm S corporation eligibility for 2 of the 8 restricted stock holders</w:t>
      </w:r>
      <w:r>
        <w:t xml:space="preserve">”</w:t>
      </w:r>
      <w:r>
        <w:t xml:space="preserve">: (a) one holder who is a Canadian national on an H-1B visa whose substantial-presence-test compliance has not been verified for all years; and (b) one holder whose shares may have been transferred to a</w:t>
      </w:r>
      <w:r>
        <w:t xml:space="preserve"> </w:t>
      </w:r>
      <w:r>
        <w:t xml:space="preserve">“</w:t>
      </w:r>
      <w:r>
        <w:t xml:space="preserve">Family Holdings, LLC,</w:t>
      </w:r>
      <w:r>
        <w:t xml:space="preserve">”</w:t>
      </w:r>
      <w:r>
        <w:t xml:space="preserve"> </w:t>
      </w:r>
      <w:r>
        <w:t xml:space="preserve">which would be an ineligible shareholder. The DD Report warns that if the S election was inadvertently terminated,</w:t>
      </w:r>
      <w:r>
        <w:t xml:space="preserve"> </w:t>
      </w:r>
      <w:r>
        <w:t xml:space="preserve">“</w:t>
      </w:r>
      <w:r>
        <w:t xml:space="preserve">Prism would have been a C corporation for that year and all subsequent years, with cascading consequences including entity-level federal and state income tax liability for all open years, potential penalties and interest, and the unavailability of the Section 338(h)(10) election.</w:t>
      </w:r>
      <w:r>
        <w:t xml:space="preserve">”</w:t>
      </w:r>
    </w:p>
    <w:p>
      <w:pPr>
        <w:numPr>
          <w:ilvl w:val="0"/>
          <w:numId w:val="1003"/>
        </w:numPr>
      </w:pPr>
      <w:r>
        <w:rPr>
          <w:b/>
          <w:bCs/>
        </w:rPr>
        <w:t xml:space="preserve">Cap Table.</w:t>
      </w:r>
      <w:r>
        <w:t xml:space="preserve"> </w:t>
      </w:r>
      <w:r>
        <w:t xml:space="preserve">The Cap Table flags</w:t>
      </w:r>
      <w:r>
        <w:t xml:space="preserve"> </w:t>
      </w:r>
      <w:r>
        <w:rPr>
          <w:b/>
          <w:bCs/>
        </w:rPr>
        <w:t xml:space="preserve">three</w:t>
      </w:r>
      <w:r>
        <w:t xml:space="preserve"> </w:t>
      </w:r>
      <w:r>
        <w:t xml:space="preserve">restricted stock holders as</w:t>
      </w:r>
      <w:r>
        <w:t xml:space="preserve"> </w:t>
      </w:r>
      <w:r>
        <w:t xml:space="preserve">“</w:t>
      </w:r>
      <w:r>
        <w:t xml:space="preserve">Unconfirmed</w:t>
      </w:r>
      <w:r>
        <w:t xml:space="preserve">”</w:t>
      </w:r>
      <w:r>
        <w:t xml:space="preserve"> </w:t>
      </w:r>
      <w:r>
        <w:t xml:space="preserve">for S corporation eligibility: Lin Wei Zhang (H-1B visa holder, PRC citizen), Yusuf Al-Rashidi (dual U.S./Jordan citizen, documentation not on file), and Nina Petrova (Bulgarian-born, green-card status unconfirmed). The Cap Table notes these three holders collectively receive $2,775,000 in aggregate consideration.</w:t>
      </w:r>
    </w:p>
    <w:p>
      <w:pPr>
        <w:pStyle w:val="FirstParagraph"/>
      </w:pPr>
      <w:r>
        <w:rPr>
          <w:b/>
          <w:bCs/>
        </w:rPr>
        <w:t xml:space="preserve">Why it is critical.</w:t>
      </w:r>
      <w:r>
        <w:t xml:space="preserve"> </w:t>
      </w:r>
      <w:r>
        <w:t xml:space="preserve">A valid S corporation election is a threshold requirement for the Section 338(h)(10) election. The Purchase Agreement (Section 4.9(a)) represents that Prism</w:t>
      </w:r>
      <w:r>
        <w:t xml:space="preserve"> </w:t>
      </w:r>
      <w:r>
        <w:t xml:space="preserve">“</w:t>
      </w:r>
      <w:r>
        <w:t xml:space="preserve">has been a validly electing S corporation… continuously from January 1, 2017,</w:t>
      </w:r>
      <w:r>
        <w:t xml:space="preserve">”</w:t>
      </w:r>
      <w:r>
        <w:t xml:space="preserve"> </w:t>
      </w:r>
      <w:r>
        <w:t xml:space="preserve">and Section 8.2(c) makes the Company’s continued S corporation status through closing a condition to Buyer’s obligations. If the S election was terminated in any prior year due to an ineligible shareholder, the 338(h)(10) election is unavailable, the entire transaction structure fails, and the Company would owe entity-level C corporation tax (federal and state) for all open years.</w:t>
      </w:r>
    </w:p>
    <w:p>
      <w:pPr>
        <w:pStyle w:val="BodyText"/>
      </w:pPr>
      <w:r>
        <w:rPr>
          <w:b/>
          <w:bCs/>
        </w:rPr>
        <w:t xml:space="preserve">Additional inconsistency.</w:t>
      </w:r>
      <w:r>
        <w:t xml:space="preserve"> </w:t>
      </w:r>
      <w:r>
        <w:t xml:space="preserve">The DD Report and the Cap Table do not agree on which holders are unverified or the nature of the concern: the DD Report describes the H-1B holder as a</w:t>
      </w:r>
      <w:r>
        <w:t xml:space="preserve"> </w:t>
      </w:r>
      <w:r>
        <w:t xml:space="preserve">“</w:t>
      </w:r>
      <w:r>
        <w:t xml:space="preserve">Canadian national,</w:t>
      </w:r>
      <w:r>
        <w:t xml:space="preserve">”</w:t>
      </w:r>
      <w:r>
        <w:t xml:space="preserve"> </w:t>
      </w:r>
      <w:r>
        <w:t xml:space="preserve">while the Cap Table identifies Lin Wei Zhang as a</w:t>
      </w:r>
      <w:r>
        <w:t xml:space="preserve"> </w:t>
      </w:r>
      <w:r>
        <w:t xml:space="preserve">“</w:t>
      </w:r>
      <w:r>
        <w:t xml:space="preserve">PRC citizen</w:t>
      </w:r>
      <w:r>
        <w:t xml:space="preserve">”</w:t>
      </w:r>
      <w:r>
        <w:t xml:space="preserve">; the DD Report’s</w:t>
      </w:r>
      <w:r>
        <w:t xml:space="preserve"> </w:t>
      </w:r>
      <w:r>
        <w:t xml:space="preserve">“</w:t>
      </w:r>
      <w:r>
        <w:t xml:space="preserve">family LLC transfer</w:t>
      </w:r>
      <w:r>
        <w:t xml:space="preserve">”</w:t>
      </w:r>
      <w:r>
        <w:t xml:space="preserve"> </w:t>
      </w:r>
      <w:r>
        <w:t xml:space="preserve">concern is not reflected anywhere in the Cap Table (which lists all holders as individuals). These inconsistencies themselves must be reconciled.</w:t>
      </w:r>
    </w:p>
    <w:p>
      <w:pPr>
        <w:pStyle w:val="BodyText"/>
      </w:pPr>
      <w:r>
        <w:rPr>
          <w:b/>
          <w:bCs/>
        </w:rPr>
        <w:t xml:space="preserve">Recommendation.</w:t>
      </w:r>
      <w:r>
        <w:t xml:space="preserve"> </w:t>
      </w:r>
      <w:r>
        <w:t xml:space="preserve">Obtain definitive immigration/residency documentation for every restricted stock holder for every year since the S election (January 1, 2017), with particular attention to the H-1B holder’s substantial-presence-test compliance and the alleged family LLC transfer. Do not rely on the Memo’s blanket eligibility statement. Reconcile the DD Report and Cap Table discrepancies. This should be a condition to closing.</w:t>
      </w:r>
    </w:p>
    <w:p>
      <w:r>
        <w:pict>
          <v:rect style="width:0;height:1.5pt" o:hralign="center" o:hrstd="t" o:hr="t"/>
        </w:pict>
      </w:r>
    </w:p>
    <w:bookmarkEnd w:id="24"/>
    <w:bookmarkStart w:id="25" w:name="Xcde0af528e4410bc24ce233fe29d422b0e7acdf"/>
    <w:p>
      <w:pPr>
        <w:pStyle w:val="Heading4"/>
      </w:pPr>
      <w:r>
        <w:t xml:space="preserve">C-3. QSBS / Section 1202 Analysis Entirely Omitted</w:t>
      </w:r>
    </w:p>
    <w:p>
      <w:pPr>
        <w:pStyle w:val="FirstParagraph"/>
      </w:pPr>
      <w:r>
        <w:rPr>
          <w:b/>
          <w:bCs/>
        </w:rPr>
        <w:t xml:space="preserve">The issue.</w:t>
      </w:r>
      <w:r>
        <w:t xml:space="preserve"> </w:t>
      </w:r>
      <w:r>
        <w:t xml:space="preserve">The Memo contains no analysis of Section 1202 qualified small business stock (QSBS) and does not mention Section 1202 anywhere in its text. This is a complete omission of an issue that was formally raised, acknowledged, and committed to by the Memo’s own author.</w:t>
      </w:r>
    </w:p>
    <w:p>
      <w:pPr>
        <w:pStyle w:val="BodyText"/>
      </w:pPr>
      <w:r>
        <w:rPr>
          <w:b/>
          <w:bCs/>
        </w:rPr>
        <w:t xml:space="preserve">Supporting documents.</w:t>
      </w:r>
    </w:p>
    <w:p>
      <w:pPr>
        <w:numPr>
          <w:ilvl w:val="0"/>
          <w:numId w:val="1004"/>
        </w:numPr>
      </w:pPr>
      <w:r>
        <w:rPr>
          <w:b/>
          <w:bCs/>
        </w:rPr>
        <w:t xml:space="preserve">QSBS Email Thread.</w:t>
      </w:r>
      <w:r>
        <w:t xml:space="preserve"> </w:t>
      </w:r>
      <w:r>
        <w:t xml:space="preserve">On November 14, 2024, Derek Whitfield of Linden Rock Advisory (financial advisor to Prism’s shareholders) formally requested that CSW provide a written QSBS analysis, ideally</w:t>
      </w:r>
      <w:r>
        <w:t xml:space="preserve"> </w:t>
      </w:r>
      <w:r>
        <w:t xml:space="preserve">“</w:t>
      </w:r>
      <w:r>
        <w:t xml:space="preserve">as a dedicated section in the transaction structure memorandum.</w:t>
      </w:r>
      <w:r>
        <w:t xml:space="preserve">”</w:t>
      </w:r>
      <w:r>
        <w:t xml:space="preserve"> </w:t>
      </w:r>
      <w:r>
        <w:t xml:space="preserve">On November 20, 2024, James Calloway (the Memo’s author) acknowledged the request, stated that Sandra Liu was</w:t>
      </w:r>
      <w:r>
        <w:t xml:space="preserve"> </w:t>
      </w:r>
      <w:r>
        <w:t xml:space="preserve">“</w:t>
      </w:r>
      <w:r>
        <w:t xml:space="preserve">beginning researching the issue,</w:t>
      </w:r>
      <w:r>
        <w:t xml:space="preserve">”</w:t>
      </w:r>
      <w:r>
        <w:t xml:space="preserve"> </w:t>
      </w:r>
      <w:r>
        <w:t xml:space="preserve">and committed:</w:t>
      </w:r>
      <w:r>
        <w:t xml:space="preserve"> </w:t>
      </w:r>
      <w:r>
        <w:t xml:space="preserve">“</w:t>
      </w:r>
      <w:r>
        <w:t xml:space="preserve">We intend to include a QSBS analysis as part of the transaction structure memorandum we are preparing for Ridgeline… My goal is to have the QSBS section drafted and incorporated into the memorandum well before the purchase agreement is executed.</w:t>
      </w:r>
      <w:r>
        <w:t xml:space="preserve">”</w:t>
      </w:r>
      <w:r>
        <w:t xml:space="preserve"> </w:t>
      </w:r>
      <w:r>
        <w:t xml:space="preserve">On January 6, 2025, Linden Rock followed up stating that no analysis had been received and reiterating urgency</w:t>
      </w:r>
      <w:r>
        <w:t xml:space="preserve"> </w:t>
      </w:r>
      <w:r>
        <w:t xml:space="preserve">“</w:t>
      </w:r>
      <w:r>
        <w:t xml:space="preserve">before the shareholders are asked to sign.</w:t>
      </w:r>
      <w:r>
        <w:t xml:space="preserve">”</w:t>
      </w:r>
      <w:r>
        <w:t xml:space="preserve"> </w:t>
      </w:r>
      <w:r>
        <w:t xml:space="preserve">The Purchase Agreement was signed January 28, 2025. The Memo is dated February 10, 2025 — after the Purchase Agreement was signed — and still contains no QSBS analysis.</w:t>
      </w:r>
    </w:p>
    <w:p>
      <w:pPr>
        <w:numPr>
          <w:ilvl w:val="0"/>
          <w:numId w:val="1004"/>
        </w:numPr>
      </w:pPr>
      <w:r>
        <w:rPr>
          <w:b/>
          <w:bCs/>
        </w:rPr>
        <w:t xml:space="preserve">DD Report (Section VIII.B —</w:t>
      </w:r>
      <w:r>
        <w:rPr>
          <w:b/>
          <w:bCs/>
        </w:rPr>
        <w:t xml:space="preserve"> </w:t>
      </w:r>
      <w:r>
        <w:rPr>
          <w:b/>
          <w:bCs/>
        </w:rPr>
        <w:t xml:space="preserve">“</w:t>
      </w:r>
      <w:r>
        <w:rPr>
          <w:b/>
          <w:bCs/>
        </w:rPr>
        <w:t xml:space="preserve">Moderate</w:t>
      </w:r>
      <w:r>
        <w:rPr>
          <w:b/>
          <w:bCs/>
        </w:rPr>
        <w:t xml:space="preserve">”</w:t>
      </w:r>
      <w:r>
        <w:rPr>
          <w:b/>
          <w:bCs/>
        </w:rPr>
        <w:t xml:space="preserve"> </w:t>
      </w:r>
      <w:r>
        <w:rPr>
          <w:b/>
          <w:bCs/>
        </w:rPr>
        <w:t xml:space="preserve">finding).</w:t>
      </w:r>
      <w:r>
        <w:t xml:space="preserve"> </w:t>
      </w:r>
      <w:r>
        <w:t xml:space="preserve">Thornfield identified the QSBS question, noted that</w:t>
      </w:r>
      <w:r>
        <w:t xml:space="preserve"> </w:t>
      </w:r>
      <w:r>
        <w:t xml:space="preserve">“</w:t>
      </w:r>
      <w:r>
        <w:t xml:space="preserve">the interaction between QSBS treatment and the proposed Section 338(h)(10) deemed asset sale framework has not been analyzed,</w:t>
      </w:r>
      <w:r>
        <w:t xml:space="preserve">”</w:t>
      </w:r>
      <w:r>
        <w:t xml:space="preserve"> </w:t>
      </w:r>
      <w:r>
        <w:t xml:space="preserve">and recommended that</w:t>
      </w:r>
      <w:r>
        <w:t xml:space="preserve"> </w:t>
      </w:r>
      <w:r>
        <w:t xml:space="preserve">“</w:t>
      </w:r>
      <w:r>
        <w:t xml:space="preserve">Tax counsel should provide a definitive analysis of QSBS eligibility.</w:t>
      </w:r>
      <w:r>
        <w:t xml:space="preserve">”</w:t>
      </w:r>
    </w:p>
    <w:p>
      <w:pPr>
        <w:numPr>
          <w:ilvl w:val="0"/>
          <w:numId w:val="1004"/>
        </w:numPr>
      </w:pPr>
      <w:r>
        <w:rPr>
          <w:b/>
          <w:bCs/>
        </w:rPr>
        <w:t xml:space="preserve">Cap Table.</w:t>
      </w:r>
      <w:r>
        <w:t xml:space="preserve"> </w:t>
      </w:r>
      <w:r>
        <w:t xml:space="preserve">The Cap Table identifies the shareholders who acquired shares during the C corporation period (June 14 – December 31, 2016) and are potentially QSBS-eligible, and flags</w:t>
      </w:r>
      <w:r>
        <w:t xml:space="preserve"> </w:t>
      </w:r>
      <w:r>
        <w:t xml:space="preserve">“</w:t>
      </w:r>
      <w:r>
        <w:t xml:space="preserve">Potential QSBS eligibility — not analyzed</w:t>
      </w:r>
      <w:r>
        <w:t xml:space="preserve">”</w:t>
      </w:r>
      <w:r>
        <w:t xml:space="preserve"> </w:t>
      </w:r>
      <w:r>
        <w:t xml:space="preserve">for each.</w:t>
      </w:r>
    </w:p>
    <w:p>
      <w:pPr>
        <w:pStyle w:val="FirstParagraph"/>
      </w:pPr>
      <w:r>
        <w:rPr>
          <w:b/>
          <w:bCs/>
        </w:rPr>
        <w:t xml:space="preserve">Why it is critical.</w:t>
      </w:r>
      <w:r>
        <w:t xml:space="preserve"> </w:t>
      </w:r>
      <w:r>
        <w:t xml:space="preserve">Section 1202 can exclude up to 100% of gain on the sale of qualified small business stock. The</w:t>
      </w:r>
      <w:r>
        <w:t xml:space="preserve"> </w:t>
      </w:r>
      <w:r>
        <w:t xml:space="preserve">“</w:t>
      </w:r>
      <w:r>
        <w:t xml:space="preserve">other shareholders</w:t>
      </w:r>
      <w:r>
        <w:t xml:space="preserve">”</w:t>
      </w:r>
      <w:r>
        <w:t xml:space="preserve"> </w:t>
      </w:r>
      <w:r>
        <w:t xml:space="preserve">group receives $74M in aggregate consideration, with individual gains in the millions; the QSBS exclusion, if available, would be a seven-figure swing in after-tax proceeds for affected shareholders. Critically, the Section 338(h)(10) election recharacterizes the transaction as a deemed asset sale rather than a stock sale — and Section 1202 by its terms applies to gain on the</w:t>
      </w:r>
      <w:r>
        <w:t xml:space="preserve"> </w:t>
      </w:r>
      <w:r>
        <w:t xml:space="preserve">“</w:t>
      </w:r>
      <w:r>
        <w:t xml:space="preserve">sale or exchange</w:t>
      </w:r>
      <w:r>
        <w:t xml:space="preserve">”</w:t>
      </w:r>
      <w:r>
        <w:t xml:space="preserve"> </w:t>
      </w:r>
      <w:r>
        <w:t xml:space="preserve">of stock. As Mr. Calloway himself observed in his November 20 email,</w:t>
      </w:r>
      <w:r>
        <w:t xml:space="preserve"> </w:t>
      </w:r>
      <w:r>
        <w:t xml:space="preserve">“</w:t>
      </w:r>
      <w:r>
        <w:t xml:space="preserve">there is a real question… as to whether the deemed asset sale treatment under Section 338(h)(10) is in tension with the statutory language of Section 1202.</w:t>
      </w:r>
      <w:r>
        <w:t xml:space="preserve">”</w:t>
      </w:r>
      <w:r>
        <w:t xml:space="preserve"> </w:t>
      </w:r>
      <w:r>
        <w:t xml:space="preserve">The Memo’s failure to address this leaves shareholders uninformed of a material trade-off inherent in the elected structure.</w:t>
      </w:r>
    </w:p>
    <w:p>
      <w:pPr>
        <w:pStyle w:val="BodyText"/>
      </w:pPr>
      <w:r>
        <w:rPr>
          <w:b/>
          <w:bCs/>
        </w:rPr>
        <w:t xml:space="preserve">Additional inconsistency.</w:t>
      </w:r>
      <w:r>
        <w:t xml:space="preserve"> </w:t>
      </w:r>
      <w:r>
        <w:t xml:space="preserve">The DD Report (Section VIII.B) states that</w:t>
      </w:r>
      <w:r>
        <w:t xml:space="preserve"> </w:t>
      </w:r>
      <w:r>
        <w:t xml:space="preserve">“</w:t>
      </w:r>
      <w:r>
        <w:t xml:space="preserve">Four (4) of the 14 angel investors acquired shares in a seed financing round that closed on November 15, 2016.</w:t>
      </w:r>
      <w:r>
        <w:t xml:space="preserve">”</w:t>
      </w:r>
      <w:r>
        <w:t xml:space="preserve"> </w:t>
      </w:r>
      <w:r>
        <w:t xml:space="preserve">The Cap Table, however, shows</w:t>
      </w:r>
      <w:r>
        <w:t xml:space="preserve"> </w:t>
      </w:r>
      <w:r>
        <w:rPr>
          <w:b/>
          <w:bCs/>
        </w:rPr>
        <w:t xml:space="preserve">eight</w:t>
      </w:r>
      <w:r>
        <w:t xml:space="preserve"> </w:t>
      </w:r>
      <w:r>
        <w:t xml:space="preserve">angel/early-employee investors who acquired shares during the C corporation period (on dates of 8/15/2016, 10/1/2016, and 11/1/2016), not four, and not on a single November 15 closing date. This factual discrepancy affects how many shareholders may claim QSBS and must be reconciled as part of the analysis.</w:t>
      </w:r>
    </w:p>
    <w:p>
      <w:pPr>
        <w:pStyle w:val="BodyText"/>
      </w:pPr>
      <w:r>
        <w:rPr>
          <w:b/>
          <w:bCs/>
        </w:rPr>
        <w:t xml:space="preserve">Recommendation.</w:t>
      </w:r>
      <w:r>
        <w:t xml:space="preserve"> </w:t>
      </w:r>
      <w:r>
        <w:t xml:space="preserve">Prepare and circulate the QSBS analysis that was committed to, addressing (a) whether shares issued during the C corporation period retain QSBS character through the S corporation years and the deemed sale; (b) whether the 338(h)(10) deemed asset sale forecloses the Section 1202 exclusion; (c) the $50M aggregate gross assets test; (d) the interaction with the escrow; and (e) whether an alternative structure (e.g., a stock sale without the 338(h)(10) election) would preserve the exclusion. Reconcile the C-corporation-period shareholder count.</w:t>
      </w:r>
    </w:p>
    <w:p>
      <w:r>
        <w:pict>
          <v:rect style="width:0;height:1.5pt" o:hralign="center" o:hrstd="t" o:hr="t"/>
        </w:pict>
      </w:r>
    </w:p>
    <w:bookmarkEnd w:id="25"/>
    <w:bookmarkEnd w:id="26"/>
    <w:bookmarkStart w:id="33" w:name="b.-high-severity-findings"/>
    <w:p>
      <w:pPr>
        <w:pStyle w:val="Heading3"/>
      </w:pPr>
      <w:r>
        <w:t xml:space="preserve">B. High-Severity Findings</w:t>
      </w:r>
    </w:p>
    <w:bookmarkStart w:id="27" w:name="X9436b5933fe6a4cac744f8dc5e2ae5ae8ec686f"/>
    <w:p>
      <w:pPr>
        <w:pStyle w:val="Heading4"/>
      </w:pPr>
      <w:r>
        <w:t xml:space="preserve">H-1. Class V Asset Allocation Understated by $28.5 Million</w:t>
      </w:r>
    </w:p>
    <w:p>
      <w:pPr>
        <w:pStyle w:val="FirstParagraph"/>
      </w:pPr>
      <w:r>
        <w:rPr>
          <w:b/>
          <w:bCs/>
        </w:rPr>
        <w:t xml:space="preserve">The issue.</w:t>
      </w:r>
      <w:r>
        <w:t xml:space="preserve"> </w:t>
      </w:r>
      <w:r>
        <w:t xml:space="preserve">The Memo (Section IV.C) allocates $68,500,000 to Class V, comprised of: real property ($14.2M), furniture/fixtures/equipment ($6.8M), software/developed technology ($19.0M), and Prism’s 80.5% Beacon interest ($28.5M). The Asset Valuation (Asset Detail tab) shows Class V assets totaling</w:t>
      </w:r>
      <w:r>
        <w:t xml:space="preserve"> </w:t>
      </w:r>
      <w:r>
        <w:rPr>
          <w:b/>
          <w:bCs/>
        </w:rPr>
        <w:t xml:space="preserve">$97,000,000</w:t>
      </w:r>
      <w:r>
        <w:t xml:space="preserve">, a $28.5M difference driven by two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 V Asset</w:t>
            </w:r>
          </w:p>
        </w:tc>
        <w:tc>
          <w:tcPr/>
          <w:p>
            <w:pPr>
              <w:pStyle w:val="Compact"/>
              <w:jc w:val="left"/>
            </w:pPr>
            <w:r>
              <w:t xml:space="preserve">Memo</w:t>
            </w:r>
          </w:p>
        </w:tc>
        <w:tc>
          <w:tcPr/>
          <w:p>
            <w:pPr>
              <w:pStyle w:val="Compact"/>
              <w:jc w:val="left"/>
            </w:pPr>
            <w:r>
              <w:t xml:space="preserve">Asset Valuation</w:t>
            </w:r>
          </w:p>
        </w:tc>
        <w:tc>
          <w:tcPr/>
          <w:p>
            <w:pPr>
              <w:pStyle w:val="Compact"/>
              <w:jc w:val="left"/>
            </w:pPr>
            <w:r>
              <w:t xml:space="preserve">Variance</w:t>
            </w:r>
          </w:p>
        </w:tc>
      </w:tr>
      <w:tr>
        <w:tc>
          <w:tcPr/>
          <w:p>
            <w:pPr>
              <w:pStyle w:val="Compact"/>
              <w:jc w:val="left"/>
            </w:pPr>
            <w:r>
              <w:t xml:space="preserve">Real property (Raleigh office)</w:t>
            </w:r>
          </w:p>
        </w:tc>
        <w:tc>
          <w:tcPr/>
          <w:p>
            <w:pPr>
              <w:pStyle w:val="Compact"/>
              <w:jc w:val="left"/>
            </w:pPr>
            <w:r>
              <w:t xml:space="preserve">$14.2M</w:t>
            </w:r>
          </w:p>
        </w:tc>
        <w:tc>
          <w:tcPr/>
          <w:p>
            <w:pPr>
              <w:pStyle w:val="Compact"/>
              <w:jc w:val="left"/>
            </w:pPr>
            <w:r>
              <w:t xml:space="preserve">$14.2M</w:t>
            </w:r>
          </w:p>
        </w:tc>
        <w:tc>
          <w:tcPr/>
          <w:p>
            <w:pPr>
              <w:pStyle w:val="Compact"/>
              <w:jc w:val="left"/>
            </w:pPr>
            <w:r>
              <w:t xml:space="preserve">$0</w:t>
            </w:r>
          </w:p>
        </w:tc>
      </w:tr>
      <w:tr>
        <w:tc>
          <w:tcPr/>
          <w:p>
            <w:pPr>
              <w:pStyle w:val="Compact"/>
              <w:jc w:val="left"/>
            </w:pPr>
            <w:r>
              <w:t xml:space="preserve">Furniture, fixtures &amp; equipment</w:t>
            </w:r>
          </w:p>
        </w:tc>
        <w:tc>
          <w:tcPr/>
          <w:p>
            <w:pPr>
              <w:pStyle w:val="Compact"/>
              <w:jc w:val="left"/>
            </w:pPr>
            <w:r>
              <w:t xml:space="preserve">$6.8M</w:t>
            </w:r>
          </w:p>
        </w:tc>
        <w:tc>
          <w:tcPr/>
          <w:p>
            <w:pPr>
              <w:pStyle w:val="Compact"/>
              <w:jc w:val="left"/>
            </w:pPr>
            <w:r>
              <w:t xml:space="preserve">$6.8M</w:t>
            </w:r>
          </w:p>
        </w:tc>
        <w:tc>
          <w:tcPr/>
          <w:p>
            <w:pPr>
              <w:pStyle w:val="Compact"/>
              <w:jc w:val="left"/>
            </w:pPr>
            <w:r>
              <w:t xml:space="preserve">$0</w:t>
            </w:r>
          </w:p>
        </w:tc>
      </w:tr>
      <w:tr>
        <w:tc>
          <w:tcPr/>
          <w:p>
            <w:pPr>
              <w:pStyle w:val="Compact"/>
              <w:jc w:val="left"/>
            </w:pPr>
            <w:r>
              <w:t xml:space="preserve">Developed technology / proprietary software</w:t>
            </w:r>
          </w:p>
        </w:tc>
        <w:tc>
          <w:tcPr/>
          <w:p>
            <w:pPr>
              <w:pStyle w:val="Compact"/>
              <w:jc w:val="left"/>
            </w:pPr>
            <w:r>
              <w:rPr>
                <w:b/>
                <w:bCs/>
              </w:rPr>
              <w:t xml:space="preserve">$19.0M</w:t>
            </w:r>
          </w:p>
        </w:tc>
        <w:tc>
          <w:tcPr/>
          <w:p>
            <w:pPr>
              <w:pStyle w:val="Compact"/>
              <w:jc w:val="left"/>
            </w:pPr>
            <w:r>
              <w:rPr>
                <w:b/>
                <w:bCs/>
              </w:rPr>
              <w:t xml:space="preserve">$41.8M</w:t>
            </w:r>
          </w:p>
        </w:tc>
        <w:tc>
          <w:tcPr/>
          <w:p>
            <w:pPr>
              <w:pStyle w:val="Compact"/>
              <w:jc w:val="left"/>
            </w:pPr>
            <w:r>
              <w:rPr>
                <w:b/>
                <w:bCs/>
              </w:rPr>
              <w:t xml:space="preserve">($22.8M)</w:t>
            </w:r>
          </w:p>
        </w:tc>
      </w:tr>
      <w:tr>
        <w:tc>
          <w:tcPr/>
          <w:p>
            <w:pPr>
              <w:pStyle w:val="Compact"/>
              <w:jc w:val="left"/>
            </w:pPr>
            <w:r>
              <w:t xml:space="preserve">Government-sector software licenses</w:t>
            </w:r>
          </w:p>
        </w:tc>
        <w:tc>
          <w:tcPr/>
          <w:p>
            <w:pPr>
              <w:pStyle w:val="Compact"/>
              <w:jc w:val="left"/>
            </w:pPr>
            <w:r>
              <w:t xml:space="preserve">not listed</w:t>
            </w:r>
          </w:p>
        </w:tc>
        <w:tc>
          <w:tcPr/>
          <w:p>
            <w:pPr>
              <w:pStyle w:val="Compact"/>
              <w:jc w:val="left"/>
            </w:pPr>
            <w:r>
              <w:t xml:space="preserve">$5.7M</w:t>
            </w:r>
          </w:p>
        </w:tc>
        <w:tc>
          <w:tcPr/>
          <w:p>
            <w:pPr>
              <w:pStyle w:val="Compact"/>
              <w:jc w:val="left"/>
            </w:pPr>
            <w:r>
              <w:t xml:space="preserve">($5.7M)</w:t>
            </w:r>
          </w:p>
        </w:tc>
      </w:tr>
      <w:tr>
        <w:tc>
          <w:tcPr/>
          <w:p>
            <w:pPr>
              <w:pStyle w:val="Compact"/>
              <w:jc w:val="left"/>
            </w:pPr>
            <w:r>
              <w:t xml:space="preserve">NC data processing license</w:t>
            </w:r>
          </w:p>
        </w:tc>
        <w:tc>
          <w:tcPr/>
          <w:p>
            <w:pPr>
              <w:pStyle w:val="Compact"/>
              <w:jc w:val="left"/>
            </w:pPr>
            <w:r>
              <w:t xml:space="preserve">not listed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Beacon Insights 80.5% interest</w:t>
            </w:r>
          </w:p>
        </w:tc>
        <w:tc>
          <w:tcPr/>
          <w:p>
            <w:pPr>
              <w:pStyle w:val="Compact"/>
              <w:jc w:val="left"/>
            </w:pPr>
            <w:r>
              <w:t xml:space="preserve">$28.5M</w:t>
            </w:r>
          </w:p>
        </w:tc>
        <w:tc>
          <w:tcPr/>
          <w:p>
            <w:pPr>
              <w:pStyle w:val="Compact"/>
              <w:jc w:val="left"/>
            </w:pPr>
            <w:r>
              <w:t xml:space="preserve">$28.5M</w:t>
            </w:r>
          </w:p>
        </w:tc>
        <w:tc>
          <w:tcPr/>
          <w:p>
            <w:pPr>
              <w:pStyle w:val="Compact"/>
              <w:jc w:val="left"/>
            </w:pPr>
            <w:r>
              <w:t xml:space="preserve">$0</w:t>
            </w:r>
          </w:p>
        </w:tc>
      </w:tr>
      <w:tr>
        <w:tc>
          <w:tcPr/>
          <w:p>
            <w:pPr>
              <w:pStyle w:val="Compact"/>
              <w:jc w:val="left"/>
            </w:pPr>
            <w:r>
              <w:rPr>
                <w:b/>
                <w:bCs/>
              </w:rPr>
              <w:t xml:space="preserve">Total Class V</w:t>
            </w:r>
          </w:p>
        </w:tc>
        <w:tc>
          <w:tcPr/>
          <w:p>
            <w:pPr>
              <w:pStyle w:val="Compact"/>
              <w:jc w:val="left"/>
            </w:pPr>
            <w:r>
              <w:rPr>
                <w:b/>
                <w:bCs/>
              </w:rPr>
              <w:t xml:space="preserve">$68.5M</w:t>
            </w:r>
          </w:p>
        </w:tc>
        <w:tc>
          <w:tcPr/>
          <w:p>
            <w:pPr>
              <w:pStyle w:val="Compact"/>
              <w:jc w:val="left"/>
            </w:pPr>
            <w:r>
              <w:rPr>
                <w:b/>
                <w:bCs/>
              </w:rPr>
              <w:t xml:space="preserve">$97.0M</w:t>
            </w:r>
          </w:p>
        </w:tc>
        <w:tc>
          <w:tcPr/>
          <w:p>
            <w:pPr>
              <w:pStyle w:val="Compact"/>
              <w:jc w:val="left"/>
            </w:pPr>
            <w:r>
              <w:rPr>
                <w:b/>
                <w:bCs/>
              </w:rPr>
              <w:t xml:space="preserve">($28.5M)</w:t>
            </w:r>
          </w:p>
        </w:tc>
      </w:tr>
    </w:tbl>
    <w:p>
      <w:pPr>
        <w:pStyle w:val="BodyText"/>
      </w:pPr>
      <w:r>
        <w:rPr>
          <w:b/>
          <w:bCs/>
        </w:rPr>
        <w:t xml:space="preserve">Impact.</w:t>
      </w:r>
      <w:r>
        <w:t xml:space="preserve"> </w:t>
      </w:r>
      <w:r>
        <w:t xml:space="preserve">The developed technology is understated by $22.8M, and the government-sector software licenses ($5.7M) are omitted entirely. This $28.5M understatement, combined with the $48M ADSP overstatement (C-1), inflates the Class VII goodwill residual by $76.5M ($272.8M in the Memo vs. $196.3M per the Asset Valuation). Because developed technology is amortizable over 5 years under Section 167 (per the Asset Valuation) while goodwill is amortizable over 15 years under Section 197, the misclassification also distorts the timing of Buyer’s tax deductions — shifting value from a 5-year amortization asset to a 15-year amortization asset.</w:t>
      </w:r>
    </w:p>
    <w:p>
      <w:pPr>
        <w:pStyle w:val="BodyText"/>
      </w:pPr>
      <w:r>
        <w:rPr>
          <w:b/>
          <w:bCs/>
        </w:rPr>
        <w:t xml:space="preserve">Recommendation.</w:t>
      </w:r>
      <w:r>
        <w:t xml:space="preserve"> </w:t>
      </w:r>
      <w:r>
        <w:t xml:space="preserve">Revise the Class V allocation to match the Asset Valuation. Confirm the developed technology valuation ($41.8M vs. $19M) and separately identify the government software licenses and the NC data processing license (at $0).</w:t>
      </w:r>
    </w:p>
    <w:p>
      <w:r>
        <w:pict>
          <v:rect style="width:0;height:1.5pt" o:hralign="center" o:hrstd="t" o:hr="t"/>
        </w:pict>
      </w:r>
    </w:p>
    <w:bookmarkEnd w:id="27"/>
    <w:bookmarkStart w:id="28" w:name="Xe5b0a314afdab3f07c9b2427eff79201ad17656"/>
    <w:p>
      <w:pPr>
        <w:pStyle w:val="Heading4"/>
      </w:pPr>
      <w:r>
        <w:t xml:space="preserve">H-2. Aggregate Adjusted Tax Basis Inconsistent by $21.5 Million</w:t>
      </w:r>
    </w:p>
    <w:p>
      <w:pPr>
        <w:pStyle w:val="FirstParagraph"/>
      </w:pPr>
      <w:r>
        <w:rPr>
          <w:b/>
          <w:bCs/>
        </w:rPr>
        <w:t xml:space="preserve">The issue.</w:t>
      </w:r>
      <w:r>
        <w:t xml:space="preserve"> </w:t>
      </w:r>
      <w:r>
        <w:t xml:space="preserve">The Memo (Sections III.B and V.A) uses an aggregate adjusted tax basis of</w:t>
      </w:r>
      <w:r>
        <w:t xml:space="preserve"> </w:t>
      </w:r>
      <w:r>
        <w:rPr>
          <w:b/>
          <w:bCs/>
        </w:rPr>
        <w:t xml:space="preserve">$42,800,000</w:t>
      </w:r>
      <w:r>
        <w:t xml:space="preserve"> </w:t>
      </w:r>
      <w:r>
        <w:t xml:space="preserve">to compute the total deemed sale gain ($473M ADSP − $42.8M basis = $430.2M gain). The Asset Valuation (Asset Detail tab) shows the adjusted tax basis of the individual assets summing to</w:t>
      </w:r>
      <w:r>
        <w:t xml:space="preserve"> </w:t>
      </w:r>
      <w:r>
        <w:rPr>
          <w:b/>
          <w:bCs/>
        </w:rPr>
        <w:t xml:space="preserve">$64,300,000</w:t>
      </w:r>
      <w:r>
        <w:t xml:space="preserve"> </w:t>
      </w:r>
      <w:r>
        <w:t xml:space="preserve">— a $21.5M difference.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Adjusted Tax Basis (Asset Valuation)</w:t>
            </w:r>
          </w:p>
        </w:tc>
      </w:tr>
      <w:tr>
        <w:tc>
          <w:tcPr/>
          <w:p>
            <w:pPr>
              <w:pStyle w:val="Compact"/>
              <w:jc w:val="left"/>
            </w:pPr>
            <w:r>
              <w:t xml:space="preserve">Cash</w:t>
            </w:r>
          </w:p>
        </w:tc>
        <w:tc>
          <w:tcPr/>
          <w:p>
            <w:pPr>
              <w:pStyle w:val="Compact"/>
              <w:jc w:val="left"/>
            </w:pPr>
            <w:r>
              <w:t xml:space="preserve">$12,400,000</w:t>
            </w:r>
          </w:p>
        </w:tc>
      </w:tr>
      <w:tr>
        <w:tc>
          <w:tcPr/>
          <w:p>
            <w:pPr>
              <w:pStyle w:val="Compact"/>
              <w:jc w:val="left"/>
            </w:pPr>
            <w:r>
              <w:t xml:space="preserve">Commercial accounts receivable</w:t>
            </w:r>
          </w:p>
        </w:tc>
        <w:tc>
          <w:tcPr/>
          <w:p>
            <w:pPr>
              <w:pStyle w:val="Compact"/>
              <w:jc w:val="left"/>
            </w:pPr>
            <w:r>
              <w:t xml:space="preserve">$18,700,000</w:t>
            </w:r>
          </w:p>
        </w:tc>
      </w:tr>
      <w:tr>
        <w:tc>
          <w:tcPr/>
          <w:p>
            <w:pPr>
              <w:pStyle w:val="Compact"/>
              <w:jc w:val="left"/>
            </w:pPr>
            <w:r>
              <w:t xml:space="preserve">Government accounts receivable</w:t>
            </w:r>
          </w:p>
        </w:tc>
        <w:tc>
          <w:tcPr/>
          <w:p>
            <w:pPr>
              <w:pStyle w:val="Compact"/>
              <w:jc w:val="left"/>
            </w:pPr>
            <w:r>
              <w:t xml:space="preserve">$6,400,000</w:t>
            </w:r>
          </w:p>
        </w:tc>
      </w:tr>
      <w:tr>
        <w:tc>
          <w:tcPr/>
          <w:p>
            <w:pPr>
              <w:pStyle w:val="Compact"/>
              <w:jc w:val="left"/>
            </w:pPr>
            <w:r>
              <w:t xml:space="preserve">Real property</w:t>
            </w:r>
          </w:p>
        </w:tc>
        <w:tc>
          <w:tcPr/>
          <w:p>
            <w:pPr>
              <w:pStyle w:val="Compact"/>
              <w:jc w:val="left"/>
            </w:pPr>
            <w:r>
              <w:t xml:space="preserve">$9,100,000</w:t>
            </w:r>
          </w:p>
        </w:tc>
      </w:tr>
      <w:tr>
        <w:tc>
          <w:tcPr/>
          <w:p>
            <w:pPr>
              <w:pStyle w:val="Compact"/>
              <w:jc w:val="left"/>
            </w:pPr>
            <w:r>
              <w:t xml:space="preserve">Furniture, fixtures &amp; equipment</w:t>
            </w:r>
          </w:p>
        </w:tc>
        <w:tc>
          <w:tcPr/>
          <w:p>
            <w:pPr>
              <w:pStyle w:val="Compact"/>
              <w:jc w:val="left"/>
            </w:pPr>
            <w:r>
              <w:t xml:space="preserve">$3,200,000</w:t>
            </w:r>
          </w:p>
        </w:tc>
      </w:tr>
      <w:tr>
        <w:tc>
          <w:tcPr/>
          <w:p>
            <w:pPr>
              <w:pStyle w:val="Compact"/>
              <w:jc w:val="left"/>
            </w:pPr>
            <w:r>
              <w:t xml:space="preserve">Developed technology</w:t>
            </w:r>
          </w:p>
        </w:tc>
        <w:tc>
          <w:tcPr/>
          <w:p>
            <w:pPr>
              <w:pStyle w:val="Compact"/>
              <w:jc w:val="left"/>
            </w:pPr>
            <w:r>
              <w:t xml:space="preserve">$4,800,000</w:t>
            </w:r>
          </w:p>
        </w:tc>
      </w:tr>
      <w:tr>
        <w:tc>
          <w:tcPr/>
          <w:p>
            <w:pPr>
              <w:pStyle w:val="Compact"/>
              <w:jc w:val="left"/>
            </w:pPr>
            <w:r>
              <w:t xml:space="preserve">Government software licenses</w:t>
            </w:r>
          </w:p>
        </w:tc>
        <w:tc>
          <w:tcPr/>
          <w:p>
            <w:pPr>
              <w:pStyle w:val="Compact"/>
              <w:jc w:val="left"/>
            </w:pPr>
            <w:r>
              <w:t xml:space="preserve">$1,200,000</w:t>
            </w:r>
          </w:p>
        </w:tc>
      </w:tr>
      <w:tr>
        <w:tc>
          <w:tcPr/>
          <w:p>
            <w:pPr>
              <w:pStyle w:val="Compact"/>
              <w:jc w:val="left"/>
            </w:pPr>
            <w:r>
              <w:t xml:space="preserve">NC data processing license</w:t>
            </w:r>
          </w:p>
        </w:tc>
        <w:tc>
          <w:tcPr/>
          <w:p>
            <w:pPr>
              <w:pStyle w:val="Compact"/>
              <w:jc w:val="left"/>
            </w:pPr>
            <w:r>
              <w:t xml:space="preserve">$0</w:t>
            </w:r>
          </w:p>
        </w:tc>
      </w:tr>
      <w:tr>
        <w:tc>
          <w:tcPr/>
          <w:p>
            <w:pPr>
              <w:pStyle w:val="Compact"/>
              <w:jc w:val="left"/>
            </w:pPr>
            <w:r>
              <w:t xml:space="preserve">Beacon 80.5% interest</w:t>
            </w:r>
          </w:p>
        </w:tc>
        <w:tc>
          <w:tcPr/>
          <w:p>
            <w:pPr>
              <w:pStyle w:val="Compact"/>
              <w:jc w:val="left"/>
            </w:pPr>
            <w:r>
              <w:t xml:space="preserve">$6,400,000</w:t>
            </w:r>
          </w:p>
        </w:tc>
      </w:tr>
      <w:tr>
        <w:tc>
          <w:tcPr/>
          <w:p>
            <w:pPr>
              <w:pStyle w:val="Compact"/>
              <w:jc w:val="left"/>
            </w:pPr>
            <w:r>
              <w:t xml:space="preserve">Customer relationships (hospital)</w:t>
            </w:r>
          </w:p>
        </w:tc>
        <w:tc>
          <w:tcPr/>
          <w:p>
            <w:pPr>
              <w:pStyle w:val="Compact"/>
              <w:jc w:val="left"/>
            </w:pPr>
            <w:r>
              <w:t xml:space="preserve">$0</w:t>
            </w:r>
          </w:p>
        </w:tc>
      </w:tr>
      <w:tr>
        <w:tc>
          <w:tcPr/>
          <w:p>
            <w:pPr>
              <w:pStyle w:val="Compact"/>
              <w:jc w:val="left"/>
            </w:pPr>
            <w:r>
              <w:t xml:space="preserve">Customer relationships (insurer)</w:t>
            </w:r>
          </w:p>
        </w:tc>
        <w:tc>
          <w:tcPr/>
          <w:p>
            <w:pPr>
              <w:pStyle w:val="Compact"/>
              <w:jc w:val="left"/>
            </w:pPr>
            <w:r>
              <w:t xml:space="preserve">$0</w:t>
            </w:r>
          </w:p>
        </w:tc>
      </w:tr>
      <w:tr>
        <w:tc>
          <w:tcPr/>
          <w:p>
            <w:pPr>
              <w:pStyle w:val="Compact"/>
              <w:jc w:val="left"/>
            </w:pPr>
            <w:r>
              <w:t xml:space="preserve">Proprietary data sets</w:t>
            </w:r>
          </w:p>
        </w:tc>
        <w:tc>
          <w:tcPr/>
          <w:p>
            <w:pPr>
              <w:pStyle w:val="Compact"/>
              <w:jc w:val="left"/>
            </w:pPr>
            <w:r>
              <w:t xml:space="preserve">$2,100,000</w:t>
            </w:r>
          </w:p>
        </w:tc>
      </w:tr>
      <w:tr>
        <w:tc>
          <w:tcPr/>
          <w:p>
            <w:pPr>
              <w:pStyle w:val="Compact"/>
              <w:jc w:val="left"/>
            </w:pPr>
            <w:r>
              <w:t xml:space="preserve">Non-compete agreements</w:t>
            </w:r>
          </w:p>
        </w:tc>
        <w:tc>
          <w:tcPr/>
          <w:p>
            <w:pPr>
              <w:pStyle w:val="Compact"/>
              <w:jc w:val="left"/>
            </w:pPr>
            <w:r>
              <w:t xml:space="preserve">$0</w:t>
            </w:r>
          </w:p>
        </w:tc>
      </w:tr>
      <w:tr>
        <w:tc>
          <w:tcPr/>
          <w:p>
            <w:pPr>
              <w:pStyle w:val="Compact"/>
              <w:jc w:val="left"/>
            </w:pPr>
            <w:r>
              <w:t xml:space="preserve">Assembled workforce / goodwill</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$64,300,000</w:t>
            </w:r>
          </w:p>
        </w:tc>
      </w:tr>
    </w:tbl>
    <w:p>
      <w:pPr>
        <w:pStyle w:val="BodyText"/>
      </w:pPr>
      <w:r>
        <w:rPr>
          <w:b/>
          <w:bCs/>
        </w:rPr>
        <w:t xml:space="preserve">Impact.</w:t>
      </w:r>
      <w:r>
        <w:t xml:space="preserve"> </w:t>
      </w:r>
      <w:r>
        <w:t xml:space="preserve">The deemed sale gain is a direct function of (ADSP − aggregate basis). Using the Memo’s figures ($473M − $42.8M = $430.2M) versus the corrected figures ($425M − $64.3M = $360.7M) produces a</w:t>
      </w:r>
      <w:r>
        <w:t xml:space="preserve"> </w:t>
      </w:r>
      <w:r>
        <w:rPr>
          <w:b/>
          <w:bCs/>
        </w:rPr>
        <w:t xml:space="preserve">$69.5M difference</w:t>
      </w:r>
      <w:r>
        <w:t xml:space="preserve"> </w:t>
      </w:r>
      <w:r>
        <w:t xml:space="preserve">in the total deemed sale gain that passes through to the selling shareholders — directly affecting their tax liability. The Memo’s $42.8M basis figure does not reconcile to any identifiable subset of the Asset Valuation’s asset-level basis amounts.</w:t>
      </w:r>
    </w:p>
    <w:p>
      <w:pPr>
        <w:pStyle w:val="BodyText"/>
      </w:pPr>
      <w:r>
        <w:rPr>
          <w:b/>
          <w:bCs/>
        </w:rPr>
        <w:t xml:space="preserve">Recommendation.</w:t>
      </w:r>
      <w:r>
        <w:t xml:space="preserve"> </w:t>
      </w:r>
      <w:r>
        <w:t xml:space="preserve">Reconcile the aggregate adjusted tax basis with Thornfield’s asset-level detail. Confirm whether the $42.8M figure reflects a different measurement date, excludes certain assets, or is simply erroneous. Recompute the deemed sale gain and per-shareholder gain allocations on a reconciled basis.</w:t>
      </w:r>
    </w:p>
    <w:p>
      <w:r>
        <w:pict>
          <v:rect style="width:0;height:1.5pt" o:hralign="center" o:hrstd="t" o:hr="t"/>
        </w:pict>
      </w:r>
    </w:p>
    <w:bookmarkEnd w:id="28"/>
    <w:bookmarkStart w:id="29" w:name="X785bec1e4ba7c51d7f4f363f2d4044f87e3ab25"/>
    <w:p>
      <w:pPr>
        <w:pStyle w:val="Heading4"/>
      </w:pPr>
      <w:r>
        <w:t xml:space="preserve">H-3. North Carolina Data Processing License — Non-Transferable; Deemed Sale Implications Not Analyzed</w:t>
      </w:r>
    </w:p>
    <w:p>
      <w:pPr>
        <w:pStyle w:val="FirstParagraph"/>
      </w:pPr>
      <w:r>
        <w:rPr>
          <w:b/>
          <w:bCs/>
        </w:rPr>
        <w:t xml:space="preserve">The issue.</w:t>
      </w:r>
      <w:r>
        <w:t xml:space="preserve"> </w:t>
      </w:r>
      <w:r>
        <w:t xml:space="preserve">The Purchase Agreement (Section 4.9(i)) discloses that the NC Data Processing License (No. DIT-2019-04821) held by Prism Data Services, LLC</w:t>
      </w:r>
      <w:r>
        <w:t xml:space="preserve"> </w:t>
      </w:r>
      <w:r>
        <w:t xml:space="preserve">“</w:t>
      </w:r>
      <w:r>
        <w:t xml:space="preserve">is non-transferable and non-assignable</w:t>
      </w:r>
      <w:r>
        <w:t xml:space="preserve">”</w:t>
      </w:r>
      <w:r>
        <w:t xml:space="preserve"> </w:t>
      </w:r>
      <w:r>
        <w:t xml:space="preserve">per its terms. The Asset Valuation (Asset A-008) assigns the license $0 FMV and warns:</w:t>
      </w:r>
      <w:r>
        <w:t xml:space="preserve"> </w:t>
      </w:r>
      <w:r>
        <w:t xml:space="preserve">“</w:t>
      </w:r>
      <w:r>
        <w:t xml:space="preserve">In a deemed asset sale under §338(h)(10), this license cannot be transferred and may need to be re-obtained by the surviving entity… Prism Data Services government-sector revenue (~$19M annually) partially depends on this license. Legal counsel should confirm whether the license survives the reverse triangular merger or is deemed terminated. If terminated, value associated with the government business line should be reassigned to goodwill or reduced.</w:t>
      </w:r>
      <w:r>
        <w:t xml:space="preserve">”</w:t>
      </w:r>
    </w:p>
    <w:p>
      <w:pPr>
        <w:pStyle w:val="BodyText"/>
      </w:pPr>
      <w:r>
        <w:t xml:space="preserve">The Memo (Sections II.A, III.C, VI.A, IX.A) repeatedly characterizes the license as a</w:t>
      </w:r>
      <w:r>
        <w:t xml:space="preserve"> </w:t>
      </w:r>
      <w:r>
        <w:t xml:space="preserve">“</w:t>
      </w:r>
      <w:r>
        <w:t xml:space="preserve">commercial matter to be addressed by deal counsel</w:t>
      </w:r>
      <w:r>
        <w:t xml:space="preserve">”</w:t>
      </w:r>
      <w:r>
        <w:t xml:space="preserve"> </w:t>
      </w:r>
      <w:r>
        <w:t xml:space="preserve">and states</w:t>
      </w:r>
      <w:r>
        <w:t xml:space="preserve"> </w:t>
      </w:r>
      <w:r>
        <w:t xml:space="preserve">“</w:t>
      </w:r>
      <w:r>
        <w:t xml:space="preserve">we expect that the existing license should remain valid post-closing, subject to confirmation.</w:t>
      </w:r>
      <w:r>
        <w:t xml:space="preserve">”</w:t>
      </w:r>
      <w:r>
        <w:t xml:space="preserve"> </w:t>
      </w:r>
      <w:r>
        <w:t xml:space="preserve">The Memo does</w:t>
      </w:r>
      <w:r>
        <w:t xml:space="preserve"> </w:t>
      </w:r>
      <w:r>
        <w:rPr>
          <w:b/>
          <w:bCs/>
        </w:rPr>
        <w:t xml:space="preserve">not</w:t>
      </w:r>
      <w:r>
        <w:t xml:space="preserve"> </w:t>
      </w:r>
      <w:r>
        <w:t xml:space="preserve">analyze the tax/deemed-sale implications: in a 338(h)(10) deemed asset sale, old target is treated as selling all of its assets, including this license. If the license is non-transferable, the deemed sale may be treated as a termination, potentially impairing the ~$19M annual government-sector revenue stream that depends on it.</w:t>
      </w:r>
    </w:p>
    <w:p>
      <w:pPr>
        <w:pStyle w:val="BodyText"/>
      </w:pPr>
      <w:r>
        <w:rPr>
          <w:b/>
          <w:bCs/>
        </w:rPr>
        <w:t xml:space="preserve">Impact.</w:t>
      </w:r>
      <w:r>
        <w:t xml:space="preserve"> </w:t>
      </w:r>
      <w:r>
        <w:t xml:space="preserve">This is both a tax-allocation issue (the license is assigned $0 in the Asset Valuation but is not separately identified in the Memo’s Class V) and a going-concern issue (potential impairment of a material revenue stream). The Memo’s treatment of this as a purely commercial matter understates the risk.</w:t>
      </w:r>
    </w:p>
    <w:p>
      <w:pPr>
        <w:pStyle w:val="BodyText"/>
      </w:pPr>
      <w:r>
        <w:rPr>
          <w:b/>
          <w:bCs/>
        </w:rPr>
        <w:t xml:space="preserve">Recommendation.</w:t>
      </w:r>
      <w:r>
        <w:t xml:space="preserve"> </w:t>
      </w:r>
      <w:r>
        <w:t xml:space="preserve">Obtain a definitive legal opinion on whether the NC data processing license survives the reverse triangular merger and/or the 338(h)(10) deemed asset sale. If the license is deemed terminated, reassess the government-sector business valuation and the purchase price allocation. Confirm the license is reflected at $0 in the Class V allocation.</w:t>
      </w:r>
    </w:p>
    <w:p>
      <w:r>
        <w:pict>
          <v:rect style="width:0;height:1.5pt" o:hralign="center" o:hrstd="t" o:hr="t"/>
        </w:pict>
      </w:r>
    </w:p>
    <w:bookmarkEnd w:id="29"/>
    <w:bookmarkStart w:id="30" w:name="X29660e34c1cf1f0ac8a1ebc40c5178b52d6402e"/>
    <w:p>
      <w:pPr>
        <w:pStyle w:val="Heading4"/>
      </w:pPr>
      <w:r>
        <w:t xml:space="preserve">H-4. Escrow Tax Treatment — Memo Directly Contradicts the Purchase Agreement</w:t>
      </w:r>
    </w:p>
    <w:p>
      <w:pPr>
        <w:pStyle w:val="FirstParagraph"/>
      </w:pPr>
      <w:r>
        <w:rPr>
          <w:b/>
          <w:bCs/>
        </w:rPr>
        <w:t xml:space="preserve">The issue.</w:t>
      </w:r>
      <w:r>
        <w:t xml:space="preserve"> </w:t>
      </w:r>
      <w:r>
        <w:t xml:space="preserve">The Memo (Section V.C) advises that the $22M escrow</w:t>
      </w:r>
      <w:r>
        <w:t xml:space="preserve"> </w:t>
      </w:r>
      <w:r>
        <w:t xml:space="preserve">“</w:t>
      </w:r>
      <w:r>
        <w:t xml:space="preserve">constitutes contingent consideration</w:t>
      </w:r>
      <w:r>
        <w:t xml:space="preserve">”</w:t>
      </w:r>
      <w:r>
        <w:t xml:space="preserve"> </w:t>
      </w:r>
      <w:r>
        <w:t xml:space="preserve">and that</w:t>
      </w:r>
      <w:r>
        <w:t xml:space="preserve"> </w:t>
      </w:r>
      <w:r>
        <w:t xml:space="preserve">“</w:t>
      </w:r>
      <w:r>
        <w:t xml:space="preserve">the selling shareholders may elect installment sale treatment under Section 453, deferring recognition of a proportionate share of gain until the escrow is released</w:t>
      </w:r>
      <w:r>
        <w:t xml:space="preserve">”</w:t>
      </w:r>
      <w:r>
        <w:t xml:space="preserve"> </w:t>
      </w:r>
      <w:r>
        <w:t xml:space="preserve">(i.e., until September 15, 2026).</w:t>
      </w:r>
    </w:p>
    <w:p>
      <w:pPr>
        <w:pStyle w:val="BodyText"/>
      </w:pPr>
      <w:r>
        <w:t xml:space="preserve">The Purchase Agreement (Section 7.4 —</w:t>
      </w:r>
      <w:r>
        <w:t xml:space="preserve"> </w:t>
      </w:r>
      <w:r>
        <w:t xml:space="preserve">“</w:t>
      </w:r>
      <w:r>
        <w:t xml:space="preserve">Tax Treatment</w:t>
      </w:r>
      <w:r>
        <w:t xml:space="preserve">”</w:t>
      </w:r>
      <w:r>
        <w:t xml:space="preserve">) states the opposite:</w:t>
      </w:r>
      <w:r>
        <w:t xml:space="preserve"> </w:t>
      </w:r>
      <w:r>
        <w:t xml:space="preserve">“</w:t>
      </w:r>
      <w:r>
        <w:t xml:space="preserve">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t xml:space="preserve">”</w:t>
      </w:r>
    </w:p>
    <w:p>
      <w:pPr>
        <w:pStyle w:val="BodyText"/>
      </w:pPr>
      <w:r>
        <w:t xml:space="preserve">These positions are directly contradictory. The Purchase Agreement requires the escrow to be reported as amount realized in the year of closing (no deferral); the Memo suggests deferral under Section 453.</w:t>
      </w:r>
    </w:p>
    <w:p>
      <w:pPr>
        <w:pStyle w:val="BodyText"/>
      </w:pPr>
      <w:r>
        <w:rPr>
          <w:b/>
          <w:bCs/>
        </w:rPr>
        <w:t xml:space="preserve">Additional concern.</w:t>
      </w:r>
      <w:r>
        <w:t xml:space="preserve"> </w:t>
      </w:r>
      <w:r>
        <w:t xml:space="preserve">The Memo’s installment-sale analysis is legally thin in the 338(h)(10) context. The deemed sale gain is recognized by old Prism (the S corporation) on the deemed sale of all assets at the close of the acquisition date; whether the installment method under Section 453 is available for the deemed asset sale gain attributable to a contingent escrow is a complex question that the Memo does not analyze. The QSBS Email Thread (January 6, 2025) also raised the escrow timing question in the QSBS context, which the Memo likewise does not address.</w:t>
      </w:r>
    </w:p>
    <w:p>
      <w:pPr>
        <w:pStyle w:val="BodyText"/>
      </w:pPr>
      <w:r>
        <w:rPr>
          <w:b/>
          <w:bCs/>
        </w:rPr>
        <w:t xml:space="preserve">Impact.</w:t>
      </w:r>
      <w:r>
        <w:t xml:space="preserve"> </w:t>
      </w:r>
      <w:r>
        <w:t xml:space="preserve">Shareholders relying on the Memo’s deferral advice would take a position inconsistent with the Purchase Agreement’s expressed intent, creating filing-position conflicts and potential inconsistency between the parties’ returns.</w:t>
      </w:r>
    </w:p>
    <w:p>
      <w:pPr>
        <w:pStyle w:val="BodyText"/>
      </w:pPr>
      <w:r>
        <w:rPr>
          <w:b/>
          <w:bCs/>
        </w:rPr>
        <w:t xml:space="preserve">Recommendation.</w:t>
      </w:r>
      <w:r>
        <w:t xml:space="preserve"> </w:t>
      </w:r>
      <w:r>
        <w:t xml:space="preserve">Reconcile the escrow tax treatment. Either revise the Memo to align with the Purchase Agreement (report in year of closing) or amend the Purchase Agreement if deferral is intended. Provide a substantive analysis of whether Section 453 is available in the 338(h)(10) deemed-sale context.</w:t>
      </w:r>
    </w:p>
    <w:p>
      <w:r>
        <w:pict>
          <v:rect style="width:0;height:1.5pt" o:hralign="center" o:hrstd="t" o:hr="t"/>
        </w:pict>
      </w:r>
    </w:p>
    <w:bookmarkEnd w:id="30"/>
    <w:bookmarkStart w:id="31" w:name="X5de5da530fbfeb91dcfab1c8eac7a4dc0456147"/>
    <w:p>
      <w:pPr>
        <w:pStyle w:val="Heading4"/>
      </w:pPr>
      <w:r>
        <w:t xml:space="preserve">H-5. Beacon IP License — Automatic Termination on Deemed Transfer Not Addressed</w:t>
      </w:r>
    </w:p>
    <w:p>
      <w:pPr>
        <w:pStyle w:val="FirstParagraph"/>
      </w:pPr>
      <w:r>
        <w:rPr>
          <w:b/>
          <w:bCs/>
        </w:rPr>
        <w:t xml:space="preserve">The issue.</w:t>
      </w:r>
      <w:r>
        <w:t xml:space="preserve"> </w:t>
      </w:r>
      <w:r>
        <w:t xml:space="preserve">The Beacon OA (Section 9.02) provides that the IP License Agreement between Prism and Beacon</w:t>
      </w:r>
      <w:r>
        <w:t xml:space="preserve"> </w:t>
      </w:r>
      <w:r>
        <w:t xml:space="preserve">“</w:t>
      </w:r>
      <w:r>
        <w:t xml:space="preserve">shall terminate automatically upon a Transfer of Prism’s Membership Interest in the Company (including a deemed Transfer resulting from a Change of Control of Prism), unless the parties agree otherwise in writing.</w:t>
      </w:r>
      <w:r>
        <w:t xml:space="preserve">”</w:t>
      </w:r>
      <w:r>
        <w:t xml:space="preserve"> </w:t>
      </w:r>
      <w:r>
        <w:t xml:space="preserve">The Beacon OA defines</w:t>
      </w:r>
      <w:r>
        <w:t xml:space="preserve"> </w:t>
      </w:r>
      <w:r>
        <w:t xml:space="preserve">“</w:t>
      </w:r>
      <w:r>
        <w:t xml:space="preserve">Change of Control</w:t>
      </w:r>
      <w:r>
        <w:t xml:space="preserve">”</w:t>
      </w:r>
      <w:r>
        <w:t xml:space="preserve"> </w:t>
      </w:r>
      <w:r>
        <w:t xml:space="preserve">to include a merger or business combination resulting in a change of beneficial ownership of more than 50% of Prism’s voting equity (Section 1.1).</w:t>
      </w:r>
    </w:p>
    <w:p>
      <w:pPr>
        <w:pStyle w:val="BodyText"/>
      </w:pPr>
      <w:r>
        <w:t xml:space="preserve">The 338(h)(10) deemed asset sale treats Prism as deemed to sell its 80.5% Beacon interest, and the reverse triangular merger constitutes a Change of Control of Prism. Either event could trigger automatic termination of the IP License Agreement. Beacon relies on the licensed IP (proprietary algorithms, software platforms, data processing tools) for its ~$11M annual revenue and ~$3.2M EBITDA.</w:t>
      </w:r>
    </w:p>
    <w:p>
      <w:pPr>
        <w:pStyle w:val="BodyText"/>
      </w:pPr>
      <w:r>
        <w:t xml:space="preserve">The Memo (Section VIII) discusses the Beacon interest as a Class V asset and the $22.1M deemed disposition gain, but does</w:t>
      </w:r>
      <w:r>
        <w:t xml:space="preserve"> </w:t>
      </w:r>
      <w:r>
        <w:rPr>
          <w:b/>
          <w:bCs/>
        </w:rPr>
        <w:t xml:space="preserve">not</w:t>
      </w:r>
      <w:r>
        <w:t xml:space="preserve"> </w:t>
      </w:r>
      <w:r>
        <w:t xml:space="preserve">address the potential automatic termination of the IP License Agreement or its impact on Beacon’s going-concern value.</w:t>
      </w:r>
    </w:p>
    <w:p>
      <w:pPr>
        <w:pStyle w:val="BodyText"/>
      </w:pPr>
      <w:r>
        <w:rPr>
          <w:b/>
          <w:bCs/>
        </w:rPr>
        <w:t xml:space="preserve">Impact.</w:t>
      </w:r>
      <w:r>
        <w:t xml:space="preserve"> </w:t>
      </w:r>
      <w:r>
        <w:t xml:space="preserve">If the IP license terminates, Beacon’s ability to generate revenue is materially impaired, which would affect the $28.5M valuation of Prism’s Beacon interest and the overall enterprise value. This is a transaction-structure and valuation issue, not merely a commercial detail.</w:t>
      </w:r>
    </w:p>
    <w:p>
      <w:pPr>
        <w:pStyle w:val="BodyText"/>
      </w:pPr>
      <w:r>
        <w:rPr>
          <w:b/>
          <w:bCs/>
        </w:rPr>
        <w:t xml:space="preserve">Recommendation.</w:t>
      </w:r>
      <w:r>
        <w:t xml:space="preserve"> </w:t>
      </w:r>
      <w:r>
        <w:t xml:space="preserve">Confirm whether the deemed transfer / change of control triggers IP license termination, and if so, negotiate a written agreement to preserve the license (the Beacon OA permits the parties to</w:t>
      </w:r>
      <w:r>
        <w:t xml:space="preserve"> </w:t>
      </w:r>
      <w:r>
        <w:t xml:space="preserve">“</w:t>
      </w:r>
      <w:r>
        <w:t xml:space="preserve">agree otherwise in writing</w:t>
      </w:r>
      <w:r>
        <w:t xml:space="preserve">”</w:t>
      </w:r>
      <w:r>
        <w:t xml:space="preserve">). Address in the closing conditions and the Beacon consent process (Purchase Agreement Section 8.2(g)).</w:t>
      </w:r>
    </w:p>
    <w:p>
      <w:r>
        <w:pict>
          <v:rect style="width:0;height:1.5pt" o:hralign="center" o:hrstd="t" o:hr="t"/>
        </w:pict>
      </w:r>
    </w:p>
    <w:bookmarkEnd w:id="31"/>
    <w:bookmarkStart w:id="32" w:name="X3d327a1cdea5b14b8cab226b7759257f171233c"/>
    <w:p>
      <w:pPr>
        <w:pStyle w:val="Heading4"/>
      </w:pPr>
      <w:r>
        <w:t xml:space="preserve">H-6. Intercompany Transfer Pricing / Section 482 Exposure Omitted</w:t>
      </w:r>
    </w:p>
    <w:p>
      <w:pPr>
        <w:pStyle w:val="FirstParagraph"/>
      </w:pPr>
      <w:r>
        <w:rPr>
          <w:b/>
          <w:bCs/>
        </w:rPr>
        <w:t xml:space="preserve">The issue.</w:t>
      </w:r>
      <w:r>
        <w:t xml:space="preserve"> </w:t>
      </w:r>
      <w:r>
        <w:t xml:space="preserve">The Memo (Sections III.C and VIII) describes the intercompany management fee ($850,000/year) and IP license fee ($400,000/year) between Prism and Beacon, and states that</w:t>
      </w:r>
      <w:r>
        <w:t xml:space="preserve"> </w:t>
      </w:r>
      <w:r>
        <w:t xml:space="preserve">“</w:t>
      </w:r>
      <w:r>
        <w:t xml:space="preserve">These arrangements are documented in separate services and license agreements between the parties</w:t>
      </w:r>
      <w:r>
        <w:t xml:space="preserve">”</w:t>
      </w:r>
      <w:r>
        <w:t xml:space="preserve"> </w:t>
      </w:r>
      <w:r>
        <w:t xml:space="preserve">and are</w:t>
      </w:r>
      <w:r>
        <w:t xml:space="preserve"> </w:t>
      </w:r>
      <w:r>
        <w:t xml:space="preserve">“</w:t>
      </w:r>
      <w:r>
        <w:t xml:space="preserve">reflected in the Thornfield due diligence report.</w:t>
      </w:r>
      <w:r>
        <w:t xml:space="preserve">”</w:t>
      </w:r>
      <w:r>
        <w:t xml:space="preserve"> </w:t>
      </w:r>
      <w:r>
        <w:t xml:space="preserve">The Memo does not disclose the Section 482 transfer-pricing exposure.</w:t>
      </w:r>
    </w:p>
    <w:p>
      <w:pPr>
        <w:pStyle w:val="BodyText"/>
      </w:pPr>
      <w:r>
        <w:t xml:space="preserve">The DD Report (Section VII) identifies this as a</w:t>
      </w:r>
      <w:r>
        <w:t xml:space="preserve"> </w:t>
      </w:r>
      <w:r>
        <w:rPr>
          <w:b/>
          <w:bCs/>
        </w:rPr>
        <w:t xml:space="preserve">Moderate</w:t>
      </w:r>
      <w:r>
        <w:t xml:space="preserve"> </w:t>
      </w:r>
      <w:r>
        <w:t xml:space="preserve">finding with</w:t>
      </w:r>
      <w:r>
        <w:t xml:space="preserve"> </w:t>
      </w:r>
      <w:r>
        <w:rPr>
          <w:b/>
          <w:bCs/>
        </w:rPr>
        <w:t xml:space="preserve">~$6.3 million cumulative Section 482 exposure</w:t>
      </w:r>
      <w:r>
        <w:t xml:space="preserve"> </w:t>
      </w:r>
      <w:r>
        <w:t xml:space="preserve">(2019–2024), concluding that both fees</w:t>
      </w:r>
      <w:r>
        <w:t xml:space="preserve"> </w:t>
      </w:r>
      <w:r>
        <w:t xml:space="preserve">“</w:t>
      </w:r>
      <w:r>
        <w:t xml:space="preserve">appear to be below arm’s-length pricing</w:t>
      </w:r>
      <w:r>
        <w:t xml:space="preserve">”</w:t>
      </w:r>
      <w:r>
        <w:t xml:space="preserve">: the management fee ($850K) is below Thornfield’s estimated actual cost of services ($1.1M–$1.25M), and the IP license fee ($400K, ~3.6% of Beacon revenue) is well below industry benchmarks (8%–15% of licensee revenue). The DD Report recommends a formal transfer pricing study and consideration of amended returns.</w:t>
      </w:r>
    </w:p>
    <w:p>
      <w:pPr>
        <w:pStyle w:val="BodyText"/>
      </w:pPr>
      <w:r>
        <w:rPr>
          <w:b/>
          <w:bCs/>
        </w:rPr>
        <w:t xml:space="preserve">Additional inconsistencies:</w:t>
      </w:r>
    </w:p>
    <w:p>
      <w:pPr>
        <w:numPr>
          <w:ilvl w:val="0"/>
          <w:numId w:val="1005"/>
        </w:numPr>
      </w:pPr>
      <w:r>
        <w:rPr>
          <w:b/>
          <w:bCs/>
        </w:rPr>
        <w:t xml:space="preserve">Existence of formal agreements.</w:t>
      </w:r>
      <w:r>
        <w:t xml:space="preserve"> </w:t>
      </w:r>
      <w:r>
        <w:t xml:space="preserve">The Memo asserts the arrangements are</w:t>
      </w:r>
      <w:r>
        <w:t xml:space="preserve"> </w:t>
      </w:r>
      <w:r>
        <w:t xml:space="preserve">“</w:t>
      </w:r>
      <w:r>
        <w:t xml:space="preserve">documented in separate services and license agreements.</w:t>
      </w:r>
      <w:r>
        <w:t xml:space="preserve">”</w:t>
      </w:r>
      <w:r>
        <w:t xml:space="preserve"> </w:t>
      </w:r>
      <w:r>
        <w:t xml:space="preserve">The DD Report (Section VII.A) states that</w:t>
      </w:r>
      <w:r>
        <w:t xml:space="preserve"> </w:t>
      </w:r>
      <w:r>
        <w:t xml:space="preserve">“</w:t>
      </w:r>
      <w:r>
        <w:t xml:space="preserve">No formal management services agreement exists between Prism and Beacon</w:t>
      </w:r>
      <w:r>
        <w:t xml:space="preserve">”</w:t>
      </w:r>
      <w:r>
        <w:t xml:space="preserve"> </w:t>
      </w:r>
      <w:r>
        <w:t xml:space="preserve">and</w:t>
      </w:r>
      <w:r>
        <w:t xml:space="preserve"> </w:t>
      </w:r>
      <w:r>
        <w:t xml:space="preserve">“</w:t>
      </w:r>
      <w:r>
        <w:t xml:space="preserve">No formal IP license agreement exists… beyond a reference in [the Operating Agreement].</w:t>
      </w:r>
      <w:r>
        <w:t xml:space="preserve">”</w:t>
      </w:r>
      <w:r>
        <w:t xml:space="preserve"> </w:t>
      </w:r>
      <w:r>
        <w:t xml:space="preserve">The Beacon OA (Sections 9.01–9.02) does define and reference a</w:t>
      </w:r>
      <w:r>
        <w:t xml:space="preserve"> </w:t>
      </w:r>
      <w:r>
        <w:t xml:space="preserve">“</w:t>
      </w:r>
      <w:r>
        <w:t xml:space="preserve">Management Services Agreement</w:t>
      </w:r>
      <w:r>
        <w:t xml:space="preserve">”</w:t>
      </w:r>
      <w:r>
        <w:t xml:space="preserve"> </w:t>
      </w:r>
      <w:r>
        <w:t xml:space="preserve">and</w:t>
      </w:r>
      <w:r>
        <w:t xml:space="preserve"> </w:t>
      </w:r>
      <w:r>
        <w:t xml:space="preserve">“</w:t>
      </w:r>
      <w:r>
        <w:t xml:space="preserve">IP License Agreement</w:t>
      </w:r>
      <w:r>
        <w:t xml:space="preserve">”</w:t>
      </w:r>
      <w:r>
        <w:t xml:space="preserve"> </w:t>
      </w:r>
      <w:r>
        <w:t xml:space="preserve">dated August 1, 2018, creating a factual conflict over whether executed agreements exist.</w:t>
      </w:r>
    </w:p>
    <w:p>
      <w:pPr>
        <w:numPr>
          <w:ilvl w:val="0"/>
          <w:numId w:val="1005"/>
        </w:numPr>
      </w:pPr>
      <w:r>
        <w:rPr>
          <w:b/>
          <w:bCs/>
        </w:rPr>
        <w:t xml:space="preserve">Purchase Agreement representation.</w:t>
      </w:r>
      <w:r>
        <w:t xml:space="preserve"> </w:t>
      </w:r>
      <w:r>
        <w:t xml:space="preserve">The Purchase Agreement (Section 4.9(h)) represents that the intercompany fees</w:t>
      </w:r>
      <w:r>
        <w:t xml:space="preserve"> </w:t>
      </w:r>
      <w:r>
        <w:t xml:space="preserve">“</w:t>
      </w:r>
      <w:r>
        <w:t xml:space="preserve">are at arm’s length</w:t>
      </w:r>
      <w:r>
        <w:t xml:space="preserve">”</w:t>
      </w:r>
      <w:r>
        <w:t xml:space="preserve"> </w:t>
      </w:r>
      <w:r>
        <w:t xml:space="preserve">while simultaneously disclosing that</w:t>
      </w:r>
      <w:r>
        <w:t xml:space="preserve"> </w:t>
      </w:r>
      <w:r>
        <w:t xml:space="preserve">“</w:t>
      </w:r>
      <w:r>
        <w:t xml:space="preserve">No formal transfer pricing study has been prepared.</w:t>
      </w:r>
      <w:r>
        <w:t xml:space="preserve">”</w:t>
      </w:r>
      <w:r>
        <w:t xml:space="preserve"> </w:t>
      </w:r>
      <w:r>
        <w:t xml:space="preserve">This representation is in tension with the DD Report’s conclusion that the fees are below arm’s-length.</w:t>
      </w:r>
    </w:p>
    <w:p>
      <w:pPr>
        <w:numPr>
          <w:ilvl w:val="0"/>
          <w:numId w:val="1005"/>
        </w:numPr>
      </w:pPr>
      <w:r>
        <w:rPr>
          <w:b/>
          <w:bCs/>
        </w:rPr>
        <w:t xml:space="preserve">CPI adjustment.</w:t>
      </w:r>
      <w:r>
        <w:t xml:space="preserve"> </w:t>
      </w:r>
      <w:r>
        <w:t xml:space="preserve">The Beacon OA (Section 9.01) requires the management fee to be adjusted annually by CPI-U (capped at 3%). The DD Report (Section VII.A) states the fee</w:t>
      </w:r>
      <w:r>
        <w:t xml:space="preserve"> </w:t>
      </w:r>
      <w:r>
        <w:t xml:space="preserve">“</w:t>
      </w:r>
      <w:r>
        <w:t xml:space="preserve">has been charged at a flat rate of $850,000 since 2019 and has not been adjusted.</w:t>
      </w:r>
      <w:r>
        <w:t xml:space="preserve">”</w:t>
      </w:r>
      <w:r>
        <w:t xml:space="preserve"> </w:t>
      </w:r>
      <w:r>
        <w:t xml:space="preserve">The Memo does not address this discrepancy between the contract terms and actual practice.</w:t>
      </w:r>
    </w:p>
    <w:p>
      <w:pPr>
        <w:pStyle w:val="FirstParagraph"/>
      </w:pPr>
      <w:r>
        <w:rPr>
          <w:b/>
          <w:bCs/>
        </w:rPr>
        <w:t xml:space="preserve">Impact.</w:t>
      </w:r>
      <w:r>
        <w:t xml:space="preserve"> </w:t>
      </w:r>
      <w:r>
        <w:t xml:space="preserve">The $6.3M Section 482 exposure is material. Because Prism is an S corporation and Beacon is a partnership, any Section 482 reallocation would flow through to different parties in different proportions (Prism’s shareholders vs. Beacon’s minority members), creating cross-party economic effects. The Memo’s failure to disclose this exposure, and its assertion that formal agreements exist (contradicting the DD Report), is a material omission.</w:t>
      </w:r>
    </w:p>
    <w:p>
      <w:pPr>
        <w:pStyle w:val="BodyText"/>
      </w:pPr>
      <w:r>
        <w:rPr>
          <w:b/>
          <w:bCs/>
        </w:rPr>
        <w:t xml:space="preserve">Recommendation.</w:t>
      </w:r>
      <w:r>
        <w:t xml:space="preserve"> </w:t>
      </w:r>
      <w:r>
        <w:t xml:space="preserve">Disclose the Section 482 exposure in the Memo. Commission a transfer pricing study. Reconcile whether formal MSA/IP License Agreements were executed. Address the arm’s-length representation tension in the Purchase Agreement. Consider whether the exposure should be reflected in the indemnification/escrow provisions.</w:t>
      </w:r>
    </w:p>
    <w:p>
      <w:r>
        <w:pict>
          <v:rect style="width:0;height:1.5pt" o:hralign="center" o:hrstd="t" o:hr="t"/>
        </w:pict>
      </w:r>
    </w:p>
    <w:bookmarkEnd w:id="32"/>
    <w:bookmarkEnd w:id="33"/>
    <w:bookmarkStart w:id="44" w:name="c.-moderate-severity-findings"/>
    <w:p>
      <w:pPr>
        <w:pStyle w:val="Heading3"/>
      </w:pPr>
      <w:r>
        <w:t xml:space="preserve">C. Moderate-Severity Findings</w:t>
      </w:r>
    </w:p>
    <w:bookmarkStart w:id="34" w:name="X36a23450b5563aa285a605ee8b9da3c331636df"/>
    <w:p>
      <w:pPr>
        <w:pStyle w:val="Heading4"/>
      </w:pPr>
      <w:r>
        <w:t xml:space="preserve">M-1. Beacon — Section 754 Election, Section 743(b) Basis Adjustment, and Section 751</w:t>
      </w:r>
      <w:r>
        <w:t xml:space="preserve"> </w:t>
      </w:r>
      <w:r>
        <w:t xml:space="preserve">“</w:t>
      </w:r>
      <w:r>
        <w:t xml:space="preserve">Hot Assets</w:t>
      </w:r>
      <w:r>
        <w:t xml:space="preserve">”</w:t>
      </w:r>
      <w:r>
        <w:t xml:space="preserve"> </w:t>
      </w:r>
      <w:r>
        <w:t xml:space="preserve">Not Analyzed</w:t>
      </w:r>
    </w:p>
    <w:p>
      <w:pPr>
        <w:pStyle w:val="FirstParagraph"/>
      </w:pPr>
      <w:r>
        <w:t xml:space="preserve">The Asset Valuation (Note 2) specifically recommends that</w:t>
      </w:r>
      <w:r>
        <w:t xml:space="preserve"> </w:t>
      </w:r>
      <w:r>
        <w:t xml:space="preserve">“</w:t>
      </w:r>
      <w:r>
        <w:t xml:space="preserve">Buyer’s counsel should determine whether a §754 election is advisable and, if so, prepare the §743(b) basis adjustment computations for Beacon,</w:t>
      </w:r>
      <w:r>
        <w:t xml:space="preserve">”</w:t>
      </w:r>
      <w:r>
        <w:t xml:space="preserve"> </w:t>
      </w:r>
      <w:r>
        <w:t xml:space="preserve">and notes that</w:t>
      </w:r>
      <w:r>
        <w:t xml:space="preserve"> </w:t>
      </w:r>
      <w:r>
        <w:t xml:space="preserve">“</w:t>
      </w:r>
      <w:r>
        <w:t xml:space="preserve">the amortization and depreciation treatment of the step-up allocated to this interest will depend on the nature of Beacon’s underlying assets.</w:t>
      </w:r>
      <w:r>
        <w:t xml:space="preserve">”</w:t>
      </w:r>
      <w:r>
        <w:t xml:space="preserve"> </w:t>
      </w:r>
      <w:r>
        <w:t xml:space="preserve">The DD Report (Section VI.B) notes that Beacon’s accounts receivable (~$2.1M) and accrued unbilled revenue (~$1.8M)</w:t>
      </w:r>
      <w:r>
        <w:t xml:space="preserve"> </w:t>
      </w:r>
      <w:r>
        <w:t xml:space="preserve">“</w:t>
      </w:r>
      <w:r>
        <w:t xml:space="preserve">should be analyzed under Section 751 for</w:t>
      </w:r>
      <w:r>
        <w:t xml:space="preserve"> </w:t>
      </w:r>
      <w:r>
        <w:t xml:space="preserve">‘</w:t>
      </w:r>
      <w:r>
        <w:t xml:space="preserve">hot asset</w:t>
      </w:r>
      <w:r>
        <w:t xml:space="preserve">’</w:t>
      </w:r>
      <w:r>
        <w:t xml:space="preserve"> </w:t>
      </w:r>
      <w:r>
        <w:t xml:space="preserve">characterization in connection with any transfer or deemed transfer of Prism’s partnership interest.</w:t>
      </w:r>
      <w:r>
        <w:t xml:space="preserve">”</w:t>
      </w:r>
      <w:r>
        <w:t xml:space="preserve"> </w:t>
      </w:r>
      <w:r>
        <w:t xml:space="preserve">The Memo (Section VIII) treats the Beacon interest as a simple Class V asset with a $22.1M capital gain and does not address the Section 754/743(b) election, the look-through analysis of Beacon’s underlying assets, or the Section 751 hot-asset characterization.</w:t>
      </w:r>
      <w:r>
        <w:t xml:space="preserve"> </w:t>
      </w:r>
      <w:r>
        <w:rPr>
          <w:b/>
          <w:bCs/>
        </w:rPr>
        <w:t xml:space="preserve">Recommendation:</w:t>
      </w:r>
      <w:r>
        <w:t xml:space="preserve"> </w:t>
      </w:r>
      <w:r>
        <w:t xml:space="preserve">Analyze whether a Beacon Section 754 election is advisable and prepare the 743(b) computations; analyze Section 751 hot-asset treatment.</w:t>
      </w:r>
    </w:p>
    <w:bookmarkEnd w:id="34"/>
    <w:bookmarkStart w:id="35" w:name="X754f0dcc9acc66a699c9b8dccd29eac52f66794"/>
    <w:p>
      <w:pPr>
        <w:pStyle w:val="Heading4"/>
      </w:pPr>
      <w:r>
        <w:t xml:space="preserve">M-2. Beacon Right of First Refusal — Change of Control Trigger Not Analyzed</w:t>
      </w:r>
    </w:p>
    <w:p>
      <w:pPr>
        <w:pStyle w:val="FirstParagraph"/>
      </w:pPr>
      <w:r>
        <w:t xml:space="preserve">The Beacon OA (Section 8.03) grants the non-transferring members a right of first refusal (ROFR) triggered by, among other things, a</w:t>
      </w:r>
      <w:r>
        <w:t xml:space="preserve"> </w:t>
      </w:r>
      <w:r>
        <w:t xml:space="preserve">“</w:t>
      </w:r>
      <w:r>
        <w:t xml:space="preserve">Change of Control of any Member that is an entity.</w:t>
      </w:r>
      <w:r>
        <w:t xml:space="preserve">”</w:t>
      </w:r>
      <w:r>
        <w:t xml:space="preserve"> </w:t>
      </w:r>
      <w:r>
        <w:t xml:space="preserve">The reverse triangular merger / 338(h)(10) deemed sale constitutes a Change of Control of Prism (Beacon’s 80.5% member), which could trigger the ROFR and allow the minority members (Delano and Avesta) to purchase Prism’s interest. The Purchase Agreement (Section 8.2(g)) requires</w:t>
      </w:r>
      <w:r>
        <w:t xml:space="preserve"> </w:t>
      </w:r>
      <w:r>
        <w:t xml:space="preserve">“</w:t>
      </w:r>
      <w:r>
        <w:t xml:space="preserve">any required consents… under the operating agreement of Beacon Insights, LLC</w:t>
      </w:r>
      <w:r>
        <w:t xml:space="preserve">”</w:t>
      </w:r>
      <w:r>
        <w:t xml:space="preserve"> </w:t>
      </w:r>
      <w:r>
        <w:t xml:space="preserve">as a closing condition. The Memo (Section VIII) mentions</w:t>
      </w:r>
      <w:r>
        <w:t xml:space="preserve"> </w:t>
      </w:r>
      <w:r>
        <w:t xml:space="preserve">“</w:t>
      </w:r>
      <w:r>
        <w:t xml:space="preserve">customary transfer restrictions, including a right of first refusal</w:t>
      </w:r>
      <w:r>
        <w:t xml:space="preserve">”</w:t>
      </w:r>
      <w:r>
        <w:t xml:space="preserve"> </w:t>
      </w:r>
      <w:r>
        <w:t xml:space="preserve">in passing but does not analyze whether the transaction triggers the ROFR or the consequences.</w:t>
      </w:r>
      <w:r>
        <w:t xml:space="preserve"> </w:t>
      </w:r>
      <w:r>
        <w:rPr>
          <w:b/>
          <w:bCs/>
        </w:rPr>
        <w:t xml:space="preserve">Recommendation:</w:t>
      </w:r>
      <w:r>
        <w:t xml:space="preserve"> </w:t>
      </w:r>
      <w:r>
        <w:t xml:space="preserve">Analyze whether the ROFR is triggered and obtain the required Beacon consents/waivers as a closing condition.</w:t>
      </w:r>
    </w:p>
    <w:bookmarkEnd w:id="35"/>
    <w:bookmarkStart w:id="36" w:name="X5a7ce819d791c23f7cdceb7fc29bf34309606b4"/>
    <w:p>
      <w:pPr>
        <w:pStyle w:val="Heading4"/>
      </w:pPr>
      <w:r>
        <w:t xml:space="preserve">M-3. Suspended R&amp;D Credits ($3.8 Million) — Risk of Permanent Expiration Understated</w:t>
      </w:r>
    </w:p>
    <w:p>
      <w:pPr>
        <w:pStyle w:val="FirstParagraph"/>
      </w:pPr>
      <w:r>
        <w:t xml:space="preserve">The DD Report (Sections IV.B and IX.A) identifies $3.8M in unused federal R&amp;D credits from Prism’s 2016 C corporation year, analyzes three utilization scenarios (built-in gains offset, post-termination transition period, deemed liquidation/final return), and concludes the credits</w:t>
      </w:r>
      <w:r>
        <w:t xml:space="preserve"> </w:t>
      </w:r>
      <w:r>
        <w:t xml:space="preserve">“</w:t>
      </w:r>
      <w:r>
        <w:t xml:space="preserve">appear to be at significant risk of permanent expiration in connection with this transaction.</w:t>
      </w:r>
      <w:r>
        <w:t xml:space="preserve">”</w:t>
      </w:r>
      <w:r>
        <w:t xml:space="preserve"> </w:t>
      </w:r>
      <w:r>
        <w:t xml:space="preserve">The DD Report rates this a</w:t>
      </w:r>
      <w:r>
        <w:t xml:space="preserve"> </w:t>
      </w:r>
      <w:r>
        <w:rPr>
          <w:b/>
          <w:bCs/>
        </w:rPr>
        <w:t xml:space="preserve">Moderate</w:t>
      </w:r>
      <w:r>
        <w:t xml:space="preserve"> </w:t>
      </w:r>
      <w:r>
        <w:t xml:space="preserve">finding and recommends tax counsel analyze whether any structuring alternatives could preserve the credits. The Memo (Section III.D) merely notes the credits</w:t>
      </w:r>
      <w:r>
        <w:t xml:space="preserve"> </w:t>
      </w:r>
      <w:r>
        <w:t xml:space="preserve">“</w:t>
      </w:r>
      <w:r>
        <w:t xml:space="preserve">will be addressed in the post-closing tax planning,</w:t>
      </w:r>
      <w:r>
        <w:t xml:space="preserve">”</w:t>
      </w:r>
      <w:r>
        <w:t xml:space="preserve"> </w:t>
      </w:r>
      <w:r>
        <w:t xml:space="preserve">without disclosing the risk of permanent loss or the DD Report’s analysis.</w:t>
      </w:r>
      <w:r>
        <w:t xml:space="preserve"> </w:t>
      </w:r>
      <w:r>
        <w:rPr>
          <w:b/>
          <w:bCs/>
        </w:rPr>
        <w:t xml:space="preserve">Recommendation:</w:t>
      </w:r>
      <w:r>
        <w:t xml:space="preserve"> </w:t>
      </w:r>
      <w:r>
        <w:t xml:space="preserve">Disclose the expiration risk and analyze preservation alternatives.</w:t>
      </w:r>
    </w:p>
    <w:bookmarkEnd w:id="36"/>
    <w:bookmarkStart w:id="37" w:name="Xa856b62ffac4cc4155722964cc1113ea2410b8d"/>
    <w:p>
      <w:pPr>
        <w:pStyle w:val="Heading4"/>
      </w:pPr>
      <w:r>
        <w:t xml:space="preserve">M-4. AAA / AE&amp;P — Deemed Liquidation Distribution Characterization Omitted</w:t>
      </w:r>
    </w:p>
    <w:p>
      <w:pPr>
        <w:pStyle w:val="FirstParagraph"/>
      </w:pPr>
      <w:r>
        <w:t xml:space="preserve">The DD Report (Section IX.C) provides tax attribute balances as of December 31, 2023: Accumulated Adjustments Account (AAA) of $64.2M, Accumulated Earnings &amp; Profits (AE&amp;P) of $792,000, and Previously Taxed Income (PTI) of $792,000. The DD Report notes that in the 338(h)(10) deemed liquidation, distributions are characterized first against AAA (tax-free to the extent of stock basis), then against AE&amp;P (taxable as a dividend), then as return of capital or capital gain. The Memo (Section V) analyzes the deemed sale gain passing through to shareholders but does not address the characterization of the deemed liquidating distributions, the $64.2M AAA, or the $792K AE&amp;P (which would generate dividend income to the extent of distributions).</w:t>
      </w:r>
      <w:r>
        <w:t xml:space="preserve"> </w:t>
      </w:r>
      <w:r>
        <w:rPr>
          <w:b/>
          <w:bCs/>
        </w:rPr>
        <w:t xml:space="preserve">Recommendation:</w:t>
      </w:r>
      <w:r>
        <w:t xml:space="preserve"> </w:t>
      </w:r>
      <w:r>
        <w:t xml:space="preserve">Add the deemed-liquidation distribution characterization analysis.</w:t>
      </w:r>
    </w:p>
    <w:bookmarkEnd w:id="37"/>
    <w:bookmarkStart w:id="38" w:name="X98a09ec165c1b5636be06cbc14d9ea0049bff71"/>
    <w:p>
      <w:pPr>
        <w:pStyle w:val="Heading4"/>
      </w:pPr>
      <w:r>
        <w:t xml:space="preserve">M-5. Shareholder Count and Residency Inconsistencies</w:t>
      </w:r>
    </w:p>
    <w:p>
      <w:pPr>
        <w:pStyle w:val="FirstParagraph"/>
      </w:pPr>
      <w:r>
        <w:t xml:space="preserve">The Memo (Section II.A) and the DD Report state that</w:t>
      </w:r>
      <w:r>
        <w:t xml:space="preserve"> </w:t>
      </w:r>
      <w:r>
        <w:t xml:space="preserve">“</w:t>
      </w:r>
      <w:r>
        <w:t xml:space="preserve">Fourteen (14) angel investors and early employees</w:t>
      </w:r>
      <w:r>
        <w:t xml:space="preserve">”</w:t>
      </w:r>
      <w:r>
        <w:t xml:space="preserve"> </w:t>
      </w:r>
      <w:r>
        <w:t xml:space="preserve">hold the remaining 20%, with residency of</w:t>
      </w:r>
      <w:r>
        <w:t xml:space="preserve"> </w:t>
      </w:r>
      <w:r>
        <w:t xml:space="preserve">“</w:t>
      </w:r>
      <w:r>
        <w:t xml:space="preserve">eleven (11) in North Carolina, two (2) in California, and one (1) in New York.</w:t>
      </w:r>
      <w:r>
        <w:t xml:space="preserve">”</w:t>
      </w:r>
      <w:r>
        <w:t xml:space="preserve"> </w:t>
      </w:r>
      <w:r>
        <w:t xml:space="preserve">The Cap Table shows</w:t>
      </w:r>
      <w:r>
        <w:t xml:space="preserve"> </w:t>
      </w:r>
      <w:r>
        <w:rPr>
          <w:b/>
          <w:bCs/>
        </w:rPr>
        <w:t xml:space="preserve">seventeen (17)</w:t>
      </w:r>
      <w:r>
        <w:t xml:space="preserve"> </w:t>
      </w:r>
      <w:r>
        <w:t xml:space="preserve">unique minority shareholders (excluding the two founders), with residency of</w:t>
      </w:r>
      <w:r>
        <w:t xml:space="preserve"> </w:t>
      </w:r>
      <w:r>
        <w:rPr>
          <w:b/>
          <w:bCs/>
        </w:rPr>
        <w:t xml:space="preserve">fourteen (14) in North Carolina, two (2) in California, and one (1) in New York.</w:t>
      </w:r>
      <w:r>
        <w:t xml:space="preserve"> </w:t>
      </w:r>
      <w:r>
        <w:t xml:space="preserve">The Memo understates the minority shareholder count by three and the North Carolina resident count by three. This affects the state tax analysis (more NC-resident shareholders than stated), the S corporation eligibility verification scope, and the QSBS analysis.</w:t>
      </w:r>
      <w:r>
        <w:t xml:space="preserve"> </w:t>
      </w:r>
      <w:r>
        <w:rPr>
          <w:b/>
          <w:bCs/>
        </w:rPr>
        <w:t xml:space="preserve">Recommendation:</w:t>
      </w:r>
      <w:r>
        <w:t xml:space="preserve"> </w:t>
      </w:r>
      <w:r>
        <w:t xml:space="preserve">Reconcile the shareholder count and residency with the Cap Table.</w:t>
      </w:r>
    </w:p>
    <w:bookmarkEnd w:id="38"/>
    <w:bookmarkStart w:id="39" w:name="X6629f5916bc076efc4352efb10183a48bc8adbe"/>
    <w:p>
      <w:pPr>
        <w:pStyle w:val="Heading4"/>
      </w:pPr>
      <w:r>
        <w:t xml:space="preserve">M-6. Depreciation &amp; Amortization / Tax Savings Estimates Overstated</w:t>
      </w:r>
    </w:p>
    <w:p>
      <w:pPr>
        <w:pStyle w:val="FirstParagraph"/>
      </w:pPr>
      <w:r>
        <w:t xml:space="preserve">The Memo (Section VII.A) estimates annual D&amp;A deductions of</w:t>
      </w:r>
      <w:r>
        <w:t xml:space="preserve"> </w:t>
      </w:r>
      <w:r>
        <w:t xml:space="preserve">“</w:t>
      </w:r>
      <w:r>
        <w:t xml:space="preserve">approximately $24,500,000 or more</w:t>
      </w:r>
      <w:r>
        <w:t xml:space="preserve">”</w:t>
      </w:r>
      <w:r>
        <w:t xml:space="preserve"> </w:t>
      </w:r>
      <w:r>
        <w:t xml:space="preserve">(Class VI $95M/15 = $6.33M + Class VII $272.8M/15 = $18.19M = $24.52M) and annual cash tax savings of ~$6.125M (at 25%). These figures are derived from the overstated ADSP and goodwill. Using the corrected Class VII goodwill of $196.3M, the Class VI + Class VII amortization would be ~$19.4M/year ($6.33M + $13.09M), a reduction of ~$5.1M/year. Conversely, the understated developed technology ($19M vs. $41.8M, amortizable over 5 years under Section 167) means the Memo understates near-term Class V amortization. The net effect on Buyer’s tax benefit is not accurately presented.</w:t>
      </w:r>
      <w:r>
        <w:t xml:space="preserve"> </w:t>
      </w:r>
      <w:r>
        <w:rPr>
          <w:b/>
          <w:bCs/>
        </w:rPr>
        <w:t xml:space="preserve">Recommendation:</w:t>
      </w:r>
      <w:r>
        <w:t xml:space="preserve"> </w:t>
      </w:r>
      <w:r>
        <w:t xml:space="preserve">Recompute the D&amp;A and tax savings estimates on the corrected allocation.</w:t>
      </w:r>
    </w:p>
    <w:bookmarkEnd w:id="39"/>
    <w:bookmarkStart w:id="40" w:name="X164e5b986d6c9465c5f76de5abe25735e3cb362"/>
    <w:p>
      <w:pPr>
        <w:pStyle w:val="Heading4"/>
      </w:pPr>
      <w:r>
        <w:t xml:space="preserve">M-7. Rollover Equity Tax Treatment Not Analyzed</w:t>
      </w:r>
    </w:p>
    <w:p>
      <w:pPr>
        <w:pStyle w:val="FirstParagraph"/>
      </w:pPr>
      <w:r>
        <w:t xml:space="preserve">The Memo (Section V.B) states that Dr. Chandra’s $37M rollover</w:t>
      </w:r>
      <w:r>
        <w:t xml:space="preserve"> </w:t>
      </w:r>
      <w:r>
        <w:t xml:space="preserve">“</w:t>
      </w:r>
      <w:r>
        <w:t xml:space="preserve">is treated as a separate transaction from the deemed sale</w:t>
      </w:r>
      <w:r>
        <w:t xml:space="preserve">”</w:t>
      </w:r>
      <w:r>
        <w:t xml:space="preserve"> </w:t>
      </w:r>
      <w:r>
        <w:t xml:space="preserve">and that he</w:t>
      </w:r>
      <w:r>
        <w:t xml:space="preserve"> </w:t>
      </w:r>
      <w:r>
        <w:t xml:space="preserve">“</w:t>
      </w:r>
      <w:r>
        <w:t xml:space="preserve">will recognize his full pro rata share of the deemed sale gain and then contribute a portion of his after-tax proceeds to the new entity in exchange for equity.</w:t>
      </w:r>
      <w:r>
        <w:t xml:space="preserve">”</w:t>
      </w:r>
      <w:r>
        <w:t xml:space="preserve"> </w:t>
      </w:r>
      <w:r>
        <w:t xml:space="preserve">The Memo does not analyze the tax treatment of the rollover contribution itself — i.e., whether the contribution to the post-closing entity (a partnership/acquisition vehicle) qualifies for tax-deferred treatment under Section 721 or is taxable. The Cap Table (Consideration Waterfall) flags:</w:t>
      </w:r>
      <w:r>
        <w:t xml:space="preserve"> </w:t>
      </w:r>
      <w:r>
        <w:t xml:space="preserve">“</w:t>
      </w:r>
      <w:r>
        <w:t xml:space="preserve">Note: Memo does not address interaction of rollover with 338(h)(10) deemed sale.</w:t>
      </w:r>
      <w:r>
        <w:t xml:space="preserve">”</w:t>
      </w:r>
      <w:r>
        <w:t xml:space="preserve"> </w:t>
      </w:r>
      <w:r>
        <w:t xml:space="preserve">The Purchase Agreement (Section 2.4(e)) describes the rollover as equity in</w:t>
      </w:r>
      <w:r>
        <w:t xml:space="preserve"> </w:t>
      </w:r>
      <w:r>
        <w:t xml:space="preserve">“</w:t>
      </w:r>
      <w:r>
        <w:t xml:space="preserve">Parent (or a designated acquisition vehicle thereof).</w:t>
      </w:r>
      <w:r>
        <w:t xml:space="preserve">”</w:t>
      </w:r>
      <w:r>
        <w:t xml:space="preserve"> </w:t>
      </w:r>
      <w:r>
        <w:rPr>
          <w:b/>
          <w:bCs/>
        </w:rPr>
        <w:t xml:space="preserve">Recommendation:</w:t>
      </w:r>
      <w:r>
        <w:t xml:space="preserve"> </w:t>
      </w:r>
      <w:r>
        <w:t xml:space="preserve">Analyze the tax treatment of the rollover contribution (Section 721 vs. taxable) and the interaction with the 338(h)(10) deemed sale.</w:t>
      </w:r>
    </w:p>
    <w:bookmarkEnd w:id="40"/>
    <w:bookmarkStart w:id="41" w:name="X1fa6d849c20299103e9e4bb6eb9249a6888cffb"/>
    <w:p>
      <w:pPr>
        <w:pStyle w:val="Heading4"/>
      </w:pPr>
      <w:r>
        <w:t xml:space="preserve">M-8. Fund III Equity Contribution Calculation Error ($143M vs. $198M)</w:t>
      </w:r>
    </w:p>
    <w:p>
      <w:pPr>
        <w:pStyle w:val="FirstParagraph"/>
      </w:pPr>
      <w:r>
        <w:t xml:space="preserve">The Memo (Section II.C) computes Fund III’s equity contribution as</w:t>
      </w:r>
      <w:r>
        <w:t xml:space="preserve"> </w:t>
      </w:r>
      <w:r>
        <w:t xml:space="preserve">“</w:t>
      </w:r>
      <w:r>
        <w:t xml:space="preserve">$370,000,000 (total equity consideration) less $37,000,000 (rollover equity) less $190,000,000 (funded debt) = $143,000,000.</w:t>
      </w:r>
      <w:r>
        <w:t xml:space="preserve">”</w:t>
      </w:r>
      <w:r>
        <w:t xml:space="preserve"> </w:t>
      </w:r>
      <w:r>
        <w:t xml:space="preserve">This is incorrect. The $190M Term Loan funds not only the equity consideration but also the $48M debt payoff and $7M seller expenses. The correct computation is: total uses ($425M enterprise value) − Term Loan ($190M) − rollover ($37M) =</w:t>
      </w:r>
      <w:r>
        <w:t xml:space="preserve"> </w:t>
      </w:r>
      <w:r>
        <w:rPr>
          <w:b/>
          <w:bCs/>
        </w:rPr>
        <w:t xml:space="preserve">$198M</w:t>
      </w:r>
      <w:r>
        <w:t xml:space="preserve"> </w:t>
      </w:r>
      <w:r>
        <w:t xml:space="preserve">(equivalently, cash uses of $333M + $48M + $7M = $388M, less $190M Term Loan = $198M). The Memo understates Fund III’s equity contribution by $55M.</w:t>
      </w:r>
      <w:r>
        <w:t xml:space="preserve"> </w:t>
      </w:r>
      <w:r>
        <w:rPr>
          <w:b/>
          <w:bCs/>
        </w:rPr>
        <w:t xml:space="preserve">Recommendation:</w:t>
      </w:r>
      <w:r>
        <w:t xml:space="preserve"> </w:t>
      </w:r>
      <w:r>
        <w:t xml:space="preserve">Correct the sources-and-uses / equity contribution calculation.</w:t>
      </w:r>
    </w:p>
    <w:bookmarkEnd w:id="41"/>
    <w:bookmarkStart w:id="42" w:name="Xa5597421033a4806f7885954a13f2472192b32c"/>
    <w:p>
      <w:pPr>
        <w:pStyle w:val="Heading4"/>
      </w:pPr>
      <w:r>
        <w:t xml:space="preserve">M-9. California Apportionment of Deemed Sale Gain Not Analyzed</w:t>
      </w:r>
    </w:p>
    <w:p>
      <w:pPr>
        <w:pStyle w:val="FirstParagraph"/>
      </w:pPr>
      <w:r>
        <w:t xml:space="preserve">The Memo (Section VI.B) states that California’s 1.5% entity-level S corporation tax</w:t>
      </w:r>
      <w:r>
        <w:t xml:space="preserve"> </w:t>
      </w:r>
      <w:r>
        <w:t xml:space="preserve">“</w:t>
      </w:r>
      <w:r>
        <w:t xml:space="preserve">will apply to the California-apportioned share of the deemed sale gain</w:t>
      </w:r>
      <w:r>
        <w:t xml:space="preserve">”</w:t>
      </w:r>
      <w:r>
        <w:t xml:space="preserve"> </w:t>
      </w:r>
      <w:r>
        <w:t xml:space="preserve">and that the apportionment factor</w:t>
      </w:r>
      <w:r>
        <w:t xml:space="preserve"> </w:t>
      </w:r>
      <w:r>
        <w:t xml:space="preserve">“</w:t>
      </w:r>
      <w:r>
        <w:t xml:space="preserve">is expected to be a relatively modest percentage.</w:t>
      </w:r>
      <w:r>
        <w:t xml:space="preserve">”</w:t>
      </w:r>
      <w:r>
        <w:t xml:space="preserve"> </w:t>
      </w:r>
      <w:r>
        <w:t xml:space="preserve">The Memo does not analyze (a) whether the deemed sale gain is apportionable business income or non-business income allocable to Prism’s commercial domicile (North Carolina), (b) whether California conforms to the Section 338(h)(10) election for S corporation targets, or (c) the methodology for apportioning a deemed sale gain. Given that the deemed sale includes assets with no California nexus (e.g., the Raleigh office building, NC customer relationships), the apportionment analysis is non-trivial.</w:t>
      </w:r>
      <w:r>
        <w:t xml:space="preserve"> </w:t>
      </w:r>
      <w:r>
        <w:rPr>
          <w:b/>
          <w:bCs/>
        </w:rPr>
        <w:t xml:space="preserve">Recommendation:</w:t>
      </w:r>
      <w:r>
        <w:t xml:space="preserve"> </w:t>
      </w:r>
      <w:r>
        <w:t xml:space="preserve">Analyze California conformity to 338(h)(10) and the apportionment of the deemed sale gain.</w:t>
      </w:r>
    </w:p>
    <w:bookmarkEnd w:id="42"/>
    <w:bookmarkStart w:id="43" w:name="Xaa64ab9beab22a598477ad1ca43bb1f3efc55e9"/>
    <w:p>
      <w:pPr>
        <w:pStyle w:val="Heading4"/>
      </w:pPr>
      <w:r>
        <w:t xml:space="preserve">M-10. Due Diligence Report vs. Cap Table — Inconsistencies on Unverified Holders</w:t>
      </w:r>
    </w:p>
    <w:p>
      <w:pPr>
        <w:pStyle w:val="FirstParagraph"/>
      </w:pPr>
      <w:r>
        <w:t xml:space="preserve">As noted in C-2, the DD Report and the Cap Table do not agree on the unverified S corporation shareholders. The DD Report identifies two concerns (an H-1B</w:t>
      </w:r>
      <w:r>
        <w:t xml:space="preserve"> </w:t>
      </w:r>
      <w:r>
        <w:t xml:space="preserve">“</w:t>
      </w:r>
      <w:r>
        <w:t xml:space="preserve">Canadian national</w:t>
      </w:r>
      <w:r>
        <w:t xml:space="preserve">”</w:t>
      </w:r>
      <w:r>
        <w:t xml:space="preserve"> </w:t>
      </w:r>
      <w:r>
        <w:t xml:space="preserve">and a</w:t>
      </w:r>
      <w:r>
        <w:t xml:space="preserve"> </w:t>
      </w:r>
      <w:r>
        <w:t xml:space="preserve">“</w:t>
      </w:r>
      <w:r>
        <w:t xml:space="preserve">family LLC</w:t>
      </w:r>
      <w:r>
        <w:t xml:space="preserve">”</w:t>
      </w:r>
      <w:r>
        <w:t xml:space="preserve"> </w:t>
      </w:r>
      <w:r>
        <w:t xml:space="preserve">transfer); the Cap Table identifies three</w:t>
      </w:r>
      <w:r>
        <w:t xml:space="preserve"> </w:t>
      </w:r>
      <w:r>
        <w:t xml:space="preserve">“</w:t>
      </w:r>
      <w:r>
        <w:t xml:space="preserve">Unconfirmed</w:t>
      </w:r>
      <w:r>
        <w:t xml:space="preserve">”</w:t>
      </w:r>
      <w:r>
        <w:t xml:space="preserve"> </w:t>
      </w:r>
      <w:r>
        <w:t xml:space="preserve">holders (Lin Wei Zhang, a PRC citizen on H-1B; Yusuf Al-Rashidi, a dual U.S./Jordan citizen; and Nina Petrova, a Bulgarian-born green-card holder) and does not reflect any family LLC transfer. The nationality of the H-1B holder (Canadian per the DD Report vs. PRC per the Cap Table) is directly contradictory.</w:t>
      </w:r>
      <w:r>
        <w:t xml:space="preserve"> </w:t>
      </w:r>
      <w:r>
        <w:rPr>
          <w:b/>
          <w:bCs/>
        </w:rPr>
        <w:t xml:space="preserve">Recommendation:</w:t>
      </w:r>
      <w:r>
        <w:t xml:space="preserve"> </w:t>
      </w:r>
      <w:r>
        <w:t xml:space="preserve">Reconcile the two documents and confirm the identity, nationality, and immigration status of each unverified holder.</w:t>
      </w:r>
    </w:p>
    <w:p>
      <w:r>
        <w:pict>
          <v:rect style="width:0;height:1.5pt" o:hralign="center" o:hrstd="t" o:hr="t"/>
        </w:pict>
      </w:r>
    </w:p>
    <w:bookmarkEnd w:id="43"/>
    <w:bookmarkEnd w:id="44"/>
    <w:bookmarkStart w:id="54" w:name="d.-low-severity-findings"/>
    <w:p>
      <w:pPr>
        <w:pStyle w:val="Heading3"/>
      </w:pPr>
      <w:r>
        <w:t xml:space="preserve">D. Low-Severity Findings</w:t>
      </w:r>
    </w:p>
    <w:bookmarkStart w:id="45" w:name="l-1.-date-inconsistencies"/>
    <w:p>
      <w:pPr>
        <w:pStyle w:val="Heading4"/>
      </w:pPr>
      <w:r>
        <w:t xml:space="preserve">L-1. Date Inconsistencies</w:t>
      </w:r>
    </w:p>
    <w:p>
      <w:pPr>
        <w:pStyle w:val="FirstParagraph"/>
      </w:pPr>
      <w:r>
        <w:t xml:space="preserve">The Memo (preamble) references</w:t>
      </w:r>
      <w:r>
        <w:t xml:space="preserve"> </w:t>
      </w:r>
      <w:r>
        <w:t xml:space="preserve">“</w:t>
      </w:r>
      <w:r>
        <w:t xml:space="preserve">the quality of earnings and tax due diligence report prepared by Thornfield Accounting Group, LLP dated January 10, 2025.</w:t>
      </w:r>
      <w:r>
        <w:t xml:space="preserve">”</w:t>
      </w:r>
      <w:r>
        <w:t xml:space="preserve"> </w:t>
      </w:r>
      <w:r>
        <w:t xml:space="preserve">The DD Report is dated January 15, 2025; January 10, 2025 is the information cutoff date stated in the DD Report’s Scope and Limitations section. Separately, the Asset Valuation references a</w:t>
      </w:r>
      <w:r>
        <w:t xml:space="preserve"> </w:t>
      </w:r>
      <w:r>
        <w:t xml:space="preserve">“</w:t>
      </w:r>
      <w:r>
        <w:t xml:space="preserve">Calloway, Stern &amp; Whitaker LLP Memo dated 1/28/2025,</w:t>
      </w:r>
      <w:r>
        <w:t xml:space="preserve">”</w:t>
      </w:r>
      <w:r>
        <w:t xml:space="preserve"> </w:t>
      </w:r>
      <w:r>
        <w:t xml:space="preserve">while the subject Memo is dated February 10, 2025 — suggesting the Asset Valuation was compared against an earlier draft.</w:t>
      </w:r>
      <w:r>
        <w:t xml:space="preserve"> </w:t>
      </w:r>
      <w:r>
        <w:rPr>
          <w:b/>
          <w:bCs/>
        </w:rPr>
        <w:t xml:space="preserve">Recommendation:</w:t>
      </w:r>
      <w:r>
        <w:t xml:space="preserve"> </w:t>
      </w:r>
      <w:r>
        <w:t xml:space="preserve">Correct the DD Report citation date; confirm whether the Asset Valuation was compared to an earlier Memo draft.</w:t>
      </w:r>
    </w:p>
    <w:bookmarkEnd w:id="45"/>
    <w:bookmarkStart w:id="46" w:name="l-2.-ebitda-figure-to-verify"/>
    <w:p>
      <w:pPr>
        <w:pStyle w:val="Heading4"/>
      </w:pPr>
      <w:r>
        <w:t xml:space="preserve">L-2. EBITDA Figure to Verify</w:t>
      </w:r>
    </w:p>
    <w:p>
      <w:pPr>
        <w:pStyle w:val="FirstParagraph"/>
      </w:pPr>
      <w:r>
        <w:t xml:space="preserve">The Memo (Section VII.B) relies on</w:t>
      </w:r>
      <w:r>
        <w:t xml:space="preserve"> </w:t>
      </w:r>
      <w:r>
        <w:t xml:space="preserve">“</w:t>
      </w:r>
      <w:r>
        <w:t xml:space="preserve">Prism’s historical EBITDA of approximately $58,000,000 (2024 estimate)</w:t>
      </w:r>
      <w:r>
        <w:t xml:space="preserve">”</w:t>
      </w:r>
      <w:r>
        <w:t xml:space="preserve"> </w:t>
      </w:r>
      <w:r>
        <w:t xml:space="preserve">for the Section 163(j) interest deductibility analysis. This implies a ~67% EBITDA margin on ~$87M revenue, which is unusually high. The DD Report does not state Prism’s EBITDA.</w:t>
      </w:r>
      <w:r>
        <w:t xml:space="preserve"> </w:t>
      </w:r>
      <w:r>
        <w:rPr>
          <w:b/>
          <w:bCs/>
        </w:rPr>
        <w:t xml:space="preserve">Recommendation:</w:t>
      </w:r>
      <w:r>
        <w:t xml:space="preserve"> </w:t>
      </w:r>
      <w:r>
        <w:t xml:space="preserve">Verify the EBITDA figure against the quality-of-earnings analysis; if overstated, the Section 163(j) capacity analysis is more favorable than warranted.</w:t>
      </w:r>
    </w:p>
    <w:bookmarkEnd w:id="46"/>
    <w:bookmarkStart w:id="47" w:name="X9d8f0290f8c8c9b91957a0ee23b083b007237f3"/>
    <w:p>
      <w:pPr>
        <w:pStyle w:val="Heading4"/>
      </w:pPr>
      <w:r>
        <w:t xml:space="preserve">L-3. Dr. Chandra Stock Basis Reconciliation</w:t>
      </w:r>
    </w:p>
    <w:p>
      <w:pPr>
        <w:pStyle w:val="FirstParagraph"/>
      </w:pPr>
      <w:r>
        <w:t xml:space="preserve">The Memo (Section V.B) estimates Dr. Chandra’s tax basis in his Prism stock at</w:t>
      </w:r>
      <w:r>
        <w:t xml:space="preserve"> </w:t>
      </w:r>
      <w:r>
        <w:t xml:space="preserve">“</w:t>
      </w:r>
      <w:r>
        <w:t xml:space="preserve">approximately $1,500,000.</w:t>
      </w:r>
      <w:r>
        <w:t xml:space="preserve">”</w:t>
      </w:r>
      <w:r>
        <w:t xml:space="preserve"> </w:t>
      </w:r>
      <w:r>
        <w:t xml:space="preserve">The Cap Table shows a cost basis of $1,014.00 (1,014,000 shares × $0.001 par value) for the founder shares. The par-value figure likely does not reflect additional capital contributions, but the $1.5M estimate should be confirmed.</w:t>
      </w:r>
      <w:r>
        <w:t xml:space="preserve"> </w:t>
      </w:r>
      <w:r>
        <w:rPr>
          <w:b/>
          <w:bCs/>
        </w:rPr>
        <w:t xml:space="preserve">Recommendation:</w:t>
      </w:r>
      <w:r>
        <w:t xml:space="preserve"> </w:t>
      </w:r>
      <w:r>
        <w:t xml:space="preserve">Confirm Dr. Chandra’s actual tax basis (and the basis of all shareholders) from the company’s tax records.</w:t>
      </w:r>
    </w:p>
    <w:bookmarkEnd w:id="47"/>
    <w:bookmarkStart w:id="48" w:name="l-4.-new-york-sales-tax-exposure-omitted"/>
    <w:p>
      <w:pPr>
        <w:pStyle w:val="Heading4"/>
      </w:pPr>
      <w:r>
        <w:t xml:space="preserve">L-4. New York Sales Tax Exposure Omitted</w:t>
      </w:r>
    </w:p>
    <w:p>
      <w:pPr>
        <w:pStyle w:val="FirstParagraph"/>
      </w:pPr>
      <w:r>
        <w:t xml:space="preserve">The DD Report (Section X.A) identifies $150,000–$300,000 of New York sales tax exposure (Prism has not collected NY sales tax on SaaS subscription revenue sourced to NY customers) and recommends a voluntary disclosure agreement. The Memo does not mention this exposure.</w:t>
      </w:r>
      <w:r>
        <w:t xml:space="preserve"> </w:t>
      </w:r>
      <w:r>
        <w:rPr>
          <w:b/>
          <w:bCs/>
        </w:rPr>
        <w:t xml:space="preserve">Recommendation:</w:t>
      </w:r>
      <w:r>
        <w:t xml:space="preserve"> </w:t>
      </w:r>
      <w:r>
        <w:t xml:space="preserve">Note the NY sales tax exposure and the recommended VDA.</w:t>
      </w:r>
    </w:p>
    <w:bookmarkEnd w:id="48"/>
    <w:bookmarkStart w:id="49" w:name="l-5.-form-8883-not-mentioned"/>
    <w:p>
      <w:pPr>
        <w:pStyle w:val="Heading4"/>
      </w:pPr>
      <w:r>
        <w:t xml:space="preserve">L-5. Form 8883 Not Mentioned</w:t>
      </w:r>
    </w:p>
    <w:p>
      <w:pPr>
        <w:pStyle w:val="FirstParagraph"/>
      </w:pPr>
      <w:r>
        <w:t xml:space="preserve">The Purchase Agreement (Section 7.3(b)) requires the parties to file IRS Form 8883 (Asset Allocation Statement) consistent with the final allocation. The Memo (Section IX.B) mentions Form 8023 (the 338(h)(10) election form) but does not mention Form 8883, which is also required to report the purchase price allocation.</w:t>
      </w:r>
      <w:r>
        <w:t xml:space="preserve"> </w:t>
      </w:r>
      <w:r>
        <w:rPr>
          <w:b/>
          <w:bCs/>
        </w:rPr>
        <w:t xml:space="preserve">Recommendation:</w:t>
      </w:r>
      <w:r>
        <w:t xml:space="preserve"> </w:t>
      </w:r>
      <w:r>
        <w:t xml:space="preserve">Add Form 8883 to the post-closing filings list.</w:t>
      </w:r>
    </w:p>
    <w:bookmarkEnd w:id="49"/>
    <w:bookmarkStart w:id="50" w:name="X14108af194624c0920f4c185820cc2f33f62f37"/>
    <w:p>
      <w:pPr>
        <w:pStyle w:val="Heading4"/>
      </w:pPr>
      <w:r>
        <w:t xml:space="preserve">L-6. Post-Closing Entity Conversion — Recommendation Without Analysis</w:t>
      </w:r>
    </w:p>
    <w:p>
      <w:pPr>
        <w:pStyle w:val="FirstParagraph"/>
      </w:pPr>
      <w:r>
        <w:t xml:space="preserve">The Memo (Section VII.B) recommends that Buyer</w:t>
      </w:r>
      <w:r>
        <w:t xml:space="preserve"> </w:t>
      </w:r>
      <w:r>
        <w:t xml:space="preserve">“</w:t>
      </w:r>
      <w:r>
        <w:t xml:space="preserve">consider converting Prism from a C corporation to a disregarded entity or partnership</w:t>
      </w:r>
      <w:r>
        <w:t xml:space="preserve">”</w:t>
      </w:r>
      <w:r>
        <w:t xml:space="preserve"> </w:t>
      </w:r>
      <w:r>
        <w:t xml:space="preserve">via a check-the-box election post-closing, but does not analyze the tax consequences of the conversion (e.g., deemed liquidation under Section 331/336, deemed contribution under Section 721), the timing, or the effect on stepped-up basis utilization.</w:t>
      </w:r>
      <w:r>
        <w:t xml:space="preserve"> </w:t>
      </w:r>
      <w:r>
        <w:rPr>
          <w:b/>
          <w:bCs/>
        </w:rPr>
        <w:t xml:space="preserve">Recommendation:</w:t>
      </w:r>
      <w:r>
        <w:t xml:space="preserve"> </w:t>
      </w:r>
      <w:r>
        <w:t xml:space="preserve">Provide the tax analysis supporting the conversion recommendation.</w:t>
      </w:r>
    </w:p>
    <w:bookmarkEnd w:id="50"/>
    <w:bookmarkStart w:id="51" w:name="X4ac28ec1720432801e8396ab72073f2d32d0542"/>
    <w:p>
      <w:pPr>
        <w:pStyle w:val="Heading4"/>
      </w:pPr>
      <w:r>
        <w:t xml:space="preserve">L-7. Non-Compete Tax Treatment Not Specifically Addressed</w:t>
      </w:r>
    </w:p>
    <w:p>
      <w:pPr>
        <w:pStyle w:val="FirstParagraph"/>
      </w:pPr>
      <w:r>
        <w:t xml:space="preserve">The Memo allocates $15M to non-compete agreements (Class VI) but does not specifically address the tax treatment of the non-compete payments to Dr. Chandra ($10.5M) and Ms. Stowe ($4.5M) (per the Asset Valuation, Asset A-013). In a 338(h)(10) deemed asset sale, the character of the gain attributable to non-compete intangibles and the interaction with the separate employment/consulting agreements should be addressed.</w:t>
      </w:r>
      <w:r>
        <w:t xml:space="preserve"> </w:t>
      </w:r>
      <w:r>
        <w:rPr>
          <w:b/>
          <w:bCs/>
        </w:rPr>
        <w:t xml:space="preserve">Recommendation:</w:t>
      </w:r>
      <w:r>
        <w:t xml:space="preserve"> </w:t>
      </w:r>
      <w:r>
        <w:t xml:space="preserve">Analyze the non-compete tax treatment.</w:t>
      </w:r>
    </w:p>
    <w:bookmarkEnd w:id="51"/>
    <w:bookmarkStart w:id="52" w:name="X410f851c52ca8f4945cedfeb5843b4d01e9ab9f"/>
    <w:p>
      <w:pPr>
        <w:pStyle w:val="Heading4"/>
      </w:pPr>
      <w:r>
        <w:t xml:space="preserve">L-8. Per-Shareholder Consideration Table Shows Gross Cash (Before Escrow)</w:t>
      </w:r>
    </w:p>
    <w:p>
      <w:pPr>
        <w:pStyle w:val="FirstParagraph"/>
      </w:pPr>
      <w:r>
        <w:t xml:space="preserve">The Memo’s per-shareholder consideration table (Section II.C) shows Dr. Chandra’s cash as $155,400,000, Ms. Stowe’s as $103,600,000, and the other shareholders’ as $74,000,000 — all gross amounts before the pro rata escrow deduction. The Purchase Agreement (Section 2.6(d)) and the Cap Table show these amounts net of the escrow holdback (e.g., Dr. Chandra’s net cash at closing is $145,135,135 after a $10,264,865 escrow deduction). The Memo does mention the escrow separately, but the per-shareholder table could be misread as the cash actually received at closing.</w:t>
      </w:r>
      <w:r>
        <w:t xml:space="preserve"> </w:t>
      </w:r>
      <w:r>
        <w:rPr>
          <w:b/>
          <w:bCs/>
        </w:rPr>
        <w:t xml:space="preserve">Recommendation:</w:t>
      </w:r>
      <w:r>
        <w:t xml:space="preserve"> </w:t>
      </w:r>
      <w:r>
        <w:t xml:space="preserve">Show net cash at closing (after escrow) in the per-shareholder table, or clearly label the amounts as gross.</w:t>
      </w:r>
    </w:p>
    <w:bookmarkEnd w:id="52"/>
    <w:bookmarkStart w:id="53" w:name="X49d4ac9e38731dbdcd47867727906098d83b2dd"/>
    <w:p>
      <w:pPr>
        <w:pStyle w:val="Heading4"/>
      </w:pPr>
      <w:r>
        <w:t xml:space="preserve">L-9. Management Fee CPI Adjustment Discrepancy</w:t>
      </w:r>
    </w:p>
    <w:p>
      <w:pPr>
        <w:pStyle w:val="FirstParagraph"/>
      </w:pPr>
      <w:r>
        <w:t xml:space="preserve">The Beacon OA (Section 9.01) requires the management fee to be adjusted annually by CPI-U (capped at 3% per year). The DD Report (Section VII.A) states the fee</w:t>
      </w:r>
      <w:r>
        <w:t xml:space="preserve"> </w:t>
      </w:r>
      <w:r>
        <w:t xml:space="preserve">“</w:t>
      </w:r>
      <w:r>
        <w:t xml:space="preserve">has been charged at a flat rate of $850,000 since 2019 and has not been adjusted.</w:t>
      </w:r>
      <w:r>
        <w:t xml:space="preserve">”</w:t>
      </w:r>
      <w:r>
        <w:t xml:space="preserve"> </w:t>
      </w:r>
      <w:r>
        <w:t xml:space="preserve">The Memo does not address this discrepancy between the contract terms and actual practice, which is relevant to the transfer-pricing analysis (H-6).</w:t>
      </w:r>
      <w:r>
        <w:t xml:space="preserve"> </w:t>
      </w:r>
      <w:r>
        <w:rPr>
          <w:b/>
          <w:bCs/>
        </w:rPr>
        <w:t xml:space="preserve">Recommendation:</w:t>
      </w:r>
      <w:r>
        <w:t xml:space="preserve"> </w:t>
      </w:r>
      <w:r>
        <w:t xml:space="preserve">Address the CPI-adjustment non-compliance.</w:t>
      </w:r>
    </w:p>
    <w:p>
      <w:r>
        <w:pict>
          <v:rect style="width:0;height:1.5pt" o:hralign="center" o:hrstd="t" o:hr="t"/>
        </w:pict>
      </w:r>
    </w:p>
    <w:bookmarkEnd w:id="53"/>
    <w:bookmarkEnd w:id="54"/>
    <w:bookmarkEnd w:id="55"/>
    <w:bookmarkStart w:id="56" w:name="iv.-summary-table-of-findings"/>
    <w:p>
      <w:pPr>
        <w:pStyle w:val="Heading2"/>
      </w:pPr>
      <w:r>
        <w:t xml:space="preserve">IV. Summary Table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Key Documents in Conflict</w:t>
            </w:r>
          </w:p>
        </w:tc>
        <w:tc>
          <w:tcPr/>
          <w:p>
            <w:pPr>
              <w:pStyle w:val="Compact"/>
              <w:jc w:val="left"/>
            </w:pPr>
            <w:r>
              <w:t xml:space="preserve">Dollar Impact</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ADSP double-counts funded debt</w:t>
            </w:r>
          </w:p>
        </w:tc>
        <w:tc>
          <w:tcPr/>
          <w:p>
            <w:pPr>
              <w:pStyle w:val="Compact"/>
              <w:jc w:val="left"/>
            </w:pPr>
            <w:r>
              <w:t xml:space="preserve">Memo §IV.B vs. Asset Valuation</w:t>
            </w:r>
          </w:p>
        </w:tc>
        <w:tc>
          <w:tcPr/>
          <w:p>
            <w:pPr>
              <w:pStyle w:val="Compact"/>
              <w:jc w:val="left"/>
            </w:pPr>
            <w:r>
              <w:t xml:space="preserve">$48M ADSP overstatement; $76.5M goodwill inflation</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S corp eligibility misstated</w:t>
            </w:r>
          </w:p>
        </w:tc>
        <w:tc>
          <w:tcPr/>
          <w:p>
            <w:pPr>
              <w:pStyle w:val="Compact"/>
              <w:jc w:val="left"/>
            </w:pPr>
            <w:r>
              <w:t xml:space="preserve">Memo §III.A vs. DD Report §III.B; Cap Table</w:t>
            </w:r>
          </w:p>
        </w:tc>
        <w:tc>
          <w:tcPr/>
          <w:p>
            <w:pPr>
              <w:pStyle w:val="Compact"/>
              <w:jc w:val="left"/>
            </w:pPr>
            <w:r>
              <w:t xml:space="preserve">Potential invalidation of 338(h)(10); entity-level tax for open years</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QSBS / Section 1202 analysis omitted</w:t>
            </w:r>
          </w:p>
        </w:tc>
        <w:tc>
          <w:tcPr/>
          <w:p>
            <w:pPr>
              <w:pStyle w:val="Compact"/>
              <w:jc w:val="left"/>
            </w:pPr>
            <w:r>
              <w:t xml:space="preserve">Memo (silent) vs. QSBS Email Thread; DD Report §VIII.B; Cap Table</w:t>
            </w:r>
          </w:p>
        </w:tc>
        <w:tc>
          <w:tcPr/>
          <w:p>
            <w:pPr>
              <w:pStyle w:val="Compact"/>
              <w:jc w:val="left"/>
            </w:pPr>
            <w:r>
              <w:t xml:space="preserve">Potential loss of 100% federal gain exclusion (seven-figure impact)</w:t>
            </w:r>
          </w:p>
        </w:tc>
      </w:tr>
      <w:tr>
        <w:tc>
          <w:tcPr/>
          <w:p>
            <w:pPr>
              <w:pStyle w:val="Compact"/>
              <w:jc w:val="left"/>
            </w:pPr>
            <w:r>
              <w:t xml:space="preserve">H-1</w:t>
            </w:r>
          </w:p>
        </w:tc>
        <w:tc>
          <w:tcPr/>
          <w:p>
            <w:pPr>
              <w:pStyle w:val="Compact"/>
              <w:jc w:val="left"/>
            </w:pPr>
            <w:r>
              <w:t xml:space="preserve">High</w:t>
            </w:r>
          </w:p>
        </w:tc>
        <w:tc>
          <w:tcPr/>
          <w:p>
            <w:pPr>
              <w:pStyle w:val="Compact"/>
              <w:jc w:val="left"/>
            </w:pPr>
            <w:r>
              <w:t xml:space="preserve">Class V allocation understated</w:t>
            </w:r>
          </w:p>
        </w:tc>
        <w:tc>
          <w:tcPr/>
          <w:p>
            <w:pPr>
              <w:pStyle w:val="Compact"/>
              <w:jc w:val="left"/>
            </w:pPr>
            <w:r>
              <w:t xml:space="preserve">Memo §IV.C vs. Asset Valuation</w:t>
            </w:r>
          </w:p>
        </w:tc>
        <w:tc>
          <w:tcPr/>
          <w:p>
            <w:pPr>
              <w:pStyle w:val="Compact"/>
              <w:jc w:val="left"/>
            </w:pPr>
            <w:r>
              <w:t xml:space="preserve">$28.5M Class V understatement; $22.8M developed-tech variance</w:t>
            </w:r>
          </w:p>
        </w:tc>
      </w:tr>
      <w:tr>
        <w:tc>
          <w:tcPr/>
          <w:p>
            <w:pPr>
              <w:pStyle w:val="Compact"/>
              <w:jc w:val="left"/>
            </w:pPr>
            <w:r>
              <w:t xml:space="preserve">H-2</w:t>
            </w:r>
          </w:p>
        </w:tc>
        <w:tc>
          <w:tcPr/>
          <w:p>
            <w:pPr>
              <w:pStyle w:val="Compact"/>
              <w:jc w:val="left"/>
            </w:pPr>
            <w:r>
              <w:t xml:space="preserve">High</w:t>
            </w:r>
          </w:p>
        </w:tc>
        <w:tc>
          <w:tcPr/>
          <w:p>
            <w:pPr>
              <w:pStyle w:val="Compact"/>
              <w:jc w:val="left"/>
            </w:pPr>
            <w:r>
              <w:t xml:space="preserve">Aggregate adjusted tax basis inconsistent</w:t>
            </w:r>
          </w:p>
        </w:tc>
        <w:tc>
          <w:tcPr/>
          <w:p>
            <w:pPr>
              <w:pStyle w:val="Compact"/>
              <w:jc w:val="left"/>
            </w:pPr>
            <w:r>
              <w:t xml:space="preserve">Memo §III.B/V.A vs. Asset Valuation</w:t>
            </w:r>
          </w:p>
        </w:tc>
        <w:tc>
          <w:tcPr/>
          <w:p>
            <w:pPr>
              <w:pStyle w:val="Compact"/>
              <w:jc w:val="left"/>
            </w:pPr>
            <w:r>
              <w:t xml:space="preserve">$21.5M basis discrepancy; $69.5M deemed-sale-gain impact</w:t>
            </w:r>
          </w:p>
        </w:tc>
      </w:tr>
      <w:tr>
        <w:tc>
          <w:tcPr/>
          <w:p>
            <w:pPr>
              <w:pStyle w:val="Compact"/>
              <w:jc w:val="left"/>
            </w:pPr>
            <w:r>
              <w:t xml:space="preserve">H-3</w:t>
            </w:r>
          </w:p>
        </w:tc>
        <w:tc>
          <w:tcPr/>
          <w:p>
            <w:pPr>
              <w:pStyle w:val="Compact"/>
              <w:jc w:val="left"/>
            </w:pPr>
            <w:r>
              <w:t xml:space="preserve">High</w:t>
            </w:r>
          </w:p>
        </w:tc>
        <w:tc>
          <w:tcPr/>
          <w:p>
            <w:pPr>
              <w:pStyle w:val="Compact"/>
              <w:jc w:val="left"/>
            </w:pPr>
            <w:r>
              <w:t xml:space="preserve">NC data processing license non-transferable</w:t>
            </w:r>
          </w:p>
        </w:tc>
        <w:tc>
          <w:tcPr/>
          <w:p>
            <w:pPr>
              <w:pStyle w:val="Compact"/>
              <w:jc w:val="left"/>
            </w:pPr>
            <w:r>
              <w:t xml:space="preserve">Memo §III.C/VI.A vs. PA §4.9(i); Asset Valuation A-008</w:t>
            </w:r>
          </w:p>
        </w:tc>
        <w:tc>
          <w:tcPr/>
          <w:p>
            <w:pPr>
              <w:pStyle w:val="Compact"/>
              <w:jc w:val="left"/>
            </w:pPr>
            <w:r>
              <w:t xml:space="preserve">~$19M annual government revenue at risk</w:t>
            </w:r>
          </w:p>
        </w:tc>
      </w:tr>
      <w:tr>
        <w:tc>
          <w:tcPr/>
          <w:p>
            <w:pPr>
              <w:pStyle w:val="Compact"/>
              <w:jc w:val="left"/>
            </w:pPr>
            <w:r>
              <w:t xml:space="preserve">H-4</w:t>
            </w:r>
          </w:p>
        </w:tc>
        <w:tc>
          <w:tcPr/>
          <w:p>
            <w:pPr>
              <w:pStyle w:val="Compact"/>
              <w:jc w:val="left"/>
            </w:pPr>
            <w:r>
              <w:t xml:space="preserve">High</w:t>
            </w:r>
          </w:p>
        </w:tc>
        <w:tc>
          <w:tcPr/>
          <w:p>
            <w:pPr>
              <w:pStyle w:val="Compact"/>
              <w:jc w:val="left"/>
            </w:pPr>
            <w:r>
              <w:t xml:space="preserve">Escrow tax treatment contradicts PA</w:t>
            </w:r>
          </w:p>
        </w:tc>
        <w:tc>
          <w:tcPr/>
          <w:p>
            <w:pPr>
              <w:pStyle w:val="Compact"/>
              <w:jc w:val="left"/>
            </w:pPr>
            <w:r>
              <w:t xml:space="preserve">Memo §V.C vs. PA §7.4</w:t>
            </w:r>
          </w:p>
        </w:tc>
        <w:tc>
          <w:tcPr/>
          <w:p>
            <w:pPr>
              <w:pStyle w:val="Compact"/>
              <w:jc w:val="left"/>
            </w:pPr>
            <w:r>
              <w:t xml:space="preserve">Deferral vs. year-of-closing recognition conflict</w:t>
            </w:r>
          </w:p>
        </w:tc>
      </w:tr>
      <w:tr>
        <w:tc>
          <w:tcPr/>
          <w:p>
            <w:pPr>
              <w:pStyle w:val="Compact"/>
              <w:jc w:val="left"/>
            </w:pPr>
            <w:r>
              <w:t xml:space="preserve">H-5</w:t>
            </w:r>
          </w:p>
        </w:tc>
        <w:tc>
          <w:tcPr/>
          <w:p>
            <w:pPr>
              <w:pStyle w:val="Compact"/>
              <w:jc w:val="left"/>
            </w:pPr>
            <w:r>
              <w:t xml:space="preserve">High</w:t>
            </w:r>
          </w:p>
        </w:tc>
        <w:tc>
          <w:tcPr/>
          <w:p>
            <w:pPr>
              <w:pStyle w:val="Compact"/>
              <w:jc w:val="left"/>
            </w:pPr>
            <w:r>
              <w:t xml:space="preserve">Beacon IP license auto-termination</w:t>
            </w:r>
          </w:p>
        </w:tc>
        <w:tc>
          <w:tcPr/>
          <w:p>
            <w:pPr>
              <w:pStyle w:val="Compact"/>
              <w:jc w:val="left"/>
            </w:pPr>
            <w:r>
              <w:t xml:space="preserve">Memo §VIII vs. Beacon OA §9.02</w:t>
            </w:r>
          </w:p>
        </w:tc>
        <w:tc>
          <w:tcPr/>
          <w:p>
            <w:pPr>
              <w:pStyle w:val="Compact"/>
              <w:jc w:val="left"/>
            </w:pPr>
            <w:r>
              <w:t xml:space="preserve">~$11M Beacon revenue at risk</w:t>
            </w:r>
          </w:p>
        </w:tc>
      </w:tr>
      <w:tr>
        <w:tc>
          <w:tcPr/>
          <w:p>
            <w:pPr>
              <w:pStyle w:val="Compact"/>
              <w:jc w:val="left"/>
            </w:pPr>
            <w:r>
              <w:t xml:space="preserve">H-6</w:t>
            </w:r>
          </w:p>
        </w:tc>
        <w:tc>
          <w:tcPr/>
          <w:p>
            <w:pPr>
              <w:pStyle w:val="Compact"/>
              <w:jc w:val="left"/>
            </w:pPr>
            <w:r>
              <w:t xml:space="preserve">High</w:t>
            </w:r>
          </w:p>
        </w:tc>
        <w:tc>
          <w:tcPr/>
          <w:p>
            <w:pPr>
              <w:pStyle w:val="Compact"/>
              <w:jc w:val="left"/>
            </w:pPr>
            <w:r>
              <w:t xml:space="preserve">Section 482 transfer-pricing exposure omitted</w:t>
            </w:r>
          </w:p>
        </w:tc>
        <w:tc>
          <w:tcPr/>
          <w:p>
            <w:pPr>
              <w:pStyle w:val="Compact"/>
              <w:jc w:val="left"/>
            </w:pPr>
            <w:r>
              <w:t xml:space="preserve">Memo §III.C/VIII vs. DD Report §VII; PA §4.9(h)</w:t>
            </w:r>
          </w:p>
        </w:tc>
        <w:tc>
          <w:tcPr/>
          <w:p>
            <w:pPr>
              <w:pStyle w:val="Compact"/>
              <w:jc w:val="left"/>
            </w:pPr>
            <w:r>
              <w:t xml:space="preserve">~$6.3M cumulative exposure</w:t>
            </w:r>
          </w:p>
        </w:tc>
      </w:tr>
      <w:tr>
        <w:tc>
          <w:tcPr/>
          <w:p>
            <w:pPr>
              <w:pStyle w:val="Compact"/>
              <w:jc w:val="left"/>
            </w:pPr>
            <w:r>
              <w:t xml:space="preserve">M-1</w:t>
            </w:r>
          </w:p>
        </w:tc>
        <w:tc>
          <w:tcPr/>
          <w:p>
            <w:pPr>
              <w:pStyle w:val="Compact"/>
              <w:jc w:val="left"/>
            </w:pPr>
            <w:r>
              <w:t xml:space="preserve">Moderate</w:t>
            </w:r>
          </w:p>
        </w:tc>
        <w:tc>
          <w:tcPr/>
          <w:p>
            <w:pPr>
              <w:pStyle w:val="Compact"/>
              <w:jc w:val="left"/>
            </w:pPr>
            <w:r>
              <w:t xml:space="preserve">Beacon §754/§743(b)/§751 not analyzed</w:t>
            </w:r>
          </w:p>
        </w:tc>
        <w:tc>
          <w:tcPr/>
          <w:p>
            <w:pPr>
              <w:pStyle w:val="Compact"/>
              <w:jc w:val="left"/>
            </w:pPr>
            <w:r>
              <w:t xml:space="preserve">Memo §VIII vs. Asset Valuation Note 2; DD Report §VI.B</w:t>
            </w:r>
          </w:p>
        </w:tc>
        <w:tc>
          <w:tcPr/>
          <w:p>
            <w:pPr>
              <w:pStyle w:val="Compact"/>
              <w:jc w:val="left"/>
            </w:pPr>
            <w:r>
              <w:t xml:space="preserve">Affects step-up utilization &amp; gain character</w:t>
            </w:r>
          </w:p>
        </w:tc>
      </w:tr>
      <w:tr>
        <w:tc>
          <w:tcPr/>
          <w:p>
            <w:pPr>
              <w:pStyle w:val="Compact"/>
              <w:jc w:val="left"/>
            </w:pPr>
            <w:r>
              <w:t xml:space="preserve">M-2</w:t>
            </w:r>
          </w:p>
        </w:tc>
        <w:tc>
          <w:tcPr/>
          <w:p>
            <w:pPr>
              <w:pStyle w:val="Compact"/>
              <w:jc w:val="left"/>
            </w:pPr>
            <w:r>
              <w:t xml:space="preserve">Moderate</w:t>
            </w:r>
          </w:p>
        </w:tc>
        <w:tc>
          <w:tcPr/>
          <w:p>
            <w:pPr>
              <w:pStyle w:val="Compact"/>
              <w:jc w:val="left"/>
            </w:pPr>
            <w:r>
              <w:t xml:space="preserve">Beacon ROFR not analyzed</w:t>
            </w:r>
          </w:p>
        </w:tc>
        <w:tc>
          <w:tcPr/>
          <w:p>
            <w:pPr>
              <w:pStyle w:val="Compact"/>
              <w:jc w:val="left"/>
            </w:pPr>
            <w:r>
              <w:t xml:space="preserve">Memo §VIII vs. Beacon OA §8.03; PA §8.2(g)</w:t>
            </w:r>
          </w:p>
        </w:tc>
        <w:tc>
          <w:tcPr/>
          <w:p>
            <w:pPr>
              <w:pStyle w:val="Compact"/>
              <w:jc w:val="left"/>
            </w:pPr>
            <w:r>
              <w:t xml:space="preserve">Could block transfer of Beacon interest</w:t>
            </w:r>
          </w:p>
        </w:tc>
      </w:tr>
      <w:tr>
        <w:tc>
          <w:tcPr/>
          <w:p>
            <w:pPr>
              <w:pStyle w:val="Compact"/>
              <w:jc w:val="left"/>
            </w:pPr>
            <w:r>
              <w:t xml:space="preserve">M-3</w:t>
            </w:r>
          </w:p>
        </w:tc>
        <w:tc>
          <w:tcPr/>
          <w:p>
            <w:pPr>
              <w:pStyle w:val="Compact"/>
              <w:jc w:val="left"/>
            </w:pPr>
            <w:r>
              <w:t xml:space="preserve">Moderate</w:t>
            </w:r>
          </w:p>
        </w:tc>
        <w:tc>
          <w:tcPr/>
          <w:p>
            <w:pPr>
              <w:pStyle w:val="Compact"/>
              <w:jc w:val="left"/>
            </w:pPr>
            <w:r>
              <w:t xml:space="preserve">Suspended R&amp;D credits risk understated</w:t>
            </w:r>
          </w:p>
        </w:tc>
        <w:tc>
          <w:tcPr/>
          <w:p>
            <w:pPr>
              <w:pStyle w:val="Compact"/>
              <w:jc w:val="left"/>
            </w:pPr>
            <w:r>
              <w:t xml:space="preserve">Memo §III.D vs. DD Report §IV.B/IX.A</w:t>
            </w:r>
          </w:p>
        </w:tc>
        <w:tc>
          <w:tcPr/>
          <w:p>
            <w:pPr>
              <w:pStyle w:val="Compact"/>
              <w:jc w:val="left"/>
            </w:pPr>
            <w:r>
              <w:t xml:space="preserve">$3.8M at risk of permanent expiration</w:t>
            </w:r>
          </w:p>
        </w:tc>
      </w:tr>
      <w:tr>
        <w:tc>
          <w:tcPr/>
          <w:p>
            <w:pPr>
              <w:pStyle w:val="Compact"/>
              <w:jc w:val="left"/>
            </w:pPr>
            <w:r>
              <w:t xml:space="preserve">M-4</w:t>
            </w:r>
          </w:p>
        </w:tc>
        <w:tc>
          <w:tcPr/>
          <w:p>
            <w:pPr>
              <w:pStyle w:val="Compact"/>
              <w:jc w:val="left"/>
            </w:pPr>
            <w:r>
              <w:t xml:space="preserve">Moderate</w:t>
            </w:r>
          </w:p>
        </w:tc>
        <w:tc>
          <w:tcPr/>
          <w:p>
            <w:pPr>
              <w:pStyle w:val="Compact"/>
              <w:jc w:val="left"/>
            </w:pPr>
            <w:r>
              <w:t xml:space="preserve">AAA/AE&amp;P deemed-liquidation characterization omitted</w:t>
            </w:r>
          </w:p>
        </w:tc>
        <w:tc>
          <w:tcPr/>
          <w:p>
            <w:pPr>
              <w:pStyle w:val="Compact"/>
              <w:jc w:val="left"/>
            </w:pPr>
            <w:r>
              <w:t xml:space="preserve">Memo §V vs. DD Report §IX.C</w:t>
            </w:r>
          </w:p>
        </w:tc>
        <w:tc>
          <w:tcPr/>
          <w:p>
            <w:pPr>
              <w:pStyle w:val="Compact"/>
              <w:jc w:val="left"/>
            </w:pPr>
            <w:r>
              <w:t xml:space="preserve">$64.2M AAA; $792K AE&amp;P</w:t>
            </w:r>
          </w:p>
        </w:tc>
      </w:tr>
      <w:tr>
        <w:tc>
          <w:tcPr/>
          <w:p>
            <w:pPr>
              <w:pStyle w:val="Compact"/>
              <w:jc w:val="left"/>
            </w:pPr>
            <w:r>
              <w:t xml:space="preserve">M-5</w:t>
            </w:r>
          </w:p>
        </w:tc>
        <w:tc>
          <w:tcPr/>
          <w:p>
            <w:pPr>
              <w:pStyle w:val="Compact"/>
              <w:jc w:val="left"/>
            </w:pPr>
            <w:r>
              <w:t xml:space="preserve">Moderate</w:t>
            </w:r>
          </w:p>
        </w:tc>
        <w:tc>
          <w:tcPr/>
          <w:p>
            <w:pPr>
              <w:pStyle w:val="Compact"/>
              <w:jc w:val="left"/>
            </w:pPr>
            <w:r>
              <w:t xml:space="preserve">Shareholder count/residency inconsistent</w:t>
            </w:r>
          </w:p>
        </w:tc>
        <w:tc>
          <w:tcPr/>
          <w:p>
            <w:pPr>
              <w:pStyle w:val="Compact"/>
              <w:jc w:val="left"/>
            </w:pPr>
            <w:r>
              <w:t xml:space="preserve">Memo §II.A vs. Cap Table</w:t>
            </w:r>
          </w:p>
        </w:tc>
        <w:tc>
          <w:tcPr/>
          <w:p>
            <w:pPr>
              <w:pStyle w:val="Compact"/>
              <w:jc w:val="left"/>
            </w:pPr>
            <w:r>
              <w:t xml:space="preserve">14 vs. 17 holders; 11 vs. 14 NC residents</w:t>
            </w:r>
          </w:p>
        </w:tc>
      </w:tr>
      <w:tr>
        <w:tc>
          <w:tcPr/>
          <w:p>
            <w:pPr>
              <w:pStyle w:val="Compact"/>
              <w:jc w:val="left"/>
            </w:pPr>
            <w:r>
              <w:t xml:space="preserve">M-6</w:t>
            </w:r>
          </w:p>
        </w:tc>
        <w:tc>
          <w:tcPr/>
          <w:p>
            <w:pPr>
              <w:pStyle w:val="Compact"/>
              <w:jc w:val="left"/>
            </w:pPr>
            <w:r>
              <w:t xml:space="preserve">Moderate</w:t>
            </w:r>
          </w:p>
        </w:tc>
        <w:tc>
          <w:tcPr/>
          <w:p>
            <w:pPr>
              <w:pStyle w:val="Compact"/>
              <w:jc w:val="left"/>
            </w:pPr>
            <w:r>
              <w:t xml:space="preserve">D&amp;A and tax-savings estimates overstated</w:t>
            </w:r>
          </w:p>
        </w:tc>
        <w:tc>
          <w:tcPr/>
          <w:p>
            <w:pPr>
              <w:pStyle w:val="Compact"/>
              <w:jc w:val="left"/>
            </w:pPr>
            <w:r>
              <w:t xml:space="preserve">Memo §VII.A vs. corrected allocation</w:t>
            </w:r>
          </w:p>
        </w:tc>
        <w:tc>
          <w:tcPr/>
          <w:p>
            <w:pPr>
              <w:pStyle w:val="Compact"/>
              <w:jc w:val="left"/>
            </w:pPr>
            <w:r>
              <w:t xml:space="preserve">~$5.1M/year amortization overstatement (goodwill)</w:t>
            </w:r>
          </w:p>
        </w:tc>
      </w:tr>
      <w:tr>
        <w:tc>
          <w:tcPr/>
          <w:p>
            <w:pPr>
              <w:pStyle w:val="Compact"/>
              <w:jc w:val="left"/>
            </w:pPr>
            <w:r>
              <w:t xml:space="preserve">M-7</w:t>
            </w:r>
          </w:p>
        </w:tc>
        <w:tc>
          <w:tcPr/>
          <w:p>
            <w:pPr>
              <w:pStyle w:val="Compact"/>
              <w:jc w:val="left"/>
            </w:pPr>
            <w:r>
              <w:t xml:space="preserve">Moderate</w:t>
            </w:r>
          </w:p>
        </w:tc>
        <w:tc>
          <w:tcPr/>
          <w:p>
            <w:pPr>
              <w:pStyle w:val="Compact"/>
              <w:jc w:val="left"/>
            </w:pPr>
            <w:r>
              <w:t xml:space="preserve">Rollover equity tax treatment not analyzed</w:t>
            </w:r>
          </w:p>
        </w:tc>
        <w:tc>
          <w:tcPr/>
          <w:p>
            <w:pPr>
              <w:pStyle w:val="Compact"/>
              <w:jc w:val="left"/>
            </w:pPr>
            <w:r>
              <w:t xml:space="preserve">Memo §V.B vs. Cap Table; PA §2.4(e)</w:t>
            </w:r>
          </w:p>
        </w:tc>
        <w:tc>
          <w:tcPr/>
          <w:p>
            <w:pPr>
              <w:pStyle w:val="Compact"/>
              <w:jc w:val="left"/>
            </w:pPr>
            <w:r>
              <w:t xml:space="preserve">$37M rollover (§721 vs. taxable)</w:t>
            </w:r>
          </w:p>
        </w:tc>
      </w:tr>
      <w:tr>
        <w:tc>
          <w:tcPr/>
          <w:p>
            <w:pPr>
              <w:pStyle w:val="Compact"/>
              <w:jc w:val="left"/>
            </w:pPr>
            <w:r>
              <w:t xml:space="preserve">M-8</w:t>
            </w:r>
          </w:p>
        </w:tc>
        <w:tc>
          <w:tcPr/>
          <w:p>
            <w:pPr>
              <w:pStyle w:val="Compact"/>
              <w:jc w:val="left"/>
            </w:pPr>
            <w:r>
              <w:t xml:space="preserve">Moderate</w:t>
            </w:r>
          </w:p>
        </w:tc>
        <w:tc>
          <w:tcPr/>
          <w:p>
            <w:pPr>
              <w:pStyle w:val="Compact"/>
              <w:jc w:val="left"/>
            </w:pPr>
            <w:r>
              <w:t xml:space="preserve">Fund III equity contribution miscalculated</w:t>
            </w:r>
          </w:p>
        </w:tc>
        <w:tc>
          <w:tcPr/>
          <w:p>
            <w:pPr>
              <w:pStyle w:val="Compact"/>
              <w:jc w:val="left"/>
            </w:pPr>
            <w:r>
              <w:t xml:space="preserve">Memo §II.C (internal)</w:t>
            </w:r>
          </w:p>
        </w:tc>
        <w:tc>
          <w:tcPr/>
          <w:p>
            <w:pPr>
              <w:pStyle w:val="Compact"/>
              <w:jc w:val="left"/>
            </w:pPr>
            <w:r>
              <w:t xml:space="preserve">$143M vs. $198M (understated by $55M)</w:t>
            </w:r>
          </w:p>
        </w:tc>
      </w:tr>
      <w:tr>
        <w:tc>
          <w:tcPr/>
          <w:p>
            <w:pPr>
              <w:pStyle w:val="Compact"/>
              <w:jc w:val="left"/>
            </w:pPr>
            <w:r>
              <w:t xml:space="preserve">M-9</w:t>
            </w:r>
          </w:p>
        </w:tc>
        <w:tc>
          <w:tcPr/>
          <w:p>
            <w:pPr>
              <w:pStyle w:val="Compact"/>
              <w:jc w:val="left"/>
            </w:pPr>
            <w:r>
              <w:t xml:space="preserve">Moderate</w:t>
            </w:r>
          </w:p>
        </w:tc>
        <w:tc>
          <w:tcPr/>
          <w:p>
            <w:pPr>
              <w:pStyle w:val="Compact"/>
              <w:jc w:val="left"/>
            </w:pPr>
            <w:r>
              <w:t xml:space="preserve">California apportionment of deemed gain not analyzed</w:t>
            </w:r>
          </w:p>
        </w:tc>
        <w:tc>
          <w:tcPr/>
          <w:p>
            <w:pPr>
              <w:pStyle w:val="Compact"/>
              <w:jc w:val="left"/>
            </w:pPr>
            <w:r>
              <w:t xml:space="preserve">Memo §VI.B</w:t>
            </w:r>
          </w:p>
        </w:tc>
        <w:tc>
          <w:tcPr/>
          <w:p>
            <w:pPr>
              <w:pStyle w:val="Compact"/>
              <w:jc w:val="left"/>
            </w:pPr>
            <w:r>
              <w:t xml:space="preserve">Affects CA entity-level tax on deemed gain</w:t>
            </w:r>
          </w:p>
        </w:tc>
      </w:tr>
      <w:tr>
        <w:tc>
          <w:tcPr/>
          <w:p>
            <w:pPr>
              <w:pStyle w:val="Compact"/>
              <w:jc w:val="left"/>
            </w:pPr>
            <w:r>
              <w:t xml:space="preserve">M-10</w:t>
            </w:r>
          </w:p>
        </w:tc>
        <w:tc>
          <w:tcPr/>
          <w:p>
            <w:pPr>
              <w:pStyle w:val="Compact"/>
              <w:jc w:val="left"/>
            </w:pPr>
            <w:r>
              <w:t xml:space="preserve">Moderate</w:t>
            </w:r>
          </w:p>
        </w:tc>
        <w:tc>
          <w:tcPr/>
          <w:p>
            <w:pPr>
              <w:pStyle w:val="Compact"/>
              <w:jc w:val="left"/>
            </w:pPr>
            <w:r>
              <w:t xml:space="preserve">DD Report vs. Cap Table inconsistencies</w:t>
            </w:r>
          </w:p>
        </w:tc>
        <w:tc>
          <w:tcPr/>
          <w:p>
            <w:pPr>
              <w:pStyle w:val="Compact"/>
              <w:jc w:val="left"/>
            </w:pPr>
            <w:r>
              <w:t xml:space="preserve">DD Report §III.B vs. Cap Table</w:t>
            </w:r>
          </w:p>
        </w:tc>
        <w:tc>
          <w:tcPr/>
          <w:p>
            <w:pPr>
              <w:pStyle w:val="Compact"/>
              <w:jc w:val="left"/>
            </w:pPr>
            <w:r>
              <w:t xml:space="preserve">Affects eligibility verification scope</w:t>
            </w:r>
          </w:p>
        </w:tc>
      </w:tr>
      <w:tr>
        <w:tc>
          <w:tcPr/>
          <w:p>
            <w:pPr>
              <w:pStyle w:val="Compact"/>
              <w:jc w:val="left"/>
            </w:pPr>
            <w:r>
              <w:t xml:space="preserve">L-1</w:t>
            </w:r>
          </w:p>
        </w:tc>
        <w:tc>
          <w:tcPr/>
          <w:p>
            <w:pPr>
              <w:pStyle w:val="Compact"/>
              <w:jc w:val="left"/>
            </w:pPr>
            <w:r>
              <w:t xml:space="preserve">Low</w:t>
            </w:r>
          </w:p>
        </w:tc>
        <w:tc>
          <w:tcPr/>
          <w:p>
            <w:pPr>
              <w:pStyle w:val="Compact"/>
              <w:jc w:val="left"/>
            </w:pPr>
            <w:r>
              <w:t xml:space="preserve">Date inconsistencies</w:t>
            </w:r>
          </w:p>
        </w:tc>
        <w:tc>
          <w:tcPr/>
          <w:p>
            <w:pPr>
              <w:pStyle w:val="Compact"/>
              <w:jc w:val="left"/>
            </w:pPr>
            <w:r>
              <w:t xml:space="preserve">Memo preamble vs. DD Report; Asset Valuation</w:t>
            </w:r>
          </w:p>
        </w:tc>
        <w:tc>
          <w:tcPr/>
          <w:p>
            <w:pPr>
              <w:pStyle w:val="Compact"/>
              <w:jc w:val="left"/>
            </w:pPr>
            <w:r>
              <w:t xml:space="preserve">Administrative</w:t>
            </w:r>
          </w:p>
        </w:tc>
      </w:tr>
      <w:tr>
        <w:tc>
          <w:tcPr/>
          <w:p>
            <w:pPr>
              <w:pStyle w:val="Compact"/>
              <w:jc w:val="left"/>
            </w:pPr>
            <w:r>
              <w:t xml:space="preserve">L-2</w:t>
            </w:r>
          </w:p>
        </w:tc>
        <w:tc>
          <w:tcPr/>
          <w:p>
            <w:pPr>
              <w:pStyle w:val="Compact"/>
              <w:jc w:val="left"/>
            </w:pPr>
            <w:r>
              <w:t xml:space="preserve">Low</w:t>
            </w:r>
          </w:p>
        </w:tc>
        <w:tc>
          <w:tcPr/>
          <w:p>
            <w:pPr>
              <w:pStyle w:val="Compact"/>
              <w:jc w:val="left"/>
            </w:pPr>
            <w:r>
              <w:t xml:space="preserve">EBITDA figure to verify</w:t>
            </w:r>
          </w:p>
        </w:tc>
        <w:tc>
          <w:tcPr/>
          <w:p>
            <w:pPr>
              <w:pStyle w:val="Compact"/>
              <w:jc w:val="left"/>
            </w:pPr>
            <w:r>
              <w:t xml:space="preserve">Memo §VII.B</w:t>
            </w:r>
          </w:p>
        </w:tc>
        <w:tc>
          <w:tcPr/>
          <w:p>
            <w:pPr>
              <w:pStyle w:val="Compact"/>
              <w:jc w:val="left"/>
            </w:pPr>
            <w:r>
              <w:t xml:space="preserve">Affects §163(j) analysis</w:t>
            </w:r>
          </w:p>
        </w:tc>
      </w:tr>
      <w:tr>
        <w:tc>
          <w:tcPr/>
          <w:p>
            <w:pPr>
              <w:pStyle w:val="Compact"/>
              <w:jc w:val="left"/>
            </w:pPr>
            <w:r>
              <w:t xml:space="preserve">L-3</w:t>
            </w:r>
          </w:p>
        </w:tc>
        <w:tc>
          <w:tcPr/>
          <w:p>
            <w:pPr>
              <w:pStyle w:val="Compact"/>
              <w:jc w:val="left"/>
            </w:pPr>
            <w:r>
              <w:t xml:space="preserve">Low</w:t>
            </w:r>
          </w:p>
        </w:tc>
        <w:tc>
          <w:tcPr/>
          <w:p>
            <w:pPr>
              <w:pStyle w:val="Compact"/>
              <w:jc w:val="left"/>
            </w:pPr>
            <w:r>
              <w:t xml:space="preserve">Dr. Chandra stock basis reconciliation</w:t>
            </w:r>
          </w:p>
        </w:tc>
        <w:tc>
          <w:tcPr/>
          <w:p>
            <w:pPr>
              <w:pStyle w:val="Compact"/>
              <w:jc w:val="left"/>
            </w:pPr>
            <w:r>
              <w:t xml:space="preserve">Memo §V.B vs. Cap Table</w:t>
            </w:r>
          </w:p>
        </w:tc>
        <w:tc>
          <w:tcPr/>
          <w:p>
            <w:pPr>
              <w:pStyle w:val="Compact"/>
              <w:jc w:val="left"/>
            </w:pPr>
            <w:r>
              <w:t xml:space="preserve">Affects per-shareholder gain</w:t>
            </w:r>
          </w:p>
        </w:tc>
      </w:tr>
      <w:tr>
        <w:tc>
          <w:tcPr/>
          <w:p>
            <w:pPr>
              <w:pStyle w:val="Compact"/>
              <w:jc w:val="left"/>
            </w:pPr>
            <w:r>
              <w:t xml:space="preserve">L-4</w:t>
            </w:r>
          </w:p>
        </w:tc>
        <w:tc>
          <w:tcPr/>
          <w:p>
            <w:pPr>
              <w:pStyle w:val="Compact"/>
              <w:jc w:val="left"/>
            </w:pPr>
            <w:r>
              <w:t xml:space="preserve">Low</w:t>
            </w:r>
          </w:p>
        </w:tc>
        <w:tc>
          <w:tcPr/>
          <w:p>
            <w:pPr>
              <w:pStyle w:val="Compact"/>
              <w:jc w:val="left"/>
            </w:pPr>
            <w:r>
              <w:t xml:space="preserve">NY sales tax exposure omitted</w:t>
            </w:r>
          </w:p>
        </w:tc>
        <w:tc>
          <w:tcPr/>
          <w:p>
            <w:pPr>
              <w:pStyle w:val="Compact"/>
              <w:jc w:val="left"/>
            </w:pPr>
            <w:r>
              <w:t xml:space="preserve">Memo (silent) vs. DD Report §X.A</w:t>
            </w:r>
          </w:p>
        </w:tc>
        <w:tc>
          <w:tcPr/>
          <w:p>
            <w:pPr>
              <w:pStyle w:val="Compact"/>
              <w:jc w:val="left"/>
            </w:pPr>
            <w:r>
              <w:t xml:space="preserve">$150K–$300K</w:t>
            </w:r>
          </w:p>
        </w:tc>
      </w:tr>
      <w:tr>
        <w:tc>
          <w:tcPr/>
          <w:p>
            <w:pPr>
              <w:pStyle w:val="Compact"/>
              <w:jc w:val="left"/>
            </w:pPr>
            <w:r>
              <w:t xml:space="preserve">L-5</w:t>
            </w:r>
          </w:p>
        </w:tc>
        <w:tc>
          <w:tcPr/>
          <w:p>
            <w:pPr>
              <w:pStyle w:val="Compact"/>
              <w:jc w:val="left"/>
            </w:pPr>
            <w:r>
              <w:t xml:space="preserve">Low</w:t>
            </w:r>
          </w:p>
        </w:tc>
        <w:tc>
          <w:tcPr/>
          <w:p>
            <w:pPr>
              <w:pStyle w:val="Compact"/>
              <w:jc w:val="left"/>
            </w:pPr>
            <w:r>
              <w:t xml:space="preserve">Form 8883 not mentioned</w:t>
            </w:r>
          </w:p>
        </w:tc>
        <w:tc>
          <w:tcPr/>
          <w:p>
            <w:pPr>
              <w:pStyle w:val="Compact"/>
              <w:jc w:val="left"/>
            </w:pPr>
            <w:r>
              <w:t xml:space="preserve">Memo §IX.B vs. PA §7.3(b)</w:t>
            </w:r>
          </w:p>
        </w:tc>
        <w:tc>
          <w:tcPr/>
          <w:p>
            <w:pPr>
              <w:pStyle w:val="Compact"/>
              <w:jc w:val="left"/>
            </w:pPr>
            <w:r>
              <w:t xml:space="preserve">Administrative</w:t>
            </w:r>
          </w:p>
        </w:tc>
      </w:tr>
      <w:tr>
        <w:tc>
          <w:tcPr/>
          <w:p>
            <w:pPr>
              <w:pStyle w:val="Compact"/>
              <w:jc w:val="left"/>
            </w:pPr>
            <w:r>
              <w:t xml:space="preserve">L-6</w:t>
            </w:r>
          </w:p>
        </w:tc>
        <w:tc>
          <w:tcPr/>
          <w:p>
            <w:pPr>
              <w:pStyle w:val="Compact"/>
              <w:jc w:val="left"/>
            </w:pPr>
            <w:r>
              <w:t xml:space="preserve">Low</w:t>
            </w:r>
          </w:p>
        </w:tc>
        <w:tc>
          <w:tcPr/>
          <w:p>
            <w:pPr>
              <w:pStyle w:val="Compact"/>
              <w:jc w:val="left"/>
            </w:pPr>
            <w:r>
              <w:t xml:space="preserve">Post-closing conversion — no analysis</w:t>
            </w:r>
          </w:p>
        </w:tc>
        <w:tc>
          <w:tcPr/>
          <w:p>
            <w:pPr>
              <w:pStyle w:val="Compact"/>
              <w:jc w:val="left"/>
            </w:pPr>
            <w:r>
              <w:t xml:space="preserve">Memo §VII.B</w:t>
            </w:r>
          </w:p>
        </w:tc>
        <w:tc>
          <w:tcPr/>
          <w:p>
            <w:pPr>
              <w:pStyle w:val="Compact"/>
              <w:jc w:val="left"/>
            </w:pPr>
            <w:r>
              <w:t xml:space="preserve">Affects post-closing structure</w:t>
            </w:r>
          </w:p>
        </w:tc>
      </w:tr>
      <w:tr>
        <w:tc>
          <w:tcPr/>
          <w:p>
            <w:pPr>
              <w:pStyle w:val="Compact"/>
              <w:jc w:val="left"/>
            </w:pPr>
            <w:r>
              <w:t xml:space="preserve">L-7</w:t>
            </w:r>
          </w:p>
        </w:tc>
        <w:tc>
          <w:tcPr/>
          <w:p>
            <w:pPr>
              <w:pStyle w:val="Compact"/>
              <w:jc w:val="left"/>
            </w:pPr>
            <w:r>
              <w:t xml:space="preserve">Low</w:t>
            </w:r>
          </w:p>
        </w:tc>
        <w:tc>
          <w:tcPr/>
          <w:p>
            <w:pPr>
              <w:pStyle w:val="Compact"/>
              <w:jc w:val="left"/>
            </w:pPr>
            <w:r>
              <w:t xml:space="preserve">Non-compete tax treatment not addressed</w:t>
            </w:r>
          </w:p>
        </w:tc>
        <w:tc>
          <w:tcPr/>
          <w:p>
            <w:pPr>
              <w:pStyle w:val="Compact"/>
              <w:jc w:val="left"/>
            </w:pPr>
            <w:r>
              <w:t xml:space="preserve">Memo §IV.C vs. Asset Valuation A-013</w:t>
            </w:r>
          </w:p>
        </w:tc>
        <w:tc>
          <w:tcPr/>
          <w:p>
            <w:pPr>
              <w:pStyle w:val="Compact"/>
              <w:jc w:val="left"/>
            </w:pPr>
            <w:r>
              <w:t xml:space="preserve">Affects gain character</w:t>
            </w:r>
          </w:p>
        </w:tc>
      </w:tr>
      <w:tr>
        <w:tc>
          <w:tcPr/>
          <w:p>
            <w:pPr>
              <w:pStyle w:val="Compact"/>
              <w:jc w:val="left"/>
            </w:pPr>
            <w:r>
              <w:t xml:space="preserve">L-8</w:t>
            </w:r>
          </w:p>
        </w:tc>
        <w:tc>
          <w:tcPr/>
          <w:p>
            <w:pPr>
              <w:pStyle w:val="Compact"/>
              <w:jc w:val="left"/>
            </w:pPr>
            <w:r>
              <w:t xml:space="preserve">Low</w:t>
            </w:r>
          </w:p>
        </w:tc>
        <w:tc>
          <w:tcPr/>
          <w:p>
            <w:pPr>
              <w:pStyle w:val="Compact"/>
              <w:jc w:val="left"/>
            </w:pPr>
            <w:r>
              <w:t xml:space="preserve">Per-shareholder table shows gross cash</w:t>
            </w:r>
          </w:p>
        </w:tc>
        <w:tc>
          <w:tcPr/>
          <w:p>
            <w:pPr>
              <w:pStyle w:val="Compact"/>
              <w:jc w:val="left"/>
            </w:pPr>
            <w:r>
              <w:t xml:space="preserve">Memo §II.C vs. PA §2.6(d); Cap Table</w:t>
            </w:r>
          </w:p>
        </w:tc>
        <w:tc>
          <w:tcPr/>
          <w:p>
            <w:pPr>
              <w:pStyle w:val="Compact"/>
              <w:jc w:val="left"/>
            </w:pPr>
            <w:r>
              <w:t xml:space="preserve">Presentation</w:t>
            </w:r>
          </w:p>
        </w:tc>
      </w:tr>
      <w:tr>
        <w:tc>
          <w:tcPr/>
          <w:p>
            <w:pPr>
              <w:pStyle w:val="Compact"/>
              <w:jc w:val="left"/>
            </w:pPr>
            <w:r>
              <w:t xml:space="preserve">L-9</w:t>
            </w:r>
          </w:p>
        </w:tc>
        <w:tc>
          <w:tcPr/>
          <w:p>
            <w:pPr>
              <w:pStyle w:val="Compact"/>
              <w:jc w:val="left"/>
            </w:pPr>
            <w:r>
              <w:t xml:space="preserve">Low</w:t>
            </w:r>
          </w:p>
        </w:tc>
        <w:tc>
          <w:tcPr/>
          <w:p>
            <w:pPr>
              <w:pStyle w:val="Compact"/>
              <w:jc w:val="left"/>
            </w:pPr>
            <w:r>
              <w:t xml:space="preserve">Management fee CPI adjustment discrepancy</w:t>
            </w:r>
          </w:p>
        </w:tc>
        <w:tc>
          <w:tcPr/>
          <w:p>
            <w:pPr>
              <w:pStyle w:val="Compact"/>
              <w:jc w:val="left"/>
            </w:pPr>
            <w:r>
              <w:t xml:space="preserve">Beacon OA §9.01 vs. DD Report §VII.A</w:t>
            </w:r>
          </w:p>
        </w:tc>
        <w:tc>
          <w:tcPr/>
          <w:p>
            <w:pPr>
              <w:pStyle w:val="Compact"/>
              <w:jc w:val="left"/>
            </w:pPr>
            <w:r>
              <w:t xml:space="preserve">Relates to H-6</w:t>
            </w:r>
          </w:p>
        </w:tc>
      </w:tr>
    </w:tbl>
    <w:p>
      <w:r>
        <w:pict>
          <v:rect style="width:0;height:1.5pt" o:hralign="center" o:hrstd="t" o:hr="t"/>
        </w:pict>
      </w:r>
    </w:p>
    <w:bookmarkEnd w:id="56"/>
    <w:bookmarkStart w:id="57" w:name="v.-recommended-actions-and-next-steps"/>
    <w:p>
      <w:pPr>
        <w:pStyle w:val="Heading2"/>
      </w:pPr>
      <w:r>
        <w:t xml:space="preserve">V. Recommended Actions and Next Steps</w:t>
      </w:r>
    </w:p>
    <w:p>
      <w:pPr>
        <w:pStyle w:val="FirstParagraph"/>
      </w:pPr>
      <w:r>
        <w:rPr>
          <w:b/>
          <w:bCs/>
        </w:rPr>
        <w:t xml:space="preserve">Immediate (before Investment Committee reliance and before any tax filing):</w:t>
      </w:r>
    </w:p>
    <w:p>
      <w:pPr>
        <w:pStyle w:val="Compact"/>
        <w:numPr>
          <w:ilvl w:val="0"/>
          <w:numId w:val="1006"/>
        </w:numPr>
      </w:pPr>
      <w:r>
        <w:rPr>
          <w:b/>
          <w:bCs/>
        </w:rPr>
        <w:t xml:space="preserve">Recompute the ADSP and purchase price allocation</w:t>
      </w:r>
      <w:r>
        <w:t xml:space="preserve"> </w:t>
      </w:r>
      <w:r>
        <w:t xml:space="preserve">(C-1, H-1, H-2) from the amount realized on the stock ($370M) plus target liabilities, using the Asset Valuation’s asset-level FMV and basis figures. Revise the deemed sale gain, per-shareholder gain allocations, and the Buyer’s D&amp;A/tax-savings estimates (M-6).</w:t>
      </w:r>
    </w:p>
    <w:p>
      <w:pPr>
        <w:pStyle w:val="Compact"/>
        <w:numPr>
          <w:ilvl w:val="0"/>
          <w:numId w:val="1006"/>
        </w:numPr>
      </w:pPr>
      <w:r>
        <w:rPr>
          <w:b/>
          <w:bCs/>
        </w:rPr>
        <w:t xml:space="preserve">Resolve the S corporation shareholder eligibility</w:t>
      </w:r>
      <w:r>
        <w:t xml:space="preserve"> </w:t>
      </w:r>
      <w:r>
        <w:t xml:space="preserve">question (C-2, M-10) definitively before closing. This is a threshold requirement for the 338(h)(10) election and a closing condition under the Purchase Agreement (Section 8.2(c)).</w:t>
      </w:r>
    </w:p>
    <w:p>
      <w:pPr>
        <w:pStyle w:val="Compact"/>
        <w:numPr>
          <w:ilvl w:val="0"/>
          <w:numId w:val="1006"/>
        </w:numPr>
      </w:pPr>
      <w:r>
        <w:rPr>
          <w:b/>
          <w:bCs/>
        </w:rPr>
        <w:t xml:space="preserve">Prepare and circulate the QSBS / Section 1202 analysis</w:t>
      </w:r>
      <w:r>
        <w:t xml:space="preserve"> </w:t>
      </w:r>
      <w:r>
        <w:t xml:space="preserve">(C-3) that was committed to, addressing the interaction with the 338(h)(10) deemed asset sale and the escrow.</w:t>
      </w:r>
    </w:p>
    <w:p>
      <w:pPr>
        <w:pStyle w:val="FirstParagraph"/>
      </w:pPr>
      <w:r>
        <w:rPr>
          <w:b/>
          <w:bCs/>
        </w:rPr>
        <w:t xml:space="preserve">Before closing:</w:t>
      </w:r>
    </w:p>
    <w:p>
      <w:pPr>
        <w:pStyle w:val="Compact"/>
        <w:numPr>
          <w:ilvl w:val="0"/>
          <w:numId w:val="1007"/>
        </w:numPr>
      </w:pPr>
      <w:r>
        <w:rPr>
          <w:b/>
          <w:bCs/>
        </w:rPr>
        <w:t xml:space="preserve">Reconcile the escrow tax treatment</w:t>
      </w:r>
      <w:r>
        <w:t xml:space="preserve"> </w:t>
      </w:r>
      <w:r>
        <w:t xml:space="preserve">(H-4) between the Memo and the Purchase Agreement.</w:t>
      </w:r>
    </w:p>
    <w:p>
      <w:pPr>
        <w:pStyle w:val="Compact"/>
        <w:numPr>
          <w:ilvl w:val="0"/>
          <w:numId w:val="1007"/>
        </w:numPr>
      </w:pPr>
      <w:r>
        <w:rPr>
          <w:b/>
          <w:bCs/>
        </w:rPr>
        <w:t xml:space="preserve">Obtain a legal opinion on the NC data processing license</w:t>
      </w:r>
      <w:r>
        <w:t xml:space="preserve"> </w:t>
      </w:r>
      <w:r>
        <w:t xml:space="preserve">(H-3) survival post-merger/deemed sale.</w:t>
      </w:r>
    </w:p>
    <w:p>
      <w:pPr>
        <w:pStyle w:val="Compact"/>
        <w:numPr>
          <w:ilvl w:val="0"/>
          <w:numId w:val="1007"/>
        </w:numPr>
      </w:pPr>
      <w:r>
        <w:rPr>
          <w:b/>
          <w:bCs/>
        </w:rPr>
        <w:t xml:space="preserve">Address the Beacon IP license termination risk</w:t>
      </w:r>
      <w:r>
        <w:t xml:space="preserve"> </w:t>
      </w:r>
      <w:r>
        <w:t xml:space="preserve">(H-5) and the Beacon ROFR (M-2); obtain the required Beacon consents (PA Section 8.2(g)).</w:t>
      </w:r>
    </w:p>
    <w:p>
      <w:pPr>
        <w:pStyle w:val="Compact"/>
        <w:numPr>
          <w:ilvl w:val="0"/>
          <w:numId w:val="1007"/>
        </w:numPr>
      </w:pPr>
      <w:r>
        <w:rPr>
          <w:b/>
          <w:bCs/>
        </w:rPr>
        <w:t xml:space="preserve">Disclose and address the Section 482 transfer-pricing exposure</w:t>
      </w:r>
      <w:r>
        <w:t xml:space="preserve"> </w:t>
      </w:r>
      <w:r>
        <w:t xml:space="preserve">(H-6); commission a transfer pricing study; reconcile the existence of formal intercompany agreements.</w:t>
      </w:r>
    </w:p>
    <w:p>
      <w:pPr>
        <w:pStyle w:val="Compact"/>
        <w:numPr>
          <w:ilvl w:val="0"/>
          <w:numId w:val="1007"/>
        </w:numPr>
      </w:pPr>
      <w:r>
        <w:rPr>
          <w:b/>
          <w:bCs/>
        </w:rPr>
        <w:t xml:space="preserve">Analyze the suspended R&amp;D credits</w:t>
      </w:r>
      <w:r>
        <w:t xml:space="preserve"> </w:t>
      </w:r>
      <w:r>
        <w:t xml:space="preserve">(M-3) for any preservation opportunity.</w:t>
      </w:r>
    </w:p>
    <w:p>
      <w:pPr>
        <w:pStyle w:val="FirstParagraph"/>
      </w:pPr>
      <w:r>
        <w:rPr>
          <w:b/>
          <w:bCs/>
        </w:rPr>
        <w:t xml:space="preserve">Post-closing / ongoing:</w:t>
      </w:r>
    </w:p>
    <w:p>
      <w:pPr>
        <w:pStyle w:val="Compact"/>
        <w:numPr>
          <w:ilvl w:val="0"/>
          <w:numId w:val="1008"/>
        </w:numPr>
      </w:pPr>
      <w:r>
        <w:rPr>
          <w:b/>
          <w:bCs/>
        </w:rPr>
        <w:t xml:space="preserve">Add the AAA/AE&amp;P deemed-liquidation characterization analysis</w:t>
      </w:r>
      <w:r>
        <w:t xml:space="preserve"> </w:t>
      </w:r>
      <w:r>
        <w:t xml:space="preserve">(M-4), the rollover equity tax treatment (M-7), the Beacon Section 754/743(b) analysis (M-1), and the California apportionment analysis (M-9).</w:t>
      </w:r>
    </w:p>
    <w:p>
      <w:pPr>
        <w:pStyle w:val="Compact"/>
        <w:numPr>
          <w:ilvl w:val="0"/>
          <w:numId w:val="1008"/>
        </w:numPr>
      </w:pPr>
      <w:r>
        <w:rPr>
          <w:b/>
          <w:bCs/>
        </w:rPr>
        <w:t xml:space="preserve">Address the Low-severity items</w:t>
      </w:r>
      <w:r>
        <w:t xml:space="preserve"> </w:t>
      </w:r>
      <w:r>
        <w:t xml:space="preserve">(L-1 through L-9), including the NY sales tax VDA (L-4), Form 8883 (L-5), and the shareholder count/residency reconciliation (M-5).</w:t>
      </w:r>
    </w:p>
    <w:p>
      <w:r>
        <w:pict>
          <v:rect style="width:0;height:1.5pt" o:hralign="center" o:hrstd="t" o:hr="t"/>
        </w:pict>
      </w:r>
    </w:p>
    <w:p>
      <w:pPr>
        <w:pStyle w:val="FirstParagraph"/>
      </w:pPr>
      <w:r>
        <w:rPr>
          <w:i/>
          <w:iCs/>
        </w:rPr>
        <w:t xml:space="preserve">This report identifies issues, inconsistencies, and omissions in the Tax Structure Memorandum based on a comparison with the supporting deal documents. It does not constitute a tax opinion or legal advice on the correct treatment of any identified issue, which remains the responsibility of tax counsel. All dollar amounts and section references are based on the documents reviewed as of the date of this report.</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Whitaker LLP — Tax Structure Memorandum — Prism Health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2026-06-28T10:42:27Z</dcterms:created>
  <dcterms:modified xsi:type="dcterms:W3CDTF">2026-06-28T10:42:27Z</dcterms:modified>
</cp:coreProperties>
</file>

<file path=docProps/custom.xml><?xml version="1.0" encoding="utf-8"?>
<Properties xmlns="http://schemas.openxmlformats.org/officeDocument/2006/custom-properties" xmlns:vt="http://schemas.openxmlformats.org/officeDocument/2006/docPropsVTypes"/>
</file>