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ax-issue-identification-report"/>
    <w:p>
      <w:pPr>
        <w:pStyle w:val="Heading1"/>
      </w:pPr>
      <w:r>
        <w:t xml:space="preserve">Tax Issue Identification Report</w:t>
      </w:r>
    </w:p>
    <w:bookmarkStart w:id="20" w:name="Xef6ff7f4724a6e088c095e596693f71334fb09b"/>
    <w:p>
      <w:pPr>
        <w:pStyle w:val="Heading2"/>
      </w:pPr>
      <w:r>
        <w:t xml:space="preserve">Review of Transaction Structure Memorandum — Acquisition of Prism Health Analytics, Inc.</w:t>
      </w:r>
    </w:p>
    <w:p>
      <w:pPr>
        <w:pStyle w:val="FirstParagraph"/>
      </w:pPr>
      <w:r>
        <w:rPr>
          <w:b/>
          <w:bCs/>
        </w:rPr>
        <w:t xml:space="preserve">Prepared by:</w:t>
      </w:r>
      <w:r>
        <w:t xml:space="preserve"> </w:t>
      </w:r>
      <w:r>
        <w:t xml:space="preserve">Transaction Tax Review</w:t>
      </w:r>
      <w:r>
        <w:t xml:space="preserve"> </w:t>
      </w:r>
      <w:r>
        <w:rPr>
          <w:b/>
          <w:bCs/>
        </w:rPr>
        <w:t xml:space="preserve">Date of Review:</w:t>
      </w:r>
      <w:r>
        <w:t xml:space="preserve"> </w:t>
      </w:r>
      <w:r>
        <w:t xml:space="preserve">February 2025</w:t>
      </w:r>
      <w:r>
        <w:t xml:space="preserve"> </w:t>
      </w:r>
      <w:r>
        <w:rPr>
          <w:b/>
          <w:bCs/>
        </w:rPr>
        <w:t xml:space="preserve">Subject Memorandum:</w:t>
      </w:r>
      <w:r>
        <w:t xml:space="preserve"> </w:t>
      </w:r>
      <w:r>
        <w:t xml:space="preserve">“</w:t>
      </w:r>
      <w:r>
        <w:t xml:space="preserve">Tax Structure Memorandum — Acquisition of Prism Health Analytics, Inc.,</w:t>
      </w:r>
      <w:r>
        <w:t xml:space="preserve">”</w:t>
      </w:r>
      <w:r>
        <w:t xml:space="preserve"> </w:t>
      </w:r>
      <w:r>
        <w:t xml:space="preserve">prepared by Calloway, Stern &amp; Whitaker LLP, dated February 10, 2025 (the</w:t>
      </w:r>
      <w:r>
        <w:t xml:space="preserve"> </w:t>
      </w:r>
      <w:r>
        <w:t xml:space="preserve">“</w:t>
      </w:r>
      <w:r>
        <w:t xml:space="preserve">Memo</w:t>
      </w:r>
      <w:r>
        <w:t xml:space="preserve">”</w:t>
      </w:r>
      <w:r>
        <w:t xml:space="preserve">)</w:t>
      </w:r>
      <w:r>
        <w:t xml:space="preserve"> </w:t>
      </w:r>
      <w:r>
        <w:rPr>
          <w:b/>
          <w:bCs/>
        </w:rPr>
        <w:t xml:space="preserve">Transaction:</w:t>
      </w:r>
      <w:r>
        <w:t xml:space="preserve"> </w:t>
      </w:r>
      <w:r>
        <w:t xml:space="preserve">Acquisition of Prism Health Analytics, Inc. (</w:t>
      </w:r>
      <w:r>
        <w:t xml:space="preserve">“</w:t>
      </w:r>
      <w:r>
        <w:t xml:space="preserve">Prism</w:t>
      </w:r>
      <w:r>
        <w:t xml:space="preserve">”</w:t>
      </w:r>
      <w:r>
        <w:t xml:space="preserve">) by Ridgeline Capital Partners Fund III, LP (</w:t>
      </w:r>
      <w:r>
        <w:t xml:space="preserve">“</w:t>
      </w:r>
      <w:r>
        <w:t xml:space="preserve">Fund III</w:t>
      </w:r>
      <w:r>
        <w:t xml:space="preserve">”</w:t>
      </w:r>
      <w:r>
        <w:t xml:space="preserve"> </w:t>
      </w:r>
      <w:r>
        <w:t xml:space="preserve">or</w:t>
      </w:r>
      <w:r>
        <w:t xml:space="preserve"> </w:t>
      </w:r>
      <w:r>
        <w:t xml:space="preserve">“</w:t>
      </w:r>
      <w:r>
        <w:t xml:space="preserve">Buyer</w:t>
      </w:r>
      <w:r>
        <w:t xml:space="preserve">”</w:t>
      </w:r>
      <w:r>
        <w:t xml:space="preserve">) via reverse triangular merger with joint Section 338(h)(10) election</w:t>
      </w:r>
    </w:p>
    <w:p>
      <w:r>
        <w:pict>
          <v:rect style="width:0;height:1.5pt" o:hralign="center" o:hrstd="t" o:hr="t"/>
        </w:pict>
      </w:r>
    </w:p>
    <w:bookmarkEnd w:id="20"/>
    <w:bookmarkStart w:id="24" w:name="i.-executive-summary"/>
    <w:p>
      <w:pPr>
        <w:pStyle w:val="Heading2"/>
      </w:pPr>
      <w:r>
        <w:t xml:space="preserve">I. Executive Summary</w:t>
      </w:r>
    </w:p>
    <w:p>
      <w:pPr>
        <w:pStyle w:val="FirstParagraph"/>
      </w:pPr>
      <w:r>
        <w:t xml:space="preserve">This report identifies issues, inconsistencies, and omissions in the Tax Structure Memorandum prepared by Calloway, Stern &amp; Whitaker LLP (</w:t>
      </w:r>
      <w:r>
        <w:t xml:space="preserve">“</w:t>
      </w:r>
      <w:r>
        <w:t xml:space="preserve">CSW</w:t>
      </w:r>
      <w:r>
        <w:t xml:space="preserve">”</w:t>
      </w:r>
      <w:r>
        <w:t xml:space="preserve">) by cross-referencing the Memo against six supporting deal documents: the Thornfield Accounting Group tax due diligence report, the Agreement and Plan of Merger (excerpts), the Beacon Insights, LLC operating agreement, the Thornfield asset valuation summary, the Prism capitalization table, and the Linden Rock Advisory QSBS email thread.</w:t>
      </w:r>
    </w:p>
    <w:p>
      <w:pPr>
        <w:pStyle w:val="BodyText"/>
      </w:pPr>
      <w:r>
        <w:rPr>
          <w:b/>
          <w:bCs/>
        </w:rPr>
        <w:t xml:space="preserve">In total, 27 distinct issues were identified</w:t>
      </w:r>
      <w:r>
        <w:t xml:space="preserve">, distributed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Errors or omissions that could invalidate the transaction structure, produce materially incorrect tax results, or constitute a failure to deliver promised analysis</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Material errors or omissions affecting tax consequences to the parties or deal mechanics</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Notable omissions or inconsistencies requiring attention before closing</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Minor inconsistencies, documentation gaps, or items requiring verification</w:t>
            </w:r>
          </w:p>
        </w:tc>
      </w:tr>
    </w:tbl>
    <w:bookmarkStart w:id="21" w:name="most-critical-findings"/>
    <w:p>
      <w:pPr>
        <w:pStyle w:val="Heading3"/>
      </w:pPr>
      <w:r>
        <w:t xml:space="preserve">Most Critical Findings</w:t>
      </w:r>
    </w:p>
    <w:p>
      <w:pPr>
        <w:pStyle w:val="FirstParagraph"/>
      </w:pPr>
      <w:r>
        <w:rPr>
          <w:b/>
          <w:bCs/>
        </w:rPr>
        <w:t xml:space="preserve">1. The Aggregate Deemed Sale Price (ADSP) is overstated by $48 million due to double-counting of funded debt.</w:t>
      </w:r>
      <w:r>
        <w:t xml:space="preserve"> </w:t>
      </w:r>
      <w:r>
        <w:t xml:space="preserve">The Memo computes ADSP as enterprise value ($425M) plus funded debt ($48M) = $473M. This is mathematically incorrect: enterprise value already embeds the debt component (EV = equity value + net debt). The correct ADSP, per Treas. Reg. §1.338-4 and as independently computed by Thornfield, is approximately $425M (amount realized on the stock of $370M + target liabilities of $48M funded debt + $7M seller transaction expenses). The $48M overstatement cascades through the entire analysis — inflating the deemed sale gain, the Class VII goodwill residual, Buyer’s amortization deductions, and every shareholder’s tax liability. The Thornfield asset valuation summary explicitly flags this as a</w:t>
      </w:r>
      <w:r>
        <w:t xml:space="preserve"> </w:t>
      </w:r>
      <w:r>
        <w:t xml:space="preserve">“</w:t>
      </w:r>
      <w:r>
        <w:t xml:space="preserve">SIGNIFICANT DISCREPANCY.</w:t>
      </w:r>
      <w:r>
        <w:t xml:space="preserve">”</w:t>
      </w:r>
    </w:p>
    <w:p>
      <w:pPr>
        <w:pStyle w:val="BodyText"/>
      </w:pPr>
      <w:r>
        <w:rPr>
          <w:b/>
          <w:bCs/>
        </w:rPr>
        <w:t xml:space="preserve">2. The Memo contradicts its own cited due diligence source on S corporation shareholder eligibility.</w:t>
      </w:r>
      <w:r>
        <w:t xml:space="preserve"> </w:t>
      </w:r>
      <w:r>
        <w:t xml:space="preserve">The Memo states that</w:t>
      </w:r>
      <w:r>
        <w:t xml:space="preserve"> </w:t>
      </w:r>
      <w:r>
        <w:t xml:space="preserve">“</w:t>
      </w:r>
      <w:r>
        <w:t xml:space="preserve">no events causing a termination of the S election have been identified</w:t>
      </w:r>
      <w:r>
        <w:t xml:space="preserve">”</w:t>
      </w:r>
      <w:r>
        <w:t xml:space="preserve"> </w:t>
      </w:r>
      <w:r>
        <w:t xml:space="preserve">and that</w:t>
      </w:r>
      <w:r>
        <w:t xml:space="preserve"> </w:t>
      </w:r>
      <w:r>
        <w:t xml:space="preserve">“</w:t>
      </w:r>
      <w:r>
        <w:t xml:space="preserve">we are not aware of any ineligible shareholders.</w:t>
      </w:r>
      <w:r>
        <w:t xml:space="preserve">”</w:t>
      </w:r>
      <w:r>
        <w:t xml:space="preserve"> </w:t>
      </w:r>
      <w:r>
        <w:t xml:space="preserve">The Thornfield tax due diligence report — which the Memo expressly relies upon — flags S corporation eligibility as a</w:t>
      </w:r>
      <w:r>
        <w:t xml:space="preserve"> </w:t>
      </w:r>
      <w:r>
        <w:rPr>
          <w:b/>
          <w:bCs/>
        </w:rPr>
        <w:t xml:space="preserve">Critical</w:t>
      </w:r>
      <w:r>
        <w:t xml:space="preserve"> </w:t>
      </w:r>
      <w:r>
        <w:t xml:space="preserve">open item for 2 of 8 restricted stock holders (an H-1B visa holder with unverified substantial-presence-test compliance, and a possible transfer of shares to an ineligible family LLC). The capitalization table independently identifies</w:t>
      </w:r>
      <w:r>
        <w:t xml:space="preserve"> </w:t>
      </w:r>
      <w:r>
        <w:rPr>
          <w:b/>
          <w:bCs/>
        </w:rPr>
        <w:t xml:space="preserve">three</w:t>
      </w:r>
      <w:r>
        <w:t xml:space="preserve"> </w:t>
      </w:r>
      <w:r>
        <w:t xml:space="preserve">restricted stock holders with unverified eligibility. If the S election was inadvertently terminated in any prior year, the Section 338(h)(10) election is unavailable, and Prism would be treated as a C corporation with cascading entity-level tax for all open years. The validity of the S election is a threshold requirement for the entire transaction structure.</w:t>
      </w:r>
    </w:p>
    <w:p>
      <w:pPr>
        <w:pStyle w:val="BodyText"/>
      </w:pPr>
      <w:r>
        <w:rPr>
          <w:b/>
          <w:bCs/>
        </w:rPr>
        <w:t xml:space="preserve">3. The QSBS (Section 1202) analysis was explicitly promised in writing but is entirely absent from the Memo.</w:t>
      </w:r>
      <w:r>
        <w:t xml:space="preserve"> </w:t>
      </w:r>
      <w:r>
        <w:t xml:space="preserve">The Linden Rock email thread documents that CSW committed in November 2024 to include a QSBS analysis in the transaction structure memorandum</w:t>
      </w:r>
      <w:r>
        <w:t xml:space="preserve"> </w:t>
      </w:r>
      <w:r>
        <w:t xml:space="preserve">“</w:t>
      </w:r>
      <w:r>
        <w:t xml:space="preserve">well before the purchase agreement is executed.</w:t>
      </w:r>
      <w:r>
        <w:t xml:space="preserve">”</w:t>
      </w:r>
      <w:r>
        <w:t xml:space="preserve"> </w:t>
      </w:r>
      <w:r>
        <w:t xml:space="preserve">Linden Rock followed up on January 6, 2025, noting that no analysis had been received. The purchase agreement was signed January 28, 2025; the Memo is dated February 10, 2025. The Memo contains no QSBS analysis whatsoever. This omission is material: the founders and at least eight early investors acquired shares during Prism’s C corporation period and may be eligible for up to 100% gain exclusion under Section 1202, but the interaction between Section 1202 and the Section 338(h)(10) deemed asset sale framework is a genuine, unresolved legal question that could eliminate the exclusion entirely.</w:t>
      </w:r>
    </w:p>
    <w:bookmarkEnd w:id="21"/>
    <w:bookmarkStart w:id="22" w:name="Xdea3290af4cb9dd080bb4cae0ecfc1e30c80586"/>
    <w:p>
      <w:pPr>
        <w:pStyle w:val="Heading3"/>
      </w:pPr>
      <w:r>
        <w:t xml:space="preserve">Cumulative Quantitative Impact of the Critical and High Calculation Errors</w:t>
      </w:r>
    </w:p>
    <w:p>
      <w:pPr>
        <w:pStyle w:val="FirstParagraph"/>
      </w:pPr>
      <w:r>
        <w:t xml:space="preserve">The ADSP overstatement ($48M), the aggregate tax basis understatement ($21.5M), and the Class V allocation understatement ($28.5M) combine to produce a materially distorted purchase price allocation and gain computation:</w:t>
      </w:r>
    </w:p>
    <w:tbl>
      <w:tblPr>
        <w:tblStyle w:val="Table"/>
        <w:tblW w:type="pct" w:w="5000"/>
        <w:jc w:val="left"/>
        <w:tblLayout w:type="fixed"/>
        <w:tblLook w:firstRow="1" w:lastRow="0" w:firstColumn="0" w:lastColumn="0" w:noHBand="0" w:noVBand="0" w:val="0020"/>
      </w:tblPr>
      <w:tblGrid>
        <w:gridCol w:w="1173"/>
        <w:gridCol w:w="1466"/>
        <w:gridCol w:w="3813"/>
        <w:gridCol w:w="1466"/>
      </w:tblGrid>
      <w:tr>
        <w:trPr>
          <w:tblHeader w:val="on"/>
        </w:trPr>
        <w:tc>
          <w:tcPr/>
          <w:p>
            <w:pPr>
              <w:pStyle w:val="Compact"/>
              <w:jc w:val="left"/>
            </w:pPr>
            <w:r>
              <w:t xml:space="preserve">Figure</w:t>
            </w:r>
          </w:p>
        </w:tc>
        <w:tc>
          <w:tcPr/>
          <w:p>
            <w:pPr>
              <w:pStyle w:val="Compact"/>
              <w:jc w:val="left"/>
            </w:pPr>
            <w:r>
              <w:t xml:space="preserve">Per Memo</w:t>
            </w:r>
          </w:p>
        </w:tc>
        <w:tc>
          <w:tcPr/>
          <w:p>
            <w:pPr>
              <w:pStyle w:val="Compact"/>
              <w:jc w:val="left"/>
            </w:pPr>
            <w:r>
              <w:t xml:space="preserve">Per Supporting Documents</w:t>
            </w:r>
          </w:p>
        </w:tc>
        <w:tc>
          <w:tcPr/>
          <w:p>
            <w:pPr>
              <w:pStyle w:val="Compact"/>
              <w:jc w:val="left"/>
            </w:pPr>
            <w:r>
              <w:t xml:space="preserve">Variance</w:t>
            </w:r>
          </w:p>
        </w:tc>
      </w:tr>
      <w:tr>
        <w:tc>
          <w:tcPr/>
          <w:p>
            <w:pPr>
              <w:pStyle w:val="Compact"/>
              <w:jc w:val="left"/>
            </w:pPr>
            <w:r>
              <w:t xml:space="preserve">ADSP</w:t>
            </w:r>
          </w:p>
        </w:tc>
        <w:tc>
          <w:tcPr/>
          <w:p>
            <w:pPr>
              <w:pStyle w:val="Compact"/>
              <w:jc w:val="left"/>
            </w:pPr>
            <w:r>
              <w:t xml:space="preserve">$473.0M</w:t>
            </w:r>
          </w:p>
        </w:tc>
        <w:tc>
          <w:tcPr/>
          <w:p>
            <w:pPr>
              <w:pStyle w:val="Compact"/>
              <w:jc w:val="left"/>
            </w:pPr>
            <w:r>
              <w:t xml:space="preserve">$425.0M</w:t>
            </w:r>
          </w:p>
        </w:tc>
        <w:tc>
          <w:tcPr/>
          <w:p>
            <w:pPr>
              <w:pStyle w:val="Compact"/>
              <w:jc w:val="left"/>
            </w:pPr>
            <w:r>
              <w:t xml:space="preserve">+$48.0M overstated</w:t>
            </w:r>
          </w:p>
        </w:tc>
      </w:tr>
      <w:tr>
        <w:tc>
          <w:tcPr/>
          <w:p>
            <w:pPr>
              <w:pStyle w:val="Compact"/>
              <w:jc w:val="left"/>
            </w:pPr>
            <w:r>
              <w:t xml:space="preserve">Aggregate adjusted tax basis of assets</w:t>
            </w:r>
          </w:p>
        </w:tc>
        <w:tc>
          <w:tcPr/>
          <w:p>
            <w:pPr>
              <w:pStyle w:val="Compact"/>
              <w:jc w:val="left"/>
            </w:pPr>
            <w:r>
              <w:t xml:space="preserve">$42.8M</w:t>
            </w:r>
          </w:p>
        </w:tc>
        <w:tc>
          <w:tcPr/>
          <w:p>
            <w:pPr>
              <w:pStyle w:val="Compact"/>
              <w:jc w:val="left"/>
            </w:pPr>
            <w:r>
              <w:t xml:space="preserve">$64.3M</w:t>
            </w:r>
          </w:p>
        </w:tc>
        <w:tc>
          <w:tcPr/>
          <w:p>
            <w:pPr>
              <w:pStyle w:val="Compact"/>
              <w:jc w:val="left"/>
            </w:pPr>
            <w:r>
              <w:t xml:space="preserve">−$21.5M understated</w:t>
            </w:r>
          </w:p>
        </w:tc>
      </w:tr>
      <w:tr>
        <w:tc>
          <w:tcPr/>
          <w:p>
            <w:pPr>
              <w:pStyle w:val="Compact"/>
              <w:jc w:val="left"/>
            </w:pPr>
            <w:r>
              <w:t xml:space="preserve">Total deemed sale gain</w:t>
            </w:r>
          </w:p>
        </w:tc>
        <w:tc>
          <w:tcPr/>
          <w:p>
            <w:pPr>
              <w:pStyle w:val="Compact"/>
              <w:jc w:val="left"/>
            </w:pPr>
            <w:r>
              <w:t xml:space="preserve">$430.2M</w:t>
            </w:r>
          </w:p>
        </w:tc>
        <w:tc>
          <w:tcPr/>
          <w:p>
            <w:pPr>
              <w:pStyle w:val="Compact"/>
              <w:jc w:val="left"/>
            </w:pPr>
            <w:r>
              <w:t xml:space="preserve">~$360.7M</w:t>
            </w:r>
          </w:p>
        </w:tc>
        <w:tc>
          <w:tcPr/>
          <w:p>
            <w:pPr>
              <w:pStyle w:val="Compact"/>
              <w:jc w:val="left"/>
            </w:pPr>
            <w:r>
              <w:t xml:space="preserve">+$69.5M overstated</w:t>
            </w:r>
          </w:p>
        </w:tc>
      </w:tr>
      <w:tr>
        <w:tc>
          <w:tcPr/>
          <w:p>
            <w:pPr>
              <w:pStyle w:val="Compact"/>
              <w:jc w:val="left"/>
            </w:pPr>
            <w:r>
              <w:t xml:space="preserve">Class V allocation</w:t>
            </w:r>
          </w:p>
        </w:tc>
        <w:tc>
          <w:tcPr/>
          <w:p>
            <w:pPr>
              <w:pStyle w:val="Compact"/>
              <w:jc w:val="left"/>
            </w:pPr>
            <w:r>
              <w:t xml:space="preserve">$68.5M</w:t>
            </w:r>
          </w:p>
        </w:tc>
        <w:tc>
          <w:tcPr/>
          <w:p>
            <w:pPr>
              <w:pStyle w:val="Compact"/>
              <w:jc w:val="left"/>
            </w:pPr>
            <w:r>
              <w:t xml:space="preserve">$97.0M</w:t>
            </w:r>
          </w:p>
        </w:tc>
        <w:tc>
          <w:tcPr/>
          <w:p>
            <w:pPr>
              <w:pStyle w:val="Compact"/>
              <w:jc w:val="left"/>
            </w:pPr>
            <w:r>
              <w:t xml:space="preserve">−$28.5M understated</w:t>
            </w:r>
          </w:p>
        </w:tc>
      </w:tr>
      <w:tr>
        <w:tc>
          <w:tcPr/>
          <w:p>
            <w:pPr>
              <w:pStyle w:val="Compact"/>
              <w:jc w:val="left"/>
            </w:pPr>
            <w:r>
              <w:t xml:space="preserve">Class VII goodwill (residual)</w:t>
            </w:r>
          </w:p>
        </w:tc>
        <w:tc>
          <w:tcPr/>
          <w:p>
            <w:pPr>
              <w:pStyle w:val="Compact"/>
              <w:jc w:val="left"/>
            </w:pPr>
            <w:r>
              <w:t xml:space="preserve">$272.8M</w:t>
            </w:r>
          </w:p>
        </w:tc>
        <w:tc>
          <w:tcPr/>
          <w:p>
            <w:pPr>
              <w:pStyle w:val="Compact"/>
              <w:jc w:val="left"/>
            </w:pPr>
            <w:r>
              <w:t xml:space="preserve">$196.3M</w:t>
            </w:r>
          </w:p>
        </w:tc>
        <w:tc>
          <w:tcPr/>
          <w:p>
            <w:pPr>
              <w:pStyle w:val="Compact"/>
              <w:jc w:val="left"/>
            </w:pPr>
            <w:r>
              <w:t xml:space="preserve">+$76.5M overstated</w:t>
            </w:r>
          </w:p>
        </w:tc>
      </w:tr>
    </w:tbl>
    <w:bookmarkEnd w:id="22"/>
    <w:bookmarkStart w:id="23" w:name="overall-assessment"/>
    <w:p>
      <w:pPr>
        <w:pStyle w:val="Heading3"/>
      </w:pPr>
      <w:r>
        <w:t xml:space="preserve">Overall Assessment</w:t>
      </w:r>
    </w:p>
    <w:p>
      <w:pPr>
        <w:pStyle w:val="FirstParagraph"/>
      </w:pPr>
      <w:r>
        <w:t xml:space="preserve">The Memo contains a sound high-level description of the reverse triangular merger structure and the general mechanics of a Section 338(h)(10) election for an S corporation target. However, the Memo contains a fundamental computational error in its central calculation (the ADSP), fails to address a critical eligibility issue flagged by its own due diligence provider, and omits an analysis that CSW expressly committed to deliver in writing. Several additional errors and omissions — including a legally erroneous post-closing recommendation, an unanalyzed Beacon operating agreement provision that could terminate a critical IP license, and an escrow tax treatment that conflicts with the signed purchase agreement — require resolution before the Memo can be relied upon by the Fund III Investment Committee.</w:t>
      </w:r>
    </w:p>
    <w:p>
      <w:r>
        <w:pict>
          <v:rect style="width:0;height:1.5pt" o:hralign="center" o:hrstd="t" o:hr="t"/>
        </w:pict>
      </w:r>
    </w:p>
    <w:bookmarkEnd w:id="23"/>
    <w:bookmarkEnd w:id="24"/>
    <w:bookmarkStart w:id="25" w:name="ii.-scope-and-documents-reviewed"/>
    <w:p>
      <w:pPr>
        <w:pStyle w:val="Heading2"/>
      </w:pPr>
      <w:r>
        <w:t xml:space="preserve">II. Scope and Documents Reviewed</w:t>
      </w:r>
    </w:p>
    <w:p>
      <w:pPr>
        <w:pStyle w:val="FirstParagraph"/>
      </w:pPr>
      <w:r>
        <w:t xml:space="preserve">The following documents were reviewed in connection with this analysis:</w:t>
      </w:r>
    </w:p>
    <w:tbl>
      <w:tblPr>
        <w:tblStyle w:val="Table"/>
        <w:tblW w:type="pct" w:w="5000"/>
        <w:jc w:val="left"/>
        <w:tblLayout w:type="fixed"/>
        <w:tblLook w:firstRow="1" w:lastRow="0" w:firstColumn="0" w:lastColumn="0" w:noHBand="0" w:noVBand="0" w:val="0020"/>
      </w:tblPr>
      <w:tblGrid>
        <w:gridCol w:w="880"/>
        <w:gridCol w:w="2933"/>
        <w:gridCol w:w="2346"/>
        <w:gridCol w:w="176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Tax Structure Memorandum — Acquisition of Prism Health Analytics, Inc.</w:t>
            </w:r>
          </w:p>
        </w:tc>
        <w:tc>
          <w:tcPr/>
          <w:p>
            <w:pPr>
              <w:pStyle w:val="Compact"/>
              <w:jc w:val="left"/>
            </w:pPr>
            <w:r>
              <w:t xml:space="preserve">Calloway, Stern &amp; Whitaker LLP</w:t>
            </w:r>
          </w:p>
        </w:tc>
        <w:tc>
          <w:tcPr/>
          <w:p>
            <w:pPr>
              <w:pStyle w:val="Compact"/>
              <w:jc w:val="left"/>
            </w:pPr>
            <w:r>
              <w:t xml:space="preserve">February 10, 2025</w:t>
            </w:r>
          </w:p>
        </w:tc>
      </w:tr>
      <w:tr>
        <w:tc>
          <w:tcPr/>
          <w:p>
            <w:pPr>
              <w:pStyle w:val="Compact"/>
              <w:jc w:val="left"/>
            </w:pPr>
            <w:r>
              <w:t xml:space="preserve">2</w:t>
            </w:r>
          </w:p>
        </w:tc>
        <w:tc>
          <w:tcPr/>
          <w:p>
            <w:pPr>
              <w:pStyle w:val="Compact"/>
              <w:jc w:val="left"/>
            </w:pPr>
            <w:r>
              <w:t xml:space="preserve">Tax Due Diligence Report — Prism Health Analytics, Inc.</w:t>
            </w:r>
          </w:p>
        </w:tc>
        <w:tc>
          <w:tcPr/>
          <w:p>
            <w:pPr>
              <w:pStyle w:val="Compact"/>
              <w:jc w:val="left"/>
            </w:pPr>
            <w:r>
              <w:t xml:space="preserve">Thornfield Accounting Group, LLP</w:t>
            </w:r>
          </w:p>
        </w:tc>
        <w:tc>
          <w:tcPr/>
          <w:p>
            <w:pPr>
              <w:pStyle w:val="Compact"/>
              <w:jc w:val="left"/>
            </w:pPr>
            <w:r>
              <w:t xml:space="preserve">January 15, 2025</w:t>
            </w:r>
          </w:p>
        </w:tc>
      </w:tr>
      <w:tr>
        <w:tc>
          <w:tcPr/>
          <w:p>
            <w:pPr>
              <w:pStyle w:val="Compact"/>
              <w:jc w:val="left"/>
            </w:pPr>
            <w:r>
              <w:t xml:space="preserve">3</w:t>
            </w:r>
          </w:p>
        </w:tc>
        <w:tc>
          <w:tcPr/>
          <w:p>
            <w:pPr>
              <w:pStyle w:val="Compact"/>
              <w:jc w:val="left"/>
            </w:pPr>
            <w:r>
              <w:t xml:space="preserve">Agreement and Plan of Merger (excerpts)</w:t>
            </w:r>
          </w:p>
        </w:tc>
        <w:tc>
          <w:tcPr/>
          <w:p>
            <w:pPr>
              <w:pStyle w:val="Compact"/>
              <w:jc w:val="left"/>
            </w:pPr>
            <w:r>
              <w:t xml:space="preserve">Parties</w:t>
            </w:r>
          </w:p>
        </w:tc>
        <w:tc>
          <w:tcPr/>
          <w:p>
            <w:pPr>
              <w:pStyle w:val="Compact"/>
              <w:jc w:val="left"/>
            </w:pPr>
            <w:r>
              <w:t xml:space="preserve">January 28, 2025</w:t>
            </w:r>
          </w:p>
        </w:tc>
      </w:tr>
      <w:tr>
        <w:tc>
          <w:tcPr/>
          <w:p>
            <w:pPr>
              <w:pStyle w:val="Compact"/>
              <w:jc w:val="left"/>
            </w:pPr>
            <w:r>
              <w:t xml:space="preserve">4</w:t>
            </w:r>
          </w:p>
        </w:tc>
        <w:tc>
          <w:tcPr/>
          <w:p>
            <w:pPr>
              <w:pStyle w:val="Compact"/>
              <w:jc w:val="left"/>
            </w:pPr>
            <w:r>
              <w:t xml:space="preserve">Amended and Restated Operating Agreement of Beacon Insights, LLC (selected provisions)</w:t>
            </w:r>
          </w:p>
        </w:tc>
        <w:tc>
          <w:tcPr/>
          <w:p>
            <w:pPr>
              <w:pStyle w:val="Compact"/>
              <w:jc w:val="left"/>
            </w:pPr>
            <w:r>
              <w:t xml:space="preserve">Beacon Insights, LLC</w:t>
            </w:r>
          </w:p>
        </w:tc>
        <w:tc>
          <w:tcPr/>
          <w:p>
            <w:pPr>
              <w:pStyle w:val="Compact"/>
              <w:jc w:val="left"/>
            </w:pPr>
            <w:r>
              <w:t xml:space="preserve">August 1, 2018</w:t>
            </w:r>
          </w:p>
        </w:tc>
      </w:tr>
      <w:tr>
        <w:tc>
          <w:tcPr/>
          <w:p>
            <w:pPr>
              <w:pStyle w:val="Compact"/>
              <w:jc w:val="left"/>
            </w:pPr>
            <w:r>
              <w:t xml:space="preserve">5</w:t>
            </w:r>
          </w:p>
        </w:tc>
        <w:tc>
          <w:tcPr/>
          <w:p>
            <w:pPr>
              <w:pStyle w:val="Compact"/>
              <w:jc w:val="left"/>
            </w:pPr>
            <w:r>
              <w:t xml:space="preserve">Asset Valuation Summary / Preliminary Purchase Price Allocation</w:t>
            </w:r>
          </w:p>
        </w:tc>
        <w:tc>
          <w:tcPr/>
          <w:p>
            <w:pPr>
              <w:pStyle w:val="Compact"/>
              <w:jc w:val="left"/>
            </w:pPr>
            <w:r>
              <w:t xml:space="preserve">Thornfield Accounting Group, LLP</w:t>
            </w:r>
          </w:p>
        </w:tc>
        <w:tc>
          <w:tcPr/>
          <w:p>
            <w:pPr>
              <w:pStyle w:val="Compact"/>
              <w:jc w:val="left"/>
            </w:pPr>
            <w:r>
              <w:t xml:space="preserve">(undated; references Memo dated 1/28/2025)</w:t>
            </w:r>
          </w:p>
        </w:tc>
      </w:tr>
      <w:tr>
        <w:tc>
          <w:tcPr/>
          <w:p>
            <w:pPr>
              <w:pStyle w:val="Compact"/>
              <w:jc w:val="left"/>
            </w:pPr>
            <w:r>
              <w:t xml:space="preserve">6</w:t>
            </w:r>
          </w:p>
        </w:tc>
        <w:tc>
          <w:tcPr/>
          <w:p>
            <w:pPr>
              <w:pStyle w:val="Compact"/>
              <w:jc w:val="left"/>
            </w:pPr>
            <w:r>
              <w:t xml:space="preserve">Prism Health Analytics, Inc. Capitalization Table</w:t>
            </w:r>
          </w:p>
        </w:tc>
        <w:tc>
          <w:tcPr/>
          <w:p>
            <w:pPr>
              <w:pStyle w:val="Compact"/>
              <w:jc w:val="left"/>
            </w:pPr>
            <w:r>
              <w:t xml:space="preserve">Company counsel</w:t>
            </w:r>
          </w:p>
        </w:tc>
        <w:tc>
          <w:tcPr/>
          <w:p>
            <w:pPr>
              <w:pStyle w:val="Compact"/>
              <w:jc w:val="left"/>
            </w:pPr>
            <w:r>
              <w:t xml:space="preserve">as of December 31, 2024</w:t>
            </w:r>
          </w:p>
        </w:tc>
      </w:tr>
      <w:tr>
        <w:tc>
          <w:tcPr/>
          <w:p>
            <w:pPr>
              <w:pStyle w:val="Compact"/>
              <w:jc w:val="left"/>
            </w:pPr>
            <w:r>
              <w:t xml:space="preserve">7</w:t>
            </w:r>
          </w:p>
        </w:tc>
        <w:tc>
          <w:tcPr/>
          <w:p>
            <w:pPr>
              <w:pStyle w:val="Compact"/>
              <w:jc w:val="left"/>
            </w:pPr>
            <w:r>
              <w:t xml:space="preserve">QSBS Eligibility email thread</w:t>
            </w:r>
          </w:p>
        </w:tc>
        <w:tc>
          <w:tcPr/>
          <w:p>
            <w:pPr>
              <w:pStyle w:val="Compact"/>
              <w:jc w:val="left"/>
            </w:pPr>
            <w:r>
              <w:t xml:space="preserve">Linden Rock Advisory, LLC / CSW</w:t>
            </w:r>
          </w:p>
        </w:tc>
        <w:tc>
          <w:tcPr/>
          <w:p>
            <w:pPr>
              <w:pStyle w:val="Compact"/>
              <w:jc w:val="left"/>
            </w:pPr>
            <w:r>
              <w:t xml:space="preserve">November 2024 – January 2025</w:t>
            </w:r>
          </w:p>
        </w:tc>
      </w:tr>
    </w:tbl>
    <w:p>
      <w:pPr>
        <w:pStyle w:val="BodyText"/>
      </w:pPr>
      <w:r>
        <w:rPr>
          <w:b/>
          <w:bCs/>
        </w:rPr>
        <w:t xml:space="preserve">Methodology.</w:t>
      </w:r>
      <w:r>
        <w:t xml:space="preserve"> </w:t>
      </w:r>
      <w:r>
        <w:t xml:space="preserve">Each substantive section of the Memo was cross-referenced against the corresponding provisions of the supporting documents. Numerical figures were independently recomputed and reconciled. Factual representations in the Memo were checked against the due diligence report, the capitalization table, the asset valuation summary, and the operative agreements. Issues were classified by severity based on their potential impact on the validity of the transaction structure, the accuracy of the tax consequences to the parties, and the completeness of the analysis.</w:t>
      </w:r>
    </w:p>
    <w:p>
      <w:r>
        <w:pict>
          <v:rect style="width:0;height:1.5pt" o:hralign="center" o:hrstd="t" o:hr="t"/>
        </w:pict>
      </w:r>
    </w:p>
    <w:bookmarkEnd w:id="25"/>
    <w:bookmarkStart w:id="57" w:name="iii.-severity-ranked-findings"/>
    <w:p>
      <w:pPr>
        <w:pStyle w:val="Heading2"/>
      </w:pPr>
      <w:r>
        <w:t xml:space="preserve">III. Severity-Ranked Findings</w:t>
      </w:r>
    </w:p>
    <w:bookmarkStart w:id="29" w:name="a.-critical-issues"/>
    <w:p>
      <w:pPr>
        <w:pStyle w:val="Heading3"/>
      </w:pPr>
      <w:r>
        <w:t xml:space="preserve">A. Critical Issues</w:t>
      </w:r>
    </w:p>
    <w:p>
      <w:r>
        <w:pict>
          <v:rect style="width:0;height:1.5pt" o:hralign="center" o:hrstd="t" o:hr="t"/>
        </w:pict>
      </w:r>
    </w:p>
    <w:bookmarkStart w:id="26" w:name="X8dd557b420f1d279320bdb126cebb7db9950f84"/>
    <w:p>
      <w:pPr>
        <w:pStyle w:val="Heading4"/>
      </w:pPr>
      <w:r>
        <w:t xml:space="preserve">C-1. ADSP Calculation Overstated by $48 Million — Double-Counting of Funded Debt</w:t>
      </w:r>
    </w:p>
    <w:p>
      <w:pPr>
        <w:pStyle w:val="FirstParagraph"/>
      </w:pPr>
      <w:r>
        <w:rPr>
          <w:b/>
          <w:bCs/>
        </w:rPr>
        <w:t xml:space="preserve">Severity:</w:t>
      </w:r>
      <w:r>
        <w:t xml:space="preserve"> </w:t>
      </w:r>
      <w:r>
        <w:t xml:space="preserve">Critical</w:t>
      </w:r>
      <w:r>
        <w:t xml:space="preserve"> </w:t>
      </w:r>
      <w:r>
        <w:rPr>
          <w:b/>
          <w:bCs/>
        </w:rPr>
        <w:t xml:space="preserve">Memo Location:</w:t>
      </w:r>
      <w:r>
        <w:t xml:space="preserve"> </w:t>
      </w:r>
      <w:r>
        <w:t xml:space="preserve">Section IV.B (Aggregate Deemed Sale Price); Appendix A; Appendix B</w:t>
      </w:r>
      <w:r>
        <w:t xml:space="preserve"> </w:t>
      </w:r>
      <w:r>
        <w:rPr>
          <w:b/>
          <w:bCs/>
        </w:rPr>
        <w:t xml:space="preserve">Supporting Document:</w:t>
      </w:r>
      <w:r>
        <w:t xml:space="preserve"> </w:t>
      </w:r>
      <w:r>
        <w:t xml:space="preserve">Asset Valuation Summary,</w:t>
      </w:r>
      <w:r>
        <w:t xml:space="preserve"> </w:t>
      </w:r>
      <w:r>
        <w:t xml:space="preserve">“</w:t>
      </w:r>
      <w:r>
        <w:t xml:space="preserve">Allocation Summary</w:t>
      </w:r>
      <w:r>
        <w:t xml:space="preserve">”</w:t>
      </w:r>
      <w:r>
        <w:t xml:space="preserve"> </w:t>
      </w:r>
      <w:r>
        <w:t xml:space="preserve">tab, Note 1</w:t>
      </w:r>
    </w:p>
    <w:p>
      <w:pPr>
        <w:pStyle w:val="BodyText"/>
      </w:pPr>
      <w:r>
        <w:rPr>
          <w:b/>
          <w:bCs/>
        </w:rPr>
        <w:t xml:space="preserve">Description.</w:t>
      </w:r>
      <w:r>
        <w:t xml:space="preserve"> </w:t>
      </w:r>
      <w:r>
        <w:t xml:space="preserve">The Memo computes the Aggregate Deemed Sale Price as:</w:t>
      </w:r>
    </w:p>
    <w:p>
      <w:pPr>
        <w:pStyle w:val="BlockText"/>
      </w:pPr>
      <w:r>
        <w:t xml:space="preserve">Enterprise Value ($425,000,000) + Assumed Liabilities / Funded Debt ($48,000,000) =</w:t>
      </w:r>
      <w:r>
        <w:t xml:space="preserve"> </w:t>
      </w:r>
      <w:r>
        <w:rPr>
          <w:b/>
          <w:bCs/>
        </w:rPr>
        <w:t xml:space="preserve">ADSP $473,000,000</w:t>
      </w:r>
    </w:p>
    <w:p>
      <w:pPr>
        <w:pStyle w:val="FirstParagraph"/>
      </w:pPr>
      <w:r>
        <w:t xml:space="preserve">This calculation double-counts the $48 million of funded debt. Enterprise value is defined as equity value plus net debt; the $48 million of funded debt is already embedded in the $425 million enterprise value. The equity value of $370 million was itself derived by subtracting the $48 million funded debt (and $7 million seller transaction expenses) from enterprise value: $425M − $48M − $7M = $370M. Adding the $48 million back to enterprise value to compute ADSP therefore counts the debt twice.</w:t>
      </w:r>
    </w:p>
    <w:p>
      <w:pPr>
        <w:pStyle w:val="BodyText"/>
      </w:pPr>
      <w:r>
        <w:t xml:space="preserve">Under Treas. Reg. §1.338-4, the ADSP equals the grossed-up amount realized on the disposition of the target stock</w:t>
      </w:r>
      <w:r>
        <w:t xml:space="preserve"> </w:t>
      </w:r>
      <w:r>
        <w:rPr>
          <w:b/>
          <w:bCs/>
        </w:rPr>
        <w:t xml:space="preserve">plus</w:t>
      </w:r>
      <w:r>
        <w:t xml:space="preserve"> </w:t>
      </w:r>
      <w:r>
        <w:t xml:space="preserve">the liabilities of old target. The amount realized by the selling shareholders on the stock is the equity value of $370 million ($333M cash + $37M rollover equity). Target liabilities at closing include the $48 million funded debt and, conservatively, the $7 million seller transaction expenses. The correct ADSP is therefore:</w:t>
      </w:r>
    </w:p>
    <w:p>
      <w:pPr>
        <w:pStyle w:val="BlockText"/>
      </w:pPr>
      <w:r>
        <w:t xml:space="preserve">$370,000,000 (amount realized on stock) + $48,000,000 (funded debt) + $7,000,000 (seller transaction expenses) =</w:t>
      </w:r>
      <w:r>
        <w:t xml:space="preserve"> </w:t>
      </w:r>
      <w:r>
        <w:rPr>
          <w:b/>
          <w:bCs/>
        </w:rPr>
        <w:t xml:space="preserve">$425,000,000</w:t>
      </w:r>
    </w:p>
    <w:p>
      <w:pPr>
        <w:pStyle w:val="FirstParagraph"/>
      </w:pPr>
      <w:r>
        <w:t xml:space="preserve">This is confirmed by the Thornfield asset valuation summary, which independently computes ADSP at $425 million and explicitly flags the Memo’s $473 million figure as a</w:t>
      </w:r>
      <w:r>
        <w:t xml:space="preserve"> </w:t>
      </w:r>
      <w:r>
        <w:t xml:space="preserve">“</w:t>
      </w:r>
      <w:r>
        <w:t xml:space="preserve">SIGNIFICANT DISCREPANCY</w:t>
      </w:r>
      <w:r>
        <w:t xml:space="preserve">”</w:t>
      </w:r>
      <w:r>
        <w:t xml:space="preserve"> </w:t>
      </w:r>
      <w:r>
        <w:t xml:space="preserve">that</w:t>
      </w:r>
      <w:r>
        <w:t xml:space="preserve"> </w:t>
      </w:r>
      <w:r>
        <w:t xml:space="preserve">“</w:t>
      </w:r>
      <w:r>
        <w:t xml:space="preserve">double-counts the $48M funded debt.</w:t>
      </w:r>
      <w:r>
        <w:t xml:space="preserve">”</w:t>
      </w:r>
    </w:p>
    <w:p>
      <w:pPr>
        <w:pStyle w:val="BodyText"/>
      </w:pPr>
      <w:r>
        <w:rPr>
          <w:b/>
          <w:bCs/>
        </w:rPr>
        <w:t xml:space="preserve">Impact.</w:t>
      </w:r>
      <w:r>
        <w:t xml:space="preserve"> </w:t>
      </w:r>
      <w:r>
        <w:t xml:space="preserve">The $48 million overstatement cascades throughout the Memo:</w:t>
      </w:r>
      <w:r>
        <w:t xml:space="preserve"> </w:t>
      </w:r>
      <w:r>
        <w:t xml:space="preserve">- The total deemed sale gain is overstated by $48 million ($430.2M stated vs. ~$382.2M using the correct ADSP and the Memo’s own basis figure).</w:t>
      </w:r>
      <w:r>
        <w:t xml:space="preserve"> </w:t>
      </w:r>
      <w:r>
        <w:t xml:space="preserve">- The Class VII goodwill residual is overstated by $48 million (before considering the separate Class V error).</w:t>
      </w:r>
      <w:r>
        <w:t xml:space="preserve"> </w:t>
      </w:r>
      <w:r>
        <w:t xml:space="preserve">- Buyer’s annual Section 197 amortization deduction from goodwill is overstated by approximately $3.2 million per year ($48M ÷ 15 years).</w:t>
      </w:r>
      <w:r>
        <w:t xml:space="preserve"> </w:t>
      </w:r>
      <w:r>
        <w:t xml:space="preserve">- Every shareholder’s pro rata share of deemed sale gain is overstated, inflating their tax liability.</w:t>
      </w:r>
    </w:p>
    <w:p>
      <w:pPr>
        <w:pStyle w:val="BodyText"/>
      </w:pPr>
      <w:r>
        <w:rPr>
          <w:b/>
          <w:bCs/>
        </w:rPr>
        <w:t xml:space="preserve">Recommendation.</w:t>
      </w:r>
      <w:r>
        <w:t xml:space="preserve"> </w:t>
      </w:r>
      <w:r>
        <w:t xml:space="preserve">Recompute the ADSP starting from the amount realized on the stock ($370M) plus target liabilities. Reconcile with Thornfield’s $425 million computation before filing Form 8883. All downstream calculations (gain, allocation, amortization) must be revised.</w:t>
      </w:r>
    </w:p>
    <w:p>
      <w:r>
        <w:pict>
          <v:rect style="width:0;height:1.5pt" o:hralign="center" o:hrstd="t" o:hr="t"/>
        </w:pict>
      </w:r>
    </w:p>
    <w:bookmarkEnd w:id="26"/>
    <w:bookmarkStart w:id="27" w:name="Xfdecd35d4bbab1b0e47ae4f4855fcff61d80119"/>
    <w:p>
      <w:pPr>
        <w:pStyle w:val="Heading4"/>
      </w:pPr>
      <w:r>
        <w:t xml:space="preserve">C-2. S Corporation Shareholder Eligibility — Critical Open Item Ignored and Contradicted</w:t>
      </w:r>
    </w:p>
    <w:p>
      <w:pPr>
        <w:pStyle w:val="FirstParagraph"/>
      </w:pPr>
      <w:r>
        <w:rPr>
          <w:b/>
          <w:bCs/>
        </w:rPr>
        <w:t xml:space="preserve">Severity:</w:t>
      </w:r>
      <w:r>
        <w:t xml:space="preserve"> </w:t>
      </w:r>
      <w:r>
        <w:t xml:space="preserve">Critical</w:t>
      </w:r>
      <w:r>
        <w:t xml:space="preserve"> </w:t>
      </w:r>
      <w:r>
        <w:rPr>
          <w:b/>
          <w:bCs/>
        </w:rPr>
        <w:t xml:space="preserve">Memo Location:</w:t>
      </w:r>
      <w:r>
        <w:t xml:space="preserve"> </w:t>
      </w:r>
      <w:r>
        <w:t xml:space="preserve">Section II.A (Restricted Stock); Section III.A (Corporate Tax History)</w:t>
      </w:r>
      <w:r>
        <w:t xml:space="preserve"> </w:t>
      </w:r>
      <w:r>
        <w:rPr>
          <w:b/>
          <w:bCs/>
        </w:rPr>
        <w:t xml:space="preserve">Supporting Documents:</w:t>
      </w:r>
      <w:r>
        <w:t xml:space="preserve"> </w:t>
      </w:r>
      <w:r>
        <w:t xml:space="preserve">Thornfield Tax Due Diligence Report, Section III.B; Prism Capitalization Table</w:t>
      </w:r>
    </w:p>
    <w:p>
      <w:pPr>
        <w:pStyle w:val="BodyText"/>
      </w:pPr>
      <w:r>
        <w:rPr>
          <w:b/>
          <w:bCs/>
        </w:rPr>
        <w:t xml:space="preserve">Description.</w:t>
      </w:r>
      <w:r>
        <w:t xml:space="preserve"> </w:t>
      </w:r>
      <w:r>
        <w:t xml:space="preserve">The Memo states:</w:t>
      </w:r>
      <w:r>
        <w:t xml:space="preserve"> </w:t>
      </w:r>
      <w:r>
        <w:t xml:space="preserve">“</w:t>
      </w:r>
      <w:r>
        <w:t xml:space="preserve">No events causing a termination of the S election have been identified. All shareholders of Prism are U.S. individuals, and we are not aware of any ineligible shareholders</w:t>
      </w:r>
      <w:r>
        <w:t xml:space="preserve">”</w:t>
      </w:r>
      <w:r>
        <w:t xml:space="preserve"> </w:t>
      </w:r>
      <w:r>
        <w:t xml:space="preserve">(Section III.A). The Memo also represents that all restricted stock holders are individuals who are U.S. citizens or residents (Section II.A).</w:t>
      </w:r>
    </w:p>
    <w:p>
      <w:pPr>
        <w:pStyle w:val="BodyText"/>
      </w:pPr>
      <w:r>
        <w:t xml:space="preserve">These statements directly contradict the Thornfield tax due diligence report, which the Memo expressly relies upon. Thornfield identifies S corporation shareholder eligibility as a</w:t>
      </w:r>
      <w:r>
        <w:t xml:space="preserve"> </w:t>
      </w:r>
      <w:r>
        <w:rPr>
          <w:b/>
          <w:bCs/>
        </w:rPr>
        <w:t xml:space="preserve">Critical</w:t>
      </w:r>
      <w:r>
        <w:t xml:space="preserve"> </w:t>
      </w:r>
      <w:r>
        <w:t xml:space="preserve">open item (Finding No. 1), noting that eligibility could not be confirmed for 2 of 8 restricted stock holders:</w:t>
      </w:r>
    </w:p>
    <w:p>
      <w:pPr>
        <w:pStyle w:val="Compact"/>
        <w:numPr>
          <w:ilvl w:val="0"/>
          <w:numId w:val="1001"/>
        </w:numPr>
      </w:pPr>
      <w:r>
        <w:rPr>
          <w:b/>
          <w:bCs/>
        </w:rPr>
        <w:t xml:space="preserve">(a) H-1B visa holder.</w:t>
      </w:r>
      <w:r>
        <w:t xml:space="preserve"> </w:t>
      </w:r>
      <w:r>
        <w:t xml:space="preserve">One restricted stock holder is a foreign national on an H-1B nonimmigrant visa. Thornfield could not confirm substantial-presence-test compliance under §7701(b)(3) for each year since the grant. If the holder failed the substantial presence test in any year, the holder would be a nonresident alien — an ineligible S corporation shareholder — causing retroactive termination of the S election under §1362(d)(2).</w:t>
      </w:r>
    </w:p>
    <w:p>
      <w:pPr>
        <w:pStyle w:val="Compact"/>
        <w:numPr>
          <w:ilvl w:val="0"/>
          <w:numId w:val="1001"/>
        </w:numPr>
      </w:pPr>
      <w:r>
        <w:rPr>
          <w:b/>
          <w:bCs/>
        </w:rPr>
        <w:t xml:space="preserve">(b) Possible transfer to a family LLC.</w:t>
      </w:r>
      <w:r>
        <w:t xml:space="preserve"> </w:t>
      </w:r>
      <w:r>
        <w:t xml:space="preserve">An annotation in Prism’s 2021 internal stock ledger references a</w:t>
      </w:r>
      <w:r>
        <w:t xml:space="preserve"> </w:t>
      </w:r>
      <w:r>
        <w:t xml:space="preserve">“</w:t>
      </w:r>
      <w:r>
        <w:t xml:space="preserve">transfer to [name] Family Holdings, LLC.</w:t>
      </w:r>
      <w:r>
        <w:t xml:space="preserve">”</w:t>
      </w:r>
      <w:r>
        <w:t xml:space="preserve"> </w:t>
      </w:r>
      <w:r>
        <w:t xml:space="preserve">If this transfer occurred and the LLC is a multi-member LLC (or a single-member LLC owned by an ineligible person), it would be an ineligible shareholder, terminating the S election as of the transfer date.</w:t>
      </w:r>
    </w:p>
    <w:p>
      <w:pPr>
        <w:pStyle w:val="FirstParagraph"/>
      </w:pPr>
      <w:r>
        <w:t xml:space="preserve">The Prism capitalization table independently identifies</w:t>
      </w:r>
      <w:r>
        <w:t xml:space="preserve"> </w:t>
      </w:r>
      <w:r>
        <w:rPr>
          <w:b/>
          <w:bCs/>
        </w:rPr>
        <w:t xml:space="preserve">three</w:t>
      </w:r>
      <w:r>
        <w:t xml:space="preserve"> </w:t>
      </w:r>
      <w:r>
        <w:t xml:space="preserve">restricted stock holders with unverified S corporation eligibility: Lin Wei Zhang (H-1B visa holder, PRC citizen), Yusuf Al-Rashidi (dual U.S./Jordan citizen, documentation not on file), and Nina Petrova (Bulgarian-born, green card status unconfirmed). The capitalization table thus identifies more eligibility concerns than the Thornfield report.</w:t>
      </w:r>
    </w:p>
    <w:p>
      <w:pPr>
        <w:pStyle w:val="BodyText"/>
      </w:pPr>
      <w:r>
        <w:rPr>
          <w:b/>
          <w:bCs/>
        </w:rPr>
        <w:t xml:space="preserve">Additional inconsistencies:</w:t>
      </w:r>
      <w:r>
        <w:t xml:space="preserve"> </w:t>
      </w:r>
      <w:r>
        <w:t xml:space="preserve">- The Thornfield report describes the H-1B holder as a</w:t>
      </w:r>
      <w:r>
        <w:t xml:space="preserve"> </w:t>
      </w:r>
      <w:r>
        <w:t xml:space="preserve">“</w:t>
      </w:r>
      <w:r>
        <w:t xml:space="preserve">Canadian national,</w:t>
      </w:r>
      <w:r>
        <w:t xml:space="preserve">”</w:t>
      </w:r>
      <w:r>
        <w:t xml:space="preserve"> </w:t>
      </w:r>
      <w:r>
        <w:t xml:space="preserve">while the capitalization table identifies Lin Wei Zhang as a citizen of the People’s Republic of China. The identifying information is inconsistent.</w:t>
      </w:r>
      <w:r>
        <w:t xml:space="preserve"> </w:t>
      </w:r>
      <w:r>
        <w:t xml:space="preserve">- The possible family LLC transfer flagged by Thornfield is not reflected in the capitalization table, which shows all restricted stock holders as individuals. This discrepancy is unresolved.</w:t>
      </w:r>
      <w:r>
        <w:t xml:space="preserve"> </w:t>
      </w:r>
      <w:r>
        <w:t xml:space="preserve">- The Stock Purchase Agreement Section 4.9(a) represents that</w:t>
      </w:r>
      <w:r>
        <w:t xml:space="preserve"> </w:t>
      </w:r>
      <w:r>
        <w:t xml:space="preserve">“</w:t>
      </w:r>
      <w:r>
        <w:t xml:space="preserve">each shareholder is an eligible S corporation shareholder,</w:t>
      </w:r>
      <w:r>
        <w:t xml:space="preserve">”</w:t>
      </w:r>
      <w:r>
        <w:t xml:space="preserve"> </w:t>
      </w:r>
      <w:r>
        <w:t xml:space="preserve">and Section 2.5 represents that</w:t>
      </w:r>
      <w:r>
        <w:t xml:space="preserve"> </w:t>
      </w:r>
      <w:r>
        <w:t xml:space="preserve">“</w:t>
      </w:r>
      <w:r>
        <w:t xml:space="preserve">each holder of restricted stock is an individual who is a citizen or resident of the United States.</w:t>
      </w:r>
      <w:r>
        <w:t xml:space="preserve">”</w:t>
      </w:r>
      <w:r>
        <w:t xml:space="preserve"> </w:t>
      </w:r>
      <w:r>
        <w:t xml:space="preserve">Given the unverified eligibility of at least two to three holders, these representations may be inaccurate.</w:t>
      </w:r>
    </w:p>
    <w:p>
      <w:pPr>
        <w:pStyle w:val="BodyText"/>
      </w:pPr>
      <w:r>
        <w:rPr>
          <w:b/>
          <w:bCs/>
        </w:rPr>
        <w:t xml:space="preserve">Impact.</w:t>
      </w:r>
      <w:r>
        <w:t xml:space="preserve"> </w:t>
      </w:r>
      <w:r>
        <w:t xml:space="preserve">The validity of Prism’s S corporation election is a threshold requirement for the Section 338(h)(10) election. If the S election was inadvertently terminated in any prior year, Prism would be treated as a C corporation for that year and all subsequent years, with cascading consequences: entity-level federal and state income tax for all open years, penalties and interest, and the unavailability of the Section 338(h)(10) election (which requires a valid S election). The entire transaction structure would fail. The Memo’s statement that it is</w:t>
      </w:r>
      <w:r>
        <w:t xml:space="preserve"> </w:t>
      </w:r>
      <w:r>
        <w:t xml:space="preserve">“</w:t>
      </w:r>
      <w:r>
        <w:t xml:space="preserve">not aware of any ineligible shareholders</w:t>
      </w:r>
      <w:r>
        <w:t xml:space="preserve">”</w:t>
      </w:r>
      <w:r>
        <w:t xml:space="preserve"> </w:t>
      </w:r>
      <w:r>
        <w:t xml:space="preserve">is untenable given that the Thornfield report — cited as a source in the Memo — expressly flags this as a critical gap.</w:t>
      </w:r>
    </w:p>
    <w:p>
      <w:pPr>
        <w:pStyle w:val="BodyText"/>
      </w:pPr>
      <w:r>
        <w:rPr>
          <w:b/>
          <w:bCs/>
        </w:rPr>
        <w:t xml:space="preserve">Recommendation.</w:t>
      </w:r>
      <w:r>
        <w:t xml:space="preserve"> </w:t>
      </w:r>
      <w:r>
        <w:t xml:space="preserve">Obtain definitive confirmation of the eligibility of every shareholder — including every restricted stock holder — for every year since the S election became effective on January 1, 2017. Specifically: (i) obtain immigration and residency documentation for the H-1B visa holder sufficient to confirm substantial-presence-test compliance for all relevant years; (ii) obtain documentation regarding the alleged transfer to the family LLC, including the LLC’s operating agreement, entity classification, and member composition; (iii) resolve the citizenship documentation gaps for Yusuf Al-Rashidi and Nina Petrova; and (iv) reconcile the inconsistent identifying information between the Thornfield report and the capitalization table. This should be a condition to closing.</w:t>
      </w:r>
    </w:p>
    <w:p>
      <w:r>
        <w:pict>
          <v:rect style="width:0;height:1.5pt" o:hralign="center" o:hrstd="t" o:hr="t"/>
        </w:pict>
      </w:r>
    </w:p>
    <w:bookmarkEnd w:id="27"/>
    <w:bookmarkStart w:id="28" w:name="Xb4e7216ff025dddccfe6e3f158ff2522957dd96"/>
    <w:p>
      <w:pPr>
        <w:pStyle w:val="Heading4"/>
      </w:pPr>
      <w:r>
        <w:t xml:space="preserve">C-3. QSBS (Section 1202) Analysis — Promised in Writing but Entirely Omitted</w:t>
      </w:r>
    </w:p>
    <w:p>
      <w:pPr>
        <w:pStyle w:val="FirstParagraph"/>
      </w:pPr>
      <w:r>
        <w:rPr>
          <w:b/>
          <w:bCs/>
        </w:rPr>
        <w:t xml:space="preserve">Severity:</w:t>
      </w:r>
      <w:r>
        <w:t xml:space="preserve"> </w:t>
      </w:r>
      <w:r>
        <w:t xml:space="preserve">Critical</w:t>
      </w:r>
      <w:r>
        <w:t xml:space="preserve"> </w:t>
      </w:r>
      <w:r>
        <w:rPr>
          <w:b/>
          <w:bCs/>
        </w:rPr>
        <w:t xml:space="preserve">Memo Location:</w:t>
      </w:r>
      <w:r>
        <w:t xml:space="preserve"> </w:t>
      </w:r>
      <w:r>
        <w:t xml:space="preserve">Entire Memo (no QSBS analysis appears)</w:t>
      </w:r>
      <w:r>
        <w:t xml:space="preserve"> </w:t>
      </w:r>
      <w:r>
        <w:rPr>
          <w:b/>
          <w:bCs/>
        </w:rPr>
        <w:t xml:space="preserve">Supporting Documents:</w:t>
      </w:r>
      <w:r>
        <w:t xml:space="preserve"> </w:t>
      </w:r>
      <w:r>
        <w:t xml:space="preserve">Linden Rock Advisory QSBS email thread (Nov. 2024 – Jan. 2025); Thornfield Tax Due Diligence Report, Section VIII.B; Prism Capitalization Table</w:t>
      </w:r>
    </w:p>
    <w:p>
      <w:pPr>
        <w:pStyle w:val="BodyText"/>
      </w:pPr>
      <w:r>
        <w:rPr>
          <w:b/>
          <w:bCs/>
        </w:rPr>
        <w:t xml:space="preserve">Description.</w:t>
      </w:r>
      <w:r>
        <w:t xml:space="preserve"> </w:t>
      </w:r>
      <w:r>
        <w:t xml:space="preserve">The Linden Rock Advisory email thread documents the following:</w:t>
      </w:r>
    </w:p>
    <w:p>
      <w:pPr>
        <w:pStyle w:val="Compact"/>
        <w:numPr>
          <w:ilvl w:val="0"/>
          <w:numId w:val="1002"/>
        </w:numPr>
      </w:pPr>
      <w:r>
        <w:rPr>
          <w:b/>
          <w:bCs/>
        </w:rPr>
        <w:t xml:space="preserve">November 2024:</w:t>
      </w:r>
      <w:r>
        <w:t xml:space="preserve"> </w:t>
      </w:r>
      <w:r>
        <w:t xml:space="preserve">Derek Whitfield of Linden Rock formally requested that CSW provide a written QSBS analysis for the angel investor shareholders, several of whom face</w:t>
      </w:r>
      <w:r>
        <w:t xml:space="preserve"> </w:t>
      </w:r>
      <w:r>
        <w:t xml:space="preserve">“</w:t>
      </w:r>
      <w:r>
        <w:t xml:space="preserve">gains in the millions of dollars</w:t>
      </w:r>
      <w:r>
        <w:t xml:space="preserve">”</w:t>
      </w:r>
      <w:r>
        <w:t xml:space="preserve"> </w:t>
      </w:r>
      <w:r>
        <w:t xml:space="preserve">and for whom the difference between a 100% federal exclusion and full capital gains taxation is</w:t>
      </w:r>
      <w:r>
        <w:t xml:space="preserve"> </w:t>
      </w:r>
      <w:r>
        <w:t xml:space="preserve">“</w:t>
      </w:r>
      <w:r>
        <w:t xml:space="preserve">a seven-figure swing in after-tax proceeds.</w:t>
      </w:r>
      <w:r>
        <w:t xml:space="preserve">”</w:t>
      </w:r>
    </w:p>
    <w:p>
      <w:pPr>
        <w:pStyle w:val="Compact"/>
        <w:numPr>
          <w:ilvl w:val="0"/>
          <w:numId w:val="1002"/>
        </w:numPr>
      </w:pPr>
      <w:r>
        <w:rPr>
          <w:b/>
          <w:bCs/>
        </w:rPr>
        <w:t xml:space="preserve">November 20, 2024:</w:t>
      </w:r>
      <w:r>
        <w:t xml:space="preserve"> </w:t>
      </w:r>
      <w:r>
        <w:t xml:space="preserve">James Calloway responded, acknowledging the importance of the issue, stating that Sandra Liu had been asked to begin research, and committing:</w:t>
      </w:r>
      <w:r>
        <w:t xml:space="preserve"> </w:t>
      </w:r>
      <w:r>
        <w:t xml:space="preserve">“</w:t>
      </w:r>
      <w:r>
        <w:t xml:space="preserve">My goal is to have the QSBS section drafted and incorporated into the memorandum well before the purchase agreement is executed, so that the shareholders have the information they need to make an informed decision.</w:t>
      </w:r>
      <w:r>
        <w:t xml:space="preserve">”</w:t>
      </w:r>
    </w:p>
    <w:p>
      <w:pPr>
        <w:pStyle w:val="Compact"/>
        <w:numPr>
          <w:ilvl w:val="0"/>
          <w:numId w:val="1002"/>
        </w:numPr>
      </w:pPr>
      <w:r>
        <w:rPr>
          <w:b/>
          <w:bCs/>
        </w:rPr>
        <w:t xml:space="preserve">January 6, 2025:</w:t>
      </w:r>
      <w:r>
        <w:t xml:space="preserve"> </w:t>
      </w:r>
      <w:r>
        <w:t xml:space="preserve">Linden Rock followed up, stating that no analysis had been received since the November 20 email, emphasizing increased urgency, and requesting the analysis</w:t>
      </w:r>
      <w:r>
        <w:t xml:space="preserve"> </w:t>
      </w:r>
      <w:r>
        <w:t xml:space="preserve">“</w:t>
      </w:r>
      <w:r>
        <w:t xml:space="preserve">before the purchase agreement is finalized.</w:t>
      </w:r>
      <w:r>
        <w:t xml:space="preserve">”</w:t>
      </w:r>
    </w:p>
    <w:p>
      <w:pPr>
        <w:pStyle w:val="FirstParagraph"/>
      </w:pPr>
      <w:r>
        <w:t xml:space="preserve">The Stock Purchase Agreement was executed on January 28, 2025. The Memo is dated February 10, 2025.</w:t>
      </w:r>
      <w:r>
        <w:t xml:space="preserve"> </w:t>
      </w:r>
      <w:r>
        <w:rPr>
          <w:b/>
          <w:bCs/>
        </w:rPr>
        <w:t xml:space="preserve">The Memo contains no QSBS analysis whatsoever</w:t>
      </w:r>
      <w:r>
        <w:t xml:space="preserve"> </w:t>
      </w:r>
      <w:r>
        <w:t xml:space="preserve">— not as a dedicated section, not as a standalone memo, not even as a footnote or open item.</w:t>
      </w:r>
    </w:p>
    <w:p>
      <w:pPr>
        <w:pStyle w:val="BodyText"/>
      </w:pPr>
      <w:r>
        <w:t xml:space="preserve">The Thornfield due diligence report independently flags this as a Moderate finding (Finding No. 4), noting that</w:t>
      </w:r>
      <w:r>
        <w:t xml:space="preserve"> </w:t>
      </w:r>
      <w:r>
        <w:t xml:space="preserve">“</w:t>
      </w:r>
      <w:r>
        <w:t xml:space="preserve">the interaction between QSBS treatment and the proposed Section 338(h)(10) deemed asset sale framework has not been analyzed</w:t>
      </w:r>
      <w:r>
        <w:t xml:space="preserve">”</w:t>
      </w:r>
      <w:r>
        <w:t xml:space="preserve"> </w:t>
      </w:r>
      <w:r>
        <w:t xml:space="preserve">and recommending that</w:t>
      </w:r>
      <w:r>
        <w:t xml:space="preserve"> </w:t>
      </w:r>
      <w:r>
        <w:t xml:space="preserve">“</w:t>
      </w:r>
      <w:r>
        <w:t xml:space="preserve">tax counsel should provide a definitive analysis of QSBS eligibility.</w:t>
      </w:r>
      <w:r>
        <w:t xml:space="preserve">”</w:t>
      </w:r>
    </w:p>
    <w:p>
      <w:pPr>
        <w:pStyle w:val="BodyText"/>
      </w:pPr>
      <w:r>
        <w:rPr>
          <w:b/>
          <w:bCs/>
        </w:rPr>
        <w:t xml:space="preserve">Materiality.</w:t>
      </w:r>
      <w:r>
        <w:t xml:space="preserve"> </w:t>
      </w:r>
      <w:r>
        <w:t xml:space="preserve">The capitalization table confirms that the following shareholders acquired shares during Prism’s C corporation period (June 14 – December 31, 2016) and may be potentially QSBS-eligible: Dr. Chandra, Rachel Stowe, and at least eight angel investors/early employees (Thomas Greenfield, Patricia Muñoz, David Yoon, Robert Fielding, Karen Whitford, Samuel Okoye, Marcus Donnelly, Priya Srinivasan, and Derek Hawkins’ 600 common shares). The total consideration allocable to the non-founder</w:t>
      </w:r>
      <w:r>
        <w:t xml:space="preserve"> </w:t>
      </w:r>
      <w:r>
        <w:t xml:space="preserve">“</w:t>
      </w:r>
      <w:r>
        <w:t xml:space="preserve">other shareholders</w:t>
      </w:r>
      <w:r>
        <w:t xml:space="preserve">”</w:t>
      </w:r>
      <w:r>
        <w:t xml:space="preserve"> </w:t>
      </w:r>
      <w:r>
        <w:t xml:space="preserve">is $74 million. The QSBS exclusion — if available — would be extremely material to these shareholders’ after-tax proceeds.</w:t>
      </w:r>
    </w:p>
    <w:p>
      <w:pPr>
        <w:pStyle w:val="BodyText"/>
      </w:pPr>
      <w:r>
        <w:rPr>
          <w:b/>
          <w:bCs/>
        </w:rPr>
        <w:t xml:space="preserve">The core legal question.</w:t>
      </w:r>
      <w:r>
        <w:t xml:space="preserve"> </w:t>
      </w:r>
      <w:r>
        <w:t xml:space="preserve">Section 1202 by its terms applies to gain on the</w:t>
      </w:r>
      <w:r>
        <w:t xml:space="preserve"> </w:t>
      </w:r>
      <w:r>
        <w:t xml:space="preserve">“</w:t>
      </w:r>
      <w:r>
        <w:t xml:space="preserve">sale or exchange</w:t>
      </w:r>
      <w:r>
        <w:t xml:space="preserve">”</w:t>
      </w:r>
      <w:r>
        <w:t xml:space="preserve"> </w:t>
      </w:r>
      <w:r>
        <w:t xml:space="preserve">of</w:t>
      </w:r>
      <w:r>
        <w:t xml:space="preserve"> </w:t>
      </w:r>
      <w:r>
        <w:t xml:space="preserve">“</w:t>
      </w:r>
      <w:r>
        <w:t xml:space="preserve">qualified small business stock.</w:t>
      </w:r>
      <w:r>
        <w:t xml:space="preserve">”</w:t>
      </w:r>
      <w:r>
        <w:t xml:space="preserve"> </w:t>
      </w:r>
      <w:r>
        <w:t xml:space="preserve">The Section 338(h)(10) election recharacterizes the transaction as a deemed asset sale by the S corporation followed by a deemed liquidation — not a stock sale by the shareholders. As Calloway himself acknowledged in his November 20 email,</w:t>
      </w:r>
      <w:r>
        <w:t xml:space="preserve"> </w:t>
      </w:r>
      <w:r>
        <w:t xml:space="preserve">“</w:t>
      </w:r>
      <w:r>
        <w:t xml:space="preserve">there is a real question… as to whether the deemed asset sale treatment under Section 338(h)(10) is in tension with the statutory language of Section 1202.</w:t>
      </w:r>
      <w:r>
        <w:t xml:space="preserve">”</w:t>
      </w:r>
      <w:r>
        <w:t xml:space="preserve"> </w:t>
      </w:r>
      <w:r>
        <w:t xml:space="preserve">If the deemed asset sale treatment forecloses QSBS, affected shareholders may prefer an alternative structure (e.g., a straight stock sale without the 338(h)(10) election), which would directly conflict with Buyer’s preference.</w:t>
      </w:r>
    </w:p>
    <w:p>
      <w:pPr>
        <w:pStyle w:val="BodyText"/>
      </w:pPr>
      <w:r>
        <w:rPr>
          <w:b/>
          <w:bCs/>
        </w:rPr>
        <w:t xml:space="preserve">Impact.</w:t>
      </w:r>
      <w:r>
        <w:t xml:space="preserve"> </w:t>
      </w:r>
      <w:r>
        <w:t xml:space="preserve">The omission is a failure to deliver analysis that CSW explicitly committed to provide in writing, on a matter of material economic significance to multiple selling shareholders, on a timeline that has already been missed (the PA was signed without the analysis). The shareholders signed the definitive purchase agreement without the QSBS information they were promised. This creates both a professional responsibility concern and a transaction risk: if shareholders later conclude that the 338(h)(10) election eliminated their QSBS exclusion, they may resist consenting to the election (which requires unanimous shareholder consent under Treas. Reg. §1.338(h)(10)-1(c)(3)).</w:t>
      </w:r>
    </w:p>
    <w:p>
      <w:pPr>
        <w:pStyle w:val="BodyText"/>
      </w:pPr>
      <w:r>
        <w:rPr>
          <w:b/>
          <w:bCs/>
        </w:rPr>
        <w:t xml:space="preserve">Recommendation.</w:t>
      </w:r>
      <w:r>
        <w:t xml:space="preserve"> </w:t>
      </w:r>
      <w:r>
        <w:t xml:space="preserve">Prepare and deliver the QSBS analysis immediately, addressing: (i) whether shares issued during the C corporation period retain QSBS character through the intervening S corporation years; (ii) whether the Section 338(h)(10) deemed asset sale treatment eliminates the Section 1202 exclusion; (iii) the $50 million aggregate gross assets test under §1202(d); (iv) the application of any exclusion to the escrow component; and (v) whether an alternative structure would preserve the exclusion. The analysis should be provided to affected shareholders and should inform the election decision.</w:t>
      </w:r>
    </w:p>
    <w:p>
      <w:r>
        <w:pict>
          <v:rect style="width:0;height:1.5pt" o:hralign="center" o:hrstd="t" o:hr="t"/>
        </w:pict>
      </w:r>
    </w:p>
    <w:bookmarkEnd w:id="28"/>
    <w:bookmarkEnd w:id="29"/>
    <w:bookmarkStart w:id="37" w:name="b.-high-severity-issues"/>
    <w:p>
      <w:pPr>
        <w:pStyle w:val="Heading3"/>
      </w:pPr>
      <w:r>
        <w:t xml:space="preserve">B. High-Severity Issues</w:t>
      </w:r>
    </w:p>
    <w:p>
      <w:r>
        <w:pict>
          <v:rect style="width:0;height:1.5pt" o:hralign="center" o:hrstd="t" o:hr="t"/>
        </w:pict>
      </w:r>
    </w:p>
    <w:bookmarkStart w:id="30" w:name="Xdbf9bef9ca42c83a6dcf46b1eae8f9738ffb15b"/>
    <w:p>
      <w:pPr>
        <w:pStyle w:val="Heading4"/>
      </w:pPr>
      <w:r>
        <w:t xml:space="preserve">H-1. Class V Purchase Price Allocation Understated by $28.5 Million — Developed Technology / Software</w:t>
      </w:r>
    </w:p>
    <w:p>
      <w:pPr>
        <w:pStyle w:val="FirstParagraph"/>
      </w:pPr>
      <w:r>
        <w:rPr>
          <w:b/>
          <w:bCs/>
        </w:rPr>
        <w:t xml:space="preserve">Severity:</w:t>
      </w:r>
      <w:r>
        <w:t xml:space="preserve"> </w:t>
      </w:r>
      <w:r>
        <w:t xml:space="preserve">High</w:t>
      </w:r>
      <w:r>
        <w:t xml:space="preserve"> </w:t>
      </w:r>
      <w:r>
        <w:rPr>
          <w:b/>
          <w:bCs/>
        </w:rPr>
        <w:t xml:space="preserve">Memo Location:</w:t>
      </w:r>
      <w:r>
        <w:t xml:space="preserve"> </w:t>
      </w:r>
      <w:r>
        <w:t xml:space="preserve">Section IV.C (Class V); Appendix B</w:t>
      </w:r>
      <w:r>
        <w:t xml:space="preserve"> </w:t>
      </w:r>
      <w:r>
        <w:rPr>
          <w:b/>
          <w:bCs/>
        </w:rPr>
        <w:t xml:space="preserve">Supporting Document:</w:t>
      </w:r>
      <w:r>
        <w:t xml:space="preserve"> </w:t>
      </w:r>
      <w:r>
        <w:t xml:space="preserve">Asset Valuation Summary,</w:t>
      </w:r>
      <w:r>
        <w:t xml:space="preserve"> </w:t>
      </w:r>
      <w:r>
        <w:t xml:space="preserve">“</w:t>
      </w:r>
      <w:r>
        <w:t xml:space="preserve">Asset Detail</w:t>
      </w:r>
      <w:r>
        <w:t xml:space="preserve">”</w:t>
      </w:r>
      <w:r>
        <w:t xml:space="preserve"> </w:t>
      </w:r>
      <w:r>
        <w:t xml:space="preserve">and</w:t>
      </w:r>
      <w:r>
        <w:t xml:space="preserve"> </w:t>
      </w:r>
      <w:r>
        <w:t xml:space="preserve">“</w:t>
      </w:r>
      <w:r>
        <w:t xml:space="preserve">Allocation Summary</w:t>
      </w:r>
      <w:r>
        <w:t xml:space="preserve">”</w:t>
      </w:r>
      <w:r>
        <w:t xml:space="preserve"> </w:t>
      </w:r>
      <w:r>
        <w:t xml:space="preserve">tabs</w:t>
      </w:r>
    </w:p>
    <w:p>
      <w:pPr>
        <w:pStyle w:val="BodyText"/>
      </w:pPr>
      <w:r>
        <w:rPr>
          <w:b/>
          <w:bCs/>
        </w:rPr>
        <w:t xml:space="preserve">Description.</w:t>
      </w:r>
      <w:r>
        <w:t xml:space="preserve"> </w:t>
      </w:r>
      <w:r>
        <w:t xml:space="preserve">The Memo’s Class V allocation totals $68.5 million, comprising: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Memo</w:t>
            </w:r>
          </w:p>
        </w:tc>
        <w:tc>
          <w:tcPr/>
          <w:p>
            <w:pPr>
              <w:pStyle w:val="Compact"/>
              <w:jc w:val="left"/>
            </w:pPr>
            <w:r>
              <w:t xml:space="preserve">Thornfield</w:t>
            </w:r>
          </w:p>
        </w:tc>
      </w:tr>
      <w:tr>
        <w:tc>
          <w:tcPr/>
          <w:p>
            <w:pPr>
              <w:pStyle w:val="Compact"/>
              <w:jc w:val="left"/>
            </w:pPr>
            <w:r>
              <w:t xml:space="preserve">Real Property (Raleigh office)</w:t>
            </w:r>
          </w:p>
        </w:tc>
        <w:tc>
          <w:tcPr/>
          <w:p>
            <w:pPr>
              <w:pStyle w:val="Compact"/>
              <w:jc w:val="left"/>
            </w:pPr>
            <w:r>
              <w:t xml:space="preserve">$14.2M</w:t>
            </w:r>
          </w:p>
        </w:tc>
        <w:tc>
          <w:tcPr/>
          <w:p>
            <w:pPr>
              <w:pStyle w:val="Compact"/>
              <w:jc w:val="left"/>
            </w:pPr>
            <w:r>
              <w:t xml:space="preserve">$14.2M</w:t>
            </w:r>
          </w:p>
        </w:tc>
      </w:tr>
      <w:tr>
        <w:tc>
          <w:tcPr/>
          <w:p>
            <w:pPr>
              <w:pStyle w:val="Compact"/>
              <w:jc w:val="left"/>
            </w:pPr>
            <w:r>
              <w:t xml:space="preserve">Furniture, Fixtures &amp; Equipment</w:t>
            </w:r>
          </w:p>
        </w:tc>
        <w:tc>
          <w:tcPr/>
          <w:p>
            <w:pPr>
              <w:pStyle w:val="Compact"/>
              <w:jc w:val="left"/>
            </w:pPr>
            <w:r>
              <w:t xml:space="preserve">$6.8M</w:t>
            </w:r>
          </w:p>
        </w:tc>
        <w:tc>
          <w:tcPr/>
          <w:p>
            <w:pPr>
              <w:pStyle w:val="Compact"/>
              <w:jc w:val="left"/>
            </w:pPr>
            <w:r>
              <w:t xml:space="preserve">$6.8M</w:t>
            </w:r>
          </w:p>
        </w:tc>
      </w:tr>
      <w:tr>
        <w:tc>
          <w:tcPr/>
          <w:p>
            <w:pPr>
              <w:pStyle w:val="Compact"/>
              <w:jc w:val="left"/>
            </w:pPr>
            <w:r>
              <w:t xml:space="preserve">Software / Developed Technology</w:t>
            </w:r>
          </w:p>
        </w:tc>
        <w:tc>
          <w:tcPr/>
          <w:p>
            <w:pPr>
              <w:pStyle w:val="Compact"/>
              <w:jc w:val="left"/>
            </w:pPr>
            <w:r>
              <w:t xml:space="preserve">$19.0M</w:t>
            </w:r>
          </w:p>
        </w:tc>
        <w:tc>
          <w:tcPr/>
          <w:p>
            <w:pPr>
              <w:pStyle w:val="Compact"/>
              <w:jc w:val="left"/>
            </w:pPr>
            <w:r>
              <w:t xml:space="preserve">$47.5M*</w:t>
            </w:r>
          </w:p>
        </w:tc>
      </w:tr>
      <w:tr>
        <w:tc>
          <w:tcPr/>
          <w:p>
            <w:pPr>
              <w:pStyle w:val="Compact"/>
              <w:jc w:val="left"/>
            </w:pPr>
            <w:r>
              <w:t xml:space="preserve">NC Data Processing License</w:t>
            </w:r>
          </w:p>
        </w:tc>
        <w:tc>
          <w:tcPr/>
          <w:p>
            <w:pPr>
              <w:pStyle w:val="Compact"/>
              <w:jc w:val="left"/>
            </w:pPr>
            <w:r>
              <w:t xml:space="preserve">(not listed)</w:t>
            </w:r>
          </w:p>
        </w:tc>
        <w:tc>
          <w:tcPr/>
          <w:p>
            <w:pPr>
              <w:pStyle w:val="Compact"/>
              <w:jc w:val="left"/>
            </w:pPr>
            <w:r>
              <w:t xml:space="preserve">$0</w:t>
            </w:r>
          </w:p>
        </w:tc>
      </w:tr>
      <w:tr>
        <w:tc>
          <w:tcPr/>
          <w:p>
            <w:pPr>
              <w:pStyle w:val="Compact"/>
              <w:jc w:val="left"/>
            </w:pPr>
            <w:r>
              <w:t xml:space="preserve">Beacon Insights 80.5% interest</w:t>
            </w:r>
          </w:p>
        </w:tc>
        <w:tc>
          <w:tcPr/>
          <w:p>
            <w:pPr>
              <w:pStyle w:val="Compact"/>
              <w:jc w:val="left"/>
            </w:pPr>
            <w:r>
              <w:t xml:space="preserve">$28.5M</w:t>
            </w:r>
          </w:p>
        </w:tc>
        <w:tc>
          <w:tcPr/>
          <w:p>
            <w:pPr>
              <w:pStyle w:val="Compact"/>
              <w:jc w:val="left"/>
            </w:pPr>
            <w:r>
              <w:t xml:space="preserve">$28.5M</w:t>
            </w:r>
          </w:p>
        </w:tc>
      </w:tr>
      <w:tr>
        <w:tc>
          <w:tcPr/>
          <w:p>
            <w:pPr>
              <w:pStyle w:val="Compact"/>
              <w:jc w:val="left"/>
            </w:pPr>
            <w:r>
              <w:rPr>
                <w:b/>
                <w:bCs/>
              </w:rPr>
              <w:t xml:space="preserve">Total Class V</w:t>
            </w:r>
          </w:p>
        </w:tc>
        <w:tc>
          <w:tcPr/>
          <w:p>
            <w:pPr>
              <w:pStyle w:val="Compact"/>
              <w:jc w:val="left"/>
            </w:pPr>
            <w:r>
              <w:rPr>
                <w:b/>
                <w:bCs/>
              </w:rPr>
              <w:t xml:space="preserve">$68.5M</w:t>
            </w:r>
          </w:p>
        </w:tc>
        <w:tc>
          <w:tcPr/>
          <w:p>
            <w:pPr>
              <w:pStyle w:val="Compact"/>
              <w:jc w:val="left"/>
            </w:pPr>
            <w:r>
              <w:rPr>
                <w:b/>
                <w:bCs/>
              </w:rPr>
              <w:t xml:space="preserve">$97.0M</w:t>
            </w:r>
          </w:p>
        </w:tc>
      </w:tr>
    </w:tbl>
    <w:p>
      <w:pPr>
        <w:pStyle w:val="BodyText"/>
      </w:pPr>
      <w:r>
        <w:t xml:space="preserve">*Thornfield values developed technology at $41.8M (relief-from-royalty method) and government-sector software licenses at $5.7M (income/DCF approach), totaling $47.5M.</w:t>
      </w:r>
    </w:p>
    <w:p>
      <w:pPr>
        <w:pStyle w:val="BodyText"/>
      </w:pPr>
      <w:r>
        <w:t xml:space="preserve">The Memo’s</w:t>
      </w:r>
      <w:r>
        <w:t xml:space="preserve"> </w:t>
      </w:r>
      <w:r>
        <w:t xml:space="preserve">“</w:t>
      </w:r>
      <w:r>
        <w:t xml:space="preserve">Software / Developed Technology</w:t>
      </w:r>
      <w:r>
        <w:t xml:space="preserve">”</w:t>
      </w:r>
      <w:r>
        <w:t xml:space="preserve"> </w:t>
      </w:r>
      <w:r>
        <w:t xml:space="preserve">line of $19.0 million is less than half of Thornfield’s $47.5 million valuation for the same category of assets. The $28.5 million understatement in Class V, combined with the $48 million ADSP overstatement (Issue C-1), produces a combined $76.5 million overstatement of the Class VII goodwill residual ($272.8M per Memo vs. $196.3M per Thornfield).</w:t>
      </w:r>
    </w:p>
    <w:p>
      <w:pPr>
        <w:pStyle w:val="BodyText"/>
      </w:pPr>
      <w:r>
        <w:rPr>
          <w:b/>
          <w:bCs/>
        </w:rPr>
        <w:t xml:space="preserve">Note on the asset valuation summary’s attribution.</w:t>
      </w:r>
      <w:r>
        <w:t xml:space="preserve"> </w:t>
      </w:r>
      <w:r>
        <w:t xml:space="preserve">The Thornfield asset valuation summary (Note 2) states that the Memo’s Class V</w:t>
      </w:r>
      <w:r>
        <w:t xml:space="preserve"> </w:t>
      </w:r>
      <w:r>
        <w:t xml:space="preserve">“</w:t>
      </w:r>
      <w:r>
        <w:t xml:space="preserve">does not appear to include the $28,500,000 Beacon interest.</w:t>
      </w:r>
      <w:r>
        <w:t xml:space="preserve">”</w:t>
      </w:r>
      <w:r>
        <w:t xml:space="preserve"> </w:t>
      </w:r>
      <w:r>
        <w:t xml:space="preserve">This attribution appears to be incorrect — the Memo does list the Beacon interest at $28.5M in Class V. The actual cause of the $28.5M variance is the developed technology / software line ($19.0M vs. $47.5M). The variance amount ($28.5M) is correct; the Thornfield note’s explanation of its cause is not.</w:t>
      </w:r>
    </w:p>
    <w:p>
      <w:pPr>
        <w:pStyle w:val="BodyText"/>
      </w:pPr>
      <w:r>
        <w:rPr>
          <w:b/>
          <w:bCs/>
        </w:rPr>
        <w:t xml:space="preserve">Impact.</w:t>
      </w:r>
      <w:r>
        <w:t xml:space="preserve"> </w:t>
      </w:r>
      <w:r>
        <w:t xml:space="preserve">The understatement of Class V shifts $28.5 million of value from developed technology (amortizable over approximately 5 years under §167, per the asset valuation summary) into Class VII goodwill (amortizable over 15 years under §197). This slows Buyer’s near-term tax amortization deductions. More fundamentally, the allocation is inconsistent with the supporting valuation, creating a Form 8883 reporting discrepancy between Buyer and the selling shareholders.</w:t>
      </w:r>
    </w:p>
    <w:p>
      <w:pPr>
        <w:pStyle w:val="BodyText"/>
      </w:pPr>
      <w:r>
        <w:rPr>
          <w:b/>
          <w:bCs/>
        </w:rPr>
        <w:t xml:space="preserve">Recommendation.</w:t>
      </w:r>
      <w:r>
        <w:t xml:space="preserve"> </w:t>
      </w:r>
      <w:r>
        <w:t xml:space="preserve">Revise the Class V allocation to reflect Thornfield’s asset-level valuations. Separately identify the developed technology ($41.8M), government software licenses ($5.7M), and the NC data processing license ($0). Confirm the appropriate amortization method and recovery period for each Class V intangible.</w:t>
      </w:r>
    </w:p>
    <w:p>
      <w:r>
        <w:pict>
          <v:rect style="width:0;height:1.5pt" o:hralign="center" o:hrstd="t" o:hr="t"/>
        </w:pict>
      </w:r>
    </w:p>
    <w:bookmarkEnd w:id="30"/>
    <w:bookmarkStart w:id="31" w:name="Xb95d26788cf1164b384028e738958c7e22d61c8"/>
    <w:p>
      <w:pPr>
        <w:pStyle w:val="Heading4"/>
      </w:pPr>
      <w:r>
        <w:t xml:space="preserve">H-2. Beacon IP License Agreement — Automatic Termination on Change of Control Not Addressed</w:t>
      </w:r>
    </w:p>
    <w:p>
      <w:pPr>
        <w:pStyle w:val="FirstParagraph"/>
      </w:pPr>
      <w:r>
        <w:rPr>
          <w:b/>
          <w:bCs/>
        </w:rPr>
        <w:t xml:space="preserve">Severity:</w:t>
      </w:r>
      <w:r>
        <w:t xml:space="preserve"> </w:t>
      </w:r>
      <w:r>
        <w:t xml:space="preserve">High</w:t>
      </w:r>
      <w:r>
        <w:t xml:space="preserve"> </w:t>
      </w:r>
      <w:r>
        <w:rPr>
          <w:b/>
          <w:bCs/>
        </w:rPr>
        <w:t xml:space="preserve">Memo Location:</w:t>
      </w:r>
      <w:r>
        <w:t xml:space="preserve"> </w:t>
      </w:r>
      <w:r>
        <w:t xml:space="preserve">Section VIII (Beacon Insights — Tax Considerations); Section III.C</w:t>
      </w:r>
      <w:r>
        <w:t xml:space="preserve"> </w:t>
      </w:r>
      <w:r>
        <w:rPr>
          <w:b/>
          <w:bCs/>
        </w:rPr>
        <w:t xml:space="preserve">Supporting Document:</w:t>
      </w:r>
      <w:r>
        <w:t xml:space="preserve"> </w:t>
      </w:r>
      <w:r>
        <w:t xml:space="preserve">Beacon Insights, LLC Operating Agreement, Section 9.02</w:t>
      </w:r>
    </w:p>
    <w:p>
      <w:pPr>
        <w:pStyle w:val="BodyText"/>
      </w:pPr>
      <w:r>
        <w:rPr>
          <w:b/>
          <w:bCs/>
        </w:rPr>
        <w:t xml:space="preserve">Description.</w:t>
      </w:r>
      <w:r>
        <w:t xml:space="preserve"> </w:t>
      </w:r>
      <w:r>
        <w:t xml:space="preserve">The Beacon operating agreement Section 9.02 provides:</w:t>
      </w:r>
    </w:p>
    <w:p>
      <w:pPr>
        <w:pStyle w:val="BlockText"/>
      </w:pPr>
      <w:r>
        <w:t xml:space="preserve">“</w:t>
      </w:r>
      <w:r>
        <w:t xml:space="preserve">The IP License Agreement shall terminate automatically upon a Transfer of Prism’s Membership Interest in the Company (including a deemed Transfer resulting from a Change of Control of Prism), unless the parties agree otherwise in writing.</w:t>
      </w:r>
      <w:r>
        <w:t xml:space="preserve">”</w:t>
      </w:r>
    </w:p>
    <w:p>
      <w:pPr>
        <w:pStyle w:val="FirstParagraph"/>
      </w:pPr>
      <w:r>
        <w:t xml:space="preserve">The merger constitutes a</w:t>
      </w:r>
      <w:r>
        <w:t xml:space="preserve"> </w:t>
      </w:r>
      <w:r>
        <w:t xml:space="preserve">“</w:t>
      </w:r>
      <w:r>
        <w:t xml:space="preserve">Change of Control</w:t>
      </w:r>
      <w:r>
        <w:t xml:space="preserve">”</w:t>
      </w:r>
      <w:r>
        <w:t xml:space="preserve"> </w:t>
      </w:r>
      <w:r>
        <w:t xml:space="preserve">of Prism under the operating agreement’s definition (Section 1.1: a transaction</w:t>
      </w:r>
      <w:r>
        <w:t xml:space="preserve"> </w:t>
      </w:r>
      <w:r>
        <w:t xml:space="preserve">“</w:t>
      </w:r>
      <w:r>
        <w:t xml:space="preserve">resulting in a change in the beneficial ownership of more than fifty percent (50%) of the voting equity interests of such Member</w:t>
      </w:r>
      <w:r>
        <w:t xml:space="preserve">”</w:t>
      </w:r>
      <w:r>
        <w:t xml:space="preserve">). The Section 338(h)(10) deemed asset sale would also constitute a</w:t>
      </w:r>
      <w:r>
        <w:t xml:space="preserve"> </w:t>
      </w:r>
      <w:r>
        <w:t xml:space="preserve">“</w:t>
      </w:r>
      <w:r>
        <w:t xml:space="preserve">deemed Transfer</w:t>
      </w:r>
      <w:r>
        <w:t xml:space="preserve">”</w:t>
      </w:r>
      <w:r>
        <w:t xml:space="preserve"> </w:t>
      </w:r>
      <w:r>
        <w:t xml:space="preserve">of Prism’s membership interest. Accordingly, the IP License Agreement — under which Beacon licenses core proprietary algorithms, software platforms, and data processing tools from Prism — would</w:t>
      </w:r>
      <w:r>
        <w:t xml:space="preserve"> </w:t>
      </w:r>
      <w:r>
        <w:rPr>
          <w:b/>
          <w:bCs/>
        </w:rPr>
        <w:t xml:space="preserve">terminate automatically</w:t>
      </w:r>
      <w:r>
        <w:t xml:space="preserve"> </w:t>
      </w:r>
      <w:r>
        <w:t xml:space="preserve">at closing unless the parties agree otherwise in writing.</w:t>
      </w:r>
    </w:p>
    <w:p>
      <w:pPr>
        <w:pStyle w:val="BodyText"/>
      </w:pPr>
      <w:r>
        <w:t xml:space="preserve">The Memo discusses the intercompany IP license fee ($400,000/year) in Sections III.C and VIII but does not mention the automatic termination provision. Beacon generates approximately $11 million in annual revenue using the licensed IP; its entire service delivery platform depends on it. If the IP license terminates, Beacon’s business and the $28.5 million fair market value of Prism’s 80.5% interest could be severely impaired.</w:t>
      </w:r>
    </w:p>
    <w:p>
      <w:pPr>
        <w:pStyle w:val="BodyText"/>
      </w:pPr>
      <w:r>
        <w:rPr>
          <w:b/>
          <w:bCs/>
        </w:rPr>
        <w:t xml:space="preserve">Impact.</w:t>
      </w:r>
      <w:r>
        <w:t xml:space="preserve"> </w:t>
      </w:r>
      <w:r>
        <w:t xml:space="preserve">The automatic termination of the IP License Agreement could destroy Beacon’s revenue-generating capability, undermining the $28.5 million valuation assigned to Prism’s Beacon interest in the purchase price allocation. The Memo’s failure to address this provision means the Investment Committee is not aware of a risk that could materially affect the value of a $28.5 million allocated asset.</w:t>
      </w:r>
    </w:p>
    <w:p>
      <w:pPr>
        <w:pStyle w:val="BodyText"/>
      </w:pPr>
      <w:r>
        <w:rPr>
          <w:b/>
          <w:bCs/>
        </w:rPr>
        <w:t xml:space="preserve">Recommendation.</w:t>
      </w:r>
      <w:r>
        <w:t xml:space="preserve"> </w:t>
      </w:r>
      <w:r>
        <w:t xml:space="preserve">Confirm whether the parties intend to enter into a new or continued IP license agreement post-closing. If the IP license is not preserved, reassess the Beacon interest valuation and the associated Class V allocation. Address the IP license continuity as a closing condition.</w:t>
      </w:r>
    </w:p>
    <w:p>
      <w:r>
        <w:pict>
          <v:rect style="width:0;height:1.5pt" o:hralign="center" o:hrstd="t" o:hr="t"/>
        </w:pict>
      </w:r>
    </w:p>
    <w:bookmarkEnd w:id="31"/>
    <w:bookmarkStart w:id="32" w:name="X26a737e82924c3685569084e7e68f5f5a717db0"/>
    <w:p>
      <w:pPr>
        <w:pStyle w:val="Heading4"/>
      </w:pPr>
      <w:r>
        <w:t xml:space="preserve">H-3. Beacon Right of First Refusal — Triggered by Change of Control of Prism, Not Analyzed</w:t>
      </w:r>
    </w:p>
    <w:p>
      <w:pPr>
        <w:pStyle w:val="FirstParagraph"/>
      </w:pPr>
      <w:r>
        <w:rPr>
          <w:b/>
          <w:bCs/>
        </w:rPr>
        <w:t xml:space="preserve">Severity:</w:t>
      </w:r>
      <w:r>
        <w:t xml:space="preserve"> </w:t>
      </w:r>
      <w:r>
        <w:t xml:space="preserve">High</w:t>
      </w:r>
      <w:r>
        <w:t xml:space="preserve"> </w:t>
      </w:r>
      <w:r>
        <w:rPr>
          <w:b/>
          <w:bCs/>
        </w:rPr>
        <w:t xml:space="preserve">Memo Location:</w:t>
      </w:r>
      <w:r>
        <w:t xml:space="preserve"> </w:t>
      </w:r>
      <w:r>
        <w:t xml:space="preserve">Section VIII (Beacon Insights — Tax Considerations)</w:t>
      </w:r>
      <w:r>
        <w:t xml:space="preserve"> </w:t>
      </w:r>
      <w:r>
        <w:rPr>
          <w:b/>
          <w:bCs/>
        </w:rPr>
        <w:t xml:space="preserve">Supporting Document:</w:t>
      </w:r>
      <w:r>
        <w:t xml:space="preserve"> </w:t>
      </w:r>
      <w:r>
        <w:t xml:space="preserve">Beacon Insights, LLC Operating Agreement, Section 8.03; Stock Purchase Agreement Section 8.2(g)</w:t>
      </w:r>
    </w:p>
    <w:p>
      <w:pPr>
        <w:pStyle w:val="BodyText"/>
      </w:pPr>
      <w:r>
        <w:rPr>
          <w:b/>
          <w:bCs/>
        </w:rPr>
        <w:t xml:space="preserve">Description.</w:t>
      </w:r>
      <w:r>
        <w:t xml:space="preserve"> </w:t>
      </w:r>
      <w:r>
        <w:t xml:space="preserve">The Beacon operating agreement Section 8.03(a)(ii) provides that a</w:t>
      </w:r>
      <w:r>
        <w:t xml:space="preserve"> </w:t>
      </w:r>
      <w:r>
        <w:t xml:space="preserve">“</w:t>
      </w:r>
      <w:r>
        <w:t xml:space="preserve">Change of Control of any Member that is an entity</w:t>
      </w:r>
      <w:r>
        <w:t xml:space="preserve">”</w:t>
      </w:r>
      <w:r>
        <w:t xml:space="preserve"> </w:t>
      </w:r>
      <w:r>
        <w:t xml:space="preserve">is a</w:t>
      </w:r>
      <w:r>
        <w:t xml:space="preserve"> </w:t>
      </w:r>
      <w:r>
        <w:t xml:space="preserve">“</w:t>
      </w:r>
      <w:r>
        <w:t xml:space="preserve">Triggering Event</w:t>
      </w:r>
      <w:r>
        <w:t xml:space="preserve">”</w:t>
      </w:r>
      <w:r>
        <w:t xml:space="preserve"> </w:t>
      </w:r>
      <w:r>
        <w:t xml:space="preserve">for the right of first refusal (ROFR). Prism is a Member that is an entity. The merger constitutes a Change of Control of Prism. Accordingly, the ROFR is triggered.</w:t>
      </w:r>
    </w:p>
    <w:p>
      <w:pPr>
        <w:pStyle w:val="BodyText"/>
      </w:pPr>
      <w:r>
        <w:t xml:space="preserve">Under Section 8.03, upon the triggering event, the non-transferring members (Marcus Delano at 12.0% and Shirin Avesta at 7.5%) would have 45 calendar days to elect to purchase all of Prism’s 80.5% membership interest at Fair Market Value (determined under Section 8.04, without discount for lack of control or marketability). If either minority member exercises the ROFR, they could purchase Prism’s interest — potentially removing Beacon from the transaction entirely or requiring a buyout of the minority members.</w:t>
      </w:r>
    </w:p>
    <w:p>
      <w:pPr>
        <w:pStyle w:val="BodyText"/>
      </w:pPr>
      <w:r>
        <w:t xml:space="preserve">The Memo mentions that the Beacon operating agreement</w:t>
      </w:r>
      <w:r>
        <w:t xml:space="preserve"> </w:t>
      </w:r>
      <w:r>
        <w:t xml:space="preserve">“</w:t>
      </w:r>
      <w:r>
        <w:t xml:space="preserve">contains customary transfer restrictions, including a right of first refusal on transfers of membership interests</w:t>
      </w:r>
      <w:r>
        <w:t xml:space="preserve">”</w:t>
      </w:r>
      <w:r>
        <w:t xml:space="preserve"> </w:t>
      </w:r>
      <w:r>
        <w:t xml:space="preserve">but does not analyze whether the ROFR is triggered by the Change of Control of Prism, what the consequences would be, or whether the ROFR has been addressed in the transaction documentation. The Stock Purchase Agreement Section 8.2(g) lists</w:t>
      </w:r>
      <w:r>
        <w:t xml:space="preserve"> </w:t>
      </w:r>
      <w:r>
        <w:t xml:space="preserve">“</w:t>
      </w:r>
      <w:r>
        <w:t xml:space="preserve">any required consents under the operating agreement of Beacon Insights, LLC</w:t>
      </w:r>
      <w:r>
        <w:t xml:space="preserve">”</w:t>
      </w:r>
      <w:r>
        <w:t xml:space="preserve"> </w:t>
      </w:r>
      <w:r>
        <w:t xml:space="preserve">as a closing condition, but the Memo does not flag the ROFR as a specific risk.</w:t>
      </w:r>
    </w:p>
    <w:p>
      <w:pPr>
        <w:pStyle w:val="BodyText"/>
      </w:pPr>
      <w:r>
        <w:rPr>
          <w:b/>
          <w:bCs/>
        </w:rPr>
        <w:t xml:space="preserve">Impact.</w:t>
      </w:r>
      <w:r>
        <w:t xml:space="preserve"> </w:t>
      </w:r>
      <w:r>
        <w:t xml:space="preserve">If the ROFR is triggered and exercised, the transaction structure could be disrupted — Prism’s 80.5% interest in Beacon (valued at $28.5 million) could be purchased by the minority members rather than transferring to Buyer. This would affect the purchase price allocation, the deal economics, and potentially the closing timeline (the ROFR exercise period is 45 days, with a closing 30 days thereafter).</w:t>
      </w:r>
    </w:p>
    <w:p>
      <w:pPr>
        <w:pStyle w:val="BodyText"/>
      </w:pPr>
      <w:r>
        <w:rPr>
          <w:b/>
          <w:bCs/>
        </w:rPr>
        <w:t xml:space="preserve">Recommendation.</w:t>
      </w:r>
      <w:r>
        <w:t xml:space="preserve"> </w:t>
      </w:r>
      <w:r>
        <w:t xml:space="preserve">Analyze whether the ROFR has been formally triggered, whether the ROFR notice has been delivered, and whether the minority members intend to exercise. Confirm that the ROFR is addressed in the closing conditions and transaction timeline. Consider whether a waiver or buyout of the minority members is required.</w:t>
      </w:r>
    </w:p>
    <w:p>
      <w:r>
        <w:pict>
          <v:rect style="width:0;height:1.5pt" o:hralign="center" o:hrstd="t" o:hr="t"/>
        </w:pict>
      </w:r>
    </w:p>
    <w:bookmarkEnd w:id="32"/>
    <w:bookmarkStart w:id="33" w:name="X4aac08674a277371b62d2fb4e254cf025b879fc"/>
    <w:p>
      <w:pPr>
        <w:pStyle w:val="Heading4"/>
      </w:pPr>
      <w:r>
        <w:t xml:space="preserve">H-4. Post-Closing Entity Conversion Recommendation Is Legally Erroneous</w:t>
      </w:r>
    </w:p>
    <w:p>
      <w:pPr>
        <w:pStyle w:val="FirstParagraph"/>
      </w:pPr>
      <w:r>
        <w:rPr>
          <w:b/>
          <w:bCs/>
        </w:rPr>
        <w:t xml:space="preserve">Severity:</w:t>
      </w:r>
      <w:r>
        <w:t xml:space="preserve"> </w:t>
      </w:r>
      <w:r>
        <w:t xml:space="preserve">High</w:t>
      </w:r>
      <w:r>
        <w:t xml:space="preserve"> </w:t>
      </w:r>
      <w:r>
        <w:rPr>
          <w:b/>
          <w:bCs/>
        </w:rPr>
        <w:t xml:space="preserve">Memo Location:</w:t>
      </w:r>
      <w:r>
        <w:t xml:space="preserve"> </w:t>
      </w:r>
      <w:r>
        <w:t xml:space="preserve">Section VII.B (Other Buyer Considerations — Post-Closing Entity Conversion)</w:t>
      </w:r>
      <w:r>
        <w:t xml:space="preserve"> </w:t>
      </w:r>
      <w:r>
        <w:rPr>
          <w:b/>
          <w:bCs/>
        </w:rPr>
        <w:t xml:space="preserve">Supporting Document:</w:t>
      </w:r>
      <w:r>
        <w:t xml:space="preserve"> </w:t>
      </w:r>
      <w:r>
        <w:t xml:space="preserve">Internal Revenue Code §301.7701-2, §301.7701-3</w:t>
      </w:r>
    </w:p>
    <w:p>
      <w:pPr>
        <w:pStyle w:val="BodyText"/>
      </w:pPr>
      <w:r>
        <w:rPr>
          <w:b/>
          <w:bCs/>
        </w:rPr>
        <w:t xml:space="preserve">Description.</w:t>
      </w:r>
      <w:r>
        <w:t xml:space="preserve"> </w:t>
      </w:r>
      <w:r>
        <w:t xml:space="preserve">The Memo recommends:</w:t>
      </w:r>
      <w:r>
        <w:t xml:space="preserve"> </w:t>
      </w:r>
      <w:r>
        <w:t xml:space="preserve">“</w:t>
      </w:r>
      <w:r>
        <w:t xml:space="preserve">We recommend that Buyer consider converting Prism from a C corporation to a disregarded entity or partnership for federal income tax purposes following the closing, by making a check-the-box election under Treas. Reg. 1.301-7701-3.</w:t>
      </w:r>
      <w:r>
        <w:t xml:space="preserve">”</w:t>
      </w:r>
    </w:p>
    <w:p>
      <w:pPr>
        <w:pStyle w:val="BodyText"/>
      </w:pPr>
      <w:r>
        <w:t xml:space="preserve">This recommendation is legally erroneous. Prism is a Delaware corporation. Under Treas. Reg. §301.7701-2(b)(1), a business entity organized under a state corporate statute is a</w:t>
      </w:r>
      <w:r>
        <w:t xml:space="preserve"> </w:t>
      </w:r>
      <w:r>
        <w:t xml:space="preserve">“</w:t>
      </w:r>
      <w:r>
        <w:t xml:space="preserve">per se corporation.</w:t>
      </w:r>
      <w:r>
        <w:t xml:space="preserve">”</w:t>
      </w:r>
      <w:r>
        <w:t xml:space="preserve"> </w:t>
      </w:r>
      <w:r>
        <w:t xml:space="preserve">Under Treas. Reg. §301.7701-3(a),</w:t>
      </w:r>
      <w:r>
        <w:t xml:space="preserve"> </w:t>
      </w:r>
      <w:r>
        <w:t xml:space="preserve">“</w:t>
      </w:r>
      <w:r>
        <w:t xml:space="preserve">a business entity that is classified as a corporation under §301.7701-2(b) cannot elect to be classified otherwise.</w:t>
      </w:r>
      <w:r>
        <w:t xml:space="preserve">”</w:t>
      </w:r>
      <w:r>
        <w:t xml:space="preserve"> </w:t>
      </w:r>
      <w:r>
        <w:t xml:space="preserve">A state-law corporation therefore</w:t>
      </w:r>
      <w:r>
        <w:t xml:space="preserve"> </w:t>
      </w:r>
      <w:r>
        <w:rPr>
          <w:b/>
          <w:bCs/>
        </w:rPr>
        <w:t xml:space="preserve">cannot</w:t>
      </w:r>
      <w:r>
        <w:t xml:space="preserve"> </w:t>
      </w:r>
      <w:r>
        <w:t xml:space="preserve">use a check-the-box election to change its classification to a disregarded entity or partnership. The check-the-box regulations apply only to</w:t>
      </w:r>
      <w:r>
        <w:t xml:space="preserve"> </w:t>
      </w:r>
      <w:r>
        <w:t xml:space="preserve">“</w:t>
      </w:r>
      <w:r>
        <w:t xml:space="preserve">eligible entities</w:t>
      </w:r>
      <w:r>
        <w:t xml:space="preserve">”</w:t>
      </w:r>
      <w:r>
        <w:t xml:space="preserve"> </w:t>
      </w:r>
      <w:r>
        <w:t xml:space="preserve">— entities that are not per se corporations.</w:t>
      </w:r>
    </w:p>
    <w:p>
      <w:pPr>
        <w:pStyle w:val="BodyText"/>
      </w:pPr>
      <w:r>
        <w:t xml:space="preserve">To achieve pass-through treatment post-closing, Buyer would need to use a different structure, such as a taxable liquidation of the corporation under §§331/336 (which would trigger corporate-level tax on the difference between the assets’ fair market value and their basis — potentially a second level of tax on top of the Section 338(h)(10) deemed sale), or an F-reorganization coupled with a partnership acquisition vehicle, each of which carries its own tax consequences.</w:t>
      </w:r>
    </w:p>
    <w:p>
      <w:pPr>
        <w:pStyle w:val="BodyText"/>
      </w:pPr>
      <w:r>
        <w:rPr>
          <w:b/>
          <w:bCs/>
        </w:rPr>
        <w:t xml:space="preserve">Additional citation error.</w:t>
      </w:r>
      <w:r>
        <w:t xml:space="preserve"> </w:t>
      </w:r>
      <w:r>
        <w:t xml:space="preserve">The Memo cites</w:t>
      </w:r>
      <w:r>
        <w:t xml:space="preserve"> </w:t>
      </w:r>
      <w:r>
        <w:t xml:space="preserve">“</w:t>
      </w:r>
      <w:r>
        <w:t xml:space="preserve">Treas. Reg. 1.301-7701-3</w:t>
      </w:r>
      <w:r>
        <w:t xml:space="preserve">”</w:t>
      </w:r>
      <w:r>
        <w:t xml:space="preserve"> </w:t>
      </w:r>
      <w:r>
        <w:t xml:space="preserve">(Sections II.A, III.C, and VII.B). The correct citation is</w:t>
      </w:r>
      <w:r>
        <w:t xml:space="preserve"> </w:t>
      </w:r>
      <w:r>
        <w:t xml:space="preserve">“</w:t>
      </w:r>
      <w:r>
        <w:t xml:space="preserve">Treas. Reg. §301.7701-3.</w:t>
      </w:r>
      <w:r>
        <w:t xml:space="preserve">”</w:t>
      </w:r>
      <w:r>
        <w:t xml:space="preserve"> </w:t>
      </w:r>
      <w:r>
        <w:t xml:space="preserve">The</w:t>
      </w:r>
      <w:r>
        <w:t xml:space="preserve"> </w:t>
      </w:r>
      <w:r>
        <w:t xml:space="preserve">“</w:t>
      </w:r>
      <w:r>
        <w:t xml:space="preserve">1.</w:t>
      </w:r>
      <w:r>
        <w:t xml:space="preserve">”</w:t>
      </w:r>
      <w:r>
        <w:t xml:space="preserve"> </w:t>
      </w:r>
      <w:r>
        <w:t xml:space="preserve">prefix is incorrect; the check-the-box regulations are issued under §301 of the Code, not §1.</w:t>
      </w:r>
    </w:p>
    <w:p>
      <w:pPr>
        <w:pStyle w:val="BodyText"/>
      </w:pPr>
      <w:r>
        <w:rPr>
          <w:b/>
          <w:bCs/>
        </w:rPr>
        <w:t xml:space="preserve">Impact.</w:t>
      </w:r>
      <w:r>
        <w:t xml:space="preserve"> </w:t>
      </w:r>
      <w:r>
        <w:t xml:space="preserve">The recommendation, if followed, would fail — a check-the-box election filed by a per se corporation has no effect. If Buyer relies on this recommendation for post-closing tax planning, it may discover that the desired pass-through structure cannot be achieved through the recommended mechanism, potentially trapping the stepped-up basis inside a C corporation and limiting the tax efficiency of the amortization deductions.</w:t>
      </w:r>
    </w:p>
    <w:p>
      <w:pPr>
        <w:pStyle w:val="BodyText"/>
      </w:pPr>
      <w:r>
        <w:rPr>
          <w:b/>
          <w:bCs/>
        </w:rPr>
        <w:t xml:space="preserve">Recommendation.</w:t>
      </w:r>
      <w:r>
        <w:t xml:space="preserve"> </w:t>
      </w:r>
      <w:r>
        <w:t xml:space="preserve">Withdraw or correct the recommendation. If pass-through treatment is desired post-closing, analyze alternative structures (e.g., F-reorganization, taxable liquidation, or acquisition through a partnership vehicle) and their associated tax costs. Correct the Treas. Reg. citation.</w:t>
      </w:r>
    </w:p>
    <w:p>
      <w:r>
        <w:pict>
          <v:rect style="width:0;height:1.5pt" o:hralign="center" o:hrstd="t" o:hr="t"/>
        </w:pict>
      </w:r>
    </w:p>
    <w:bookmarkEnd w:id="33"/>
    <w:bookmarkStart w:id="34" w:name="Xca68964f3513bd734f5cb56d5ef2a04a08db3e8"/>
    <w:p>
      <w:pPr>
        <w:pStyle w:val="Heading4"/>
      </w:pPr>
      <w:r>
        <w:t xml:space="preserve">H-5. Escrow Tax Treatment — Memo Conflicts with the Stock Purchase Agreement</w:t>
      </w:r>
    </w:p>
    <w:p>
      <w:pPr>
        <w:pStyle w:val="FirstParagraph"/>
      </w:pPr>
      <w:r>
        <w:rPr>
          <w:b/>
          <w:bCs/>
        </w:rPr>
        <w:t xml:space="preserve">Severity:</w:t>
      </w:r>
      <w:r>
        <w:t xml:space="preserve"> </w:t>
      </w:r>
      <w:r>
        <w:t xml:space="preserve">High</w:t>
      </w:r>
      <w:r>
        <w:t xml:space="preserve"> </w:t>
      </w:r>
      <w:r>
        <w:rPr>
          <w:b/>
          <w:bCs/>
        </w:rPr>
        <w:t xml:space="preserve">Memo Location:</w:t>
      </w:r>
      <w:r>
        <w:t xml:space="preserve"> </w:t>
      </w:r>
      <w:r>
        <w:t xml:space="preserve">Section V.C (Escrow / Holdback — Installment Sale Treatment)</w:t>
      </w:r>
      <w:r>
        <w:t xml:space="preserve"> </w:t>
      </w:r>
      <w:r>
        <w:rPr>
          <w:b/>
          <w:bCs/>
        </w:rPr>
        <w:t xml:space="preserve">Supporting Document:</w:t>
      </w:r>
      <w:r>
        <w:t xml:space="preserve"> </w:t>
      </w:r>
      <w:r>
        <w:t xml:space="preserve">Stock Purchase Agreement, Section 7.4</w:t>
      </w:r>
    </w:p>
    <w:p>
      <w:pPr>
        <w:pStyle w:val="BodyText"/>
      </w:pPr>
      <w:r>
        <w:rPr>
          <w:b/>
          <w:bCs/>
        </w:rPr>
        <w:t xml:space="preserve">Description.</w:t>
      </w:r>
      <w:r>
        <w:t xml:space="preserve"> </w:t>
      </w:r>
      <w:r>
        <w:t xml:space="preserve">The Memo (Section V.C) advises that the $22 million escrow</w:t>
      </w:r>
      <w:r>
        <w:t xml:space="preserve"> </w:t>
      </w:r>
      <w:r>
        <w:t xml:space="preserve">“</w:t>
      </w:r>
      <w:r>
        <w:t xml:space="preserve">constitutes contingent consideration</w:t>
      </w:r>
      <w:r>
        <w:t xml:space="preserve">”</w:t>
      </w:r>
      <w:r>
        <w:t xml:space="preserve"> </w:t>
      </w:r>
      <w:r>
        <w:t xml:space="preserve">and that</w:t>
      </w:r>
      <w:r>
        <w:t xml:space="preserve"> </w:t>
      </w:r>
      <w:r>
        <w:t xml:space="preserve">“</w:t>
      </w:r>
      <w:r>
        <w:t xml:space="preserve">the selling shareholders may elect installment sale treatment with respect to the escrow amount, deferring recognition of a proportionate share of gain until the escrow is released</w:t>
      </w:r>
      <w:r>
        <w:t xml:space="preserve">”</w:t>
      </w:r>
      <w:r>
        <w:t xml:space="preserve"> </w:t>
      </w:r>
      <w:r>
        <w:t xml:space="preserve">(i.e., until September 15, 2026).</w:t>
      </w:r>
    </w:p>
    <w:p>
      <w:pPr>
        <w:pStyle w:val="BodyText"/>
      </w:pPr>
      <w:r>
        <w:t xml:space="preserve">The Stock Purchase Agreement Section 7.4 states the opposite treatment:</w:t>
      </w:r>
    </w:p>
    <w:p>
      <w:pPr>
        <w:pStyle w:val="BlockText"/>
      </w:pPr>
      <w:r>
        <w:t xml:space="preserve">“</w:t>
      </w:r>
      <w: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t xml:space="preserve">”</w:t>
      </w:r>
    </w:p>
    <w:p>
      <w:pPr>
        <w:pStyle w:val="FirstParagraph"/>
      </w:pPr>
      <w:r>
        <w:t xml:space="preserve">The purchase agreement thus treats the escrow as amount realized</w:t>
      </w:r>
      <w:r>
        <w:t xml:space="preserve"> </w:t>
      </w:r>
      <w:r>
        <w:rPr>
          <w:b/>
          <w:bCs/>
        </w:rPr>
        <w:t xml:space="preserve">at closing</w:t>
      </w:r>
      <w:r>
        <w:t xml:space="preserve"> </w:t>
      </w:r>
      <w:r>
        <w:t xml:space="preserve">(in 2025), with no deferral. The Memo advises that shareholders may</w:t>
      </w:r>
      <w:r>
        <w:t xml:space="preserve"> </w:t>
      </w:r>
      <w:r>
        <w:rPr>
          <w:b/>
          <w:bCs/>
        </w:rPr>
        <w:t xml:space="preserve">defer</w:t>
      </w:r>
      <w:r>
        <w:t xml:space="preserve"> </w:t>
      </w:r>
      <w:r>
        <w:t xml:space="preserve">recognition until 2026. These are inconsistent tax positions.</w:t>
      </w:r>
    </w:p>
    <w:p>
      <w:pPr>
        <w:pStyle w:val="BodyText"/>
      </w:pPr>
      <w:r>
        <w:rPr>
          <w:b/>
          <w:bCs/>
        </w:rPr>
        <w:t xml:space="preserve">Additional issue.</w:t>
      </w:r>
      <w:r>
        <w:t xml:space="preserve"> </w:t>
      </w:r>
      <w:r>
        <w:t xml:space="preserve">The Memo’s installment sale analysis is questionable on the merits. The escrow is deposited with a third-party agent for the benefit of the shareholders, and the purchase agreement provides that all interest earned on the escrow is</w:t>
      </w:r>
      <w:r>
        <w:t xml:space="preserve"> </w:t>
      </w:r>
      <w:r>
        <w:t xml:space="preserve">“</w:t>
      </w:r>
      <w:r>
        <w:t xml:space="preserve">for the account of the Shareholders.</w:t>
      </w:r>
      <w:r>
        <w:t xml:space="preserve">”</w:t>
      </w:r>
      <w:r>
        <w:t xml:space="preserve"> </w:t>
      </w:r>
      <w:r>
        <w:t xml:space="preserve">The escrow is not held by the buyer; it is held for the shareholders’ benefit, subject to reduction for indemnification claims. Whether this arrangement qualifies as a</w:t>
      </w:r>
      <w:r>
        <w:t xml:space="preserve"> </w:t>
      </w:r>
      <w:r>
        <w:t xml:space="preserve">“</w:t>
      </w:r>
      <w:r>
        <w:t xml:space="preserve">contingent payment</w:t>
      </w:r>
      <w:r>
        <w:t xml:space="preserve">”</w:t>
      </w:r>
      <w:r>
        <w:t xml:space="preserve"> </w:t>
      </w:r>
      <w:r>
        <w:t xml:space="preserve">supporting installment sale treatment under §453 is a nuanced question that the Memo does not adequately analyze. The Linden Rock email thread (January 6, 2025) also specifically asks whether the QSBS exclusion (if available) applies to the escrow component — a question the Memo does not address.</w:t>
      </w:r>
    </w:p>
    <w:p>
      <w:pPr>
        <w:pStyle w:val="BodyText"/>
      </w:pPr>
      <w:r>
        <w:rPr>
          <w:b/>
          <w:bCs/>
        </w:rPr>
        <w:t xml:space="preserve">Impact.</w:t>
      </w:r>
      <w:r>
        <w:t xml:space="preserve"> </w:t>
      </w:r>
      <w:r>
        <w:t xml:space="preserve">The inconsistency between the Memo and the purchase agreement creates a reporting conflict. If shareholders follow the Memo’s advice and defer escrow gain recognition, but the purchase agreement requires reporting at closing, the parties’ tax returns will be inconsistent — potentially triggering IRS scrutiny and undermining the consistency required for the Section 338(h)(10) allocation (Form 8883).</w:t>
      </w:r>
    </w:p>
    <w:p>
      <w:pPr>
        <w:pStyle w:val="BodyText"/>
      </w:pPr>
      <w:r>
        <w:rPr>
          <w:b/>
          <w:bCs/>
        </w:rPr>
        <w:t xml:space="preserve">Recommendation.</w:t>
      </w:r>
      <w:r>
        <w:t xml:space="preserve"> </w:t>
      </w:r>
      <w:r>
        <w:t xml:space="preserve">Reconcile the escrow tax treatment with the purchase agreement. If installment sale treatment is desired, the purchase agreement’s tax treatment provision (Section 7.4) should be amended. Analyze whether the escrow arrangement actually qualifies for §453 deferral given that it is held for the shareholders’ benefit. Address the interaction of any escrow gain with the QSBS analysis.</w:t>
      </w:r>
    </w:p>
    <w:p>
      <w:r>
        <w:pict>
          <v:rect style="width:0;height:1.5pt" o:hralign="center" o:hrstd="t" o:hr="t"/>
        </w:pict>
      </w:r>
    </w:p>
    <w:bookmarkEnd w:id="34"/>
    <w:bookmarkStart w:id="35" w:name="X443b2a390c8556875e34b2fed13f66509885f66"/>
    <w:p>
      <w:pPr>
        <w:pStyle w:val="Heading4"/>
      </w:pPr>
      <w:r>
        <w:t xml:space="preserve">H-6. Aggregate Adjusted Tax Basis of Assets — $21.5 Million Inconsistency</w:t>
      </w:r>
    </w:p>
    <w:p>
      <w:pPr>
        <w:pStyle w:val="FirstParagraph"/>
      </w:pPr>
      <w:r>
        <w:rPr>
          <w:b/>
          <w:bCs/>
        </w:rPr>
        <w:t xml:space="preserve">Severity:</w:t>
      </w:r>
      <w:r>
        <w:t xml:space="preserve"> </w:t>
      </w:r>
      <w:r>
        <w:t xml:space="preserve">High</w:t>
      </w:r>
      <w:r>
        <w:t xml:space="preserve"> </w:t>
      </w:r>
      <w:r>
        <w:rPr>
          <w:b/>
          <w:bCs/>
        </w:rPr>
        <w:t xml:space="preserve">Memo Location:</w:t>
      </w:r>
      <w:r>
        <w:t xml:space="preserve"> </w:t>
      </w:r>
      <w:r>
        <w:t xml:space="preserve">Section III.B; Section V.A (Total Deemed Sale Gain calculation)</w:t>
      </w:r>
      <w:r>
        <w:t xml:space="preserve"> </w:t>
      </w:r>
      <w:r>
        <w:rPr>
          <w:b/>
          <w:bCs/>
        </w:rPr>
        <w:t xml:space="preserve">Supporting Document:</w:t>
      </w:r>
      <w:r>
        <w:t xml:space="preserve"> </w:t>
      </w:r>
      <w:r>
        <w:t xml:space="preserve">Asset Valuation Summary,</w:t>
      </w:r>
      <w:r>
        <w:t xml:space="preserve"> </w:t>
      </w:r>
      <w:r>
        <w:t xml:space="preserve">“</w:t>
      </w:r>
      <w:r>
        <w:t xml:space="preserve">Asset Detail</w:t>
      </w:r>
      <w:r>
        <w:t xml:space="preserve">”</w:t>
      </w:r>
      <w:r>
        <w:t xml:space="preserve"> </w:t>
      </w:r>
      <w:r>
        <w:t xml:space="preserve">tab</w:t>
      </w:r>
    </w:p>
    <w:p>
      <w:pPr>
        <w:pStyle w:val="BodyText"/>
      </w:pPr>
      <w:r>
        <w:rPr>
          <w:b/>
          <w:bCs/>
        </w:rPr>
        <w:t xml:space="preserve">Description.</w:t>
      </w:r>
      <w:r>
        <w:t xml:space="preserve"> </w:t>
      </w:r>
      <w:r>
        <w:t xml:space="preserve">The Memo states that Prism’s</w:t>
      </w:r>
      <w:r>
        <w:t xml:space="preserve"> </w:t>
      </w:r>
      <w:r>
        <w:t xml:space="preserve">“</w:t>
      </w:r>
      <w:r>
        <w:t xml:space="preserve">current aggregate adjusted tax basis in its assets (as of the most recent available date) is approximately $42,800,000</w:t>
      </w:r>
      <w:r>
        <w:t xml:space="preserve">”</w:t>
      </w:r>
      <w:r>
        <w:t xml:space="preserve"> </w:t>
      </w:r>
      <w:r>
        <w:t xml:space="preserve">(Section III.B) and uses this figure to compute the total deemed sale gain: $473M (ADSP) − $42.8M (basis) = $430.2M (Section V.A).</w:t>
      </w:r>
    </w:p>
    <w:p>
      <w:pPr>
        <w:pStyle w:val="BodyText"/>
      </w:pPr>
      <w:r>
        <w:t xml:space="preserve">The Thornfield asset valuation summary itemizes the adjusted tax basis of each asset, which sums to</w:t>
      </w:r>
      <w:r>
        <w:t xml:space="preserve"> </w:t>
      </w:r>
      <w:r>
        <w:rPr>
          <w:b/>
          <w:bCs/>
        </w:rPr>
        <w:t xml:space="preserve">$64.3 million</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Adjusted Tax Basis</w:t>
            </w:r>
          </w:p>
        </w:tc>
      </w:tr>
      <w:tr>
        <w:tc>
          <w:tcPr/>
          <w:p>
            <w:pPr>
              <w:pStyle w:val="Compact"/>
              <w:jc w:val="left"/>
            </w:pPr>
            <w:r>
              <w:t xml:space="preserve">Cash and cash equivalents</w:t>
            </w:r>
          </w:p>
        </w:tc>
        <w:tc>
          <w:tcPr/>
          <w:p>
            <w:pPr>
              <w:pStyle w:val="Compact"/>
              <w:jc w:val="left"/>
            </w:pPr>
            <w:r>
              <w:t xml:space="preserve">$12.4M</w:t>
            </w:r>
          </w:p>
        </w:tc>
      </w:tr>
      <w:tr>
        <w:tc>
          <w:tcPr/>
          <w:p>
            <w:pPr>
              <w:pStyle w:val="Compact"/>
              <w:jc w:val="left"/>
            </w:pPr>
            <w:r>
              <w:t xml:space="preserve">Accounts receivable — commercial</w:t>
            </w:r>
          </w:p>
        </w:tc>
        <w:tc>
          <w:tcPr/>
          <w:p>
            <w:pPr>
              <w:pStyle w:val="Compact"/>
              <w:jc w:val="left"/>
            </w:pPr>
            <w:r>
              <w:t xml:space="preserve">$18.7M</w:t>
            </w:r>
          </w:p>
        </w:tc>
      </w:tr>
      <w:tr>
        <w:tc>
          <w:tcPr/>
          <w:p>
            <w:pPr>
              <w:pStyle w:val="Compact"/>
              <w:jc w:val="left"/>
            </w:pPr>
            <w:r>
              <w:t xml:space="preserve">Accounts receivable — government</w:t>
            </w:r>
          </w:p>
        </w:tc>
        <w:tc>
          <w:tcPr/>
          <w:p>
            <w:pPr>
              <w:pStyle w:val="Compact"/>
              <w:jc w:val="left"/>
            </w:pPr>
            <w:r>
              <w:t xml:space="preserve">$6.4M</w:t>
            </w:r>
          </w:p>
        </w:tc>
      </w:tr>
      <w:tr>
        <w:tc>
          <w:tcPr/>
          <w:p>
            <w:pPr>
              <w:pStyle w:val="Compact"/>
              <w:jc w:val="left"/>
            </w:pPr>
            <w:r>
              <w:t xml:space="preserve">Real property — Raleigh office</w:t>
            </w:r>
          </w:p>
        </w:tc>
        <w:tc>
          <w:tcPr/>
          <w:p>
            <w:pPr>
              <w:pStyle w:val="Compact"/>
              <w:jc w:val="left"/>
            </w:pPr>
            <w:r>
              <w:t xml:space="preserve">$9.1M</w:t>
            </w:r>
          </w:p>
        </w:tc>
      </w:tr>
      <w:tr>
        <w:tc>
          <w:tcPr/>
          <w:p>
            <w:pPr>
              <w:pStyle w:val="Compact"/>
              <w:jc w:val="left"/>
            </w:pPr>
            <w:r>
              <w:t xml:space="preserve">Furniture, fixtures &amp; equipment</w:t>
            </w:r>
          </w:p>
        </w:tc>
        <w:tc>
          <w:tcPr/>
          <w:p>
            <w:pPr>
              <w:pStyle w:val="Compact"/>
              <w:jc w:val="left"/>
            </w:pPr>
            <w:r>
              <w:t xml:space="preserve">$3.2M</w:t>
            </w:r>
          </w:p>
        </w:tc>
      </w:tr>
      <w:tr>
        <w:tc>
          <w:tcPr/>
          <w:p>
            <w:pPr>
              <w:pStyle w:val="Compact"/>
              <w:jc w:val="left"/>
            </w:pPr>
            <w:r>
              <w:t xml:space="preserve">Developed technology / software platform</w:t>
            </w:r>
          </w:p>
        </w:tc>
        <w:tc>
          <w:tcPr/>
          <w:p>
            <w:pPr>
              <w:pStyle w:val="Compact"/>
              <w:jc w:val="left"/>
            </w:pPr>
            <w:r>
              <w:t xml:space="preserve">$4.8M</w:t>
            </w:r>
          </w:p>
        </w:tc>
      </w:tr>
      <w:tr>
        <w:tc>
          <w:tcPr/>
          <w:p>
            <w:pPr>
              <w:pStyle w:val="Compact"/>
              <w:jc w:val="left"/>
            </w:pPr>
            <w:r>
              <w:t xml:space="preserve">Government-sector software licenses</w:t>
            </w:r>
          </w:p>
        </w:tc>
        <w:tc>
          <w:tcPr/>
          <w:p>
            <w:pPr>
              <w:pStyle w:val="Compact"/>
              <w:jc w:val="left"/>
            </w:pPr>
            <w:r>
              <w:t xml:space="preserve">$1.2M</w:t>
            </w:r>
          </w:p>
        </w:tc>
      </w:tr>
      <w:tr>
        <w:tc>
          <w:tcPr/>
          <w:p>
            <w:pPr>
              <w:pStyle w:val="Compact"/>
              <w:jc w:val="left"/>
            </w:pPr>
            <w:r>
              <w:t xml:space="preserve">NC data processing license</w:t>
            </w:r>
          </w:p>
        </w:tc>
        <w:tc>
          <w:tcPr/>
          <w:p>
            <w:pPr>
              <w:pStyle w:val="Compact"/>
              <w:jc w:val="left"/>
            </w:pPr>
            <w:r>
              <w:t xml:space="preserve">$0</w:t>
            </w:r>
          </w:p>
        </w:tc>
      </w:tr>
      <w:tr>
        <w:tc>
          <w:tcPr/>
          <w:p>
            <w:pPr>
              <w:pStyle w:val="Compact"/>
              <w:jc w:val="left"/>
            </w:pPr>
            <w:r>
              <w:t xml:space="preserve">80.5% interest in Beacon Insights</w:t>
            </w:r>
          </w:p>
        </w:tc>
        <w:tc>
          <w:tcPr/>
          <w:p>
            <w:pPr>
              <w:pStyle w:val="Compact"/>
              <w:jc w:val="left"/>
            </w:pPr>
            <w:r>
              <w:t xml:space="preserve">$6.4M</w:t>
            </w:r>
          </w:p>
        </w:tc>
      </w:tr>
      <w:tr>
        <w:tc>
          <w:tcPr/>
          <w:p>
            <w:pPr>
              <w:pStyle w:val="Compact"/>
              <w:jc w:val="left"/>
            </w:pPr>
            <w:r>
              <w:t xml:space="preserve">Customer relationships (hospital)</w:t>
            </w:r>
          </w:p>
        </w:tc>
        <w:tc>
          <w:tcPr/>
          <w:p>
            <w:pPr>
              <w:pStyle w:val="Compact"/>
              <w:jc w:val="left"/>
            </w:pPr>
            <w:r>
              <w:t xml:space="preserve">$0</w:t>
            </w:r>
          </w:p>
        </w:tc>
      </w:tr>
      <w:tr>
        <w:tc>
          <w:tcPr/>
          <w:p>
            <w:pPr>
              <w:pStyle w:val="Compact"/>
              <w:jc w:val="left"/>
            </w:pPr>
            <w:r>
              <w:t xml:space="preserve">Customer relationships (insurer)</w:t>
            </w:r>
          </w:p>
        </w:tc>
        <w:tc>
          <w:tcPr/>
          <w:p>
            <w:pPr>
              <w:pStyle w:val="Compact"/>
              <w:jc w:val="left"/>
            </w:pPr>
            <w:r>
              <w:t xml:space="preserve">$0</w:t>
            </w:r>
          </w:p>
        </w:tc>
      </w:tr>
      <w:tr>
        <w:tc>
          <w:tcPr/>
          <w:p>
            <w:pPr>
              <w:pStyle w:val="Compact"/>
              <w:jc w:val="left"/>
            </w:pPr>
            <w:r>
              <w:t xml:space="preserve">Proprietary data sets / databases</w:t>
            </w:r>
          </w:p>
        </w:tc>
        <w:tc>
          <w:tcPr/>
          <w:p>
            <w:pPr>
              <w:pStyle w:val="Compact"/>
              <w:jc w:val="left"/>
            </w:pPr>
            <w:r>
              <w:t xml:space="preserve">$2.1M</w:t>
            </w:r>
          </w:p>
        </w:tc>
      </w:tr>
      <w:tr>
        <w:tc>
          <w:tcPr/>
          <w:p>
            <w:pPr>
              <w:pStyle w:val="Compact"/>
              <w:jc w:val="left"/>
            </w:pPr>
            <w:r>
              <w:t xml:space="preserve">Non-compete agreements</w:t>
            </w:r>
          </w:p>
        </w:tc>
        <w:tc>
          <w:tcPr/>
          <w:p>
            <w:pPr>
              <w:pStyle w:val="Compact"/>
              <w:jc w:val="left"/>
            </w:pPr>
            <w:r>
              <w:t xml:space="preserve">$0</w:t>
            </w:r>
          </w:p>
        </w:tc>
      </w:tr>
      <w:tr>
        <w:tc>
          <w:tcPr/>
          <w:p>
            <w:pPr>
              <w:pStyle w:val="Compact"/>
              <w:jc w:val="left"/>
            </w:pPr>
            <w:r>
              <w:t xml:space="preserve">Assembled workforce / goodwill</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$64.3M</w:t>
            </w:r>
          </w:p>
        </w:tc>
      </w:tr>
    </w:tbl>
    <w:p>
      <w:pPr>
        <w:pStyle w:val="BodyText"/>
      </w:pPr>
      <w:r>
        <w:t xml:space="preserve">The Memo’s $42.8 million figure does not reconcile to any identifiable subset of the asset-level basis detail. The $21.5 million discrepancy, combined with the $48 million ADSP overstatement (Issue C-1), means the Memo’s total deemed sale gain of $430.2 million may be overstated by approximately $69.5 million. Using the correct ADSP ($425M) and the asset valuation summary’s basis ($64.3M), the deemed sale gain would be approximately $360.7 million.</w:t>
      </w:r>
    </w:p>
    <w:p>
      <w:pPr>
        <w:pStyle w:val="BodyText"/>
      </w:pPr>
      <w:r>
        <w:rPr>
          <w:b/>
          <w:bCs/>
        </w:rPr>
        <w:t xml:space="preserve">Impact.</w:t>
      </w:r>
      <w:r>
        <w:t xml:space="preserve"> </w:t>
      </w:r>
      <w:r>
        <w:t xml:space="preserve">The overstated deemed sale gain inflates every shareholder’s pro rata share of gain and corresponding tax liability. The $69.5 million aggregate overstatement (from the combined ADSP and basis errors) is material to all parties.</w:t>
      </w:r>
    </w:p>
    <w:p>
      <w:pPr>
        <w:pStyle w:val="BodyText"/>
      </w:pPr>
      <w:r>
        <w:rPr>
          <w:b/>
          <w:bCs/>
        </w:rPr>
        <w:t xml:space="preserve">Recommendation.</w:t>
      </w:r>
      <w:r>
        <w:t xml:space="preserve"> </w:t>
      </w:r>
      <w:r>
        <w:t xml:space="preserve">Reconcile the aggregate adjusted tax basis to the asset-level detail in the Thornfield asset valuation summary. Recompute the deemed sale gain using the corrected ADSP and the reconciled basis figure.</w:t>
      </w:r>
    </w:p>
    <w:p>
      <w:r>
        <w:pict>
          <v:rect style="width:0;height:1.5pt" o:hralign="center" o:hrstd="t" o:hr="t"/>
        </w:pict>
      </w:r>
    </w:p>
    <w:bookmarkEnd w:id="35"/>
    <w:bookmarkStart w:id="36" w:name="X60d6a4a22ae3cae49963b0f577b268474675f55"/>
    <w:p>
      <w:pPr>
        <w:pStyle w:val="Heading4"/>
      </w:pPr>
      <w:r>
        <w:t xml:space="preserve">H-7. Rollover Equity / Section 338(h)(10) Interaction Not Analyzed</w:t>
      </w:r>
    </w:p>
    <w:p>
      <w:pPr>
        <w:pStyle w:val="FirstParagraph"/>
      </w:pPr>
      <w:r>
        <w:rPr>
          <w:b/>
          <w:bCs/>
        </w:rPr>
        <w:t xml:space="preserve">Severity:</w:t>
      </w:r>
      <w:r>
        <w:t xml:space="preserve"> </w:t>
      </w:r>
      <w:r>
        <w:t xml:space="preserve">High</w:t>
      </w:r>
      <w:r>
        <w:t xml:space="preserve"> </w:t>
      </w:r>
      <w:r>
        <w:rPr>
          <w:b/>
          <w:bCs/>
        </w:rPr>
        <w:t xml:space="preserve">Memo Location:</w:t>
      </w:r>
      <w:r>
        <w:t xml:space="preserve"> </w:t>
      </w:r>
      <w:r>
        <w:t xml:space="preserve">Section V.B (Dr. Naveen Chandra); Section II.B</w:t>
      </w:r>
      <w:r>
        <w:t xml:space="preserve"> </w:t>
      </w:r>
      <w:r>
        <w:rPr>
          <w:b/>
          <w:bCs/>
        </w:rPr>
        <w:t xml:space="preserve">Supporting Document:</w:t>
      </w:r>
      <w:r>
        <w:t xml:space="preserve"> </w:t>
      </w:r>
      <w:r>
        <w:t xml:space="preserve">Prism Capitalization Table,</w:t>
      </w:r>
      <w:r>
        <w:t xml:space="preserve"> </w:t>
      </w:r>
      <w:r>
        <w:t xml:space="preserve">“</w:t>
      </w:r>
      <w:r>
        <w:t xml:space="preserve">Consideration Waterfall</w:t>
      </w:r>
      <w:r>
        <w:t xml:space="preserve">”</w:t>
      </w:r>
      <w:r>
        <w:t xml:space="preserve"> </w:t>
      </w:r>
      <w:r>
        <w:t xml:space="preserve">tab; Stock Purchase Agreement Section 2.4</w:t>
      </w:r>
    </w:p>
    <w:p>
      <w:pPr>
        <w:pStyle w:val="BodyText"/>
      </w:pPr>
      <w:r>
        <w:rPr>
          <w:b/>
          <w:bCs/>
        </w:rPr>
        <w:t xml:space="preserve">Description.</w:t>
      </w:r>
      <w:r>
        <w:t xml:space="preserve"> </w:t>
      </w:r>
      <w:r>
        <w:t xml:space="preserve">The Memo states that Dr. Chandra’s $37 million rollover</w:t>
      </w:r>
      <w:r>
        <w:t xml:space="preserve"> </w:t>
      </w:r>
      <w:r>
        <w:t xml:space="preserve">“</w:t>
      </w:r>
      <w:r>
        <w:t xml:space="preserve">is treated as a separate transaction from the deemed sale</w:t>
      </w:r>
      <w:r>
        <w:t xml:space="preserve">”</w:t>
      </w:r>
      <w:r>
        <w:t xml:space="preserve"> </w:t>
      </w:r>
      <w:r>
        <w:t xml:space="preserve">and that</w:t>
      </w:r>
      <w:r>
        <w:t xml:space="preserve"> </w:t>
      </w:r>
      <w:r>
        <w:t xml:space="preserve">“</w:t>
      </w:r>
      <w:r>
        <w:t xml:space="preserve">the rollover does not reduce or defer Dr. Chandra’s recognition of deemed sale gain</w:t>
      </w:r>
      <w:r>
        <w:t xml:space="preserve">”</w:t>
      </w:r>
      <w:r>
        <w:t xml:space="preserve"> </w:t>
      </w:r>
      <w:r>
        <w:t xml:space="preserve">(Section V.B). The capitalization table’s Consideration Waterfall independently notes:</w:t>
      </w:r>
      <w:r>
        <w:t xml:space="preserve"> </w:t>
      </w:r>
      <w:r>
        <w:t xml:space="preserve">“</w:t>
      </w:r>
      <w:r>
        <w:t xml:space="preserve">Memo does not address interaction of rollover with 338(h)(10) deemed sale.</w:t>
      </w:r>
      <w:r>
        <w:t xml:space="preserve">”</w:t>
      </w:r>
    </w:p>
    <w:p>
      <w:pPr>
        <w:pStyle w:val="BodyText"/>
      </w:pPr>
      <w:r>
        <w:t xml:space="preserve">The Memo’s treatment is cursory and does not address several important issues:</w:t>
      </w:r>
    </w:p>
    <w:p>
      <w:pPr>
        <w:numPr>
          <w:ilvl w:val="0"/>
          <w:numId w:val="1003"/>
        </w:numPr>
      </w:pPr>
      <w:r>
        <w:rPr>
          <w:b/>
          <w:bCs/>
        </w:rPr>
        <w:t xml:space="preserve">Mechanics in a 338(h)(10) context.</w:t>
      </w:r>
      <w:r>
        <w:t xml:space="preserve"> </w:t>
      </w:r>
      <w:r>
        <w:t xml:space="preserve">Under a Section 338(h)(10) election, the actual stock sale is disregarded for federal tax purposes; the tax consequences flow entirely from the deemed asset sale and deemed liquidation. Dr. Chandra does not</w:t>
      </w:r>
      <w:r>
        <w:t xml:space="preserve"> </w:t>
      </w:r>
      <w:r>
        <w:t xml:space="preserve">“</w:t>
      </w:r>
      <w:r>
        <w:t xml:space="preserve">sell</w:t>
      </w:r>
      <w:r>
        <w:t xml:space="preserve">”</w:t>
      </w:r>
      <w:r>
        <w:t xml:space="preserve"> </w:t>
      </w:r>
      <w:r>
        <w:t xml:space="preserve">his stock for tax purposes — he is deemed to receive a liquidating distribution from the deemed asset sale proceeds. The Memo does not explain how the rollover operates when the stock sale is disregarded. The rollover into the post-closing acquisition vehicle is a separate contribution of after-tax proceeds, but the Memo does not analyze whether §351 (contribution to a corporation) or §721 (contribution to a partnership) could provide deferral for the rollover component.</w:t>
      </w:r>
    </w:p>
    <w:p>
      <w:pPr>
        <w:numPr>
          <w:ilvl w:val="0"/>
          <w:numId w:val="1003"/>
        </w:numPr>
      </w:pPr>
      <w:r>
        <w:rPr>
          <w:b/>
          <w:bCs/>
        </w:rPr>
        <w:t xml:space="preserve">Double taxation risk.</w:t>
      </w:r>
      <w:r>
        <w:t xml:space="preserve"> </w:t>
      </w:r>
      <w:r>
        <w:t xml:space="preserve">The Memo states that Dr. Chandra</w:t>
      </w:r>
      <w:r>
        <w:t xml:space="preserve"> </w:t>
      </w:r>
      <w:r>
        <w:t xml:space="preserve">“</w:t>
      </w:r>
      <w:r>
        <w:t xml:space="preserve">will recognize his full pro rata share of the deemed sale gain and then contribute a portion of his after-tax proceeds to the new entity.</w:t>
      </w:r>
      <w:r>
        <w:t xml:space="preserve">”</w:t>
      </w:r>
      <w:r>
        <w:t xml:space="preserve"> </w:t>
      </w:r>
      <w:r>
        <w:t xml:space="preserve">Dr. Chandra’s pro rata share of the deemed sale gain is $223.7 million (per the Memo), but his total consideration is only $192.4 million ($155.4M cash + $37M rollover). The Memo does not address how Dr. Chandra funds the tax on $223.7 million of gain when he receives only $155.4 million in cash (net of escrow, approximately $145.1 million). This cash-flow shortfall is not analyzed.</w:t>
      </w:r>
    </w:p>
    <w:p>
      <w:pPr>
        <w:numPr>
          <w:ilvl w:val="0"/>
          <w:numId w:val="1003"/>
        </w:numPr>
      </w:pPr>
      <w:r>
        <w:rPr>
          <w:b/>
          <w:bCs/>
        </w:rPr>
        <w:t xml:space="preserve">Rollover vehicle classification.</w:t>
      </w:r>
      <w:r>
        <w:t xml:space="preserve"> </w:t>
      </w:r>
      <w:r>
        <w:t xml:space="preserve">The Stock Purchase Agreement Section 2.4(b) and (e) refers to</w:t>
      </w:r>
      <w:r>
        <w:t xml:space="preserve"> </w:t>
      </w:r>
      <w:r>
        <w:t xml:space="preserve">“</w:t>
      </w:r>
      <w:r>
        <w:t xml:space="preserve">equity interests in Parent (or a designated acquisition vehicle thereof).</w:t>
      </w:r>
      <w:r>
        <w:t xml:space="preserve">”</w:t>
      </w:r>
      <w:r>
        <w:t xml:space="preserve"> </w:t>
      </w:r>
      <w:r>
        <w:t xml:space="preserve">The Memo refers to</w:t>
      </w:r>
      <w:r>
        <w:t xml:space="preserve"> </w:t>
      </w:r>
      <w:r>
        <w:t xml:space="preserve">“</w:t>
      </w:r>
      <w:r>
        <w:t xml:space="preserve">the post-closing acquisition vehicle</w:t>
      </w:r>
      <w:r>
        <w:t xml:space="preserve">”</w:t>
      </w:r>
      <w:r>
        <w:t xml:space="preserve"> </w:t>
      </w:r>
      <w:r>
        <w:t xml:space="preserve">and</w:t>
      </w:r>
      <w:r>
        <w:t xml:space="preserve"> </w:t>
      </w:r>
      <w:r>
        <w:t xml:space="preserve">“</w:t>
      </w:r>
      <w:r>
        <w:t xml:space="preserve">Newco</w:t>
      </w:r>
      <w:r>
        <w:t xml:space="preserve">”</w:t>
      </w:r>
      <w:r>
        <w:t xml:space="preserve"> </w:t>
      </w:r>
      <w:r>
        <w:t xml:space="preserve">but does not specify whether the rollover vehicle is a corporation or a partnership, which determines whether §351 or §721 applies.</w:t>
      </w:r>
    </w:p>
    <w:p>
      <w:pPr>
        <w:pStyle w:val="FirstParagraph"/>
      </w:pPr>
      <w:r>
        <w:rPr>
          <w:b/>
          <w:bCs/>
        </w:rPr>
        <w:t xml:space="preserve">Impact.</w:t>
      </w:r>
      <w:r>
        <w:t xml:space="preserve"> </w:t>
      </w:r>
      <w:r>
        <w:t xml:space="preserve">Dr. Chandra is rolling $37 million and recognizing over $223 million of gain. The Memo’s failure to analyze the rollover mechanics, deferral opportunities, and cash-flow implications could result in Dr. Chandra facing an unexpected tax liability that exceeds his available cash proceeds.</w:t>
      </w:r>
    </w:p>
    <w:p>
      <w:pPr>
        <w:pStyle w:val="BodyText"/>
      </w:pPr>
      <w:r>
        <w:rPr>
          <w:b/>
          <w:bCs/>
        </w:rPr>
        <w:t xml:space="preserve">Recommendation.</w:t>
      </w:r>
      <w:r>
        <w:t xml:space="preserve"> </w:t>
      </w:r>
      <w:r>
        <w:t xml:space="preserve">Analyze the rollover in the context of the 338(h)(10) deemed sale and deemed liquidation, including: (i) whether §351 or §721 deferral is available for the rollover contribution; (ii) the tax mechanics when the underlying stock sale is disregarded; (iii) Dr. Chandra’s cash-flow position given the gap between recognized gain and cash proceeds; and (iv) the classification of the rollover vehicle.</w:t>
      </w:r>
    </w:p>
    <w:p>
      <w:r>
        <w:pict>
          <v:rect style="width:0;height:1.5pt" o:hralign="center" o:hrstd="t" o:hr="t"/>
        </w:pict>
      </w:r>
    </w:p>
    <w:bookmarkEnd w:id="36"/>
    <w:bookmarkEnd w:id="37"/>
    <w:bookmarkStart w:id="48" w:name="c.-moderate-severity-issues"/>
    <w:p>
      <w:pPr>
        <w:pStyle w:val="Heading3"/>
      </w:pPr>
      <w:r>
        <w:t xml:space="preserve">C. Moderate-Severity Issues</w:t>
      </w:r>
    </w:p>
    <w:p>
      <w:r>
        <w:pict>
          <v:rect style="width:0;height:1.5pt" o:hralign="center" o:hrstd="t" o:hr="t"/>
        </w:pict>
      </w:r>
    </w:p>
    <w:bookmarkStart w:id="38" w:name="Xf1ad9f941d6cba44a3623b67ded0566b6b1c672"/>
    <w:p>
      <w:pPr>
        <w:pStyle w:val="Heading4"/>
      </w:pPr>
      <w:r>
        <w:t xml:space="preserve">M-1. AAA, AE&amp;P, and Deemed Liquidation Distribution Characterization Omitted</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V (Tax Consequences to Selling Shareholders)</w:t>
      </w:r>
      <w:r>
        <w:t xml:space="preserve"> </w:t>
      </w:r>
      <w:r>
        <w:rPr>
          <w:b/>
          <w:bCs/>
        </w:rPr>
        <w:t xml:space="preserve">Supporting Document:</w:t>
      </w:r>
      <w:r>
        <w:t xml:space="preserve"> </w:t>
      </w:r>
      <w:r>
        <w:t xml:space="preserve">Thornfield Tax Due Diligence Report, Section IX.C</w:t>
      </w:r>
    </w:p>
    <w:p>
      <w:pPr>
        <w:pStyle w:val="BodyText"/>
      </w:pPr>
      <w:r>
        <w:rPr>
          <w:b/>
          <w:bCs/>
        </w:rPr>
        <w:t xml:space="preserve">Description.</w:t>
      </w:r>
      <w:r>
        <w:t xml:space="preserve"> </w:t>
      </w:r>
      <w:r>
        <w:t xml:space="preserve">The Thornfield due diligence report identifies the following S corporation tax attribute balances as of December 31, 2023: Accumulated Adjustments Account (AAA) of $64.2 million; Accumulated Earnings and Profits (AE&amp;P) of $792,000 (from the 2016 C corporation year); and Previously Taxed Income (PTI) of $792,000.</w:t>
      </w:r>
    </w:p>
    <w:p>
      <w:pPr>
        <w:pStyle w:val="BodyText"/>
      </w:pPr>
      <w:r>
        <w:t xml:space="preserve">In the deemed liquidation under Section 338(h)(10), the deemed liquidating distributions to shareholders are characterized in a specific order: first against AAA (tax-free to the extent of the shareholder’s stock basis), then against AE&amp;P (taxable as a dividend), then as a return of capital (tax-free to the extent of remaining basis), and finally as capital gain. The Memo does not address the AAA, AE&amp;P, or the characterization of the deemed liquidating distributions at all. The Memo’s per-shareholder gain analysis (Section V.B) treats the entire deemed sale gain as flowing through to shareholders without considering how the deemed liquidating distributions are characterized against these accounts.</w:t>
      </w:r>
    </w:p>
    <w:p>
      <w:pPr>
        <w:pStyle w:val="BodyText"/>
      </w:pPr>
      <w:r>
        <w:rPr>
          <w:b/>
          <w:bCs/>
        </w:rPr>
        <w:t xml:space="preserve">Impact.</w:t>
      </w:r>
      <w:r>
        <w:t xml:space="preserve"> </w:t>
      </w:r>
      <w:r>
        <w:t xml:space="preserve">The $64.2 million AAA balance could shield a substantial portion of the deemed liquidating distribution from tax (as a tax-free recovery of previously taxed income). The $792,000 AE&amp;P could generate a small amount of dividend income. The Memo’s omission of this analysis means the per-shareholder tax consequences may be inaccurately stated.</w:t>
      </w:r>
    </w:p>
    <w:p>
      <w:pPr>
        <w:pStyle w:val="BodyText"/>
      </w:pPr>
      <w:r>
        <w:rPr>
          <w:b/>
          <w:bCs/>
        </w:rPr>
        <w:t xml:space="preserve">Recommendation.</w:t>
      </w:r>
      <w:r>
        <w:t xml:space="preserve"> </w:t>
      </w:r>
      <w:r>
        <w:t xml:space="preserve">Incorporate the AAA and AE&amp;P analysis into the deemed liquidation distribution characterization. Confirm the AAA balance as of the closing date (after reflecting the final-year income allocation) and analyze the ordering rules for the deemed liquidating distributions.</w:t>
      </w:r>
    </w:p>
    <w:p>
      <w:r>
        <w:pict>
          <v:rect style="width:0;height:1.5pt" o:hralign="center" o:hrstd="t" o:hr="t"/>
        </w:pict>
      </w:r>
    </w:p>
    <w:bookmarkEnd w:id="38"/>
    <w:bookmarkStart w:id="39" w:name="X736825ae76c9c5c64c5c495a8cca762b61919dc"/>
    <w:p>
      <w:pPr>
        <w:pStyle w:val="Heading4"/>
      </w:pPr>
      <w:r>
        <w:t xml:space="preserve">M-2. Section 751</w:t>
      </w:r>
      <w:r>
        <w:t xml:space="preserve"> </w:t>
      </w:r>
      <w:r>
        <w:t xml:space="preserve">“</w:t>
      </w:r>
      <w:r>
        <w:t xml:space="preserve">Hot Assets</w:t>
      </w:r>
      <w:r>
        <w:t xml:space="preserve">”</w:t>
      </w:r>
      <w:r>
        <w:t xml:space="preserve"> </w:t>
      </w:r>
      <w:r>
        <w:t xml:space="preserve">— Beacon Accounts Receivable and Unbilled Revenue Not Addressed</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VIII (Beacon Insights — Tax Considerations)</w:t>
      </w:r>
      <w:r>
        <w:t xml:space="preserve"> </w:t>
      </w:r>
      <w:r>
        <w:rPr>
          <w:b/>
          <w:bCs/>
        </w:rPr>
        <w:t xml:space="preserve">Supporting Document:</w:t>
      </w:r>
      <w:r>
        <w:t xml:space="preserve"> </w:t>
      </w:r>
      <w:r>
        <w:t xml:space="preserve">Thornfield Tax Due Diligence Report, Section VI.B</w:t>
      </w:r>
    </w:p>
    <w:p>
      <w:pPr>
        <w:pStyle w:val="BodyText"/>
      </w:pPr>
      <w:r>
        <w:rPr>
          <w:b/>
          <w:bCs/>
        </w:rPr>
        <w:t xml:space="preserve">Description.</w:t>
      </w:r>
      <w:r>
        <w:t xml:space="preserve"> </w:t>
      </w:r>
      <w:r>
        <w:t xml:space="preserve">The Memo states that the gain on the deemed disposition of Prism’s Beacon interest</w:t>
      </w:r>
      <w:r>
        <w:t xml:space="preserve"> </w:t>
      </w:r>
      <w:r>
        <w:t xml:space="preserve">“</w:t>
      </w:r>
      <w:r>
        <w:t xml:space="preserve">is expected to be long-term capital gain, given that Prism has held its membership interest in Beacon for more than one year</w:t>
      </w:r>
      <w:r>
        <w:t xml:space="preserve">”</w:t>
      </w:r>
      <w:r>
        <w:t xml:space="preserve"> </w:t>
      </w:r>
      <w:r>
        <w:t xml:space="preserve">(Section VIII). The Thornfield due diligence report notes that Beacon’s underlying assets include accounts receivable of approximately $2.1 million and accrued but unbilled revenue of approximately $1.8 million as of December 31, 2023, and recommends that</w:t>
      </w:r>
      <w:r>
        <w:t xml:space="preserve"> </w:t>
      </w:r>
      <w:r>
        <w:t xml:space="preserve">“</w:t>
      </w:r>
      <w:r>
        <w:t xml:space="preserve">the nature of the accounts receivable and unbilled revenue items should be analyzed under Section 751 for</w:t>
      </w:r>
      <w:r>
        <w:t xml:space="preserve"> </w:t>
      </w:r>
      <w:r>
        <w:t xml:space="preserve">‘</w:t>
      </w:r>
      <w:r>
        <w:t xml:space="preserve">hot asset</w:t>
      </w:r>
      <w:r>
        <w:t xml:space="preserve">’</w:t>
      </w:r>
      <w:r>
        <w:t xml:space="preserve"> </w:t>
      </w:r>
      <w:r>
        <w:t xml:space="preserve">characterization in connection with any transfer or deemed transfer of Prism’s partnership interest.</w:t>
      </w:r>
      <w:r>
        <w:t xml:space="preserve">”</w:t>
      </w:r>
    </w:p>
    <w:p>
      <w:pPr>
        <w:pStyle w:val="BodyText"/>
      </w:pPr>
      <w:r>
        <w:t xml:space="preserve">Under Section 751, unrealized receivables (including accounts receivable and accrued-but-unbilled revenue of a service partnership) are</w:t>
      </w:r>
      <w:r>
        <w:t xml:space="preserve"> </w:t>
      </w:r>
      <w:r>
        <w:t xml:space="preserve">“</w:t>
      </w:r>
      <w:r>
        <w:t xml:space="preserve">hot assets.</w:t>
      </w:r>
      <w:r>
        <w:t xml:space="preserve">”</w:t>
      </w:r>
      <w:r>
        <w:t xml:space="preserve"> </w:t>
      </w:r>
      <w:r>
        <w:t xml:space="preserve">A portion of the gain on the sale or exchange of a partnership interest attributable to hot assets is characterized as ordinary income rather than capital gain, regardless of the holding period of the partnership interest. The Memo’s blanket statement that the Beacon gain is</w:t>
      </w:r>
      <w:r>
        <w:t xml:space="preserve"> </w:t>
      </w:r>
      <w:r>
        <w:t xml:space="preserve">“</w:t>
      </w:r>
      <w:r>
        <w:t xml:space="preserve">expected to be long-term capital gain</w:t>
      </w:r>
      <w:r>
        <w:t xml:space="preserve">”</w:t>
      </w:r>
      <w:r>
        <w:t xml:space="preserve"> </w:t>
      </w:r>
      <w:r>
        <w:t xml:space="preserve">does not account for the Section 751 hot asset recharacterization.</w:t>
      </w:r>
    </w:p>
    <w:p>
      <w:pPr>
        <w:pStyle w:val="BodyText"/>
      </w:pPr>
      <w:r>
        <w:rPr>
          <w:b/>
          <w:bCs/>
        </w:rPr>
        <w:t xml:space="preserve">Impact.</w:t>
      </w:r>
      <w:r>
        <w:t xml:space="preserve"> </w:t>
      </w:r>
      <w:r>
        <w:t xml:space="preserve">A portion of the $22.1 million gain on Prism’s Beacon interest (approximately $3.9 million attributable to AR and unbilled revenue, grossed up for Prism’s 80.5% share) may be recharacterized as ordinary income rather than capital gain, increasing the tax cost to the selling shareholders.</w:t>
      </w:r>
    </w:p>
    <w:p>
      <w:pPr>
        <w:pStyle w:val="BodyText"/>
      </w:pPr>
      <w:r>
        <w:rPr>
          <w:b/>
          <w:bCs/>
        </w:rPr>
        <w:t xml:space="preserve">Recommendation.</w:t>
      </w:r>
      <w:r>
        <w:t xml:space="preserve"> </w:t>
      </w:r>
      <w:r>
        <w:t xml:space="preserve">Perform a Section 751 hot asset analysis for Beacon’s accounts receivable and unbilled revenue. Determine the portion of the deemed disposition gain that is ordinary income and revise the character analysis accordingly.</w:t>
      </w:r>
    </w:p>
    <w:p>
      <w:r>
        <w:pict>
          <v:rect style="width:0;height:1.5pt" o:hralign="center" o:hrstd="t" o:hr="t"/>
        </w:pict>
      </w:r>
    </w:p>
    <w:bookmarkEnd w:id="39"/>
    <w:bookmarkStart w:id="40" w:name="X7ec98afb4044432ac5928a61b829bfbf8bb6899"/>
    <w:p>
      <w:pPr>
        <w:pStyle w:val="Heading4"/>
      </w:pPr>
      <w:r>
        <w:t xml:space="preserve">M-3. Section 754 Election for Beacon Not Addressed</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VIII (Beacon Insights — Tax Considerations)</w:t>
      </w:r>
      <w:r>
        <w:t xml:space="preserve"> </w:t>
      </w:r>
      <w:r>
        <w:rPr>
          <w:b/>
          <w:bCs/>
        </w:rPr>
        <w:t xml:space="preserve">Supporting Document:</w:t>
      </w:r>
      <w:r>
        <w:t xml:space="preserve"> </w:t>
      </w:r>
      <w:r>
        <w:t xml:space="preserve">Asset Valuation Summary, Note 2; Beacon Operating Agreement, Sections 11.04–11.05</w:t>
      </w:r>
    </w:p>
    <w:p>
      <w:pPr>
        <w:pStyle w:val="BodyText"/>
      </w:pPr>
      <w:r>
        <w:rPr>
          <w:b/>
          <w:bCs/>
        </w:rPr>
        <w:t xml:space="preserve">Description.</w:t>
      </w:r>
      <w:r>
        <w:t xml:space="preserve"> </w:t>
      </w:r>
      <w:r>
        <w:t xml:space="preserve">When Prism’s 80.5% interest in Beacon is deemed sold in the Section 338(h)(10) deemed asset sale and acquired by new Target, the question arises whether Beacon should make a Section 754 election to adjust the inside basis of its assets under Section 743(b) with respect to the transferee partner (new Target). A Section 754 election would allow new Target to obtain an inside basis step-up in Beacon’s underlying assets, generating additional depreciation and amortization deductions inside Beacon.</w:t>
      </w:r>
    </w:p>
    <w:p>
      <w:pPr>
        <w:pStyle w:val="BodyText"/>
      </w:pPr>
      <w:r>
        <w:t xml:space="preserve">The Beacon operating agreement Section 11.04 grants the Partnership Representative (Prism) authority to make a Section 754 election, and Section 11.05 confirms that no Section 754 election is currently in effect. The Thornfield asset valuation summary (Note 2) specifically recommends that</w:t>
      </w:r>
      <w:r>
        <w:t xml:space="preserve"> </w:t>
      </w:r>
      <w:r>
        <w:t xml:space="preserve">“</w:t>
      </w:r>
      <w:r>
        <w:t xml:space="preserve">Buyer’s counsel should determine whether a §754 election is advisable and, if so, prepare the §743(b) basis adjustment computations for Beacon.</w:t>
      </w:r>
      <w:r>
        <w:t xml:space="preserve">”</w:t>
      </w:r>
      <w:r>
        <w:t xml:space="preserve"> </w:t>
      </w:r>
      <w:r>
        <w:t xml:space="preserve">The Memo does not address the Section 754 election at all.</w:t>
      </w:r>
    </w:p>
    <w:p>
      <w:pPr>
        <w:pStyle w:val="BodyText"/>
      </w:pPr>
      <w:r>
        <w:rPr>
          <w:b/>
          <w:bCs/>
        </w:rPr>
        <w:t xml:space="preserve">Impact.</w:t>
      </w:r>
      <w:r>
        <w:t xml:space="preserve"> </w:t>
      </w:r>
      <w:r>
        <w:t xml:space="preserve">Without a Section 754 election, new Target’s inside basis in Beacon’s assets remains at the carryover basis, and the $22.1 million step-up in Prism’s outside basis does not translate into inside basis adjustments. This forgoes potential amortization deductions inside Beacon.</w:t>
      </w:r>
    </w:p>
    <w:p>
      <w:pPr>
        <w:pStyle w:val="BodyText"/>
      </w:pPr>
      <w:r>
        <w:rPr>
          <w:b/>
          <w:bCs/>
        </w:rPr>
        <w:t xml:space="preserve">Recommendation.</w:t>
      </w:r>
      <w:r>
        <w:t xml:space="preserve"> </w:t>
      </w:r>
      <w:r>
        <w:t xml:space="preserve">Analyze whether a Section 754 election should be made for Beacon in connection with the transaction. If so, prepare the Section 743(b) basis adjustment computations and ensure the election is timely filed.</w:t>
      </w:r>
    </w:p>
    <w:p>
      <w:r>
        <w:pict>
          <v:rect style="width:0;height:1.5pt" o:hralign="center" o:hrstd="t" o:hr="t"/>
        </w:pict>
      </w:r>
    </w:p>
    <w:bookmarkEnd w:id="40"/>
    <w:bookmarkStart w:id="41" w:name="X59072ab2116fd16d7d401ba98eeb52203e78a26"/>
    <w:p>
      <w:pPr>
        <w:pStyle w:val="Heading4"/>
      </w:pPr>
      <w:r>
        <w:t xml:space="preserve">M-4. NC Data Processing License — Tax and Valuation Consequences of Potential Termination Not Addressed</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Sections II.A, III.C, IV.C, VI.A, IX.A</w:t>
      </w:r>
      <w:r>
        <w:t xml:space="preserve"> </w:t>
      </w:r>
      <w:r>
        <w:rPr>
          <w:b/>
          <w:bCs/>
        </w:rPr>
        <w:t xml:space="preserve">Supporting Document:</w:t>
      </w:r>
      <w:r>
        <w:t xml:space="preserve"> </w:t>
      </w:r>
      <w:r>
        <w:t xml:space="preserve">Asset Valuation Summary, A-008 and Note 3; Stock Purchase Agreement Section 4.9(i)</w:t>
      </w:r>
    </w:p>
    <w:p>
      <w:pPr>
        <w:pStyle w:val="BodyText"/>
      </w:pPr>
      <w:r>
        <w:rPr>
          <w:b/>
          <w:bCs/>
        </w:rPr>
        <w:t xml:space="preserve">Description.</w:t>
      </w:r>
      <w:r>
        <w:t xml:space="preserve"> </w:t>
      </w:r>
      <w:r>
        <w:t xml:space="preserve">The NC Data Processing License (No. DIT-2019-04821) held by Prism Data Services, LLC is non-transferable and non-assignable per its terms, as confirmed by both the asset valuation summary (A-008) and the Stock Purchase Agreement Section 4.9(i). The Thornfield asset valuation summary notes:</w:t>
      </w:r>
      <w:r>
        <w:t xml:space="preserve"> </w:t>
      </w:r>
      <w:r>
        <w:t xml:space="preserve">“</w:t>
      </w:r>
      <w:r>
        <w:t xml:space="preserve">In a deemed asset sale under §338(h)(10), this license cannot be transferred and may need to be re-obtained by the surviving entity… If terminated, value associated with the government business line should be reassigned to goodwill or reduced.</w:t>
      </w:r>
      <w:r>
        <w:t xml:space="preserve">”</w:t>
      </w:r>
    </w:p>
    <w:p>
      <w:pPr>
        <w:pStyle w:val="BodyText"/>
      </w:pPr>
      <w:r>
        <w:t xml:space="preserve">Prism Data Services’ government-sector business generates approximately $19 million in annual revenue and depends on this license. The Memo mentions the license in several sections but consistently treats it as a</w:t>
      </w:r>
      <w:r>
        <w:t xml:space="preserve"> </w:t>
      </w:r>
      <w:r>
        <w:t xml:space="preserve">“</w:t>
      </w:r>
      <w:r>
        <w:t xml:space="preserve">commercial matter to be addressed by deal counsel</w:t>
      </w:r>
      <w:r>
        <w:t xml:space="preserve">”</w:t>
      </w:r>
      <w:r>
        <w:t xml:space="preserve"> </w:t>
      </w:r>
      <w:r>
        <w:t xml:space="preserve">and states that</w:t>
      </w:r>
      <w:r>
        <w:t xml:space="preserve"> </w:t>
      </w:r>
      <w:r>
        <w:t xml:space="preserve">“</w:t>
      </w:r>
      <w:r>
        <w:t xml:space="preserve">we expect that the existing license should remain valid post-closing, subject to confirmation</w:t>
      </w:r>
      <w:r>
        <w:t xml:space="preserve">”</w:t>
      </w:r>
      <w:r>
        <w:t xml:space="preserve"> </w:t>
      </w:r>
      <w:r>
        <w:t xml:space="preserve">(Section VI.A). The Memo does not address the tax or valuation consequences if the license is deemed terminated in the Section 338(h)(10) deemed asset sale.</w:t>
      </w:r>
    </w:p>
    <w:p>
      <w:pPr>
        <w:pStyle w:val="BodyText"/>
      </w:pPr>
      <w:r>
        <w:t xml:space="preserve">The Memo’s Class V allocation does not separately identify the NC data processing license (which Thornfield values at $0). The asset valuation summary (Note 3) warns that if the Memo included any value for this license within its software/developed technology line, that value should be reallocated.</w:t>
      </w:r>
    </w:p>
    <w:p>
      <w:pPr>
        <w:pStyle w:val="BodyText"/>
      </w:pPr>
      <w:r>
        <w:rPr>
          <w:b/>
          <w:bCs/>
        </w:rPr>
        <w:t xml:space="preserve">Impact.</w:t>
      </w:r>
      <w:r>
        <w:t xml:space="preserve"> </w:t>
      </w:r>
      <w:r>
        <w:t xml:space="preserve">If the license is deemed terminated, the $19 million government-sector revenue stream is at risk, which could affect the overall enterprise value and the purchase price allocation. The Memo’s treatment of this as merely a</w:t>
      </w:r>
      <w:r>
        <w:t xml:space="preserve"> </w:t>
      </w:r>
      <w:r>
        <w:t xml:space="preserve">“</w:t>
      </w:r>
      <w:r>
        <w:t xml:space="preserve">commercial matter</w:t>
      </w:r>
      <w:r>
        <w:t xml:space="preserve">”</w:t>
      </w:r>
      <w:r>
        <w:t xml:space="preserve"> </w:t>
      </w:r>
      <w:r>
        <w:t xml:space="preserve">understates the potential tax and valuation implications.</w:t>
      </w:r>
    </w:p>
    <w:p>
      <w:pPr>
        <w:pStyle w:val="BodyText"/>
      </w:pPr>
      <w:r>
        <w:rPr>
          <w:b/>
          <w:bCs/>
        </w:rPr>
        <w:t xml:space="preserve">Recommendation.</w:t>
      </w:r>
      <w:r>
        <w:t xml:space="preserve"> </w:t>
      </w:r>
      <w:r>
        <w:t xml:space="preserve">Obtain a definitive legal opinion on whether the NC data processing license survives the reverse triangular merger or is deemed terminated in the Section 338(h)(10) deemed asset sale. If terminated, reassess the government-sector business valuation and the purchase price allocation. Confirm that no value has been assigned to the license in the PPA.</w:t>
      </w:r>
    </w:p>
    <w:p>
      <w:r>
        <w:pict>
          <v:rect style="width:0;height:1.5pt" o:hralign="center" o:hrstd="t" o:hr="t"/>
        </w:pict>
      </w:r>
    </w:p>
    <w:bookmarkEnd w:id="41"/>
    <w:bookmarkStart w:id="42" w:name="X80310c8ad50476cc4b6b0cc4d3ccf824ffa36bc"/>
    <w:p>
      <w:pPr>
        <w:pStyle w:val="Heading4"/>
      </w:pPr>
      <w:r>
        <w:t xml:space="preserve">M-5. Section 482 Transfer Pricing Exposure (~$6.3 Million) Not Addressed</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VIII (Beacon Insights — Tax Considerations); Section III.C</w:t>
      </w:r>
      <w:r>
        <w:t xml:space="preserve"> </w:t>
      </w:r>
      <w:r>
        <w:rPr>
          <w:b/>
          <w:bCs/>
        </w:rPr>
        <w:t xml:space="preserve">Supporting Document:</w:t>
      </w:r>
      <w:r>
        <w:t xml:space="preserve"> </w:t>
      </w:r>
      <w:r>
        <w:t xml:space="preserve">Thornfield Tax Due Diligence Report, Section VII; Stock Purchase Agreement Section 4.9(h)</w:t>
      </w:r>
    </w:p>
    <w:p>
      <w:pPr>
        <w:pStyle w:val="BodyText"/>
      </w:pPr>
      <w:r>
        <w:rPr>
          <w:b/>
          <w:bCs/>
        </w:rPr>
        <w:t xml:space="preserve">Description.</w:t>
      </w:r>
      <w:r>
        <w:t xml:space="preserve"> </w:t>
      </w:r>
      <w:r>
        <w:t xml:space="preserve">The Thornfield due diligence report identifies approximately $6.3 million in cumulative Section 482 transfer pricing exposure for the 2019–2024 period arising from below-arm’s-length intercompany fees between Prism and Beacon: the $850,000/year management fee (Thornfield estimates actual cost at $1.1M–$1.25M/year) and the $400,000/year IP license fee (industry benchmarks suggest 8–15% of Beacon’s $11M revenue, vs. the current 3.6%). The Memo mentions the intercompany fees in Sections III.C and VIII but does not address the Section 482 exposure, the lack of transfer pricing documentation, or the risk of IRS reallocation.</w:t>
      </w:r>
    </w:p>
    <w:p>
      <w:pPr>
        <w:pStyle w:val="BodyText"/>
      </w:pPr>
      <w:r>
        <w:t xml:space="preserve">The Stock Purchase Agreement Section 4.9(h) represents that the intercompany fees</w:t>
      </w:r>
      <w:r>
        <w:t xml:space="preserve"> </w:t>
      </w:r>
      <w:r>
        <w:t xml:space="preserve">“</w:t>
      </w:r>
      <w:r>
        <w:t xml:space="preserve">are at arm’s length</w:t>
      </w:r>
      <w:r>
        <w:t xml:space="preserve">”</w:t>
      </w:r>
      <w:r>
        <w:t xml:space="preserve"> </w:t>
      </w:r>
      <w:r>
        <w:t xml:space="preserve">while simultaneously admitting that</w:t>
      </w:r>
      <w:r>
        <w:t xml:space="preserve"> </w:t>
      </w:r>
      <w:r>
        <w:t xml:space="preserve">“</w:t>
      </w:r>
      <w:r>
        <w:t xml:space="preserve">no formal transfer pricing study has been prepared.</w:t>
      </w:r>
      <w:r>
        <w:t xml:space="preserve">”</w:t>
      </w:r>
      <w:r>
        <w:t xml:space="preserve"> </w:t>
      </w:r>
      <w:r>
        <w:t xml:space="preserve">This internal contradiction in the purchase agreement itself underscores the risk.</w:t>
      </w:r>
    </w:p>
    <w:p>
      <w:pPr>
        <w:pStyle w:val="BodyText"/>
      </w:pPr>
      <w:r>
        <w:rPr>
          <w:b/>
          <w:bCs/>
        </w:rPr>
        <w:t xml:space="preserve">Impact.</w:t>
      </w:r>
      <w:r>
        <w:t xml:space="preserve"> </w:t>
      </w:r>
      <w:r>
        <w:t xml:space="preserve">A Section 482 reallocation would increase income reportable by Prism’s shareholders (including those with no direct interest in Beacon) and decrease income allocable to Beacon’s minority members (Delano and Avesta). The $6.3 million exposure affects the economic positions of multiple parties and should be reflected in the transaction’s risk allocation and indemnification provisions.</w:t>
      </w:r>
    </w:p>
    <w:p>
      <w:pPr>
        <w:pStyle w:val="BodyText"/>
      </w:pPr>
      <w:r>
        <w:rPr>
          <w:b/>
          <w:bCs/>
        </w:rPr>
        <w:t xml:space="preserve">Recommendation.</w:t>
      </w:r>
      <w:r>
        <w:t xml:space="preserve"> </w:t>
      </w:r>
      <w:r>
        <w:t xml:space="preserve">Address the Section 482 exposure in the Memo. Commission a formal transfer pricing study. Consider whether amended returns or a voluntary disclosure for prior years is warranted. Ensure the indemnification provisions adequately cover this exposure.</w:t>
      </w:r>
    </w:p>
    <w:p>
      <w:r>
        <w:pict>
          <v:rect style="width:0;height:1.5pt" o:hralign="center" o:hrstd="t" o:hr="t"/>
        </w:pict>
      </w:r>
    </w:p>
    <w:bookmarkEnd w:id="42"/>
    <w:bookmarkStart w:id="43" w:name="X554f6a030966495feddd6ce4e2b14786f9ea244"/>
    <w:p>
      <w:pPr>
        <w:pStyle w:val="Heading4"/>
      </w:pPr>
      <w:r>
        <w:t xml:space="preserve">M-6. Suspended R&amp;D Credits ($3.8 Million) — Deferred Without Analysis</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III.D (R&amp;D Tax Credits)</w:t>
      </w:r>
      <w:r>
        <w:t xml:space="preserve"> </w:t>
      </w:r>
      <w:r>
        <w:rPr>
          <w:b/>
          <w:bCs/>
        </w:rPr>
        <w:t xml:space="preserve">Supporting Document:</w:t>
      </w:r>
      <w:r>
        <w:t xml:space="preserve"> </w:t>
      </w:r>
      <w:r>
        <w:t xml:space="preserve">Thornfield Tax Due Diligence Report, Sections IV.B and IX.A</w:t>
      </w:r>
    </w:p>
    <w:p>
      <w:pPr>
        <w:pStyle w:val="BodyText"/>
      </w:pPr>
      <w:r>
        <w:rPr>
          <w:b/>
          <w:bCs/>
        </w:rPr>
        <w:t xml:space="preserve">Description.</w:t>
      </w:r>
      <w:r>
        <w:t xml:space="preserve"> </w:t>
      </w:r>
      <w:r>
        <w:t xml:space="preserve">The Memo mentions the $3.8 million in unused federal R&amp;D tax credits from Prism’s 2016 C corporation year but states only that</w:t>
      </w:r>
      <w:r>
        <w:t xml:space="preserve"> </w:t>
      </w:r>
      <w:r>
        <w:t xml:space="preserve">“</w:t>
      </w:r>
      <w:r>
        <w:t xml:space="preserve">these credits are noted and will be addressed in the post-closing tax planning</w:t>
      </w:r>
      <w:r>
        <w:t xml:space="preserve">”</w:t>
      </w:r>
      <w:r>
        <w:t xml:space="preserve"> </w:t>
      </w:r>
      <w:r>
        <w:t xml:space="preserve">(Section III.D). The Thornfield due diligence report analyzes three potential utilization scenarios (built-in gains tax offset, post-termination transition period, and deemed liquidation/final return) and concludes that the credits</w:t>
      </w:r>
      <w:r>
        <w:t xml:space="preserve"> </w:t>
      </w:r>
      <w:r>
        <w:t xml:space="preserve">“</w:t>
      </w:r>
      <w:r>
        <w:t xml:space="preserve">appear to be at significant risk of permanent expiration in connection with this transaction.</w:t>
      </w:r>
      <w:r>
        <w:t xml:space="preserve">”</w:t>
      </w:r>
      <w:r>
        <w:t xml:space="preserve"> </w:t>
      </w:r>
      <w:r>
        <w:t xml:space="preserve">Thornfield specifically recommends that</w:t>
      </w:r>
      <w:r>
        <w:t xml:space="preserve"> </w:t>
      </w:r>
      <w:r>
        <w:t xml:space="preserve">“</w:t>
      </w:r>
      <w:r>
        <w:t xml:space="preserve">tax counsel should analyze the interaction of Sections 1371(b), 1371(e), 1374, and 338(h)(10) to determine whether any portion of these credits can be salvaged.</w:t>
      </w:r>
      <w:r>
        <w:t xml:space="preserve">”</w:t>
      </w:r>
    </w:p>
    <w:p>
      <w:pPr>
        <w:pStyle w:val="BodyText"/>
      </w:pPr>
      <w:r>
        <w:t xml:space="preserve">The Memo does not perform this analysis. It merely notes the credits and defers them to post-closing planning, despite the Thornfield report’s warning that the credits may be permanently lost upon the deemed liquidation.</w:t>
      </w:r>
    </w:p>
    <w:p>
      <w:pPr>
        <w:pStyle w:val="BodyText"/>
      </w:pPr>
      <w:r>
        <w:rPr>
          <w:b/>
          <w:bCs/>
        </w:rPr>
        <w:t xml:space="preserve">Impact.</w:t>
      </w:r>
      <w:r>
        <w:t xml:space="preserve"> </w:t>
      </w:r>
      <w:r>
        <w:t xml:space="preserve">If the credits are permanently lost, $3.8 million in tax credits expire. The Memo’s deferral without analysis means the parties may miss the opportunity to preserve or utilize the credits through structuring alternatives.</w:t>
      </w:r>
    </w:p>
    <w:p>
      <w:pPr>
        <w:pStyle w:val="BodyText"/>
      </w:pPr>
      <w:r>
        <w:rPr>
          <w:b/>
          <w:bCs/>
        </w:rPr>
        <w:t xml:space="preserve">Recommendation.</w:t>
      </w:r>
      <w:r>
        <w:t xml:space="preserve"> </w:t>
      </w:r>
      <w:r>
        <w:t xml:space="preserve">Analyze whether any portion of the $3.8 million in suspended R&amp;D credits can be utilized in connection with the Section 338(h)(10) transaction, including through the post-termination transition period or the deemed liquidation mechanics. If preservation is not possible, document the treatment on the final return.</w:t>
      </w:r>
    </w:p>
    <w:p>
      <w:r>
        <w:pict>
          <v:rect style="width:0;height:1.5pt" o:hralign="center" o:hrstd="t" o:hr="t"/>
        </w:pict>
      </w:r>
    </w:p>
    <w:bookmarkEnd w:id="43"/>
    <w:bookmarkStart w:id="44" w:name="Xcafb6d076b494f8ef3835d8b1b1503974c8f513"/>
    <w:p>
      <w:pPr>
        <w:pStyle w:val="Heading4"/>
      </w:pPr>
      <w:r>
        <w:t xml:space="preserve">M-7. Shareholder Count and Composition Discrepancies</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II.A (Other Shareholders); Section V.B</w:t>
      </w:r>
      <w:r>
        <w:t xml:space="preserve"> </w:t>
      </w:r>
      <w:r>
        <w:rPr>
          <w:b/>
          <w:bCs/>
        </w:rPr>
        <w:t xml:space="preserve">Supporting Documents:</w:t>
      </w:r>
      <w:r>
        <w:t xml:space="preserve"> </w:t>
      </w:r>
      <w:r>
        <w:t xml:space="preserve">Prism Capitalization Table; Thornfield Tax Due Diligence Report, Section VIII.B</w:t>
      </w:r>
    </w:p>
    <w:p>
      <w:pPr>
        <w:pStyle w:val="BodyText"/>
      </w:pPr>
      <w:r>
        <w:rPr>
          <w:b/>
          <w:bCs/>
        </w:rPr>
        <w:t xml:space="preserve">Description.</w:t>
      </w:r>
      <w:r>
        <w:t xml:space="preserve"> </w:t>
      </w:r>
      <w:r>
        <w:t xml:space="preserve">Two related discrepancies exist between the Memo (and the Thornfield report) and the capitalization table:</w:t>
      </w:r>
    </w:p>
    <w:p>
      <w:pPr>
        <w:pStyle w:val="BodyText"/>
      </w:pPr>
      <w:r>
        <w:rPr>
          <w:b/>
          <w:bCs/>
        </w:rPr>
        <w:t xml:space="preserve">(a) Total</w:t>
      </w:r>
      <w:r>
        <w:rPr>
          <w:b/>
          <w:bCs/>
        </w:rPr>
        <w:t xml:space="preserve"> </w:t>
      </w:r>
      <w:r>
        <w:rPr>
          <w:b/>
          <w:bCs/>
        </w:rPr>
        <w:t xml:space="preserve">“</w:t>
      </w:r>
      <w:r>
        <w:rPr>
          <w:b/>
          <w:bCs/>
        </w:rPr>
        <w:t xml:space="preserve">other shareholder</w:t>
      </w:r>
      <w:r>
        <w:rPr>
          <w:b/>
          <w:bCs/>
        </w:rPr>
        <w:t xml:space="preserve">”</w:t>
      </w:r>
      <w:r>
        <w:rPr>
          <w:b/>
          <w:bCs/>
        </w:rPr>
        <w:t xml:space="preserve"> </w:t>
      </w:r>
      <w:r>
        <w:rPr>
          <w:b/>
          <w:bCs/>
        </w:rPr>
        <w:t xml:space="preserve">count: 14 vs. 17.</w:t>
      </w:r>
      <w:r>
        <w:t xml:space="preserve"> </w:t>
      </w:r>
      <w:r>
        <w:t xml:space="preserve">The Memo states that</w:t>
      </w:r>
      <w:r>
        <w:t xml:space="preserve"> </w:t>
      </w:r>
      <w:r>
        <w:t xml:space="preserve">“</w:t>
      </w:r>
      <w:r>
        <w:t xml:space="preserve">Fourteen (14) angel investors and early employees hold the remaining 20% of the outstanding common stock,</w:t>
      </w:r>
      <w:r>
        <w:t xml:space="preserve">”</w:t>
      </w:r>
      <w:r>
        <w:t xml:space="preserve"> </w:t>
      </w:r>
      <w:r>
        <w:t xml:space="preserve">with 11 in North Carolina, 2 in California, and 1 in New York. The Thornfield report repeats the same count (14, with 11 NC / 2 CA / 1 NY). The capitalization table, however, lists</w:t>
      </w:r>
      <w:r>
        <w:t xml:space="preserve"> </w:t>
      </w:r>
      <w:r>
        <w:rPr>
          <w:b/>
          <w:bCs/>
        </w:rPr>
        <w:t xml:space="preserve">17</w:t>
      </w:r>
      <w:r>
        <w:t xml:space="preserve"> </w:t>
      </w:r>
      <w:r>
        <w:t xml:space="preserve">unique non-founder shareholders: 14 in North Carolina, 2 in California, and 1 in New York. The Memo and Thornfield report undercount the total by 3 and the North Carolina residents by 3. This affects the state tax analysis (more NC-resident shareholders than stated) and the consent collection process for the Section 338(h)(10) election.</w:t>
      </w:r>
    </w:p>
    <w:p>
      <w:pPr>
        <w:pStyle w:val="BodyText"/>
      </w:pPr>
      <w:r>
        <w:rPr>
          <w:b/>
          <w:bCs/>
        </w:rPr>
        <w:t xml:space="preserve">(b) C corporation period shareholder count: 4 vs. 9.</w:t>
      </w:r>
      <w:r>
        <w:t xml:space="preserve"> </w:t>
      </w:r>
      <w:r>
        <w:t xml:space="preserve">The Thornfield report states that</w:t>
      </w:r>
      <w:r>
        <w:t xml:space="preserve"> </w:t>
      </w:r>
      <w:r>
        <w:t xml:space="preserve">“</w:t>
      </w:r>
      <w:r>
        <w:t xml:space="preserve">Four (4) of the 14 angel investors acquired shares in a seed financing round that closed on November 15, 2016 (during the C corporation period)</w:t>
      </w:r>
      <w:r>
        <w:t xml:space="preserve">”</w:t>
      </w:r>
      <w:r>
        <w:t xml:space="preserve"> </w:t>
      </w:r>
      <w:r>
        <w:t xml:space="preserve">and that</w:t>
      </w:r>
      <w:r>
        <w:t xml:space="preserve"> </w:t>
      </w:r>
      <w:r>
        <w:t xml:space="preserve">“</w:t>
      </w:r>
      <w:r>
        <w:t xml:space="preserve">the remaining ten (10) angel investors and all eight (8) restricted stock holders acquired their shares after January 1, 2017.</w:t>
      </w:r>
      <w:r>
        <w:t xml:space="preserve">”</w:t>
      </w:r>
      <w:r>
        <w:t xml:space="preserve"> </w:t>
      </w:r>
      <w:r>
        <w:t xml:space="preserve">The capitalization table shows that</w:t>
      </w:r>
      <w:r>
        <w:t xml:space="preserve"> </w:t>
      </w:r>
      <w:r>
        <w:rPr>
          <w:b/>
          <w:bCs/>
        </w:rPr>
        <w:t xml:space="preserve">nine</w:t>
      </w:r>
      <w:r>
        <w:t xml:space="preserve"> </w:t>
      </w:r>
      <w:r>
        <w:t xml:space="preserve">non-founder common stock holders acquired shares during the C corporation period (on various dates in 2016: Thomas Greenfield, Patricia Muñoz, David Yoon, Robert Fielding, Karen Whitford, Samuel Okoye, Marcus Donnelly, Priya Srinivasan, and Derek Hawkins’ 600 common shares), and only</w:t>
      </w:r>
      <w:r>
        <w:t xml:space="preserve"> </w:t>
      </w:r>
      <w:r>
        <w:rPr>
          <w:b/>
          <w:bCs/>
        </w:rPr>
        <w:t xml:space="preserve">one</w:t>
      </w:r>
      <w:r>
        <w:t xml:space="preserve"> </w:t>
      </w:r>
      <w:r>
        <w:t xml:space="preserve">(Elena Vargas, acquired March 1, 2017) acquired after the S election. This discrepancy directly affects the scope of potentially QSBS-eligible shareholders (Issue C-3) and the accuracy of the Thornfield report’s QSBS analysis.</w:t>
      </w:r>
    </w:p>
    <w:p>
      <w:pPr>
        <w:pStyle w:val="BodyText"/>
      </w:pPr>
      <w:r>
        <w:rPr>
          <w:b/>
          <w:bCs/>
        </w:rPr>
        <w:t xml:space="preserve">Impact.</w:t>
      </w:r>
      <w:r>
        <w:t xml:space="preserve"> </w:t>
      </w:r>
      <w:r>
        <w:t xml:space="preserve">The undercounting affects the state tax analysis, the consent collection process, and the QSBS eligibility analysis. The discrepancy between the Thornfield report and the capitalization table on the C corporation period count means the QSBS analysis (when performed) must be based on the actual issuance dates in the capitalization table, not the Thornfield report’s summary.</w:t>
      </w:r>
    </w:p>
    <w:p>
      <w:pPr>
        <w:pStyle w:val="BodyText"/>
      </w:pPr>
      <w:r>
        <w:rPr>
          <w:b/>
          <w:bCs/>
        </w:rPr>
        <w:t xml:space="preserve">Recommendation.</w:t>
      </w:r>
      <w:r>
        <w:t xml:space="preserve"> </w:t>
      </w:r>
      <w:r>
        <w:t xml:space="preserve">Reconcile the shareholder count and composition to the capitalization table. Update the state tax analysis to reflect the correct number of NC-resident shareholders. Base the QSBS analysis on the actual share acquisition dates in the capitalization table.</w:t>
      </w:r>
    </w:p>
    <w:p>
      <w:r>
        <w:pict>
          <v:rect style="width:0;height:1.5pt" o:hralign="center" o:hrstd="t" o:hr="t"/>
        </w:pict>
      </w:r>
    </w:p>
    <w:bookmarkEnd w:id="44"/>
    <w:bookmarkStart w:id="45" w:name="X58c8e8785809963b027b366569907f1de227c9b"/>
    <w:p>
      <w:pPr>
        <w:pStyle w:val="Heading4"/>
      </w:pPr>
      <w:r>
        <w:t xml:space="preserve">M-8. Beacon Management Fee — CPI Adjustment Required by Operating Agreement Not Followed</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VIII (Beacon Insights — Tax Considerations); Section III.C</w:t>
      </w:r>
      <w:r>
        <w:t xml:space="preserve"> </w:t>
      </w:r>
      <w:r>
        <w:rPr>
          <w:b/>
          <w:bCs/>
        </w:rPr>
        <w:t xml:space="preserve">Supporting Document:</w:t>
      </w:r>
      <w:r>
        <w:t xml:space="preserve"> </w:t>
      </w:r>
      <w:r>
        <w:t xml:space="preserve">Beacon Insights, LLC Operating Agreement, Section 9.01; Thornfield Tax Due Diligence Report, Section VII.A</w:t>
      </w:r>
    </w:p>
    <w:p>
      <w:pPr>
        <w:pStyle w:val="BodyText"/>
      </w:pPr>
      <w:r>
        <w:rPr>
          <w:b/>
          <w:bCs/>
        </w:rPr>
        <w:t xml:space="preserve">Description.</w:t>
      </w:r>
      <w:r>
        <w:t xml:space="preserve"> </w:t>
      </w:r>
      <w:r>
        <w:t xml:space="preserve">The Beacon operating agreement Section 9.01 provides that the $850,000 annual management fee</w:t>
      </w:r>
      <w:r>
        <w:t xml:space="preserve"> </w:t>
      </w:r>
      <w:r>
        <w:t xml:space="preserve">“</w:t>
      </w:r>
      <w:r>
        <w:t xml:space="preserve">shall be adjusted annually on January 1 of each year by the percentage increase (if any) in the Consumer Price Index for All Urban Consumers (CPI-U)… provided that the annual increase shall not exceed three percent (3%).</w:t>
      </w:r>
      <w:r>
        <w:t xml:space="preserve">”</w:t>
      </w:r>
    </w:p>
    <w:p>
      <w:pPr>
        <w:pStyle w:val="BodyText"/>
      </w:pPr>
      <w:r>
        <w:t xml:space="preserve">Both the Memo (Section VIII) and the Thornfield report (Section VII.A) state that the management fee</w:t>
      </w:r>
      <w:r>
        <w:t xml:space="preserve"> </w:t>
      </w:r>
      <w:r>
        <w:t xml:space="preserve">“</w:t>
      </w:r>
      <w:r>
        <w:t xml:space="preserve">has been charged at a flat rate of $850,000 since 2019 and has not been adjusted.</w:t>
      </w:r>
      <w:r>
        <w:t xml:space="preserve">”</w:t>
      </w:r>
      <w:r>
        <w:t xml:space="preserve"> </w:t>
      </w:r>
      <w:r>
        <w:t xml:space="preserve">This is inconsistent with the operating agreement’s mandatory CPI adjustment provision. If the fee was supposed to increase by CPI-U each year (capped at 3%) but remained flat at $850,000, the operating agreement’s terms were not followed — a compliance issue that also affects the Section 482 transfer pricing analysis (the fee would have been even further below arm’s-length if it had been properly increased).</w:t>
      </w:r>
    </w:p>
    <w:p>
      <w:pPr>
        <w:pStyle w:val="BodyText"/>
      </w:pPr>
      <w:r>
        <w:rPr>
          <w:b/>
          <w:bCs/>
        </w:rPr>
        <w:t xml:space="preserve">Impact.</w:t>
      </w:r>
      <w:r>
        <w:t xml:space="preserve"> </w:t>
      </w:r>
      <w:r>
        <w:t xml:space="preserve">The failure to adjust the management fee as required by the operating agreement is a compliance issue and exacerbates the Section 482 transfer pricing exposure (Issue M-5). It also suggests that the intercompany arrangements were not administered in accordance with their governing agreements.</w:t>
      </w:r>
    </w:p>
    <w:p>
      <w:pPr>
        <w:pStyle w:val="BodyText"/>
      </w:pPr>
      <w:r>
        <w:rPr>
          <w:b/>
          <w:bCs/>
        </w:rPr>
        <w:t xml:space="preserve">Recommendation.</w:t>
      </w:r>
      <w:r>
        <w:t xml:space="preserve"> </w:t>
      </w:r>
      <w:r>
        <w:t xml:space="preserve">Investigate why the CPI adjustment was not applied. Assess whether the operating agreement was violated and whether remedial action (e.g., true-up payments, amended returns) is warranted. Factor the unadjusted fee into the Section 482 exposure analysis.</w:t>
      </w:r>
    </w:p>
    <w:p>
      <w:r>
        <w:pict>
          <v:rect style="width:0;height:1.5pt" o:hralign="center" o:hrstd="t" o:hr="t"/>
        </w:pict>
      </w:r>
    </w:p>
    <w:bookmarkEnd w:id="45"/>
    <w:bookmarkStart w:id="46" w:name="Xa703f97051146b64dcebfcc214f55298cbccbe5"/>
    <w:p>
      <w:pPr>
        <w:pStyle w:val="Heading4"/>
      </w:pPr>
      <w:r>
        <w:t xml:space="preserve">M-9. Per-Shareholder Gain Allocation — Basic vs. Fully Diluted Ownership</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V.B (Per-Shareholder Tax Consequences)</w:t>
      </w:r>
      <w:r>
        <w:t xml:space="preserve"> </w:t>
      </w:r>
      <w:r>
        <w:rPr>
          <w:b/>
          <w:bCs/>
        </w:rPr>
        <w:t xml:space="preserve">Supporting Document:</w:t>
      </w:r>
      <w:r>
        <w:t xml:space="preserve"> </w:t>
      </w:r>
      <w:r>
        <w:t xml:space="preserve">Prism Capitalization Table</w:t>
      </w:r>
    </w:p>
    <w:p>
      <w:pPr>
        <w:pStyle w:val="BodyText"/>
      </w:pPr>
      <w:r>
        <w:rPr>
          <w:b/>
          <w:bCs/>
        </w:rPr>
        <w:t xml:space="preserve">Description.</w:t>
      </w:r>
      <w:r>
        <w:t xml:space="preserve"> </w:t>
      </w:r>
      <w:r>
        <w:t xml:space="preserve">The Memo allocates the deemed sale gain based on basic stock ownership percentages: Dr. Chandra 52%, Rachel Stowe 28%, and Other Shareholders 20%. The capitalization table shows that the fully diluted ownership percentages differ: Dr. Chandra 50.83%, Rachel Stowe 27.37%, and Other Shareholders 21.80%.</w:t>
      </w:r>
    </w:p>
    <w:p>
      <w:pPr>
        <w:pStyle w:val="BodyText"/>
      </w:pPr>
      <w:r>
        <w:t xml:space="preserve">All restricted stock accelerates and becomes fully vested upon the change of control at closing (Stock Purchase Agreement Section 2.5; Memo Section II.A). Once vested, the restricted stock holders become full shareholders and should share in the deemed sale gain. The Memo’s use of basic ownership percentages (52/28/20) rather than fully diluted percentages (50.83/27.37/21.80) may misallocate the gain among the shareholders.</w:t>
      </w:r>
    </w:p>
    <w:p>
      <w:pPr>
        <w:pStyle w:val="BodyText"/>
      </w:pPr>
      <w:r>
        <w:rPr>
          <w:b/>
          <w:bCs/>
        </w:rPr>
        <w:t xml:space="preserve">Impact.</w:t>
      </w:r>
      <w:r>
        <w:t xml:space="preserve"> </w:t>
      </w:r>
      <w:r>
        <w:t xml:space="preserve">The difference is relatively small at the founder level (52% vs. 50.83% for Chandra; 28% vs. 27.37% for Stowe) but more significant in aggregate for the</w:t>
      </w:r>
      <w:r>
        <w:t xml:space="preserve"> </w:t>
      </w:r>
      <w:r>
        <w:t xml:space="preserve">“</w:t>
      </w:r>
      <w:r>
        <w:t xml:space="preserve">other shareholders</w:t>
      </w:r>
      <w:r>
        <w:t xml:space="preserve">”</w:t>
      </w:r>
      <w:r>
        <w:t xml:space="preserve"> </w:t>
      </w:r>
      <w:r>
        <w:t xml:space="preserve">group (20% vs. 21.80%). The misallocation affects each shareholder’s pro rata share of the deemed sale gain and corresponding tax liability.</w:t>
      </w:r>
    </w:p>
    <w:p>
      <w:pPr>
        <w:pStyle w:val="BodyText"/>
      </w:pPr>
      <w:r>
        <w:rPr>
          <w:b/>
          <w:bCs/>
        </w:rPr>
        <w:t xml:space="preserve">Recommendation.</w:t>
      </w:r>
      <w:r>
        <w:t xml:space="preserve"> </w:t>
      </w:r>
      <w:r>
        <w:t xml:space="preserve">Allocate the deemed sale gain based on the ownership percentages in effect at the closing date, after giving effect to the acceleration of all restricted stock. Confirm whether basic or fully diluted percentages are appropriate under the S corporation allocation rules for the final short-period return.</w:t>
      </w:r>
    </w:p>
    <w:p>
      <w:r>
        <w:pict>
          <v:rect style="width:0;height:1.5pt" o:hralign="center" o:hrstd="t" o:hr="t"/>
        </w:pict>
      </w:r>
    </w:p>
    <w:bookmarkEnd w:id="46"/>
    <w:bookmarkStart w:id="47" w:name="X2d5b3e982f93f1892611a81d03a099181882028"/>
    <w:p>
      <w:pPr>
        <w:pStyle w:val="Heading4"/>
      </w:pPr>
      <w:r>
        <w:t xml:space="preserve">M-10. Sources and Uses — Equity Contribution Understated by Approximately $55 Million</w:t>
      </w:r>
    </w:p>
    <w:p>
      <w:pPr>
        <w:pStyle w:val="FirstParagraph"/>
      </w:pPr>
      <w:r>
        <w:rPr>
          <w:b/>
          <w:bCs/>
        </w:rPr>
        <w:t xml:space="preserve">Severity:</w:t>
      </w:r>
      <w:r>
        <w:t xml:space="preserve"> </w:t>
      </w:r>
      <w:r>
        <w:t xml:space="preserve">Moderate</w:t>
      </w:r>
      <w:r>
        <w:t xml:space="preserve"> </w:t>
      </w:r>
      <w:r>
        <w:rPr>
          <w:b/>
          <w:bCs/>
        </w:rPr>
        <w:t xml:space="preserve">Memo Location:</w:t>
      </w:r>
      <w:r>
        <w:t xml:space="preserve"> </w:t>
      </w:r>
      <w:r>
        <w:t xml:space="preserve">Section II.C (Consideration and Financing)</w:t>
      </w:r>
      <w:r>
        <w:t xml:space="preserve"> </w:t>
      </w:r>
      <w:r>
        <w:rPr>
          <w:b/>
          <w:bCs/>
        </w:rPr>
        <w:t xml:space="preserve">Supporting Document:</w:t>
      </w:r>
      <w:r>
        <w:t xml:space="preserve"> </w:t>
      </w:r>
      <w:r>
        <w:t xml:space="preserve">Stock Purchase Agreement Section 2.6; Asset Valuation Summary</w:t>
      </w:r>
    </w:p>
    <w:p>
      <w:pPr>
        <w:pStyle w:val="BodyText"/>
      </w:pPr>
      <w:r>
        <w:rPr>
          <w:b/>
          <w:bCs/>
        </w:rPr>
        <w:t xml:space="preserve">Description.</w:t>
      </w:r>
      <w:r>
        <w:t xml:space="preserve"> </w:t>
      </w:r>
      <w:r>
        <w:t xml:space="preserve">The Memo computes Ridgeline’s equity contribution as:</w:t>
      </w:r>
      <w:r>
        <w:t xml:space="preserve"> </w:t>
      </w:r>
      <w:r>
        <w:t xml:space="preserve">“</w:t>
      </w:r>
      <w:r>
        <w:t xml:space="preserve">$370,000,000 (total equity consideration) less $37,000,000 (rollover equity from Dr. Chandra) less $190,000,000 (funded debt) = $143,000,000 in equity funded directly by Fund III.</w:t>
      </w:r>
      <w:r>
        <w:t xml:space="preserve">”</w:t>
      </w:r>
    </w:p>
    <w:p>
      <w:pPr>
        <w:pStyle w:val="BodyText"/>
      </w:pPr>
      <w:r>
        <w:t xml:space="preserve">This calculation only accounts for funding the equity consideration ($370M). It does not account for the $48 million payoff of Prism’s existing funded indebtedness (Stock Purchase Agreement Section 2.6(a):</w:t>
      </w:r>
      <w:r>
        <w:t xml:space="preserve"> </w:t>
      </w:r>
      <w:r>
        <w:t xml:space="preserve">“</w:t>
      </w:r>
      <w:r>
        <w:t xml:space="preserve">Parent shall cause all Funded Indebtedness… to be repaid in full</w:t>
      </w:r>
      <w:r>
        <w:t xml:space="preserve">”</w:t>
      </w:r>
      <w:r>
        <w:t xml:space="preserve">) or the $7 million in seller transaction expenses (Section 2.6(b)). The total funds required at closing equal the enterprise value of $425 million ($370M equity + $48M debt payoff + $7M expenses). The correct equity contribution from Fund III is:</w:t>
      </w:r>
    </w:p>
    <w:p>
      <w:pPr>
        <w:pStyle w:val="BlockText"/>
      </w:pPr>
      <w:r>
        <w:t xml:space="preserve">$425,000,000 (total uses) − $190,000,000 (new Term Loan A) − $37,000,000 (rollover) =</w:t>
      </w:r>
      <w:r>
        <w:t xml:space="preserve"> </w:t>
      </w:r>
      <w:r>
        <w:rPr>
          <w:b/>
          <w:bCs/>
        </w:rPr>
        <w:t xml:space="preserve">$198,000,000</w:t>
      </w:r>
    </w:p>
    <w:p>
      <w:pPr>
        <w:pStyle w:val="FirstParagraph"/>
      </w:pPr>
      <w:r>
        <w:t xml:space="preserve">The Memo’s $143 million understates the actual equity check by approximately $55 million.</w:t>
      </w:r>
    </w:p>
    <w:p>
      <w:pPr>
        <w:pStyle w:val="BodyText"/>
      </w:pPr>
      <w:r>
        <w:rPr>
          <w:b/>
          <w:bCs/>
        </w:rPr>
        <w:t xml:space="preserve">Impact.</w:t>
      </w:r>
      <w:r>
        <w:t xml:space="preserve"> </w:t>
      </w:r>
      <w:r>
        <w:t xml:space="preserve">The understated equity contribution misstates the sources-and-uses and the financing structure. While this does not directly affect the tax analysis, it misrepresents the capital structure to the Investment Committee and could affect the §163(j) interest deductibility analysis (the leverage ratio is higher than implied by the Memo’s figures).</w:t>
      </w:r>
    </w:p>
    <w:p>
      <w:pPr>
        <w:pStyle w:val="BodyText"/>
      </w:pPr>
      <w:r>
        <w:rPr>
          <w:b/>
          <w:bCs/>
        </w:rPr>
        <w:t xml:space="preserve">Recommendation.</w:t>
      </w:r>
      <w:r>
        <w:t xml:space="preserve"> </w:t>
      </w:r>
      <w:r>
        <w:t xml:space="preserve">Revise the equity contribution calculation to reflect the total funding required (enterprise value), not just the equity consideration. Present a complete sources-and-uses table.</w:t>
      </w:r>
    </w:p>
    <w:p>
      <w:r>
        <w:pict>
          <v:rect style="width:0;height:1.5pt" o:hralign="center" o:hrstd="t" o:hr="t"/>
        </w:pict>
      </w:r>
    </w:p>
    <w:bookmarkEnd w:id="47"/>
    <w:bookmarkEnd w:id="48"/>
    <w:bookmarkStart w:id="56" w:name="d.-low-severity-issues"/>
    <w:p>
      <w:pPr>
        <w:pStyle w:val="Heading3"/>
      </w:pPr>
      <w:r>
        <w:t xml:space="preserve">D. Low-Severity issues</w:t>
      </w:r>
    </w:p>
    <w:p>
      <w:r>
        <w:pict>
          <v:rect style="width:0;height:1.5pt" o:hralign="center" o:hrstd="t" o:hr="t"/>
        </w:pict>
      </w:r>
    </w:p>
    <w:bookmarkStart w:id="49" w:name="l-1.-date-and-citation-inconsistencies"/>
    <w:p>
      <w:pPr>
        <w:pStyle w:val="Heading4"/>
      </w:pPr>
      <w:r>
        <w:t xml:space="preserve">L-1. Date and Citation Inconsistencies</w:t>
      </w:r>
    </w:p>
    <w:p>
      <w:pPr>
        <w:pStyle w:val="FirstParagraph"/>
      </w:pPr>
      <w:r>
        <w:rPr>
          <w:b/>
          <w:bCs/>
        </w:rPr>
        <w:t xml:space="preserve">Severity:</w:t>
      </w:r>
      <w:r>
        <w:t xml:space="preserve"> </w:t>
      </w:r>
      <w:r>
        <w:t xml:space="preserve">Low</w:t>
      </w:r>
      <w:r>
        <w:t xml:space="preserve"> </w:t>
      </w:r>
      <w:r>
        <w:rPr>
          <w:b/>
          <w:bCs/>
        </w:rPr>
        <w:t xml:space="preserve">Memo Location:</w:t>
      </w:r>
      <w:r>
        <w:t xml:space="preserve"> </w:t>
      </w:r>
      <w:r>
        <w:t xml:space="preserve">Preamble; Sections II.A, III.C, VII.B</w:t>
      </w:r>
    </w:p>
    <w:p>
      <w:pPr>
        <w:pStyle w:val="BodyText"/>
      </w:pPr>
      <w:r>
        <w:rPr>
          <w:b/>
          <w:bCs/>
        </w:rPr>
        <w:t xml:space="preserve">Description.</w:t>
      </w:r>
      <w:r>
        <w:t xml:space="preserve"> </w:t>
      </w:r>
      <w:r>
        <w:t xml:space="preserve">Several date and citation inconsistencies appear:</w:t>
      </w:r>
      <w:r>
        <w:t xml:space="preserve"> </w:t>
      </w:r>
      <w:r>
        <w:t xml:space="preserve">- The Memo’s preamble states that the due diligence report was</w:t>
      </w:r>
      <w:r>
        <w:t xml:space="preserve"> </w:t>
      </w:r>
      <w:r>
        <w:t xml:space="preserve">“</w:t>
      </w:r>
      <w:r>
        <w:t xml:space="preserve">prepared by Thornfield Accounting Group, LLP dated January 10, 2025.</w:t>
      </w:r>
      <w:r>
        <w:t xml:space="preserve">”</w:t>
      </w:r>
      <w:r>
        <w:t xml:space="preserve"> </w:t>
      </w:r>
      <w:r>
        <w:t xml:space="preserve">The actual Thornfield report is dated</w:t>
      </w:r>
      <w:r>
        <w:t xml:space="preserve"> </w:t>
      </w:r>
      <w:r>
        <w:rPr>
          <w:b/>
          <w:bCs/>
        </w:rPr>
        <w:t xml:space="preserve">January 15, 2025</w:t>
      </w:r>
      <w:r>
        <w:t xml:space="preserve"> </w:t>
      </w:r>
      <w:r>
        <w:t xml:space="preserve">(and states that it is based on information</w:t>
      </w:r>
      <w:r>
        <w:t xml:space="preserve"> </w:t>
      </w:r>
      <w:r>
        <w:t xml:space="preserve">“</w:t>
      </w:r>
      <w:r>
        <w:t xml:space="preserve">through January 10, 2025</w:t>
      </w:r>
      <w:r>
        <w:t xml:space="preserve">”</w:t>
      </w:r>
      <w:r>
        <w:t xml:space="preserve">). The Memo conflates the information cutoff date with the report date.</w:t>
      </w:r>
      <w:r>
        <w:t xml:space="preserve"> </w:t>
      </w:r>
      <w:r>
        <w:t xml:space="preserve">- The Thornfield asset valuation summary references</w:t>
      </w:r>
      <w:r>
        <w:t xml:space="preserve"> </w:t>
      </w:r>
      <w:r>
        <w:t xml:space="preserve">“</w:t>
      </w:r>
      <w:r>
        <w:t xml:space="preserve">Calloway, Stern &amp; Whitaker LLP Memo dated 1/28/2025,</w:t>
      </w:r>
      <w:r>
        <w:t xml:space="preserve">”</w:t>
      </w:r>
      <w:r>
        <w:t xml:space="preserve"> </w:t>
      </w:r>
      <w:r>
        <w:t xml:space="preserve">but the Memo is dated</w:t>
      </w:r>
      <w:r>
        <w:t xml:space="preserve"> </w:t>
      </w:r>
      <w:r>
        <w:rPr>
          <w:b/>
          <w:bCs/>
        </w:rPr>
        <w:t xml:space="preserve">February 10, 2025</w:t>
      </w:r>
      <w:r>
        <w:t xml:space="preserve">. This suggests either an earlier draft of the Memo circulated on January 28, 2025 (the purchase agreement date), or the asset valuation summary contains an incorrect reference date.</w:t>
      </w:r>
      <w:r>
        <w:t xml:space="preserve"> </w:t>
      </w:r>
      <w:r>
        <w:t xml:space="preserve">- The Memo cites</w:t>
      </w:r>
      <w:r>
        <w:t xml:space="preserve"> </w:t>
      </w:r>
      <w:r>
        <w:t xml:space="preserve">“</w:t>
      </w:r>
      <w:r>
        <w:t xml:space="preserve">Treas. Reg. 1.301-7701-3</w:t>
      </w:r>
      <w:r>
        <w:t xml:space="preserve">”</w:t>
      </w:r>
      <w:r>
        <w:t xml:space="preserve"> </w:t>
      </w:r>
      <w:r>
        <w:t xml:space="preserve">in Sections II.A, III.C, and VII.B. The correct citation is</w:t>
      </w:r>
      <w:r>
        <w:t xml:space="preserve"> </w:t>
      </w:r>
      <w:r>
        <w:t xml:space="preserve">“</w:t>
      </w:r>
      <w:r>
        <w:t xml:space="preserve">Treas. Reg. §301.7701-3</w:t>
      </w:r>
      <w:r>
        <w:t xml:space="preserve">”</w:t>
      </w:r>
      <w:r>
        <w:t xml:space="preserve"> </w:t>
      </w:r>
      <w:r>
        <w:t xml:space="preserve">(the check-the-box regulations are issued under §301 of the Code, not §1). The Thornfield report correctly cites</w:t>
      </w:r>
      <w:r>
        <w:t xml:space="preserve"> </w:t>
      </w:r>
      <w:r>
        <w:t xml:space="preserve">“</w:t>
      </w:r>
      <w:r>
        <w:t xml:space="preserve">Section 301.7701-3.</w:t>
      </w:r>
      <w:r>
        <w:t xml:space="preserve">”</w:t>
      </w:r>
    </w:p>
    <w:p>
      <w:pPr>
        <w:pStyle w:val="BodyText"/>
      </w:pPr>
      <w:r>
        <w:rPr>
          <w:b/>
          <w:bCs/>
        </w:rPr>
        <w:t xml:space="preserve">Recommendation.</w:t>
      </w:r>
      <w:r>
        <w:t xml:space="preserve"> </w:t>
      </w:r>
      <w:r>
        <w:t xml:space="preserve">Correct the due diligence report date to January 15, 2025. Reconcile the memo date reference in the asset valuation summary. Correct the Treas. Reg. citation to §301.7701-3.</w:t>
      </w:r>
    </w:p>
    <w:p>
      <w:r>
        <w:pict>
          <v:rect style="width:0;height:1.5pt" o:hralign="center" o:hrstd="t" o:hr="t"/>
        </w:pict>
      </w:r>
    </w:p>
    <w:bookmarkEnd w:id="49"/>
    <w:bookmarkStart w:id="50" w:name="X43945fc144ae101d42ad8bc10208fce38d7b1b7"/>
    <w:p>
      <w:pPr>
        <w:pStyle w:val="Heading4"/>
      </w:pPr>
      <w:r>
        <w:t xml:space="preserve">L-2. EBITDA Figure Unverified and Implies Unusually High Margin</w:t>
      </w:r>
    </w:p>
    <w:p>
      <w:pPr>
        <w:pStyle w:val="FirstParagraph"/>
      </w:pPr>
      <w:r>
        <w:rPr>
          <w:b/>
          <w:bCs/>
        </w:rPr>
        <w:t xml:space="preserve">Severity:</w:t>
      </w:r>
      <w:r>
        <w:t xml:space="preserve"> </w:t>
      </w:r>
      <w:r>
        <w:t xml:space="preserve">Low</w:t>
      </w:r>
      <w:r>
        <w:t xml:space="preserve"> </w:t>
      </w:r>
      <w:r>
        <w:rPr>
          <w:b/>
          <w:bCs/>
        </w:rPr>
        <w:t xml:space="preserve">Memo Location:</w:t>
      </w:r>
      <w:r>
        <w:t xml:space="preserve"> </w:t>
      </w:r>
      <w:r>
        <w:t xml:space="preserve">Section VII.B (Interest Deductibility — Section 163(j))</w:t>
      </w:r>
    </w:p>
    <w:p>
      <w:pPr>
        <w:pStyle w:val="BodyText"/>
      </w:pPr>
      <w:r>
        <w:rPr>
          <w:b/>
          <w:bCs/>
        </w:rPr>
        <w:t xml:space="preserve">Description.</w:t>
      </w:r>
      <w:r>
        <w:t xml:space="preserve"> </w:t>
      </w:r>
      <w:r>
        <w:t xml:space="preserve">The Memo states that the §163(j) analysis is based on</w:t>
      </w:r>
      <w:r>
        <w:t xml:space="preserve"> </w:t>
      </w:r>
      <w:r>
        <w:t xml:space="preserve">“</w:t>
      </w:r>
      <w:r>
        <w:t xml:space="preserve">Prism’s historical EBITDA of approximately $58,000,000 (2024 estimate).</w:t>
      </w:r>
      <w:r>
        <w:t xml:space="preserve">”</w:t>
      </w:r>
      <w:r>
        <w:t xml:space="preserve"> </w:t>
      </w:r>
      <w:r>
        <w:t xml:space="preserve">With 2024 revenue of approximately $87 million (per the Memo and the Thornfield report), this implies an EBITDA margin of approximately 67%, which is unusually high even for a software/SaaS healthcare analytics company. The $58 million EBITDA figure is not sourced to the quality-of-earnings report or any other supporting document in the materials reviewed, and the Thornfield due diligence report does not reference a Prism-level EBITDA figure (it references only Beacon’s $3.2 million EBITDA).</w:t>
      </w:r>
    </w:p>
    <w:p>
      <w:pPr>
        <w:pStyle w:val="BodyText"/>
      </w:pPr>
      <w:r>
        <w:rPr>
          <w:b/>
          <w:bCs/>
        </w:rPr>
        <w:t xml:space="preserve">Impact.</w:t>
      </w:r>
      <w:r>
        <w:t xml:space="preserve"> </w:t>
      </w:r>
      <w:r>
        <w:t xml:space="preserve">The §163(j) interest deductibility analysis depends on adjusted taxable income, which is derived from EBITDA. If the $58 million figure is overstated, the Memo’s conclusion that</w:t>
      </w:r>
      <w:r>
        <w:t xml:space="preserve"> </w:t>
      </w:r>
      <w:r>
        <w:t xml:space="preserve">“</w:t>
      </w:r>
      <w:r>
        <w:t xml:space="preserve">new Target should have sufficient adjusted taxable income capacity to deduct the anticipated annual interest expense</w:t>
      </w:r>
      <w:r>
        <w:t xml:space="preserve">”</w:t>
      </w:r>
      <w:r>
        <w:t xml:space="preserve"> </w:t>
      </w:r>
      <w:r>
        <w:t xml:space="preserve">may be less robust than presented.</w:t>
      </w:r>
    </w:p>
    <w:p>
      <w:pPr>
        <w:pStyle w:val="BodyText"/>
      </w:pPr>
      <w:r>
        <w:rPr>
          <w:b/>
          <w:bCs/>
        </w:rPr>
        <w:t xml:space="preserve">Recommendation.</w:t>
      </w:r>
      <w:r>
        <w:t xml:space="preserve"> </w:t>
      </w:r>
      <w:r>
        <w:t xml:space="preserve">Verify the EBITDA figure against the quality-of-earnings report. Cite the source. If the figure is correct, note the unusually high margin and confirm the adjusted taxable income projection for the §163(j) analysis.</w:t>
      </w:r>
    </w:p>
    <w:p>
      <w:r>
        <w:pict>
          <v:rect style="width:0;height:1.5pt" o:hralign="center" o:hrstd="t" o:hr="t"/>
        </w:pict>
      </w:r>
    </w:p>
    <w:bookmarkEnd w:id="50"/>
    <w:bookmarkStart w:id="51" w:name="Xb07496d3be3663061ad9d30c675d74596f2a11a"/>
    <w:p>
      <w:pPr>
        <w:pStyle w:val="Heading4"/>
      </w:pPr>
      <w:r>
        <w:t xml:space="preserve">L-3. California Section 338(h)(10) Conformity and Separate State Election Not Addressed</w:t>
      </w:r>
    </w:p>
    <w:p>
      <w:pPr>
        <w:pStyle w:val="FirstParagraph"/>
      </w:pPr>
      <w:r>
        <w:rPr>
          <w:b/>
          <w:bCs/>
        </w:rPr>
        <w:t xml:space="preserve">Severity:</w:t>
      </w:r>
      <w:r>
        <w:t xml:space="preserve"> </w:t>
      </w:r>
      <w:r>
        <w:t xml:space="preserve">Low</w:t>
      </w:r>
      <w:r>
        <w:t xml:space="preserve"> </w:t>
      </w:r>
      <w:r>
        <w:rPr>
          <w:b/>
          <w:bCs/>
        </w:rPr>
        <w:t xml:space="preserve">Memo Location:</w:t>
      </w:r>
      <w:r>
        <w:t xml:space="preserve"> </w:t>
      </w:r>
      <w:r>
        <w:t xml:space="preserve">Section VI.B (California)</w:t>
      </w:r>
    </w:p>
    <w:p>
      <w:pPr>
        <w:pStyle w:val="BodyText"/>
      </w:pPr>
      <w:r>
        <w:rPr>
          <w:b/>
          <w:bCs/>
        </w:rPr>
        <w:t xml:space="preserve">Description.</w:t>
      </w:r>
      <w:r>
        <w:t xml:space="preserve"> </w:t>
      </w:r>
      <w:r>
        <w:t xml:space="preserve">The Memo states that</w:t>
      </w:r>
      <w:r>
        <w:t xml:space="preserve"> </w:t>
      </w:r>
      <w:r>
        <w:t xml:space="preserve">“</w:t>
      </w:r>
      <w:r>
        <w:t xml:space="preserve">California imposes a 1.5% entity-level tax on the California-apportioned share of deemed sale gain</w:t>
      </w:r>
      <w:r>
        <w:t xml:space="preserve">”</w:t>
      </w:r>
      <w:r>
        <w:t xml:space="preserve"> </w:t>
      </w:r>
      <w:r>
        <w:t xml:space="preserve">and assumes that California conforms to the federal Section 338(h)(10) election. The Memo does not address whether California requires a separate state-level election to achieve the deemed asset sale treatment, or whether California’s conformity is automatic. The Memo also does not address whether the California entity-level tax applies to the full deemed sale gain or only to the California-apportioned portion, and how the apportionment factor is computed for a deemed asset sale.</w:t>
      </w:r>
    </w:p>
    <w:p>
      <w:pPr>
        <w:pStyle w:val="BodyText"/>
      </w:pPr>
      <w:r>
        <w:rPr>
          <w:b/>
          <w:bCs/>
        </w:rPr>
        <w:t xml:space="preserve">Impact.</w:t>
      </w:r>
      <w:r>
        <w:t xml:space="preserve"> </w:t>
      </w:r>
      <w:r>
        <w:t xml:space="preserve">If California does not automatically conform or requires a separate election that is not made, the California tax treatment could differ from the federal treatment, creating inconsistency. The California entity-level tax on the deemed sale gain could be material depending on the apportionment factor.</w:t>
      </w:r>
    </w:p>
    <w:p>
      <w:pPr>
        <w:pStyle w:val="BodyText"/>
      </w:pPr>
      <w:r>
        <w:rPr>
          <w:b/>
          <w:bCs/>
        </w:rPr>
        <w:t xml:space="preserve">Recommendation.</w:t>
      </w:r>
      <w:r>
        <w:t xml:space="preserve"> </w:t>
      </w:r>
      <w:r>
        <w:t xml:space="preserve">Confirm California’s conformity rules for Section 338(h)(10) elections by S corporations. Determine whether a separate state-level election is required and ensure it is made if necessary. Analyze the California apportionment factor for the deemed sale gain.</w:t>
      </w:r>
    </w:p>
    <w:p>
      <w:r>
        <w:pict>
          <v:rect style="width:0;height:1.5pt" o:hralign="center" o:hrstd="t" o:hr="t"/>
        </w:pict>
      </w:r>
    </w:p>
    <w:bookmarkEnd w:id="51"/>
    <w:bookmarkStart w:id="52" w:name="X8783c928f8f33599b0c151d77d81e3510fe8b6b"/>
    <w:p>
      <w:pPr>
        <w:pStyle w:val="Heading4"/>
      </w:pPr>
      <w:r>
        <w:t xml:space="preserve">L-4. New York Sales Tax Exposure ($150,000–$300,000) Not Addressed</w:t>
      </w:r>
    </w:p>
    <w:p>
      <w:pPr>
        <w:pStyle w:val="FirstParagraph"/>
      </w:pPr>
      <w:r>
        <w:rPr>
          <w:b/>
          <w:bCs/>
        </w:rPr>
        <w:t xml:space="preserve">Severity:</w:t>
      </w:r>
      <w:r>
        <w:t xml:space="preserve"> </w:t>
      </w:r>
      <w:r>
        <w:t xml:space="preserve">Low</w:t>
      </w:r>
      <w:r>
        <w:t xml:space="preserve"> </w:t>
      </w:r>
      <w:r>
        <w:rPr>
          <w:b/>
          <w:bCs/>
        </w:rPr>
        <w:t xml:space="preserve">Memo Location:</w:t>
      </w:r>
      <w:r>
        <w:t xml:space="preserve"> </w:t>
      </w:r>
      <w:r>
        <w:t xml:space="preserve">Entire Memo (not addressed)</w:t>
      </w:r>
      <w:r>
        <w:t xml:space="preserve"> </w:t>
      </w:r>
      <w:r>
        <w:rPr>
          <w:b/>
          <w:bCs/>
        </w:rPr>
        <w:t xml:space="preserve">Supporting Document:</w:t>
      </w:r>
      <w:r>
        <w:t xml:space="preserve"> </w:t>
      </w:r>
      <w:r>
        <w:t xml:space="preserve">Thornfield Tax Due Diligence Report, Section X.A</w:t>
      </w:r>
    </w:p>
    <w:p>
      <w:pPr>
        <w:pStyle w:val="BodyText"/>
      </w:pPr>
      <w:r>
        <w:rPr>
          <w:b/>
          <w:bCs/>
        </w:rPr>
        <w:t xml:space="preserve">Description.</w:t>
      </w:r>
      <w:r>
        <w:t xml:space="preserve"> </w:t>
      </w:r>
      <w:r>
        <w:t xml:space="preserve">The Thornfield due diligence report identifies New York sales tax exposure of $150,000–$300,000 (inclusive of penalties and interest) because Prism has not been collecting New York sales tax on its SaaS subscription revenue sourced to New York customers, which may be taxable as a sale of pre-written computer software under New York guidance. The Memo does not mention this exposure.</w:t>
      </w:r>
    </w:p>
    <w:p>
      <w:pPr>
        <w:pStyle w:val="BodyText"/>
      </w:pPr>
      <w:r>
        <w:rPr>
          <w:b/>
          <w:bCs/>
        </w:rPr>
        <w:t xml:space="preserve">Impact.</w:t>
      </w:r>
      <w:r>
        <w:t xml:space="preserve"> </w:t>
      </w:r>
      <w:r>
        <w:t xml:space="preserve">While the dollar amount is relatively small, this is a pre-closing liability that should be addressed in the indemnification provisions and potentially through a voluntary disclosure agreement with the New York Department of Taxation and Finance (as Thornfield recommends).</w:t>
      </w:r>
    </w:p>
    <w:p>
      <w:pPr>
        <w:pStyle w:val="BodyText"/>
      </w:pPr>
      <w:r>
        <w:rPr>
          <w:b/>
          <w:bCs/>
        </w:rPr>
        <w:t xml:space="preserve">Recommendation.</w:t>
      </w:r>
      <w:r>
        <w:t xml:space="preserve"> </w:t>
      </w:r>
      <w:r>
        <w:t xml:space="preserve">Note the New York sales tax exposure in the Memo. Address it in the transaction’s risk allocation and indemnification provisions. Consider a voluntary disclosure agreement.</w:t>
      </w:r>
    </w:p>
    <w:p>
      <w:r>
        <w:pict>
          <v:rect style="width:0;height:1.5pt" o:hralign="center" o:hrstd="t" o:hr="t"/>
        </w:pict>
      </w:r>
    </w:p>
    <w:bookmarkEnd w:id="52"/>
    <w:bookmarkStart w:id="53" w:name="Xdc39379dfe97ef35946769f5603bbee990f3b58"/>
    <w:p>
      <w:pPr>
        <w:pStyle w:val="Heading4"/>
      </w:pPr>
      <w:r>
        <w:t xml:space="preserve">L-5. Section 197 Anti-Churning and Self-Created Intangibles — Cursory Analysis</w:t>
      </w:r>
    </w:p>
    <w:p>
      <w:pPr>
        <w:pStyle w:val="FirstParagraph"/>
      </w:pPr>
      <w:r>
        <w:rPr>
          <w:b/>
          <w:bCs/>
        </w:rPr>
        <w:t xml:space="preserve">Severity:</w:t>
      </w:r>
      <w:r>
        <w:t xml:space="preserve"> </w:t>
      </w:r>
      <w:r>
        <w:t xml:space="preserve">Low</w:t>
      </w:r>
      <w:r>
        <w:t xml:space="preserve"> </w:t>
      </w:r>
      <w:r>
        <w:rPr>
          <w:b/>
          <w:bCs/>
        </w:rPr>
        <w:t xml:space="preserve">Memo Location:</w:t>
      </w:r>
      <w:r>
        <w:t xml:space="preserve"> </w:t>
      </w:r>
      <w:r>
        <w:t xml:space="preserve">Section VII.B (Section 197 Anti-Churning Rules)</w:t>
      </w:r>
    </w:p>
    <w:p>
      <w:pPr>
        <w:pStyle w:val="BodyText"/>
      </w:pPr>
      <w:r>
        <w:rPr>
          <w:b/>
          <w:bCs/>
        </w:rPr>
        <w:t xml:space="preserve">Description.</w:t>
      </w:r>
      <w:r>
        <w:t xml:space="preserve"> </w:t>
      </w:r>
      <w:r>
        <w:t xml:space="preserve">The Memo’s anti-churning analysis under §197(f)(9) is cursory, concluding that the rules</w:t>
      </w:r>
      <w:r>
        <w:t xml:space="preserve"> </w:t>
      </w:r>
      <w:r>
        <w:t xml:space="preserve">“</w:t>
      </w:r>
      <w:r>
        <w:t xml:space="preserve">should not apply</w:t>
      </w:r>
      <w:r>
        <w:t xml:space="preserve">”</w:t>
      </w:r>
      <w:r>
        <w:t xml:space="preserve"> </w:t>
      </w:r>
      <w:r>
        <w:t xml:space="preserve">because the parties are unrelated. The Memo does not address: (i) whether any of the Section 197 intangibles (customer relationships, proprietary data sets) were self-created by Prism — the asset valuation summary shows $0 adjusted tax basis for customer relationships, suggesting they were self-created, which raises §197(c)(2) issues (though in a 338(h)(10) deemed sale, new Target is treated as a purchaser, which may overcome the self-created limitation); and (ii) whether any intangibles were held by Prism or a related party before August 10, 1993, which would trigger the anti-churning rules. The customer relationships and proprietary data sets appear to have been developed over Prism’s 8+ year history, but the pre-1993 issue is likely inapplicable given Prism’s 2016 incorporation.</w:t>
      </w:r>
    </w:p>
    <w:p>
      <w:pPr>
        <w:pStyle w:val="BodyText"/>
      </w:pPr>
      <w:r>
        <w:rPr>
          <w:b/>
          <w:bCs/>
        </w:rPr>
        <w:t xml:space="preserve">Recommendation.</w:t>
      </w:r>
      <w:r>
        <w:t xml:space="preserve"> </w:t>
      </w:r>
      <w:r>
        <w:t xml:space="preserve">Expand the anti-churning analysis to address self-created intangibles and the §197(c)(2) limitation in the context of a 338(h)(10) deemed sale. Confirm that no intangibles were held before August 10, 1993 (likely moot given the 2016 incorporation, but should be confirmed).</w:t>
      </w:r>
    </w:p>
    <w:p>
      <w:r>
        <w:pict>
          <v:rect style="width:0;height:1.5pt" o:hralign="center" o:hrstd="t" o:hr="t"/>
        </w:pict>
      </w:r>
    </w:p>
    <w:bookmarkEnd w:id="53"/>
    <w:bookmarkStart w:id="54" w:name="Xa582d242662c4bf27404dbc0d75188abdff2185"/>
    <w:p>
      <w:pPr>
        <w:pStyle w:val="Heading4"/>
      </w:pPr>
      <w:r>
        <w:t xml:space="preserve">L-6. Non-Compete Agreements — Risk of Compensatory Recharacterization Not Addressed</w:t>
      </w:r>
    </w:p>
    <w:p>
      <w:pPr>
        <w:pStyle w:val="FirstParagraph"/>
      </w:pPr>
      <w:r>
        <w:rPr>
          <w:b/>
          <w:bCs/>
        </w:rPr>
        <w:t xml:space="preserve">Severity:</w:t>
      </w:r>
      <w:r>
        <w:t xml:space="preserve"> </w:t>
      </w:r>
      <w:r>
        <w:t xml:space="preserve">Low</w:t>
      </w:r>
      <w:r>
        <w:t xml:space="preserve"> </w:t>
      </w:r>
      <w:r>
        <w:rPr>
          <w:b/>
          <w:bCs/>
        </w:rPr>
        <w:t xml:space="preserve">Memo Location:</w:t>
      </w:r>
      <w:r>
        <w:t xml:space="preserve"> </w:t>
      </w:r>
      <w:r>
        <w:t xml:space="preserve">Section IV.C (Class VI); Section V.B</w:t>
      </w:r>
      <w:r>
        <w:t xml:space="preserve"> </w:t>
      </w:r>
      <w:r>
        <w:rPr>
          <w:b/>
          <w:bCs/>
        </w:rPr>
        <w:t xml:space="preserve">Supporting Document:</w:t>
      </w:r>
      <w:r>
        <w:t xml:space="preserve"> </w:t>
      </w:r>
      <w:r>
        <w:t xml:space="preserve">Asset Valuation Summary, A-013</w:t>
      </w:r>
    </w:p>
    <w:p>
      <w:pPr>
        <w:pStyle w:val="BodyText"/>
      </w:pPr>
      <w:r>
        <w:rPr>
          <w:b/>
          <w:bCs/>
        </w:rPr>
        <w:t xml:space="preserve">Description.</w:t>
      </w:r>
      <w:r>
        <w:t xml:space="preserve"> </w:t>
      </w:r>
      <w:r>
        <w:t xml:space="preserve">The Memo allocates $15 million to non-compete agreements ($10.5M for Chandra, $4.5M for Stowe, per the asset valuation summary) and treats them as Class VI Section 197 intangibles amortizable over 15 years. However, where the non-compete is paired with a continuing employment or consulting relationship (Chandra’s 4-year employment agreement; Stowe’s 2-year consulting agreement), the IRS may scrutinize whether the non-compete value is truly separate from compensation for services. If recharacterized as compensation, the amount would be taxable as ordinary income to the service provider and deductible by the employer, rather than amortizable under Section 197. The Memo does not address this risk.</w:t>
      </w:r>
    </w:p>
    <w:p>
      <w:pPr>
        <w:pStyle w:val="BodyText"/>
      </w:pPr>
      <w:r>
        <w:rPr>
          <w:b/>
          <w:bCs/>
        </w:rPr>
        <w:t xml:space="preserve">Recommendation.</w:t>
      </w:r>
      <w:r>
        <w:t xml:space="preserve"> </w:t>
      </w:r>
      <w:r>
        <w:t xml:space="preserve">Analyze the risk of compensatory recharacterization for the non-compete agreements, particularly given the concurrent employment and consulting arrangements. Ensure the non-compete valuation is supported by a defensible methodology (the asset valuation summary references the</w:t>
      </w:r>
      <w:r>
        <w:t xml:space="preserve"> </w:t>
      </w:r>
      <w:r>
        <w:t xml:space="preserve">“</w:t>
      </w:r>
      <w:r>
        <w:t xml:space="preserve">with-and-without method</w:t>
      </w:r>
      <w:r>
        <w:t xml:space="preserve">”</w:t>
      </w:r>
      <w:r>
        <w:t xml:space="preserve">).</w:t>
      </w:r>
    </w:p>
    <w:p>
      <w:r>
        <w:pict>
          <v:rect style="width:0;height:1.5pt" o:hralign="center" o:hrstd="t" o:hr="t"/>
        </w:pict>
      </w:r>
    </w:p>
    <w:bookmarkEnd w:id="54"/>
    <w:bookmarkStart w:id="55" w:name="Xd129bc9e74a7784cacfc38680f9b5f8c0cc0e61"/>
    <w:p>
      <w:pPr>
        <w:pStyle w:val="Heading4"/>
      </w:pPr>
      <w:r>
        <w:t xml:space="preserve">L-7. Dr. Chandra Stock Basis — $1.5 Million Estimate Unsupported by Capitalization Table</w:t>
      </w:r>
    </w:p>
    <w:p>
      <w:pPr>
        <w:pStyle w:val="FirstParagraph"/>
      </w:pPr>
      <w:r>
        <w:rPr>
          <w:b/>
          <w:bCs/>
        </w:rPr>
        <w:t xml:space="preserve">Severity:</w:t>
      </w:r>
      <w:r>
        <w:t xml:space="preserve"> </w:t>
      </w:r>
      <w:r>
        <w:t xml:space="preserve">Low</w:t>
      </w:r>
      <w:r>
        <w:t xml:space="preserve"> </w:t>
      </w:r>
      <w:r>
        <w:rPr>
          <w:b/>
          <w:bCs/>
        </w:rPr>
        <w:t xml:space="preserve">Memo Location:</w:t>
      </w:r>
      <w:r>
        <w:t xml:space="preserve"> </w:t>
      </w:r>
      <w:r>
        <w:t xml:space="preserve">Section V.B (Dr. Naveen Chandra)</w:t>
      </w:r>
      <w:r>
        <w:t xml:space="preserve"> </w:t>
      </w:r>
      <w:r>
        <w:rPr>
          <w:b/>
          <w:bCs/>
        </w:rPr>
        <w:t xml:space="preserve">Supporting Document:</w:t>
      </w:r>
      <w:r>
        <w:t xml:space="preserve"> </w:t>
      </w:r>
      <w:r>
        <w:t xml:space="preserve">Prism Capitalization Table,</w:t>
      </w:r>
      <w:r>
        <w:t xml:space="preserve"> </w:t>
      </w:r>
      <w:r>
        <w:t xml:space="preserve">“</w:t>
      </w:r>
      <w:r>
        <w:t xml:space="preserve">Shareholder Details</w:t>
      </w:r>
      <w:r>
        <w:t xml:space="preserve">”</w:t>
      </w:r>
      <w:r>
        <w:t xml:space="preserve"> </w:t>
      </w:r>
      <w:r>
        <w:t xml:space="preserve">tab</w:t>
      </w:r>
    </w:p>
    <w:p>
      <w:pPr>
        <w:pStyle w:val="BodyText"/>
      </w:pPr>
      <w:r>
        <w:rPr>
          <w:b/>
          <w:bCs/>
        </w:rPr>
        <w:t xml:space="preserve">Description.</w:t>
      </w:r>
      <w:r>
        <w:t xml:space="preserve"> </w:t>
      </w:r>
      <w:r>
        <w:t xml:space="preserve">The Memo states that Dr. Chandra’s tax basis in his Prism stock</w:t>
      </w:r>
      <w:r>
        <w:t xml:space="preserve"> </w:t>
      </w:r>
      <w:r>
        <w:t xml:space="preserve">“</w:t>
      </w:r>
      <w:r>
        <w:t xml:space="preserve">is to be confirmed by Thornfield Accounting Group, but is estimated at approximately $1,500,000 based on his original investment at the time of founding.</w:t>
      </w:r>
      <w:r>
        <w:t xml:space="preserve">”</w:t>
      </w:r>
      <w:r>
        <w:t xml:space="preserve"> </w:t>
      </w:r>
      <w:r>
        <w:t xml:space="preserve">The capitalization table shows Dr. Chandra’s total cost basis as $1,014.00 (1,014,000 shares at $0.001 par value per share). The $1.5 million estimate is not reconcilable to the capitalization table and is approximately 1,480 times the recorded cost basis. While the Memo acknowledges the figure is</w:t>
      </w:r>
      <w:r>
        <w:t xml:space="preserve"> </w:t>
      </w:r>
      <w:r>
        <w:t xml:space="preserve">“</w:t>
      </w:r>
      <w:r>
        <w:t xml:space="preserve">to be confirmed,</w:t>
      </w:r>
      <w:r>
        <w:t xml:space="preserve">”</w:t>
      </w:r>
      <w:r>
        <w:t xml:space="preserve"> </w:t>
      </w:r>
      <w:r>
        <w:t xml:space="preserve">the estimate appears to be unsupported by the available records.</w:t>
      </w:r>
    </w:p>
    <w:p>
      <w:pPr>
        <w:pStyle w:val="BodyText"/>
      </w:pPr>
      <w:r>
        <w:rPr>
          <w:b/>
          <w:bCs/>
        </w:rPr>
        <w:t xml:space="preserve">Impact.</w:t>
      </w:r>
      <w:r>
        <w:t xml:space="preserve"> </w:t>
      </w:r>
      <w:r>
        <w:t xml:space="preserve">In a Section 338(h)(10) transaction, the shareholders’ stock basis is relevant primarily for the deemed liquidation distribution characterization (recovery of basis before capital gain). The discrepancy is relatively small in the context of a $192 million consideration, but the unsupported estimate reflects a data quality issue.</w:t>
      </w:r>
    </w:p>
    <w:p>
      <w:pPr>
        <w:pStyle w:val="BodyText"/>
      </w:pPr>
      <w:r>
        <w:rPr>
          <w:b/>
          <w:bCs/>
        </w:rPr>
        <w:t xml:space="preserve">Recommendation.</w:t>
      </w:r>
      <w:r>
        <w:t xml:space="preserve"> </w:t>
      </w:r>
      <w:r>
        <w:t xml:space="preserve">Confirm Dr. Chandra’s actual stock basis from the capitalization table and corporate records. Replace the $1.5 million estimate with the confirmed figure. Investigate whether any additional capital contributions support a higher basis.</w:t>
      </w:r>
    </w:p>
    <w:p>
      <w:r>
        <w:pict>
          <v:rect style="width:0;height:1.5pt" o:hralign="center" o:hrstd="t" o:hr="t"/>
        </w:pict>
      </w:r>
    </w:p>
    <w:bookmarkEnd w:id="55"/>
    <w:bookmarkEnd w:id="56"/>
    <w:bookmarkEnd w:id="57"/>
    <w:bookmarkStart w:id="62" w:name="iv.-reconciliation-of-key-figures"/>
    <w:p>
      <w:pPr>
        <w:pStyle w:val="Heading2"/>
      </w:pPr>
      <w:r>
        <w:t xml:space="preserve">IV. Reconciliation of Key Figures</w:t>
      </w:r>
    </w:p>
    <w:p>
      <w:pPr>
        <w:pStyle w:val="FirstParagraph"/>
      </w:pPr>
      <w:r>
        <w:t xml:space="preserve">The following table reconciles the Memo’s key figures against the figures derived from the supporting documents:</w:t>
      </w:r>
    </w:p>
    <w:bookmarkStart w:id="58" w:name="a.-adsp-computation"/>
    <w:p>
      <w:pPr>
        <w:pStyle w:val="Heading3"/>
      </w:pPr>
      <w:r>
        <w:t xml:space="preserve">A. ADSP Computation</w:t>
      </w:r>
    </w:p>
    <w:tbl>
      <w:tblPr>
        <w:tblStyle w:val="Table"/>
        <w:tblW w:type="pct" w:w="5000"/>
        <w:jc w:val="left"/>
        <w:tblLayout w:type="fixed"/>
        <w:tblLook w:firstRow="1" w:lastRow="0" w:firstColumn="0" w:lastColumn="0" w:noHBand="0" w:noVBand="0" w:val="0020"/>
      </w:tblPr>
      <w:tblGrid>
        <w:gridCol w:w="1613"/>
        <w:gridCol w:w="1466"/>
        <w:gridCol w:w="3813"/>
        <w:gridCol w:w="1026"/>
      </w:tblGrid>
      <w:tr>
        <w:trPr>
          <w:tblHeader w:val="on"/>
        </w:trPr>
        <w:tc>
          <w:tcPr/>
          <w:p>
            <w:pPr>
              <w:pStyle w:val="Compact"/>
              <w:jc w:val="left"/>
            </w:pPr>
            <w:r>
              <w:t xml:space="preserve">Component</w:t>
            </w:r>
          </w:p>
        </w:tc>
        <w:tc>
          <w:tcPr/>
          <w:p>
            <w:pPr>
              <w:pStyle w:val="Compact"/>
              <w:jc w:val="left"/>
            </w:pPr>
            <w:r>
              <w:t xml:space="preserve">Per Memo</w:t>
            </w:r>
          </w:p>
        </w:tc>
        <w:tc>
          <w:tcPr/>
          <w:p>
            <w:pPr>
              <w:pStyle w:val="Compact"/>
              <w:jc w:val="left"/>
            </w:pPr>
            <w:r>
              <w:t xml:space="preserve">Per Supporting Documents</w:t>
            </w:r>
          </w:p>
        </w:tc>
        <w:tc>
          <w:tcPr/>
          <w:p>
            <w:pPr>
              <w:pStyle w:val="Compact"/>
              <w:jc w:val="left"/>
            </w:pPr>
            <w:r>
              <w:t xml:space="preserve">Notes</w:t>
            </w:r>
          </w:p>
        </w:tc>
      </w:tr>
      <w:tr>
        <w:tc>
          <w:tcPr/>
          <w:p>
            <w:pPr>
              <w:pStyle w:val="Compact"/>
              <w:jc w:val="left"/>
            </w:pPr>
            <w:r>
              <w:t xml:space="preserve">Starting point</w:t>
            </w:r>
          </w:p>
        </w:tc>
        <w:tc>
          <w:tcPr/>
          <w:p>
            <w:pPr>
              <w:pStyle w:val="Compact"/>
              <w:jc w:val="left"/>
            </w:pPr>
            <w:r>
              <w:t xml:space="preserve">Enterprise Value $425.0M</w:t>
            </w:r>
          </w:p>
        </w:tc>
        <w:tc>
          <w:tcPr/>
          <w:p>
            <w:pPr>
              <w:pStyle w:val="Compact"/>
              <w:jc w:val="left"/>
            </w:pPr>
            <w:r>
              <w:t xml:space="preserve">Amount realized on stock $370.0M</w:t>
            </w:r>
          </w:p>
        </w:tc>
        <w:tc>
          <w:tcPr/>
          <w:p>
            <w:pPr>
              <w:pStyle w:val="Compact"/>
              <w:jc w:val="left"/>
            </w:pPr>
            <w:r>
              <w:t xml:space="preserve">Memo starts from EV (includes debt); correct starting point is equity value</w:t>
            </w:r>
          </w:p>
        </w:tc>
      </w:tr>
      <w:tr>
        <w:tc>
          <w:tcPr/>
          <w:p>
            <w:pPr>
              <w:pStyle w:val="Compact"/>
              <w:jc w:val="left"/>
            </w:pPr>
            <w:r>
              <w:t xml:space="preserve">Plus: Funded debt</w:t>
            </w:r>
          </w:p>
        </w:tc>
        <w:tc>
          <w:tcPr/>
          <w:p>
            <w:pPr>
              <w:pStyle w:val="Compact"/>
              <w:jc w:val="left"/>
            </w:pPr>
            <w:r>
              <w:t xml:space="preserve">$48.0M</w:t>
            </w:r>
          </w:p>
        </w:tc>
        <w:tc>
          <w:tcPr/>
          <w:p>
            <w:pPr>
              <w:pStyle w:val="Compact"/>
              <w:jc w:val="left"/>
            </w:pPr>
            <w:r>
              <w:t xml:space="preserve">$48.0M</w:t>
            </w:r>
          </w:p>
        </w:tc>
        <w:tc>
          <w:tcPr/>
          <w:p>
            <w:pPr>
              <w:pStyle w:val="Compact"/>
              <w:jc w:val="left"/>
            </w:pPr>
            <w:r>
              <w:t xml:space="preserve">Same</w:t>
            </w:r>
          </w:p>
        </w:tc>
      </w:tr>
      <w:tr>
        <w:tc>
          <w:tcPr/>
          <w:p>
            <w:pPr>
              <w:pStyle w:val="Compact"/>
              <w:jc w:val="left"/>
            </w:pPr>
            <w:r>
              <w:t xml:space="preserve">Plus: Seller transaction expenses</w:t>
            </w:r>
          </w:p>
        </w:tc>
        <w:tc>
          <w:tcPr/>
          <w:p>
            <w:pPr>
              <w:pStyle w:val="Compact"/>
              <w:jc w:val="left"/>
            </w:pPr>
            <w:r>
              <w:t xml:space="preserve">— (omitted)</w:t>
            </w:r>
          </w:p>
        </w:tc>
        <w:tc>
          <w:tcPr/>
          <w:p>
            <w:pPr>
              <w:pStyle w:val="Compact"/>
              <w:jc w:val="left"/>
            </w:pPr>
            <w:r>
              <w:t xml:space="preserve">$7.0M</w:t>
            </w:r>
          </w:p>
        </w:tc>
        <w:tc>
          <w:tcPr/>
          <w:p>
            <w:pPr>
              <w:pStyle w:val="Compact"/>
              <w:jc w:val="left"/>
            </w:pPr>
            <w:r>
              <w:t xml:space="preserve">Memo omits; Thornfield includes conservatively</w:t>
            </w:r>
          </w:p>
        </w:tc>
      </w:tr>
      <w:tr>
        <w:tc>
          <w:tcPr/>
          <w:p>
            <w:pPr>
              <w:pStyle w:val="Compact"/>
              <w:jc w:val="left"/>
            </w:pPr>
            <w:r>
              <w:rPr>
                <w:b/>
                <w:bCs/>
              </w:rPr>
              <w:t xml:space="preserve">ADSP</w:t>
            </w:r>
          </w:p>
        </w:tc>
        <w:tc>
          <w:tcPr/>
          <w:p>
            <w:pPr>
              <w:pStyle w:val="Compact"/>
              <w:jc w:val="left"/>
            </w:pPr>
            <w:r>
              <w:rPr>
                <w:b/>
                <w:bCs/>
              </w:rPr>
              <w:t xml:space="preserve">$473.0M</w:t>
            </w:r>
          </w:p>
        </w:tc>
        <w:tc>
          <w:tcPr/>
          <w:p>
            <w:pPr>
              <w:pStyle w:val="Compact"/>
              <w:jc w:val="left"/>
            </w:pPr>
            <w:r>
              <w:rPr>
                <w:b/>
                <w:bCs/>
              </w:rPr>
              <w:t xml:space="preserve">$425.0M</w:t>
            </w:r>
          </w:p>
        </w:tc>
        <w:tc>
          <w:tcPr/>
          <w:p>
            <w:pPr>
              <w:pStyle w:val="Compact"/>
              <w:jc w:val="left"/>
            </w:pPr>
            <w:r>
              <w:rPr>
                <w:b/>
                <w:bCs/>
              </w:rPr>
              <w:t xml:space="preserve">Memo overstated by $48.0M</w:t>
            </w:r>
          </w:p>
        </w:tc>
      </w:tr>
    </w:tbl>
    <w:bookmarkEnd w:id="58"/>
    <w:bookmarkStart w:id="59" w:name="b.-purchase-price-allocation"/>
    <w:p>
      <w:pPr>
        <w:pStyle w:val="Heading3"/>
      </w:pPr>
      <w:r>
        <w:t xml:space="preserve">B. Purchase Price Allocation</w:t>
      </w:r>
    </w:p>
    <w:tbl>
      <w:tblPr>
        <w:tblStyle w:val="Table"/>
        <w:tblW w:type="pct" w:w="5000"/>
        <w:jc w:val="left"/>
        <w:tblLayout w:type="fixed"/>
        <w:tblLook w:firstRow="1" w:lastRow="0" w:firstColumn="0" w:lastColumn="0" w:noHBand="0" w:noVBand="0" w:val="0020"/>
      </w:tblPr>
      <w:tblGrid>
        <w:gridCol w:w="2101"/>
        <w:gridCol w:w="1616"/>
        <w:gridCol w:w="2586"/>
        <w:gridCol w:w="1616"/>
      </w:tblGrid>
      <w:tr>
        <w:trPr>
          <w:tblHeader w:val="on"/>
        </w:trPr>
        <w:tc>
          <w:tcPr/>
          <w:p>
            <w:pPr>
              <w:pStyle w:val="Compact"/>
              <w:jc w:val="left"/>
            </w:pPr>
            <w:r>
              <w:t xml:space="preserve">Asset Class</w:t>
            </w:r>
          </w:p>
        </w:tc>
        <w:tc>
          <w:tcPr/>
          <w:p>
            <w:pPr>
              <w:pStyle w:val="Compact"/>
              <w:jc w:val="left"/>
            </w:pPr>
            <w:r>
              <w:t xml:space="preserve">Per Memo</w:t>
            </w:r>
          </w:p>
        </w:tc>
        <w:tc>
          <w:tcPr/>
          <w:p>
            <w:pPr>
              <w:pStyle w:val="Compact"/>
              <w:jc w:val="left"/>
            </w:pPr>
            <w:r>
              <w:t xml:space="preserve">Per Thornfield</w:t>
            </w:r>
          </w:p>
        </w:tc>
        <w:tc>
          <w:tcPr/>
          <w:p>
            <w:pPr>
              <w:pStyle w:val="Compact"/>
              <w:jc w:val="left"/>
            </w:pPr>
            <w:r>
              <w:t xml:space="preserve">Variance</w:t>
            </w:r>
          </w:p>
        </w:tc>
      </w:tr>
      <w:tr>
        <w:tc>
          <w:tcPr/>
          <w:p>
            <w:pPr>
              <w:pStyle w:val="Compact"/>
              <w:jc w:val="left"/>
            </w:pPr>
            <w:r>
              <w:t xml:space="preserve">Class I — Cash</w:t>
            </w:r>
          </w:p>
        </w:tc>
        <w:tc>
          <w:tcPr/>
          <w:p>
            <w:pPr>
              <w:pStyle w:val="Compact"/>
              <w:jc w:val="left"/>
            </w:pPr>
            <w:r>
              <w:t xml:space="preserve">$12.4M</w:t>
            </w:r>
          </w:p>
        </w:tc>
        <w:tc>
          <w:tcPr/>
          <w:p>
            <w:pPr>
              <w:pStyle w:val="Compact"/>
              <w:jc w:val="left"/>
            </w:pPr>
            <w:r>
              <w:t xml:space="preserve">$12.4M</w:t>
            </w:r>
          </w:p>
        </w:tc>
        <w:tc>
          <w:tcPr/>
          <w:p>
            <w:pPr>
              <w:pStyle w:val="Compact"/>
              <w:jc w:val="left"/>
            </w:pPr>
            <w:r>
              <w:t xml:space="preserve">$0</w:t>
            </w:r>
          </w:p>
        </w:tc>
      </w:tr>
      <w:tr>
        <w:tc>
          <w:tcPr/>
          <w:p>
            <w:pPr>
              <w:pStyle w:val="Compact"/>
              <w:jc w:val="left"/>
            </w:pPr>
            <w:r>
              <w:t xml:space="preserve">Class II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Class III — AR</w:t>
            </w:r>
          </w:p>
        </w:tc>
        <w:tc>
          <w:tcPr/>
          <w:p>
            <w:pPr>
              <w:pStyle w:val="Compact"/>
              <w:jc w:val="left"/>
            </w:pPr>
            <w:r>
              <w:t xml:space="preserve">$24.3M</w:t>
            </w:r>
          </w:p>
        </w:tc>
        <w:tc>
          <w:tcPr/>
          <w:p>
            <w:pPr>
              <w:pStyle w:val="Compact"/>
              <w:jc w:val="left"/>
            </w:pPr>
            <w:r>
              <w:t xml:space="preserve">$24.3M</w:t>
            </w:r>
          </w:p>
        </w:tc>
        <w:tc>
          <w:tcPr/>
          <w:p>
            <w:pPr>
              <w:pStyle w:val="Compact"/>
              <w:jc w:val="left"/>
            </w:pPr>
            <w:r>
              <w:t xml:space="preserve">$0</w:t>
            </w:r>
          </w:p>
        </w:tc>
      </w:tr>
      <w:tr>
        <w:tc>
          <w:tcPr/>
          <w:p>
            <w:pPr>
              <w:pStyle w:val="Compact"/>
              <w:jc w:val="left"/>
            </w:pPr>
            <w:r>
              <w:t xml:space="preserve">Class IV — Inventory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Class V — All other</w:t>
            </w:r>
          </w:p>
        </w:tc>
        <w:tc>
          <w:tcPr/>
          <w:p>
            <w:pPr>
              <w:pStyle w:val="Compact"/>
              <w:jc w:val="left"/>
            </w:pPr>
            <w:r>
              <w:t xml:space="preserve">$68.5M</w:t>
            </w:r>
          </w:p>
        </w:tc>
        <w:tc>
          <w:tcPr/>
          <w:p>
            <w:pPr>
              <w:pStyle w:val="Compact"/>
              <w:jc w:val="left"/>
            </w:pPr>
            <w:r>
              <w:t xml:space="preserve">$97.0M</w:t>
            </w:r>
          </w:p>
        </w:tc>
        <w:tc>
          <w:tcPr/>
          <w:p>
            <w:pPr>
              <w:pStyle w:val="Compact"/>
              <w:jc w:val="left"/>
            </w:pPr>
            <w:r>
              <w:t xml:space="preserve">−$28.5M (developed technology/software)</w:t>
            </w:r>
          </w:p>
        </w:tc>
      </w:tr>
      <w:tr>
        <w:tc>
          <w:tcPr/>
          <w:p>
            <w:pPr>
              <w:pStyle w:val="Compact"/>
              <w:jc w:val="left"/>
            </w:pPr>
            <w:r>
              <w:t xml:space="preserve">Class VI — §197 intangibles</w:t>
            </w:r>
          </w:p>
        </w:tc>
        <w:tc>
          <w:tcPr/>
          <w:p>
            <w:pPr>
              <w:pStyle w:val="Compact"/>
              <w:jc w:val="left"/>
            </w:pPr>
            <w:r>
              <w:t xml:space="preserve">$95.0M</w:t>
            </w:r>
          </w:p>
        </w:tc>
        <w:tc>
          <w:tcPr/>
          <w:p>
            <w:pPr>
              <w:pStyle w:val="Compact"/>
              <w:jc w:val="left"/>
            </w:pPr>
            <w:r>
              <w:t xml:space="preserve">$95.0M</w:t>
            </w:r>
          </w:p>
        </w:tc>
        <w:tc>
          <w:tcPr/>
          <w:p>
            <w:pPr>
              <w:pStyle w:val="Compact"/>
              <w:jc w:val="left"/>
            </w:pPr>
            <w:r>
              <w:t xml:space="preserve">$0</w:t>
            </w:r>
          </w:p>
        </w:tc>
      </w:tr>
      <w:tr>
        <w:tc>
          <w:tcPr/>
          <w:p>
            <w:pPr>
              <w:pStyle w:val="Compact"/>
              <w:jc w:val="left"/>
            </w:pPr>
            <w:r>
              <w:rPr>
                <w:b/>
                <w:bCs/>
              </w:rPr>
              <w:t xml:space="preserve">Classes I–VI subtotal</w:t>
            </w:r>
          </w:p>
        </w:tc>
        <w:tc>
          <w:tcPr/>
          <w:p>
            <w:pPr>
              <w:pStyle w:val="Compact"/>
              <w:jc w:val="left"/>
            </w:pPr>
            <w:r>
              <w:rPr>
                <w:b/>
                <w:bCs/>
              </w:rPr>
              <w:t xml:space="preserve">$200.2M</w:t>
            </w:r>
          </w:p>
        </w:tc>
        <w:tc>
          <w:tcPr/>
          <w:p>
            <w:pPr>
              <w:pStyle w:val="Compact"/>
              <w:jc w:val="left"/>
            </w:pPr>
            <w:r>
              <w:rPr>
                <w:b/>
                <w:bCs/>
              </w:rPr>
              <w:t xml:space="preserve">$228.7M</w:t>
            </w:r>
          </w:p>
        </w:tc>
        <w:tc>
          <w:tcPr/>
          <w:p>
            <w:pPr>
              <w:pStyle w:val="Compact"/>
              <w:jc w:val="left"/>
            </w:pPr>
            <w:r>
              <w:rPr>
                <w:b/>
                <w:bCs/>
              </w:rPr>
              <w:t xml:space="preserve">−$28.5M</w:t>
            </w:r>
          </w:p>
        </w:tc>
      </w:tr>
      <w:tr>
        <w:tc>
          <w:tcPr/>
          <w:p>
            <w:pPr>
              <w:pStyle w:val="Compact"/>
              <w:jc w:val="left"/>
            </w:pPr>
            <w:r>
              <w:t xml:space="preserve">Class VII — Goodwill (residual)</w:t>
            </w:r>
          </w:p>
        </w:tc>
        <w:tc>
          <w:tcPr/>
          <w:p>
            <w:pPr>
              <w:pStyle w:val="Compact"/>
              <w:jc w:val="left"/>
            </w:pPr>
            <w:r>
              <w:t xml:space="preserve">$272.8M</w:t>
            </w:r>
          </w:p>
        </w:tc>
        <w:tc>
          <w:tcPr/>
          <w:p>
            <w:pPr>
              <w:pStyle w:val="Compact"/>
              <w:jc w:val="left"/>
            </w:pPr>
            <w:r>
              <w:t xml:space="preserve">$196.3M</w:t>
            </w:r>
          </w:p>
        </w:tc>
        <w:tc>
          <w:tcPr/>
          <w:p>
            <w:pPr>
              <w:pStyle w:val="Compact"/>
              <w:jc w:val="left"/>
            </w:pPr>
            <w:r>
              <w:t xml:space="preserve">+$76.5M</w:t>
            </w:r>
          </w:p>
        </w:tc>
      </w:tr>
      <w:tr>
        <w:tc>
          <w:tcPr/>
          <w:p>
            <w:pPr>
              <w:pStyle w:val="Compact"/>
              <w:jc w:val="left"/>
            </w:pPr>
            <w:r>
              <w:rPr>
                <w:b/>
                <w:bCs/>
              </w:rPr>
              <w:t xml:space="preserve">Total (ADSP)</w:t>
            </w:r>
          </w:p>
        </w:tc>
        <w:tc>
          <w:tcPr/>
          <w:p>
            <w:pPr>
              <w:pStyle w:val="Compact"/>
              <w:jc w:val="left"/>
            </w:pPr>
            <w:r>
              <w:rPr>
                <w:b/>
                <w:bCs/>
              </w:rPr>
              <w:t xml:space="preserve">$473.0M</w:t>
            </w:r>
          </w:p>
        </w:tc>
        <w:tc>
          <w:tcPr/>
          <w:p>
            <w:pPr>
              <w:pStyle w:val="Compact"/>
              <w:jc w:val="left"/>
            </w:pPr>
            <w:r>
              <w:rPr>
                <w:b/>
                <w:bCs/>
              </w:rPr>
              <w:t xml:space="preserve">$425.0M</w:t>
            </w:r>
          </w:p>
        </w:tc>
        <w:tc>
          <w:tcPr/>
          <w:p>
            <w:pPr>
              <w:pStyle w:val="Compact"/>
              <w:jc w:val="left"/>
            </w:pPr>
            <w:r>
              <w:rPr>
                <w:b/>
                <w:bCs/>
              </w:rPr>
              <w:t xml:space="preserve">+$48.0M</w:t>
            </w:r>
          </w:p>
        </w:tc>
      </w:tr>
    </w:tbl>
    <w:bookmarkEnd w:id="59"/>
    <w:bookmarkStart w:id="60" w:name="c.-deemed-sale-gain"/>
    <w:p>
      <w:pPr>
        <w:pStyle w:val="Heading3"/>
      </w:pPr>
      <w:r>
        <w:t xml:space="preserve">C. Deemed Sale Gain</w:t>
      </w:r>
    </w:p>
    <w:tbl>
      <w:tblPr>
        <w:tblStyle w:val="Table"/>
        <w:tblW w:type="pct" w:w="5000"/>
        <w:jc w:val="left"/>
        <w:tblLayout w:type="fixed"/>
        <w:tblLook w:firstRow="1" w:lastRow="0" w:firstColumn="0" w:lastColumn="0" w:noHBand="0" w:noVBand="0" w:val="0020"/>
      </w:tblPr>
      <w:tblGrid>
        <w:gridCol w:w="1528"/>
        <w:gridCol w:w="1389"/>
        <w:gridCol w:w="3612"/>
        <w:gridCol w:w="1389"/>
      </w:tblGrid>
      <w:tr>
        <w:trPr>
          <w:tblHeader w:val="on"/>
        </w:trPr>
        <w:tc>
          <w:tcPr/>
          <w:p>
            <w:pPr>
              <w:pStyle w:val="Compact"/>
              <w:jc w:val="left"/>
            </w:pPr>
            <w:r>
              <w:t xml:space="preserve">Component</w:t>
            </w:r>
          </w:p>
        </w:tc>
        <w:tc>
          <w:tcPr/>
          <w:p>
            <w:pPr>
              <w:pStyle w:val="Compact"/>
              <w:jc w:val="left"/>
            </w:pPr>
            <w:r>
              <w:t xml:space="preserve">Per Memo</w:t>
            </w:r>
          </w:p>
        </w:tc>
        <w:tc>
          <w:tcPr/>
          <w:p>
            <w:pPr>
              <w:pStyle w:val="Compact"/>
              <w:jc w:val="left"/>
            </w:pPr>
            <w:r>
              <w:t xml:space="preserve">Per Supporting Documents</w:t>
            </w:r>
          </w:p>
        </w:tc>
        <w:tc>
          <w:tcPr/>
          <w:p>
            <w:pPr>
              <w:pStyle w:val="Compact"/>
              <w:jc w:val="left"/>
            </w:pPr>
            <w:r>
              <w:t xml:space="preserve">Variance</w:t>
            </w:r>
          </w:p>
        </w:tc>
      </w:tr>
      <w:tr>
        <w:tc>
          <w:tcPr/>
          <w:p>
            <w:pPr>
              <w:pStyle w:val="Compact"/>
              <w:jc w:val="left"/>
            </w:pPr>
            <w:r>
              <w:t xml:space="preserve">ADSP</w:t>
            </w:r>
          </w:p>
        </w:tc>
        <w:tc>
          <w:tcPr/>
          <w:p>
            <w:pPr>
              <w:pStyle w:val="Compact"/>
              <w:jc w:val="left"/>
            </w:pPr>
            <w:r>
              <w:t xml:space="preserve">$473.0M</w:t>
            </w:r>
          </w:p>
        </w:tc>
        <w:tc>
          <w:tcPr/>
          <w:p>
            <w:pPr>
              <w:pStyle w:val="Compact"/>
              <w:jc w:val="left"/>
            </w:pPr>
            <w:r>
              <w:t xml:space="preserve">$425.0M</w:t>
            </w:r>
          </w:p>
        </w:tc>
        <w:tc>
          <w:tcPr/>
          <w:p>
            <w:pPr>
              <w:pStyle w:val="Compact"/>
              <w:jc w:val="left"/>
            </w:pPr>
            <w:r>
              <w:t xml:space="preserve">+$48.0M</w:t>
            </w:r>
          </w:p>
        </w:tc>
      </w:tr>
      <w:tr>
        <w:tc>
          <w:tcPr/>
          <w:p>
            <w:pPr>
              <w:pStyle w:val="Compact"/>
              <w:jc w:val="left"/>
            </w:pPr>
            <w:r>
              <w:t xml:space="preserve">Less: Aggregate adjusted tax basis</w:t>
            </w:r>
          </w:p>
        </w:tc>
        <w:tc>
          <w:tcPr/>
          <w:p>
            <w:pPr>
              <w:pStyle w:val="Compact"/>
              <w:jc w:val="left"/>
            </w:pPr>
            <w:r>
              <w:t xml:space="preserve">($42.8M)</w:t>
            </w:r>
          </w:p>
        </w:tc>
        <w:tc>
          <w:tcPr/>
          <w:p>
            <w:pPr>
              <w:pStyle w:val="Compact"/>
              <w:jc w:val="left"/>
            </w:pPr>
            <w:r>
              <w:t xml:space="preserve">($64.3M)</w:t>
            </w:r>
          </w:p>
        </w:tc>
        <w:tc>
          <w:tcPr/>
          <w:p>
            <w:pPr>
              <w:pStyle w:val="Compact"/>
              <w:jc w:val="left"/>
            </w:pPr>
            <w:r>
              <w:t xml:space="preserve">−$21.5M</w:t>
            </w:r>
          </w:p>
        </w:tc>
      </w:tr>
      <w:tr>
        <w:tc>
          <w:tcPr/>
          <w:p>
            <w:pPr>
              <w:pStyle w:val="Compact"/>
              <w:jc w:val="left"/>
            </w:pPr>
            <w:r>
              <w:rPr>
                <w:b/>
                <w:bCs/>
              </w:rPr>
              <w:t xml:space="preserve">Total deemed sale gain</w:t>
            </w:r>
          </w:p>
        </w:tc>
        <w:tc>
          <w:tcPr/>
          <w:p>
            <w:pPr>
              <w:pStyle w:val="Compact"/>
              <w:jc w:val="left"/>
            </w:pPr>
            <w:r>
              <w:rPr>
                <w:b/>
                <w:bCs/>
              </w:rPr>
              <w:t xml:space="preserve">$430.2M</w:t>
            </w:r>
          </w:p>
        </w:tc>
        <w:tc>
          <w:tcPr/>
          <w:p>
            <w:pPr>
              <w:pStyle w:val="Compact"/>
              <w:jc w:val="left"/>
            </w:pPr>
            <w:r>
              <w:rPr>
                <w:b/>
                <w:bCs/>
              </w:rPr>
              <w:t xml:space="preserve">~$360.7M</w:t>
            </w:r>
          </w:p>
        </w:tc>
        <w:tc>
          <w:tcPr/>
          <w:p>
            <w:pPr>
              <w:pStyle w:val="Compact"/>
              <w:jc w:val="left"/>
            </w:pPr>
            <w:r>
              <w:rPr>
                <w:b/>
                <w:bCs/>
              </w:rPr>
              <w:t xml:space="preserve">+$69.5M</w:t>
            </w:r>
          </w:p>
        </w:tc>
      </w:tr>
    </w:tbl>
    <w:bookmarkEnd w:id="60"/>
    <w:bookmarkStart w:id="61" w:name="Xc8a12651a2b471d838549fd3e8797a0ab72a120"/>
    <w:p>
      <w:pPr>
        <w:pStyle w:val="Heading3"/>
      </w:pPr>
      <w:r>
        <w:t xml:space="preserve">D. Per-Shareholder Gain (using Memo’s ownership percentages)</w:t>
      </w:r>
    </w:p>
    <w:tbl>
      <w:tblPr>
        <w:tblStyle w:val="Table"/>
        <w:tblW w:type="pct" w:w="5000"/>
        <w:jc w:val="left"/>
        <w:tblLayout w:type="fixed"/>
        <w:tblLook w:firstRow="1" w:lastRow="0" w:firstColumn="0" w:lastColumn="0" w:noHBand="0" w:noVBand="0" w:val="0020"/>
      </w:tblPr>
      <w:tblGrid>
        <w:gridCol w:w="1410"/>
        <w:gridCol w:w="1193"/>
        <w:gridCol w:w="3688"/>
        <w:gridCol w:w="1627"/>
      </w:tblGrid>
      <w:tr>
        <w:trPr>
          <w:tblHeader w:val="on"/>
        </w:trPr>
        <w:tc>
          <w:tcPr/>
          <w:p>
            <w:pPr>
              <w:pStyle w:val="Compact"/>
              <w:jc w:val="left"/>
            </w:pPr>
            <w:r>
              <w:t xml:space="preserve">Shareholder</w:t>
            </w:r>
          </w:p>
        </w:tc>
        <w:tc>
          <w:tcPr/>
          <w:p>
            <w:pPr>
              <w:pStyle w:val="Compact"/>
              <w:jc w:val="left"/>
            </w:pPr>
            <w:r>
              <w:t xml:space="preserve">Memo Gain</w:t>
            </w:r>
          </w:p>
        </w:tc>
        <w:tc>
          <w:tcPr/>
          <w:p>
            <w:pPr>
              <w:pStyle w:val="Compact"/>
              <w:jc w:val="left"/>
            </w:pPr>
            <w:r>
              <w:t xml:space="preserve">Corrected Gain (~$360.7M basis)</w:t>
            </w:r>
          </w:p>
        </w:tc>
        <w:tc>
          <w:tcPr/>
          <w:p>
            <w:pPr>
              <w:pStyle w:val="Compact"/>
              <w:jc w:val="left"/>
            </w:pPr>
            <w:r>
              <w:t xml:space="preserve">Overstatement</w:t>
            </w:r>
          </w:p>
        </w:tc>
      </w:tr>
      <w:tr>
        <w:tc>
          <w:tcPr/>
          <w:p>
            <w:pPr>
              <w:pStyle w:val="Compact"/>
              <w:jc w:val="left"/>
            </w:pPr>
            <w:r>
              <w:t xml:space="preserve">Dr. Chandra (52%)</w:t>
            </w:r>
          </w:p>
        </w:tc>
        <w:tc>
          <w:tcPr/>
          <w:p>
            <w:pPr>
              <w:pStyle w:val="Compact"/>
              <w:jc w:val="left"/>
            </w:pPr>
            <w:r>
              <w:t xml:space="preserve">$223.7M</w:t>
            </w:r>
          </w:p>
        </w:tc>
        <w:tc>
          <w:tcPr/>
          <w:p>
            <w:pPr>
              <w:pStyle w:val="Compact"/>
              <w:jc w:val="left"/>
            </w:pPr>
            <w:r>
              <w:t xml:space="preserve">~$187.6M</w:t>
            </w:r>
          </w:p>
        </w:tc>
        <w:tc>
          <w:tcPr/>
          <w:p>
            <w:pPr>
              <w:pStyle w:val="Compact"/>
              <w:jc w:val="left"/>
            </w:pPr>
            <w:r>
              <w:t xml:space="preserve">~$36.1M</w:t>
            </w:r>
          </w:p>
        </w:tc>
      </w:tr>
      <w:tr>
        <w:tc>
          <w:tcPr/>
          <w:p>
            <w:pPr>
              <w:pStyle w:val="Compact"/>
              <w:jc w:val="left"/>
            </w:pPr>
            <w:r>
              <w:t xml:space="preserve">Rachel Stowe (28%)</w:t>
            </w:r>
          </w:p>
        </w:tc>
        <w:tc>
          <w:tcPr/>
          <w:p>
            <w:pPr>
              <w:pStyle w:val="Compact"/>
              <w:jc w:val="left"/>
            </w:pPr>
            <w:r>
              <w:t xml:space="preserve">$120.5M</w:t>
            </w:r>
          </w:p>
        </w:tc>
        <w:tc>
          <w:tcPr/>
          <w:p>
            <w:pPr>
              <w:pStyle w:val="Compact"/>
              <w:jc w:val="left"/>
            </w:pPr>
            <w:r>
              <w:t xml:space="preserve">~$101.0M</w:t>
            </w:r>
          </w:p>
        </w:tc>
        <w:tc>
          <w:tcPr/>
          <w:p>
            <w:pPr>
              <w:pStyle w:val="Compact"/>
              <w:jc w:val="left"/>
            </w:pPr>
            <w:r>
              <w:t xml:space="preserve">~$19.5M</w:t>
            </w:r>
          </w:p>
        </w:tc>
      </w:tr>
      <w:tr>
        <w:tc>
          <w:tcPr/>
          <w:p>
            <w:pPr>
              <w:pStyle w:val="Compact"/>
              <w:jc w:val="left"/>
            </w:pPr>
            <w:r>
              <w:t xml:space="preserve">Other Shareholders (20%)</w:t>
            </w:r>
          </w:p>
        </w:tc>
        <w:tc>
          <w:tcPr/>
          <w:p>
            <w:pPr>
              <w:pStyle w:val="Compact"/>
              <w:jc w:val="left"/>
            </w:pPr>
            <w:r>
              <w:t xml:space="preserve">$86.0M</w:t>
            </w:r>
          </w:p>
        </w:tc>
        <w:tc>
          <w:tcPr/>
          <w:p>
            <w:pPr>
              <w:pStyle w:val="Compact"/>
              <w:jc w:val="left"/>
            </w:pPr>
            <w:r>
              <w:t xml:space="preserve">~$72.1M</w:t>
            </w:r>
          </w:p>
        </w:tc>
        <w:tc>
          <w:tcPr/>
          <w:p>
            <w:pPr>
              <w:pStyle w:val="Compact"/>
              <w:jc w:val="left"/>
            </w:pPr>
            <w:r>
              <w:t xml:space="preserve">~$13.9M</w:t>
            </w:r>
          </w:p>
        </w:tc>
      </w:tr>
      <w:tr>
        <w:tc>
          <w:tcPr/>
          <w:p>
            <w:pPr>
              <w:pStyle w:val="Compact"/>
              <w:jc w:val="left"/>
            </w:pPr>
            <w:r>
              <w:rPr>
                <w:b/>
                <w:bCs/>
              </w:rPr>
              <w:t xml:space="preserve">Total</w:t>
            </w:r>
          </w:p>
        </w:tc>
        <w:tc>
          <w:tcPr/>
          <w:p>
            <w:pPr>
              <w:pStyle w:val="Compact"/>
              <w:jc w:val="left"/>
            </w:pPr>
            <w:r>
              <w:rPr>
                <w:b/>
                <w:bCs/>
              </w:rPr>
              <w:t xml:space="preserve">$430.2M</w:t>
            </w:r>
          </w:p>
        </w:tc>
        <w:tc>
          <w:tcPr/>
          <w:p>
            <w:pPr>
              <w:pStyle w:val="Compact"/>
              <w:jc w:val="left"/>
            </w:pPr>
            <w:r>
              <w:rPr>
                <w:b/>
                <w:bCs/>
              </w:rPr>
              <w:t xml:space="preserve">~$360.7M</w:t>
            </w:r>
          </w:p>
        </w:tc>
        <w:tc>
          <w:tcPr/>
          <w:p>
            <w:pPr>
              <w:pStyle w:val="Compact"/>
              <w:jc w:val="left"/>
            </w:pPr>
            <w:r>
              <w:rPr>
                <w:b/>
                <w:bCs/>
              </w:rPr>
              <w:t xml:space="preserve">~$69.5M</w:t>
            </w:r>
          </w:p>
        </w:tc>
      </w:tr>
    </w:tbl>
    <w:p>
      <w:pPr>
        <w:pStyle w:val="BodyText"/>
      </w:pPr>
      <w:r>
        <w:rPr>
          <w:i/>
          <w:iCs/>
        </w:rPr>
        <w:t xml:space="preserve">Note: The corrected gain figures above use the corrected ADSP ($425M) and the asset valuation summary’s aggregate basis ($64.3M). If the Memo’s basis figure ($42.8M) is used with the corrected ADSP, the total gain would be ~$382.2M. The exact figure depends on the final reconciled basis.</w:t>
      </w:r>
    </w:p>
    <w:p>
      <w:r>
        <w:pict>
          <v:rect style="width:0;height:1.5pt" o:hralign="center" o:hrstd="t" o:hr="t"/>
        </w:pict>
      </w:r>
    </w:p>
    <w:bookmarkEnd w:id="61"/>
    <w:bookmarkEnd w:id="62"/>
    <w:bookmarkStart w:id="63" w:name="v.-summary-of-all-findings"/>
    <w:p>
      <w:pPr>
        <w:pStyle w:val="Heading2"/>
      </w:pPr>
      <w:r>
        <w:t xml:space="preserve">V. Summary of All Findings</w:t>
      </w:r>
    </w:p>
    <w:tbl>
      <w:tblPr>
        <w:tblStyle w:val="Table"/>
        <w:tblW w:type="pct" w:w="5000"/>
        <w:jc w:val="left"/>
        <w:tblLayout w:type="fixed"/>
        <w:tblLook w:firstRow="1" w:lastRow="0" w:firstColumn="0" w:lastColumn="0" w:noHBand="0" w:noVBand="0" w:val="0020"/>
      </w:tblPr>
      <w:tblGrid>
        <w:gridCol w:w="880"/>
        <w:gridCol w:w="2200"/>
        <w:gridCol w:w="1540"/>
        <w:gridCol w:w="3300"/>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Memo Location</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ADSP overstated by $48M — double-counting of funded debt</w:t>
            </w:r>
          </w:p>
        </w:tc>
        <w:tc>
          <w:tcPr/>
          <w:p>
            <w:pPr>
              <w:pStyle w:val="Compact"/>
              <w:jc w:val="left"/>
            </w:pPr>
            <w:r>
              <w:t xml:space="preserve">§IV.B</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S corporation shareholder eligibility — critical open item ignored/contradicted</w:t>
            </w:r>
          </w:p>
        </w:tc>
        <w:tc>
          <w:tcPr/>
          <w:p>
            <w:pPr>
              <w:pStyle w:val="Compact"/>
              <w:jc w:val="left"/>
            </w:pPr>
            <w:r>
              <w:t xml:space="preserve">§II.A, §III.A</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QSBS (§1202) analysis — promised in writing but entirely omitted</w:t>
            </w:r>
          </w:p>
        </w:tc>
        <w:tc>
          <w:tcPr/>
          <w:p>
            <w:pPr>
              <w:pStyle w:val="Compact"/>
              <w:jc w:val="left"/>
            </w:pPr>
            <w:r>
              <w:t xml:space="preserve">Entire Memo</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Class V allocation understated by $28.5M (developed technology/software)</w:t>
            </w:r>
          </w:p>
        </w:tc>
        <w:tc>
          <w:tcPr/>
          <w:p>
            <w:pPr>
              <w:pStyle w:val="Compact"/>
              <w:jc w:val="left"/>
            </w:pPr>
            <w:r>
              <w:t xml:space="preserve">§IV.C</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Beacon IP License Agreement — automatic termination on change of control not addressed</w:t>
            </w:r>
          </w:p>
        </w:tc>
        <w:tc>
          <w:tcPr/>
          <w:p>
            <w:pPr>
              <w:pStyle w:val="Compact"/>
              <w:jc w:val="left"/>
            </w:pPr>
            <w:r>
              <w:t xml:space="preserve">§VIII</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Beacon ROFR — triggered by change of control of Prism, not analyzed</w:t>
            </w:r>
          </w:p>
        </w:tc>
        <w:tc>
          <w:tcPr/>
          <w:p>
            <w:pPr>
              <w:pStyle w:val="Compact"/>
              <w:jc w:val="left"/>
            </w:pPr>
            <w:r>
              <w:t xml:space="preserve">§VIII</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Post-closing entity conversion recommendation legally erroneous (per se corporation)</w:t>
            </w:r>
          </w:p>
        </w:tc>
        <w:tc>
          <w:tcPr/>
          <w:p>
            <w:pPr>
              <w:pStyle w:val="Compact"/>
              <w:jc w:val="left"/>
            </w:pPr>
            <w:r>
              <w:t xml:space="preserve">§VII.B</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Escrow tax treatment — Memo conflicts with Stock Purchase Agreement</w:t>
            </w:r>
          </w:p>
        </w:tc>
        <w:tc>
          <w:tcPr/>
          <w:p>
            <w:pPr>
              <w:pStyle w:val="Compact"/>
              <w:jc w:val="left"/>
            </w:pPr>
            <w:r>
              <w:t xml:space="preserve">§V.C</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Aggregate adjusted tax basis inconsistency ($42.8M vs. $64.3M)</w:t>
            </w:r>
          </w:p>
        </w:tc>
        <w:tc>
          <w:tcPr/>
          <w:p>
            <w:pPr>
              <w:pStyle w:val="Compact"/>
              <w:jc w:val="left"/>
            </w:pPr>
            <w:r>
              <w:t xml:space="preserve">§III.B, §V.A</w:t>
            </w:r>
          </w:p>
        </w:tc>
      </w:tr>
      <w:tr>
        <w:tc>
          <w:tcPr/>
          <w:p>
            <w:pPr>
              <w:pStyle w:val="Compact"/>
              <w:jc w:val="left"/>
            </w:pPr>
            <w:r>
              <w:t xml:space="preserve">H-7</w:t>
            </w:r>
          </w:p>
        </w:tc>
        <w:tc>
          <w:tcPr/>
          <w:p>
            <w:pPr>
              <w:pStyle w:val="Compact"/>
              <w:jc w:val="left"/>
            </w:pPr>
            <w:r>
              <w:t xml:space="preserve">High</w:t>
            </w:r>
          </w:p>
        </w:tc>
        <w:tc>
          <w:tcPr/>
          <w:p>
            <w:pPr>
              <w:pStyle w:val="Compact"/>
              <w:jc w:val="left"/>
            </w:pPr>
            <w:r>
              <w:t xml:space="preserve">Rollover equity / §338(h)(10) interaction not analyzed</w:t>
            </w:r>
          </w:p>
        </w:tc>
        <w:tc>
          <w:tcPr/>
          <w:p>
            <w:pPr>
              <w:pStyle w:val="Compact"/>
              <w:jc w:val="left"/>
            </w:pPr>
            <w:r>
              <w:t xml:space="preserve">§V.B, §II.B</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AAA / AE&amp;P / deemed liquidation distribution characterization omitted</w:t>
            </w:r>
          </w:p>
        </w:tc>
        <w:tc>
          <w:tcPr/>
          <w:p>
            <w:pPr>
              <w:pStyle w:val="Compact"/>
              <w:jc w:val="left"/>
            </w:pPr>
            <w:r>
              <w:t xml:space="preserve">§V</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Section 751</w:t>
            </w:r>
            <w:r>
              <w:t xml:space="preserve"> </w:t>
            </w:r>
            <w:r>
              <w:t xml:space="preserve">“</w:t>
            </w:r>
            <w:r>
              <w:t xml:space="preserve">hot assets</w:t>
            </w:r>
            <w:r>
              <w:t xml:space="preserve">”</w:t>
            </w:r>
            <w:r>
              <w:t xml:space="preserve"> </w:t>
            </w:r>
            <w:r>
              <w:t xml:space="preserve">(Beacon AR/unbilled revenue) not addressed</w:t>
            </w:r>
          </w:p>
        </w:tc>
        <w:tc>
          <w:tcPr/>
          <w:p>
            <w:pPr>
              <w:pStyle w:val="Compact"/>
              <w:jc w:val="left"/>
            </w:pPr>
            <w:r>
              <w:t xml:space="preserve">§VIII</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Section 754 election for Beacon not addressed</w:t>
            </w:r>
          </w:p>
        </w:tc>
        <w:tc>
          <w:tcPr/>
          <w:p>
            <w:pPr>
              <w:pStyle w:val="Compact"/>
              <w:jc w:val="left"/>
            </w:pPr>
            <w:r>
              <w:t xml:space="preserve">§VIII</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NC data processing license — tax/valuation consequences of termination not addressed</w:t>
            </w:r>
          </w:p>
        </w:tc>
        <w:tc>
          <w:tcPr/>
          <w:p>
            <w:pPr>
              <w:pStyle w:val="Compact"/>
              <w:jc w:val="left"/>
            </w:pPr>
            <w:r>
              <w:t xml:space="preserve">§II.A, §III.C, §IV.C</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Section 482 transfer pricing exposure (~$6.3M) not addressed</w:t>
            </w:r>
          </w:p>
        </w:tc>
        <w:tc>
          <w:tcPr/>
          <w:p>
            <w:pPr>
              <w:pStyle w:val="Compact"/>
              <w:jc w:val="left"/>
            </w:pPr>
            <w:r>
              <w:t xml:space="preserve">§VIII, §III.C</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Suspended R&amp;D credits ($3.8M) — deferred without analysis</w:t>
            </w:r>
          </w:p>
        </w:tc>
        <w:tc>
          <w:tcPr/>
          <w:p>
            <w:pPr>
              <w:pStyle w:val="Compact"/>
              <w:jc w:val="left"/>
            </w:pPr>
            <w:r>
              <w:t xml:space="preserve">§III.D</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Shareholder count and composition discrepancies (14 vs. 17; C corp period count)</w:t>
            </w:r>
          </w:p>
        </w:tc>
        <w:tc>
          <w:tcPr/>
          <w:p>
            <w:pPr>
              <w:pStyle w:val="Compact"/>
              <w:jc w:val="left"/>
            </w:pPr>
            <w:r>
              <w:t xml:space="preserve">§II.A, §V.B</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Beacon management fee — CPI adjustment required by operating agreement not followed</w:t>
            </w:r>
          </w:p>
        </w:tc>
        <w:tc>
          <w:tcPr/>
          <w:p>
            <w:pPr>
              <w:pStyle w:val="Compact"/>
              <w:jc w:val="left"/>
            </w:pPr>
            <w:r>
              <w:t xml:space="preserve">§VIII, §III.C</w:t>
            </w:r>
          </w:p>
        </w:tc>
      </w:tr>
      <w:tr>
        <w:tc>
          <w:tcPr/>
          <w:p>
            <w:pPr>
              <w:pStyle w:val="Compact"/>
              <w:jc w:val="left"/>
            </w:pPr>
            <w:r>
              <w:t xml:space="preserve">M-9</w:t>
            </w:r>
          </w:p>
        </w:tc>
        <w:tc>
          <w:tcPr/>
          <w:p>
            <w:pPr>
              <w:pStyle w:val="Compact"/>
              <w:jc w:val="left"/>
            </w:pPr>
            <w:r>
              <w:t xml:space="preserve">Moderate</w:t>
            </w:r>
          </w:p>
        </w:tc>
        <w:tc>
          <w:tcPr/>
          <w:p>
            <w:pPr>
              <w:pStyle w:val="Compact"/>
              <w:jc w:val="left"/>
            </w:pPr>
            <w:r>
              <w:t xml:space="preserve">Per-shareholder gain allocation — basic vs. fully diluted ownership</w:t>
            </w:r>
          </w:p>
        </w:tc>
        <w:tc>
          <w:tcPr/>
          <w:p>
            <w:pPr>
              <w:pStyle w:val="Compact"/>
              <w:jc w:val="left"/>
            </w:pPr>
            <w:r>
              <w:t xml:space="preserve">§V.B</w:t>
            </w:r>
          </w:p>
        </w:tc>
      </w:tr>
      <w:tr>
        <w:tc>
          <w:tcPr/>
          <w:p>
            <w:pPr>
              <w:pStyle w:val="Compact"/>
              <w:jc w:val="left"/>
            </w:pPr>
            <w:r>
              <w:t xml:space="preserve">M-10</w:t>
            </w:r>
          </w:p>
        </w:tc>
        <w:tc>
          <w:tcPr/>
          <w:p>
            <w:pPr>
              <w:pStyle w:val="Compact"/>
              <w:jc w:val="left"/>
            </w:pPr>
            <w:r>
              <w:t xml:space="preserve">Moderate</w:t>
            </w:r>
          </w:p>
        </w:tc>
        <w:tc>
          <w:tcPr/>
          <w:p>
            <w:pPr>
              <w:pStyle w:val="Compact"/>
              <w:jc w:val="left"/>
            </w:pPr>
            <w:r>
              <w:t xml:space="preserve">Sources and uses — equity contribution understated by ~$55M</w:t>
            </w:r>
          </w:p>
        </w:tc>
        <w:tc>
          <w:tcPr/>
          <w:p>
            <w:pPr>
              <w:pStyle w:val="Compact"/>
              <w:jc w:val="left"/>
            </w:pPr>
            <w:r>
              <w:t xml:space="preserve">§II.C</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Date and citation inconsistencies</w:t>
            </w:r>
          </w:p>
        </w:tc>
        <w:tc>
          <w:tcPr/>
          <w:p>
            <w:pPr>
              <w:pStyle w:val="Compact"/>
              <w:jc w:val="left"/>
            </w:pPr>
            <w:r>
              <w:t xml:space="preserve">Preamble, §II.A, §III.C, §VII.B</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EBITDA figure unverified (implies 67% margin)</w:t>
            </w:r>
          </w:p>
        </w:tc>
        <w:tc>
          <w:tcPr/>
          <w:p>
            <w:pPr>
              <w:pStyle w:val="Compact"/>
              <w:jc w:val="left"/>
            </w:pPr>
            <w:r>
              <w:t xml:space="preserve">§VII.B</w:t>
            </w:r>
          </w:p>
        </w:tc>
      </w:tr>
      <w:tr>
        <w:tc>
          <w:tcPr/>
          <w:p>
            <w:pPr>
              <w:pStyle w:val="Compact"/>
              <w:jc w:val="left"/>
            </w:pPr>
            <w:r>
              <w:t xml:space="preserve">L-3</w:t>
            </w:r>
          </w:p>
        </w:tc>
        <w:tc>
          <w:tcPr/>
          <w:p>
            <w:pPr>
              <w:pStyle w:val="Compact"/>
              <w:jc w:val="left"/>
            </w:pPr>
            <w:r>
              <w:t xml:space="preserve">Low</w:t>
            </w:r>
          </w:p>
        </w:tc>
        <w:tc>
          <w:tcPr/>
          <w:p>
            <w:pPr>
              <w:pStyle w:val="Compact"/>
              <w:jc w:val="left"/>
            </w:pPr>
            <w:r>
              <w:t xml:space="preserve">California §338(h)(10) conformity / separate state election not addressed</w:t>
            </w:r>
          </w:p>
        </w:tc>
        <w:tc>
          <w:tcPr/>
          <w:p>
            <w:pPr>
              <w:pStyle w:val="Compact"/>
              <w:jc w:val="left"/>
            </w:pPr>
            <w:r>
              <w:t xml:space="preserve">§VI.B</w:t>
            </w:r>
          </w:p>
        </w:tc>
      </w:tr>
      <w:tr>
        <w:tc>
          <w:tcPr/>
          <w:p>
            <w:pPr>
              <w:pStyle w:val="Compact"/>
              <w:jc w:val="left"/>
            </w:pPr>
            <w:r>
              <w:t xml:space="preserve">L-4</w:t>
            </w:r>
          </w:p>
        </w:tc>
        <w:tc>
          <w:tcPr/>
          <w:p>
            <w:pPr>
              <w:pStyle w:val="Compact"/>
              <w:jc w:val="left"/>
            </w:pPr>
            <w:r>
              <w:t xml:space="preserve">Low</w:t>
            </w:r>
          </w:p>
        </w:tc>
        <w:tc>
          <w:tcPr/>
          <w:p>
            <w:pPr>
              <w:pStyle w:val="Compact"/>
              <w:jc w:val="left"/>
            </w:pPr>
            <w:r>
              <w:t xml:space="preserve">New York sales tax exposure ($150K–$300K) not addressed</w:t>
            </w:r>
          </w:p>
        </w:tc>
        <w:tc>
          <w:tcPr/>
          <w:p>
            <w:pPr>
              <w:pStyle w:val="Compact"/>
              <w:jc w:val="left"/>
            </w:pPr>
            <w:r>
              <w:t xml:space="preserve">Entire Memo</w:t>
            </w:r>
          </w:p>
        </w:tc>
      </w:tr>
      <w:tr>
        <w:tc>
          <w:tcPr/>
          <w:p>
            <w:pPr>
              <w:pStyle w:val="Compact"/>
              <w:jc w:val="left"/>
            </w:pPr>
            <w:r>
              <w:t xml:space="preserve">L-5</w:t>
            </w:r>
          </w:p>
        </w:tc>
        <w:tc>
          <w:tcPr/>
          <w:p>
            <w:pPr>
              <w:pStyle w:val="Compact"/>
              <w:jc w:val="left"/>
            </w:pPr>
            <w:r>
              <w:t xml:space="preserve">Low</w:t>
            </w:r>
          </w:p>
        </w:tc>
        <w:tc>
          <w:tcPr/>
          <w:p>
            <w:pPr>
              <w:pStyle w:val="Compact"/>
              <w:jc w:val="left"/>
            </w:pPr>
            <w:r>
              <w:t xml:space="preserve">Section 197 anti-churning / self-created intangibles — cursory analysis</w:t>
            </w:r>
          </w:p>
        </w:tc>
        <w:tc>
          <w:tcPr/>
          <w:p>
            <w:pPr>
              <w:pStyle w:val="Compact"/>
              <w:jc w:val="left"/>
            </w:pPr>
            <w:r>
              <w:t xml:space="preserve">§VII.B</w:t>
            </w:r>
          </w:p>
        </w:tc>
      </w:tr>
      <w:tr>
        <w:tc>
          <w:tcPr/>
          <w:p>
            <w:pPr>
              <w:pStyle w:val="Compact"/>
              <w:jc w:val="left"/>
            </w:pPr>
            <w:r>
              <w:t xml:space="preserve">L-6</w:t>
            </w:r>
          </w:p>
        </w:tc>
        <w:tc>
          <w:tcPr/>
          <w:p>
            <w:pPr>
              <w:pStyle w:val="Compact"/>
              <w:jc w:val="left"/>
            </w:pPr>
            <w:r>
              <w:t xml:space="preserve">Low</w:t>
            </w:r>
          </w:p>
        </w:tc>
        <w:tc>
          <w:tcPr/>
          <w:p>
            <w:pPr>
              <w:pStyle w:val="Compact"/>
              <w:jc w:val="left"/>
            </w:pPr>
            <w:r>
              <w:t xml:space="preserve">Non-compete agreements — risk of compensatory recharacterization not addressed</w:t>
            </w:r>
          </w:p>
        </w:tc>
        <w:tc>
          <w:tcPr/>
          <w:p>
            <w:pPr>
              <w:pStyle w:val="Compact"/>
              <w:jc w:val="left"/>
            </w:pPr>
            <w:r>
              <w:t xml:space="preserve">§IV.C, §V.B</w:t>
            </w:r>
          </w:p>
        </w:tc>
      </w:tr>
      <w:tr>
        <w:tc>
          <w:tcPr/>
          <w:p>
            <w:pPr>
              <w:pStyle w:val="Compact"/>
              <w:jc w:val="left"/>
            </w:pPr>
            <w:r>
              <w:t xml:space="preserve">L-7</w:t>
            </w:r>
          </w:p>
        </w:tc>
        <w:tc>
          <w:tcPr/>
          <w:p>
            <w:pPr>
              <w:pStyle w:val="Compact"/>
              <w:jc w:val="left"/>
            </w:pPr>
            <w:r>
              <w:t xml:space="preserve">Low</w:t>
            </w:r>
          </w:p>
        </w:tc>
        <w:tc>
          <w:tcPr/>
          <w:p>
            <w:pPr>
              <w:pStyle w:val="Compact"/>
              <w:jc w:val="left"/>
            </w:pPr>
            <w:r>
              <w:t xml:space="preserve">Dr. Chandra stock basis — $1.5M estimate unsupported by capitalization table</w:t>
            </w:r>
          </w:p>
        </w:tc>
        <w:tc>
          <w:tcPr/>
          <w:p>
            <w:pPr>
              <w:pStyle w:val="Compact"/>
              <w:jc w:val="left"/>
            </w:pPr>
            <w:r>
              <w:t xml:space="preserve">§V.B</w:t>
            </w:r>
          </w:p>
        </w:tc>
      </w:tr>
    </w:tbl>
    <w:p>
      <w:r>
        <w:pict>
          <v:rect style="width:0;height:1.5pt" o:hralign="center" o:hrstd="t" o:hr="t"/>
        </w:pict>
      </w:r>
    </w:p>
    <w:bookmarkEnd w:id="63"/>
    <w:bookmarkStart w:id="64" w:name="vi.-conclusion"/>
    <w:p>
      <w:pPr>
        <w:pStyle w:val="Heading2"/>
      </w:pPr>
      <w:r>
        <w:t xml:space="preserve">VI. Conclusion</w:t>
      </w:r>
    </w:p>
    <w:p>
      <w:pPr>
        <w:pStyle w:val="FirstParagraph"/>
      </w:pPr>
      <w:r>
        <w:t xml:space="preserve">The Tax Structure Memorandum provides a generally sound framework for analyzing the Section 338(h)(10) election in the context of an S corporation target acquisition. However, the review identified 27 issues — including 3 Critical, 7 High, 10 Moderate, and 7 Low severity — that must be addressed before the Memo can be relied upon by the Fund III Investment Committee.</w:t>
      </w:r>
    </w:p>
    <w:p>
      <w:pPr>
        <w:pStyle w:val="BodyText"/>
      </w:pPr>
      <w:r>
        <w:t xml:space="preserve">The three Critical issues are of the greatest concern:</w:t>
      </w:r>
    </w:p>
    <w:p>
      <w:pPr>
        <w:numPr>
          <w:ilvl w:val="0"/>
          <w:numId w:val="1004"/>
        </w:numPr>
      </w:pPr>
      <w:r>
        <w:rPr>
          <w:b/>
          <w:bCs/>
        </w:rPr>
        <w:t xml:space="preserve">The ADSP calculation contains a fundamental $48 million error</w:t>
      </w:r>
      <w:r>
        <w:t xml:space="preserve"> </w:t>
      </w:r>
      <w:r>
        <w:t xml:space="preserve">(double-counting of funded debt) that cascades through the entire analysis, overstating the deemed sale gain by approximately $69.5 million (when combined with the basis discrepancy) and the goodwill residual by $76.5 million (when combined with the Class V error). This affects every shareholder’s tax liability and Buyer’s amortization deductions.</w:t>
      </w:r>
    </w:p>
    <w:p>
      <w:pPr>
        <w:numPr>
          <w:ilvl w:val="0"/>
          <w:numId w:val="1004"/>
        </w:numPr>
      </w:pPr>
      <w:r>
        <w:rPr>
          <w:b/>
          <w:bCs/>
        </w:rPr>
        <w:t xml:space="preserve">The Memo contradicts its own cited due diligence source</w:t>
      </w:r>
      <w:r>
        <w:t xml:space="preserve"> </w:t>
      </w:r>
      <w:r>
        <w:t xml:space="preserve">on S corporation shareholder eligibility — a threshold requirement for the Section 338(h)(10) election. If the S election was inadvertently terminated, the entire transaction structure fails.</w:t>
      </w:r>
    </w:p>
    <w:p>
      <w:pPr>
        <w:numPr>
          <w:ilvl w:val="0"/>
          <w:numId w:val="1004"/>
        </w:numPr>
      </w:pPr>
      <w:r>
        <w:rPr>
          <w:b/>
          <w:bCs/>
        </w:rPr>
        <w:t xml:space="preserve">The QSBS analysis that CSW explicitly promised in writing was never delivered</w:t>
      </w:r>
      <w:r>
        <w:t xml:space="preserve">, even after the purchase agreement was signed. This omission affects multiple shareholders facing material tax consequences and creates both a professional responsibility concern and a transaction consent risk.</w:t>
      </w:r>
    </w:p>
    <w:p>
      <w:pPr>
        <w:pStyle w:val="FirstParagraph"/>
      </w:pPr>
      <w:r>
        <w:t xml:space="preserve">The High-severity issues include additional material errors (the Class V allocation, the aggregate basis figure, the escrow tax treatment conflict with the purchase agreement) and significant omissions (the Beacon IP license termination, the Beacon ROFR, the rollover mechanics, and a legally erroneous post-closing recommendation). The Moderate and Low issues, while individually less impactful, collectively indicate that the Memo was not fully reconciled against the supporting deal documents before issuance.</w:t>
      </w:r>
    </w:p>
    <w:p>
      <w:pPr>
        <w:pStyle w:val="BodyText"/>
      </w:pPr>
      <w:r>
        <w:rPr>
          <w:b/>
          <w:bCs/>
        </w:rPr>
        <w:t xml:space="preserve">Recommended priority actions before the Investment Committee relies on the Memo:</w:t>
      </w:r>
    </w:p>
    <w:p>
      <w:pPr>
        <w:pStyle w:val="Compact"/>
        <w:numPr>
          <w:ilvl w:val="0"/>
          <w:numId w:val="1005"/>
        </w:numPr>
      </w:pPr>
      <w:r>
        <w:t xml:space="preserve">Recompute the ADSP, the purchase price allocation, and the deemed sale gain using the correct methodology, and reconcile to the Thornfield asset valuation summary. (Issues C-1, H-1, H-6)</w:t>
      </w:r>
    </w:p>
    <w:p>
      <w:pPr>
        <w:pStyle w:val="Compact"/>
        <w:numPr>
          <w:ilvl w:val="0"/>
          <w:numId w:val="1005"/>
        </w:numPr>
      </w:pPr>
      <w:r>
        <w:t xml:space="preserve">Resolve the S corporation shareholder eligibility question for all restricted stock holders as a condition to closing. (Issue C-2)</w:t>
      </w:r>
    </w:p>
    <w:p>
      <w:pPr>
        <w:pStyle w:val="Compact"/>
        <w:numPr>
          <w:ilvl w:val="0"/>
          <w:numId w:val="1005"/>
        </w:numPr>
      </w:pPr>
      <w:r>
        <w:t xml:space="preserve">Prepare and deliver the QSBS analysis immediately. (Issue C-3)</w:t>
      </w:r>
    </w:p>
    <w:p>
      <w:pPr>
        <w:pStyle w:val="Compact"/>
        <w:numPr>
          <w:ilvl w:val="0"/>
          <w:numId w:val="1005"/>
        </w:numPr>
      </w:pPr>
      <w:r>
        <w:t xml:space="preserve">Address the Beacon operating agreement provisions (IP license termination, ROFR) and their impact on the transaction. (Issues H-2, H-3)</w:t>
      </w:r>
    </w:p>
    <w:p>
      <w:pPr>
        <w:pStyle w:val="Compact"/>
        <w:numPr>
          <w:ilvl w:val="0"/>
          <w:numId w:val="1005"/>
        </w:numPr>
      </w:pPr>
      <w:r>
        <w:t xml:space="preserve">Reconcile the escrow tax treatment with the Stock Purchase Agreement. (Issue H-5)</w:t>
      </w:r>
    </w:p>
    <w:p>
      <w:pPr>
        <w:pStyle w:val="Compact"/>
        <w:numPr>
          <w:ilvl w:val="0"/>
          <w:numId w:val="1005"/>
        </w:numPr>
      </w:pPr>
      <w:r>
        <w:t xml:space="preserve">Correct the post-closing entity conversion recommendation. (Issue H-4)</w:t>
      </w:r>
    </w:p>
    <w:p>
      <w:pPr>
        <w:pStyle w:val="Compact"/>
        <w:numPr>
          <w:ilvl w:val="0"/>
          <w:numId w:val="1005"/>
        </w:numPr>
      </w:pPr>
      <w:r>
        <w:t xml:space="preserve">Analyze the rollover equity mechanics and Dr. Chandra’s cash-flow position. (Issue H-7)</w:t>
      </w:r>
    </w:p>
    <w:p>
      <w:pPr>
        <w:pStyle w:val="Compact"/>
        <w:numPr>
          <w:ilvl w:val="0"/>
          <w:numId w:val="1005"/>
        </w:numPr>
      </w:pPr>
      <w:r>
        <w:t xml:space="preserve">Address the remaining Moderate and Low issues as part of the final memo revision.</w:t>
      </w:r>
    </w:p>
    <w:p>
      <w:r>
        <w:pict>
          <v:rect style="width:0;height:1.5pt" o:hralign="center" o:hrstd="t" o:hr="t"/>
        </w:pict>
      </w:r>
    </w:p>
    <w:p>
      <w:pPr>
        <w:pStyle w:val="FirstParagraph"/>
      </w:pPr>
      <w:r>
        <w:rPr>
          <w:i/>
          <w:iCs/>
        </w:rPr>
        <w:t xml:space="preserve">This report was prepared based on a review of the documents listed in Section II. The analysis is limited to the identification of issues, inconsistencies, and omissions in the subject Memo as compared to the supporting deal documents. This report does not constitute legal or tax advice and does not express any conclusion on the merits of the transaction structure or the correctness of any tax position. All factual statements are based on the documents reviewed and have not been independently verified.</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2026-06-28T18:32:11Z</dcterms:created>
  <dcterms:modified xsi:type="dcterms:W3CDTF">2026-06-28T18:32:11Z</dcterms:modified>
</cp:coreProperties>
</file>

<file path=docProps/custom.xml><?xml version="1.0" encoding="utf-8"?>
<Properties xmlns="http://schemas.openxmlformats.org/officeDocument/2006/custom-properties" xmlns:vt="http://schemas.openxmlformats.org/officeDocument/2006/docPropsVTypes"/>
</file>