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tax-issue-identification-report"/>
    <w:p>
      <w:pPr>
        <w:pStyle w:val="Heading1"/>
      </w:pPr>
      <w:r>
        <w:t xml:space="preserve">Tax Issue Identification Report</w:t>
      </w:r>
    </w:p>
    <w:bookmarkStart w:id="20" w:name="X96d61ed53f5bc4563bca840ac38596ac6dae315"/>
    <w:p>
      <w:pPr>
        <w:pStyle w:val="Heading2"/>
      </w:pPr>
      <w:r>
        <w:t xml:space="preserve">Review of the Tax Structure Memorandum — Acquisition of Prism Health Analytics, Inc.</w:t>
      </w:r>
    </w:p>
    <w:p>
      <w:pPr>
        <w:pStyle w:val="FirstParagraph"/>
      </w:pPr>
      <w:r>
        <w:rPr>
          <w:b/>
          <w:bCs/>
        </w:rPr>
        <w:t xml:space="preserve">Prepared as an independent review of the Transaction Structure Memorandum dated February 10, 2025 (Calloway, Stern &amp; Whitaker LLP) against the supporting deal documents</w:t>
      </w:r>
    </w:p>
    <w:p>
      <w:pPr>
        <w:pStyle w:val="BodyText"/>
      </w:pPr>
      <w:r>
        <w:rPr>
          <w:b/>
          <w:bCs/>
        </w:rPr>
        <w:t xml:space="preserve">Subject transaction:</w:t>
      </w:r>
      <w:r>
        <w:t xml:space="preserve"> </w:t>
      </w:r>
      <w:r>
        <w:t xml:space="preserve">Acquisition of Prism Health Analytics, Inc. (</w:t>
      </w:r>
      <w:r>
        <w:t xml:space="preserve">“</w:t>
      </w:r>
      <w:r>
        <w:t xml:space="preserve">Prism</w:t>
      </w:r>
      <w:r>
        <w:t xml:space="preserve">”</w:t>
      </w:r>
      <w:r>
        <w:t xml:space="preserve">) by Ridgeline Capital Partners Fund III, LP (</w:t>
      </w:r>
      <w:r>
        <w:t xml:space="preserve">“</w:t>
      </w:r>
      <w:r>
        <w:t xml:space="preserve">Fund III</w:t>
      </w:r>
      <w:r>
        <w:t xml:space="preserve">”</w:t>
      </w:r>
      <w:r>
        <w:t xml:space="preserve"> </w:t>
      </w:r>
      <w:r>
        <w:t xml:space="preserve">or</w:t>
      </w:r>
      <w:r>
        <w:t xml:space="preserve"> </w:t>
      </w:r>
      <w:r>
        <w:t xml:space="preserve">“</w:t>
      </w:r>
      <w:r>
        <w:t xml:space="preserve">Buyer</w:t>
      </w:r>
      <w:r>
        <w:t xml:space="preserve">”</w:t>
      </w:r>
      <w:r>
        <w:t xml:space="preserve">) via reverse triangular merger with a joint Section 338(h)(10) election</w:t>
      </w:r>
    </w:p>
    <w:p>
      <w:pPr>
        <w:pStyle w:val="BodyText"/>
      </w:pPr>
      <w:r>
        <w:rPr>
          <w:b/>
          <w:bCs/>
        </w:rPr>
        <w:t xml:space="preserve">Documents reviewed:</w:t>
      </w:r>
    </w:p>
    <w:p>
      <w:pPr>
        <w:pStyle w:val="Compact"/>
        <w:numPr>
          <w:ilvl w:val="0"/>
          <w:numId w:val="1001"/>
        </w:numPr>
      </w:pPr>
      <w:r>
        <w:t xml:space="preserve">Transaction Structure Memorandum, Calloway, Stern &amp; Whitaker LLP, dated February 10, 2025 (</w:t>
      </w:r>
      <w:r>
        <w:t xml:space="preserve">“</w:t>
      </w:r>
      <w:r>
        <w:t xml:space="preserve">the Memo</w:t>
      </w:r>
      <w:r>
        <w:t xml:space="preserve">”</w:t>
      </w:r>
      <w:r>
        <w:t xml:space="preserve">)</w:t>
      </w:r>
    </w:p>
    <w:p>
      <w:pPr>
        <w:pStyle w:val="Compact"/>
        <w:numPr>
          <w:ilvl w:val="0"/>
          <w:numId w:val="1001"/>
        </w:numPr>
      </w:pPr>
      <w:r>
        <w:t xml:space="preserve">Tax Due Diligence Report, Thornfield Accounting Group, LLP, dated January 15, 2025 (</w:t>
      </w:r>
      <w:r>
        <w:t xml:space="preserve">“</w:t>
      </w:r>
      <w:r>
        <w:t xml:space="preserve">the Thornfield Report</w:t>
      </w:r>
      <w:r>
        <w:t xml:space="preserve">”</w:t>
      </w:r>
      <w:r>
        <w:t xml:space="preserve">)</w:t>
      </w:r>
    </w:p>
    <w:p>
      <w:pPr>
        <w:pStyle w:val="Compact"/>
        <w:numPr>
          <w:ilvl w:val="0"/>
          <w:numId w:val="1001"/>
        </w:numPr>
      </w:pPr>
      <w:r>
        <w:t xml:space="preserve">Agreement and Plan of Merger, dated January 28, 2025 (</w:t>
      </w:r>
      <w:r>
        <w:t xml:space="preserve">“</w:t>
      </w:r>
      <w:r>
        <w:t xml:space="preserve">the Merger Agreement</w:t>
      </w:r>
      <w:r>
        <w:t xml:space="preserve">”</w:t>
      </w:r>
      <w:r>
        <w:t xml:space="preserve">)</w:t>
      </w:r>
    </w:p>
    <w:p>
      <w:pPr>
        <w:pStyle w:val="Compact"/>
        <w:numPr>
          <w:ilvl w:val="0"/>
          <w:numId w:val="1001"/>
        </w:numPr>
      </w:pPr>
      <w:r>
        <w:t xml:space="preserve">Amended and Restated Operating Agreement of Beacon Insights, LLC (</w:t>
      </w:r>
      <w:r>
        <w:t xml:space="preserve">“</w:t>
      </w:r>
      <w:r>
        <w:t xml:space="preserve">the Beacon OA</w:t>
      </w:r>
      <w:r>
        <w:t xml:space="preserve">”</w:t>
      </w:r>
      <w:r>
        <w:t xml:space="preserve">)</w:t>
      </w:r>
    </w:p>
    <w:p>
      <w:pPr>
        <w:pStyle w:val="Compact"/>
        <w:numPr>
          <w:ilvl w:val="0"/>
          <w:numId w:val="1001"/>
        </w:numPr>
      </w:pPr>
      <w:r>
        <w:t xml:space="preserve">Asset Valuation Summary / Preliminary Purchase Price Allocation, Thornfield Accounting Group, LLP (</w:t>
      </w:r>
      <w:r>
        <w:t xml:space="preserve">“</w:t>
      </w:r>
      <w:r>
        <w:t xml:space="preserve">the Asset Valuation</w:t>
      </w:r>
      <w:r>
        <w:t xml:space="preserve">”</w:t>
      </w:r>
      <w:r>
        <w:t xml:space="preserve">)</w:t>
      </w:r>
    </w:p>
    <w:p>
      <w:pPr>
        <w:pStyle w:val="Compact"/>
        <w:numPr>
          <w:ilvl w:val="0"/>
          <w:numId w:val="1001"/>
        </w:numPr>
      </w:pPr>
      <w:r>
        <w:t xml:space="preserve">Prism Capitalization Table as of December 31, 2024 (</w:t>
      </w:r>
      <w:r>
        <w:t xml:space="preserve">“</w:t>
      </w:r>
      <w:r>
        <w:t xml:space="preserve">the Cap Table</w:t>
      </w:r>
      <w:r>
        <w:t xml:space="preserve">”</w:t>
      </w:r>
      <w:r>
        <w:t xml:space="preserve">)</w:t>
      </w:r>
    </w:p>
    <w:p>
      <w:pPr>
        <w:pStyle w:val="Compact"/>
        <w:numPr>
          <w:ilvl w:val="0"/>
          <w:numId w:val="1001"/>
        </w:numPr>
      </w:pPr>
      <w:r>
        <w:t xml:space="preserve">QSBS Eligibility email thread, Linden Rock Advisory, LLC and Calloway, Stern &amp; Whitaker LLP, November 2024 – January 2025 (</w:t>
      </w:r>
      <w:r>
        <w:t xml:space="preserve">“</w:t>
      </w:r>
      <w:r>
        <w:t xml:space="preserve">the QSBS Email Thread</w:t>
      </w:r>
      <w:r>
        <w:t xml:space="preserve">”</w:t>
      </w:r>
      <w:r>
        <w:t xml:space="preserve">)</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report identifies issues, inconsistencies, and omissions in the Tax Structure Memorandum when measured against the supporting deal documents. The review identified</w:t>
      </w:r>
      <w:r>
        <w:t xml:space="preserve"> </w:t>
      </w:r>
      <w:r>
        <w:rPr>
          <w:b/>
          <w:bCs/>
        </w:rPr>
        <w:t xml:space="preserve">33 distinct items</w:t>
      </w:r>
      <w:r>
        <w:t xml:space="preserve">, ranked by severity:</w:t>
      </w:r>
      <w:r>
        <w:t xml:space="preserve"> </w:t>
      </w:r>
      <w:r>
        <w:rPr>
          <w:b/>
          <w:bCs/>
        </w:rPr>
        <w:t xml:space="preserve">5 Critical</w:t>
      </w:r>
      <w:r>
        <w:t xml:space="preserve">,</w:t>
      </w:r>
      <w:r>
        <w:t xml:space="preserve"> </w:t>
      </w:r>
      <w:r>
        <w:rPr>
          <w:b/>
          <w:bCs/>
        </w:rPr>
        <w:t xml:space="preserve">5 High</w:t>
      </w:r>
      <w:r>
        <w:t xml:space="preserve">,</w:t>
      </w:r>
      <w:r>
        <w:t xml:space="preserve"> </w:t>
      </w:r>
      <w:r>
        <w:rPr>
          <w:b/>
          <w:bCs/>
        </w:rPr>
        <w:t xml:space="preserve">11 Moderate</w:t>
      </w:r>
      <w:r>
        <w:t xml:space="preserve">, and</w:t>
      </w:r>
      <w:r>
        <w:t xml:space="preserve"> </w:t>
      </w:r>
      <w:r>
        <w:rPr>
          <w:b/>
          <w:bCs/>
        </w:rPr>
        <w:t xml:space="preserve">12 Low</w:t>
      </w:r>
      <w:r>
        <w:t xml:space="preserve">. The most significant findings are summarized below.</w:t>
      </w:r>
    </w:p>
    <w:p>
      <w:pPr>
        <w:pStyle w:val="BodyText"/>
      </w:pPr>
      <w:r>
        <w:rPr>
          <w:b/>
          <w:bCs/>
        </w:rPr>
        <w:t xml:space="preserve">The Memo’s central conclusion rests on an unverified threshold assumption.</w:t>
      </w:r>
      <w:r>
        <w:t xml:space="preserve"> </w:t>
      </w:r>
      <w:r>
        <w:t xml:space="preserve">The entire Section 338(h)(10) structure depends on the validity of Prism’s S corporation election. The Memo affirmatively states that</w:t>
      </w:r>
      <w:r>
        <w:t xml:space="preserve"> </w:t>
      </w:r>
      <w:r>
        <w:t xml:space="preserve">“</w:t>
      </w:r>
      <w:r>
        <w:t xml:space="preserve">no events causing a termination of the S election have been identified</w:t>
      </w:r>
      <w:r>
        <w:t xml:space="preserve">”</w:t>
      </w:r>
      <w:r>
        <w:t xml:space="preserve"> </w:t>
      </w:r>
      <w:r>
        <w:t xml:space="preserve">and that it is</w:t>
      </w:r>
      <w:r>
        <w:t xml:space="preserve"> </w:t>
      </w:r>
      <w:r>
        <w:t xml:space="preserve">“</w:t>
      </w:r>
      <w:r>
        <w:t xml:space="preserve">not aware of any ineligible shareholders.</w:t>
      </w:r>
      <w:r>
        <w:t xml:space="preserve">”</w:t>
      </w:r>
      <w:r>
        <w:t xml:space="preserve"> </w:t>
      </w:r>
      <w:r>
        <w:t xml:space="preserve">This is directly contradicted by the Thornfield Report and the Cap Table, which together identify</w:t>
      </w:r>
      <w:r>
        <w:t xml:space="preserve"> </w:t>
      </w:r>
      <w:r>
        <w:rPr>
          <w:b/>
          <w:bCs/>
        </w:rPr>
        <w:t xml:space="preserve">two to three restricted-stock holders whose S corporation eligibility could not be confirmed</w:t>
      </w:r>
      <w:r>
        <w:t xml:space="preserve"> </w:t>
      </w:r>
      <w:r>
        <w:t xml:space="preserve">— including an H-1B visa holder whose substantial-presence-test compliance is unverified and a possible transfer of shares to an ineligible family LLC. If the S election was inadvertently terminated in any prior year, the Section 338(h)(10) election is unavailable, the transaction would be subject to double taxation, and entity-level C corporation tax would apply to all open years. The Memo does not flag this threshold risk, and the Merger Agreement’s closing condition requiring continuous valid S corporation status (Section 8.2(c)) could fail.</w:t>
      </w:r>
    </w:p>
    <w:p>
      <w:pPr>
        <w:pStyle w:val="BodyText"/>
      </w:pPr>
      <w:r>
        <w:rPr>
          <w:b/>
          <w:bCs/>
        </w:rPr>
        <w:t xml:space="preserve">The Memo contains material computational errors in the ADSP and tax-basis figures.</w:t>
      </w:r>
      <w:r>
        <w:t xml:space="preserve"> </w:t>
      </w:r>
      <w:r>
        <w:t xml:space="preserve">The Aggregate Deemed Sale Price (</w:t>
      </w:r>
      <w:r>
        <w:t xml:space="preserve">“</w:t>
      </w:r>
      <w:r>
        <w:t xml:space="preserve">ADSP</w:t>
      </w:r>
      <w:r>
        <w:t xml:space="preserve">”</w:t>
      </w:r>
      <w:r>
        <w:t xml:space="preserve">) is overstated by</w:t>
      </w:r>
      <w:r>
        <w:t xml:space="preserve"> </w:t>
      </w:r>
      <w:r>
        <w:rPr>
          <w:b/>
          <w:bCs/>
        </w:rPr>
        <w:t xml:space="preserve">$48 million</w:t>
      </w:r>
      <w:r>
        <w:t xml:space="preserve"> </w:t>
      </w:r>
      <w:r>
        <w:t xml:space="preserve">because the Memo adds the $48 million funded debt to an enterprise value figure that already includes that debt (the Memo’s own equity-value bridge demonstrates this: $425M − $48M − $7M = $370M). The correct ADSP, per the Asset Valuation, is $425 million, not $473 million. Separately, the Memo’s aggregate adjusted tax basis of $42.8 million is understated by approximately</w:t>
      </w:r>
      <w:r>
        <w:t xml:space="preserve"> </w:t>
      </w:r>
      <w:r>
        <w:rPr>
          <w:b/>
          <w:bCs/>
        </w:rPr>
        <w:t xml:space="preserve">$21.5 million</w:t>
      </w:r>
      <w:r>
        <w:t xml:space="preserve"> </w:t>
      </w:r>
      <w:r>
        <w:t xml:space="preserve">versus the Asset Valuation’s asset-by-asset basis of $64.3 million. Together, these errors overstate the total deemed sale gain by approximately</w:t>
      </w:r>
      <w:r>
        <w:t xml:space="preserve"> </w:t>
      </w:r>
      <w:r>
        <w:rPr>
          <w:b/>
          <w:bCs/>
        </w:rPr>
        <w:t xml:space="preserve">$69.5 million</w:t>
      </w:r>
      <w:r>
        <w:t xml:space="preserve"> </w:t>
      </w:r>
      <w:r>
        <w:t xml:space="preserve">($430.2M stated vs. ~$360.7M per the Asset Valuation), which in turn overstates every per-shareholder gain figure, the goodwill allocation, and Buyer’s stepped-up basis.</w:t>
      </w:r>
    </w:p>
    <w:p>
      <w:pPr>
        <w:pStyle w:val="BodyText"/>
      </w:pPr>
      <w:r>
        <w:rPr>
          <w:b/>
          <w:bCs/>
        </w:rPr>
        <w:t xml:space="preserve">A promised QSBS analysis is entirely absent.</w:t>
      </w:r>
      <w:r>
        <w:t xml:space="preserve"> </w:t>
      </w:r>
      <w:r>
        <w:t xml:space="preserve">The QSBS Email Thread documents that the selling shareholders’ advisor repeatedly requested a Section 1202 analysis, and that the Memo’s author expressly promised on November 20, 2024 to</w:t>
      </w:r>
      <w:r>
        <w:t xml:space="preserve"> </w:t>
      </w:r>
      <w:r>
        <w:t xml:space="preserve">“</w:t>
      </w:r>
      <w:r>
        <w:t xml:space="preserve">include a QSBS analysis as part of the transaction structure memorandum</w:t>
      </w:r>
      <w:r>
        <w:t xml:space="preserve">”</w:t>
      </w:r>
      <w:r>
        <w:t xml:space="preserve"> </w:t>
      </w:r>
      <w:r>
        <w:t xml:space="preserve">before the Merger Agreement was executed. The Merger Agreement was signed January 28, 2025 and the Memo is dated February 10, 2025, yet the Memo contains no QSBS analysis. Because the Section 338(h)(10) deemed asset sale may foreclose the QSBS exclusion for the shareholders who acquired stock during Prism’s 2016 C corporation period (as many as 11 shareholders per the Cap Table), this omission is material to the selling shareholders’ election decision and after-tax proceeds.</w:t>
      </w:r>
    </w:p>
    <w:p>
      <w:pPr>
        <w:pStyle w:val="BodyText"/>
      </w:pPr>
      <w:r>
        <w:rPr>
          <w:b/>
          <w:bCs/>
        </w:rPr>
        <w:t xml:space="preserve">Several Memo conclusions directly contradict the executed Merger Agreement.</w:t>
      </w:r>
      <w:r>
        <w:t xml:space="preserve"> </w:t>
      </w:r>
      <w:r>
        <w:t xml:space="preserve">The Memo advises that shareholders may defer gain on the $22 million escrow via installment-sale treatment until September 2026; the Merger Agreement (Section 7.4) expressly requires the escrow to be reported as amount realized in the closing year. The Memo treats the Beacon Insights interest as freely transferable in the deemed sale; the Beacon OA triggers a change-of-control right of first refusal that could divert the $28.5 million Beacon interest to the minority members. The Memo assumes California conforms to the federal 338(h)(10) election; California does not conform for S corporation targets, so the Memo’s California entity-level tax analysis is likely incorrect.</w:t>
      </w:r>
    </w:p>
    <w:p>
      <w:pPr>
        <w:pStyle w:val="BodyText"/>
      </w:pPr>
      <w:r>
        <w:rPr>
          <w:b/>
          <w:bCs/>
        </w:rPr>
        <w:t xml:space="preserve">There is an unresolved conflict regarding counsel’s representation.</w:t>
      </w:r>
      <w:r>
        <w:t xml:space="preserve"> </w:t>
      </w:r>
      <w:r>
        <w:t xml:space="preserve">The Memo, the Thornfield Report, and the QSBS Email Thread all identify Calloway, Stern &amp; Whitaker LLP as counsel to the Buyer (Ridgeline). The Merger Agreement, however, lists the firm as</w:t>
      </w:r>
      <w:r>
        <w:t xml:space="preserve"> </w:t>
      </w:r>
      <w:r>
        <w:t xml:space="preserve">“</w:t>
      </w:r>
      <w:r>
        <w:t xml:space="preserve">Company counsel</w:t>
      </w:r>
      <w:r>
        <w:t xml:space="preserve">”</w:t>
      </w:r>
      <w:r>
        <w:t xml:space="preserve"> </w:t>
      </w:r>
      <w:r>
        <w:t xml:space="preserve">(i.e., counsel to Prism/the sellers) and allocates $2.2 million of seller transaction expenses to it. This inconsistency should be reconciled, as it bears on privilege, conflicts, and the allocation of transaction expenses.</w:t>
      </w:r>
    </w:p>
    <w:p>
      <w:pPr>
        <w:pStyle w:val="BodyText"/>
      </w:pPr>
      <w:r>
        <w:t xml:space="preserve">The body of this report presents each finding in severity-ranked order, with the supporting authority, the specific inconsistency, and the recommended action. A consolidated findings table appears in Section VI.</w:t>
      </w:r>
    </w:p>
    <w:p>
      <w:r>
        <w:pict>
          <v:rect style="width:0;height:1.5pt" o:hralign="center" o:hrstd="t" o:hr="t"/>
        </w:pict>
      </w:r>
    </w:p>
    <w:bookmarkEnd w:id="21"/>
    <w:bookmarkStart w:id="22" w:name="ii.-scope-and-methodology"/>
    <w:p>
      <w:pPr>
        <w:pStyle w:val="Heading2"/>
      </w:pPr>
      <w:r>
        <w:t xml:space="preserve">II. Scope and Methodology</w:t>
      </w:r>
    </w:p>
    <w:p>
      <w:pPr>
        <w:pStyle w:val="FirstParagraph"/>
      </w:pPr>
      <w:r>
        <w:t xml:space="preserve">This report compares the factual assertions, computations, legal conclusions, and omissions in the Memo against the six other deal documents listed above. Each finding is classified by severity using the following criteria:</w:t>
      </w:r>
    </w:p>
    <w:p>
      <w:pPr>
        <w:pStyle w:val="Compact"/>
        <w:numPr>
          <w:ilvl w:val="0"/>
          <w:numId w:val="1002"/>
        </w:numPr>
      </w:pPr>
      <w:r>
        <w:rPr>
          <w:b/>
          <w:bCs/>
        </w:rPr>
        <w:t xml:space="preserve">Critical</w:t>
      </w:r>
      <w:r>
        <w:t xml:space="preserve"> </w:t>
      </w:r>
      <w:r>
        <w:t xml:space="preserve">— The item could invalidate the transaction structure, rests on a demonstrably false threshold assumption, constitutes a material computational error with large dollar impact, or is a material omission that affects a party’s decision to proceed.</w:t>
      </w:r>
    </w:p>
    <w:p>
      <w:pPr>
        <w:pStyle w:val="Compact"/>
        <w:numPr>
          <w:ilvl w:val="0"/>
          <w:numId w:val="1002"/>
        </w:numPr>
      </w:pPr>
      <w:r>
        <w:rPr>
          <w:b/>
          <w:bCs/>
        </w:rPr>
        <w:t xml:space="preserve">High</w:t>
      </w:r>
      <w:r>
        <w:t xml:space="preserve"> </w:t>
      </w:r>
      <w:r>
        <w:t xml:space="preserve">— The item contradicts an executed deal document, states a legal conclusion that is likely incorrect, creates a closing-condition risk, or omits a material risk that the supporting documents flag.</w:t>
      </w:r>
    </w:p>
    <w:p>
      <w:pPr>
        <w:pStyle w:val="Compact"/>
        <w:numPr>
          <w:ilvl w:val="0"/>
          <w:numId w:val="1002"/>
        </w:numPr>
      </w:pPr>
      <w:r>
        <w:rPr>
          <w:b/>
          <w:bCs/>
        </w:rPr>
        <w:t xml:space="preserve">Moderate</w:t>
      </w:r>
      <w:r>
        <w:t xml:space="preserve"> </w:t>
      </w:r>
      <w:r>
        <w:t xml:space="preserve">— The item is an incomplete analysis, a factual inconsistency with secondary consequences, or an omission that should be addressed but is unlikely to be transaction-dispositive.</w:t>
      </w:r>
    </w:p>
    <w:p>
      <w:pPr>
        <w:pStyle w:val="Compact"/>
        <w:numPr>
          <w:ilvl w:val="0"/>
          <w:numId w:val="1002"/>
        </w:numPr>
      </w:pPr>
      <w:r>
        <w:rPr>
          <w:b/>
          <w:bCs/>
        </w:rPr>
        <w:t xml:space="preserve">Low</w:t>
      </w:r>
      <w:r>
        <w:t xml:space="preserve"> </w:t>
      </w:r>
      <w:r>
        <w:t xml:space="preserve">— The item is a minor factual, dating, or terminology inconsistency with limited practical consequence.</w:t>
      </w:r>
    </w:p>
    <w:p>
      <w:pPr>
        <w:pStyle w:val="FirstParagraph"/>
      </w:pPr>
      <w:r>
        <w:t xml:space="preserve">Dollar figures are stated as they appear in the source documents. Where the Memo and a supporting document disagree, both figures are shown. This report does not re-certify any tax conclusion; it identifies where the Memo is inconsistent with, unsupported by, or silent on matters addressed in the supporting deal documents.</w:t>
      </w:r>
    </w:p>
    <w:p>
      <w:r>
        <w:pict>
          <v:rect style="width:0;height:1.5pt" o:hralign="center" o:hrstd="t" o:hr="t"/>
        </w:pict>
      </w:r>
    </w:p>
    <w:bookmarkEnd w:id="22"/>
    <w:bookmarkStart w:id="28" w:name="iii.-critical-findings"/>
    <w:p>
      <w:pPr>
        <w:pStyle w:val="Heading2"/>
      </w:pPr>
      <w:r>
        <w:t xml:space="preserve">III. Critical Findings</w:t>
      </w:r>
    </w:p>
    <w:bookmarkStart w:id="23" w:name="X044706c7c163b6b9e7f51dd1aa80615185c5eb6"/>
    <w:p>
      <w:pPr>
        <w:pStyle w:val="Heading3"/>
      </w:pPr>
      <w:r>
        <w:t xml:space="preserve">C-1. S corporation election validity is contradicted by the due diligence record and is a threshold requirement for the entire structure</w:t>
      </w:r>
    </w:p>
    <w:p>
      <w:pPr>
        <w:pStyle w:val="FirstParagraph"/>
      </w:pPr>
      <w:r>
        <w:rPr>
          <w:b/>
          <w:bCs/>
        </w:rPr>
        <w:t xml:space="preserve">The Memo’s assertion.</w:t>
      </w:r>
      <w:r>
        <w:t xml:space="preserve"> </w:t>
      </w:r>
      <w:r>
        <w:t xml:space="preserve">Section III.A states:</w:t>
      </w:r>
      <w:r>
        <w:t xml:space="preserve"> </w:t>
      </w:r>
      <w:r>
        <w:t xml:space="preserve">“</w:t>
      </w:r>
      <w:r>
        <w:t xml:space="preserve">No events causing a termination of the S election have been identified. All shareholders of Prism are U.S. individuals, and we are not aware of any ineligible shareholders.</w:t>
      </w:r>
      <w:r>
        <w:t xml:space="preserve">”</w:t>
      </w:r>
      <w:r>
        <w:t xml:space="preserve"> </w:t>
      </w:r>
      <w:r>
        <w:t xml:space="preserve">The Memo’s conclusions on built-in gains (no Section 1374 tax), the pass-through of deemed sale gain, and the availability of the Section 338(h)(10) election all depend on a continuously valid S election from January 1, 2017.</w:t>
      </w:r>
    </w:p>
    <w:p>
      <w:pPr>
        <w:pStyle w:val="BodyText"/>
      </w:pPr>
      <w:r>
        <w:rPr>
          <w:b/>
          <w:bCs/>
        </w:rPr>
        <w:t xml:space="preserve">What the supporting documents show.</w:t>
      </w:r>
    </w:p>
    <w:p>
      <w:pPr>
        <w:pStyle w:val="Compact"/>
        <w:numPr>
          <w:ilvl w:val="0"/>
          <w:numId w:val="1003"/>
        </w:numPr>
      </w:pPr>
      <w:r>
        <w:t xml:space="preserve">The Thornfield Report (Section III.B) designates this a</w:t>
      </w:r>
      <w:r>
        <w:t xml:space="preserve"> </w:t>
      </w:r>
      <w:r>
        <w:rPr>
          <w:b/>
          <w:bCs/>
        </w:rPr>
        <w:t xml:space="preserve">Critical</w:t>
      </w:r>
      <w:r>
        <w:t xml:space="preserve"> </w:t>
      </w:r>
      <w:r>
        <w:t xml:space="preserve">open item: it could not confirm S corporation eligibility for</w:t>
      </w:r>
      <w:r>
        <w:t xml:space="preserve"> </w:t>
      </w:r>
      <w:r>
        <w:rPr>
          <w:b/>
          <w:bCs/>
        </w:rPr>
        <w:t xml:space="preserve">two of the eight</w:t>
      </w:r>
      <w:r>
        <w:t xml:space="preserve"> </w:t>
      </w:r>
      <w:r>
        <w:t xml:space="preserve">restricted-stock holders — (a) a holder on an H-1B visa whose substantial-presence-test compliance was not verified for all years, and (b) a holder whose shares may have been transferred to a family LLC (an ineligible shareholder under Section 1361(b)(1)).</w:t>
      </w:r>
    </w:p>
    <w:p>
      <w:pPr>
        <w:pStyle w:val="Compact"/>
        <w:numPr>
          <w:ilvl w:val="0"/>
          <w:numId w:val="1003"/>
        </w:numPr>
      </w:pPr>
      <w:r>
        <w:t xml:space="preserve">The Cap Table identifies</w:t>
      </w:r>
      <w:r>
        <w:t xml:space="preserve"> </w:t>
      </w:r>
      <w:r>
        <w:rPr>
          <w:b/>
          <w:bCs/>
        </w:rPr>
        <w:t xml:space="preserve">three</w:t>
      </w:r>
      <w:r>
        <w:t xml:space="preserve"> </w:t>
      </w:r>
      <w:r>
        <w:t xml:space="preserve">restricted-stock holders with</w:t>
      </w:r>
      <w:r>
        <w:t xml:space="preserve"> </w:t>
      </w:r>
      <w:r>
        <w:t xml:space="preserve">“</w:t>
      </w:r>
      <w:r>
        <w:t xml:space="preserve">Unconfirmed</w:t>
      </w:r>
      <w:r>
        <w:t xml:space="preserve">”</w:t>
      </w:r>
      <w:r>
        <w:t xml:space="preserve"> </w:t>
      </w:r>
      <w:r>
        <w:t xml:space="preserve">eligibility: Lin Wei Zhang (H-1B visa holder, PRC citizen), Yusuf Al-Rashidi (dual U.S./Jordan citizen; U.S. citizenship documentation not on file), and Nina Petrova (Bulgarian-born; green-card/lawful-permanent-resident status not on file). The three unverified holders are in line to receive $2,775,000 in aggregate consideration.</w:t>
      </w:r>
    </w:p>
    <w:p>
      <w:pPr>
        <w:pStyle w:val="Compact"/>
        <w:numPr>
          <w:ilvl w:val="0"/>
          <w:numId w:val="1003"/>
        </w:numPr>
      </w:pPr>
      <w:r>
        <w:t xml:space="preserve">The Merger Agreement contains representations that may be inaccurate if these concerns are valid: Section 4.9(a) represents that</w:t>
      </w:r>
      <w:r>
        <w:t xml:space="preserve"> </w:t>
      </w:r>
      <w:r>
        <w:t xml:space="preserve">“</w:t>
      </w:r>
      <w:r>
        <w:t xml:space="preserve">each shareholder is an eligible S corporation shareholder,</w:t>
      </w:r>
      <w:r>
        <w:t xml:space="preserve">”</w:t>
      </w:r>
      <w:r>
        <w:t xml:space="preserve"> </w:t>
      </w:r>
      <w:r>
        <w:t xml:space="preserve">and Section 2.5 represents that each restricted-stock holder</w:t>
      </w:r>
      <w:r>
        <w:t xml:space="preserve"> </w:t>
      </w:r>
      <w:r>
        <w:t xml:space="preserve">“</w:t>
      </w:r>
      <w:r>
        <w:t xml:space="preserve">is an individual who is a citizen or resident of the United States.</w:t>
      </w:r>
      <w:r>
        <w:t xml:space="preserve">”</w:t>
      </w:r>
      <w:r>
        <w:t xml:space="preserve"> </w:t>
      </w:r>
      <w:r>
        <w:t xml:space="preserve">Section 8.2(c) makes continuous valid S corporation status a</w:t>
      </w:r>
      <w:r>
        <w:t xml:space="preserve"> </w:t>
      </w:r>
      <w:r>
        <w:rPr>
          <w:b/>
          <w:bCs/>
        </w:rPr>
        <w:t xml:space="preserve">closing condition</w:t>
      </w:r>
      <w:r>
        <w:t xml:space="preserve">.</w:t>
      </w:r>
    </w:p>
    <w:p>
      <w:pPr>
        <w:pStyle w:val="FirstParagraph"/>
      </w:pPr>
      <w:r>
        <w:rPr>
          <w:b/>
          <w:bCs/>
        </w:rPr>
        <w:t xml:space="preserve">Why it matters.</w:t>
      </w:r>
      <w:r>
        <w:t xml:space="preserve"> </w:t>
      </w:r>
      <w:r>
        <w:t xml:space="preserve">The validity of the S election is the threshold requirement for a Section 338(h)(10) election. If the S election was inadvertently terminated in any prior year, Prism would have been a C corporation for that and all subsequent years, the Section 338(h)(10) election would be unavailable (a Section 338(g) election would instead produce double taxation), entity-level C corporation tax would apply to all open years in four states, and the Memo’s entire analysis (no built-in gains tax, single-level pass-through taxation, stepped-up basis at the elected price) would be wrong. The Memo’s affirmative statement that no termination events have been identified is inconsistent with the due diligence record and should be corrected.</w:t>
      </w:r>
    </w:p>
    <w:p>
      <w:pPr>
        <w:pStyle w:val="BodyText"/>
      </w:pPr>
      <w:r>
        <w:rPr>
          <w:b/>
          <w:bCs/>
        </w:rPr>
        <w:t xml:space="preserve">Recommended action.</w:t>
      </w:r>
      <w:r>
        <w:t xml:space="preserve"> </w:t>
      </w:r>
      <w:r>
        <w:t xml:space="preserve">Obtain definitive confirmation of the eligibility of every shareholder — including every restricted-stock holder — for every year since January 1, 2017, before closing. Prioritize (i) immigration/residency documentation sufficient to confirm substantial-presence-test compliance for the H-1B holder for all relevant years, (ii) documentation of the alleged transfer to the family LLC (operating agreement, entity classification, member composition), and (iii) citizenship/permanent-resident documentation for the other unverified holders. Treat satisfaction of the Section 8.2(c) closing condition as a gated item. Revise the Memo to disclose the open item rather than affirming no termination events.</w:t>
      </w:r>
    </w:p>
    <w:p>
      <w:r>
        <w:pict>
          <v:rect style="width:0;height:1.5pt" o:hralign="center" o:hrstd="t" o:hr="t"/>
        </w:pict>
      </w:r>
    </w:p>
    <w:bookmarkEnd w:id="23"/>
    <w:bookmarkStart w:id="24" w:name="Xe31c92037203671add8720ac0faca090f0e8e70"/>
    <w:p>
      <w:pPr>
        <w:pStyle w:val="Heading3"/>
      </w:pPr>
      <w:r>
        <w:t xml:space="preserve">C-2. The ADSP is overstated by $48 million due to double-counting of funded debt</w:t>
      </w:r>
    </w:p>
    <w:p>
      <w:pPr>
        <w:pStyle w:val="FirstParagraph"/>
      </w:pPr>
      <w:r>
        <w:rPr>
          <w:b/>
          <w:bCs/>
        </w:rPr>
        <w:t xml:space="preserve">The Memo’s computation (Section IV.B).</w:t>
      </w:r>
      <w:r>
        <w:t xml:space="preserve"> </w:t>
      </w:r>
      <w:r>
        <w:t xml:space="preserve">ADSP = Enterprise Value ($425,000,000) + Assumed Liabilities / Funded Debt ($48,000,000) =</w:t>
      </w:r>
      <w:r>
        <w:t xml:space="preserve"> </w:t>
      </w:r>
      <w:r>
        <w:rPr>
          <w:b/>
          <w:bCs/>
        </w:rPr>
        <w:t xml:space="preserve">$473,000,000</w:t>
      </w:r>
      <w:r>
        <w:t xml:space="preserve">.</w:t>
      </w:r>
    </w:p>
    <w:p>
      <w:pPr>
        <w:pStyle w:val="BodyText"/>
      </w:pPr>
      <w:r>
        <w:rPr>
          <w:b/>
          <w:bCs/>
        </w:rPr>
        <w:t xml:space="preserve">The error.</w:t>
      </w:r>
      <w:r>
        <w:t xml:space="preserve"> </w:t>
      </w:r>
      <w:r>
        <w:t xml:space="preserve">The Memo’s own equity-value bridge (Section II.C) establishes that enterprise value already includes the funded debt: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Enterprise Value</w:t>
            </w:r>
          </w:p>
        </w:tc>
        <w:tc>
          <w:tcPr/>
          <w:p>
            <w:pPr>
              <w:pStyle w:val="Compact"/>
              <w:jc w:val="left"/>
            </w:pPr>
            <w:r>
              <w:t xml:space="preserve">$425,000,000</w:t>
            </w:r>
          </w:p>
        </w:tc>
      </w:tr>
      <w:tr>
        <w:tc>
          <w:tcPr/>
          <w:p>
            <w:pPr>
              <w:pStyle w:val="Compact"/>
              <w:jc w:val="left"/>
            </w:pPr>
            <w:r>
              <w:t xml:space="preserve">Less: Funded Debt at Closing</w:t>
            </w:r>
          </w:p>
        </w:tc>
        <w:tc>
          <w:tcPr/>
          <w:p>
            <w:pPr>
              <w:pStyle w:val="Compact"/>
              <w:jc w:val="left"/>
            </w:pPr>
            <w:r>
              <w:t xml:space="preserve">($48,000,000)</w:t>
            </w:r>
          </w:p>
        </w:tc>
      </w:tr>
      <w:tr>
        <w:tc>
          <w:tcPr/>
          <w:p>
            <w:pPr>
              <w:pStyle w:val="Compact"/>
              <w:jc w:val="left"/>
            </w:pPr>
            <w:r>
              <w:t xml:space="preserve">Less: Seller Transaction Expenses</w:t>
            </w:r>
          </w:p>
        </w:tc>
        <w:tc>
          <w:tcPr/>
          <w:p>
            <w:pPr>
              <w:pStyle w:val="Compact"/>
              <w:jc w:val="left"/>
            </w:pPr>
            <w:r>
              <w:t xml:space="preserve">($7,000,000)</w:t>
            </w:r>
          </w:p>
        </w:tc>
      </w:tr>
      <w:tr>
        <w:tc>
          <w:tcPr/>
          <w:p>
            <w:pPr>
              <w:pStyle w:val="Compact"/>
              <w:jc w:val="left"/>
            </w:pPr>
            <w:r>
              <w:rPr>
                <w:b/>
                <w:bCs/>
              </w:rPr>
              <w:t xml:space="preserve">Equity Value</w:t>
            </w:r>
          </w:p>
        </w:tc>
        <w:tc>
          <w:tcPr/>
          <w:p>
            <w:pPr>
              <w:pStyle w:val="Compact"/>
              <w:jc w:val="left"/>
            </w:pPr>
            <w:r>
              <w:rPr>
                <w:b/>
                <w:bCs/>
              </w:rPr>
              <w:t xml:space="preserve">$370,000,000</w:t>
            </w:r>
          </w:p>
        </w:tc>
      </w:tr>
    </w:tbl>
    <w:p>
      <w:pPr>
        <w:pStyle w:val="BodyText"/>
      </w:pPr>
      <w:r>
        <w:t xml:space="preserve">Because enterprise value is debt-inclusive, adding the $48 million funded debt a second time to derive ADSP double-counts the debt. Under Treas. Reg. §1.338-4, the ADSP is the grossed-up amount realized on the stock (the equity consideration of $370 million, i.e., $333M cash + $37M rollover) plus the liabilities of old target. The Asset Valuation computes the correct ADSP as</w:t>
      </w:r>
      <w:r>
        <w:t xml:space="preserve"> </w:t>
      </w:r>
      <w:r>
        <w:rPr>
          <w:b/>
          <w:bCs/>
        </w:rPr>
        <w:t xml:space="preserve">$425,000,000</w:t>
      </w:r>
      <w:r>
        <w:t xml:space="preserve"> </w:t>
      </w:r>
      <w:r>
        <w:t xml:space="preserve">($370M + $48M funded debt + $7M seller transaction expenses treated conservatively as target liabilities) and expressly flags the Memo’s figure as a</w:t>
      </w:r>
      <w:r>
        <w:t xml:space="preserve"> </w:t>
      </w:r>
      <w:r>
        <w:t xml:space="preserve">“</w:t>
      </w:r>
      <w:r>
        <w:t xml:space="preserve">SIGNIFICANT DISCREPANCY</w:t>
      </w:r>
      <w:r>
        <w:t xml:space="preserve">”</w:t>
      </w:r>
      <w:r>
        <w:t xml:space="preserve"> </w:t>
      </w:r>
      <w:r>
        <w:t xml:space="preserve">that</w:t>
      </w:r>
      <w:r>
        <w:t xml:space="preserve"> </w:t>
      </w:r>
      <w:r>
        <w:t xml:space="preserve">“</w:t>
      </w:r>
      <w:r>
        <w:t xml:space="preserve">double-counts the $48M funded debt.</w:t>
      </w:r>
      <w:r>
        <w:t xml:space="preserve">”</w:t>
      </w:r>
    </w:p>
    <w:p>
      <w:pPr>
        <w:pStyle w:val="BodyText"/>
      </w:pPr>
      <w:r>
        <w:rPr>
          <w:b/>
          <w:bCs/>
        </w:rPr>
        <w:t xml:space="preserve">Dollar impact.</w:t>
      </w:r>
      <w:r>
        <w:t xml:space="preserve"> </w:t>
      </w:r>
      <w:r>
        <w:t xml:space="preserve">The $48 million overstatement flows directly into the Class VII goodwill residual (overstated), Buyer’s amortizable basis (overstated), and the total deemed sale gain (overstated). It also propagates into the per-shareholder gain figures in Section V.B.</w:t>
      </w:r>
    </w:p>
    <w:p>
      <w:pPr>
        <w:pStyle w:val="BodyText"/>
      </w:pPr>
      <w:r>
        <w:rPr>
          <w:b/>
          <w:bCs/>
        </w:rPr>
        <w:t xml:space="preserve">Recommended action.</w:t>
      </w:r>
      <w:r>
        <w:t xml:space="preserve"> </w:t>
      </w:r>
      <w:r>
        <w:t xml:space="preserve">Recompute the ADSP from the amount realized on the stock ($370 million) plus target liabilities, reconcile to the Asset Valuation’s $425 million, and restate the allocation, the deemed sale gain, and the per-shareholder gain tables before the Form 8883 allocation is finalized. The Merger Agreement (Section 7.3(b)) leaves the ADSP to be determined under Treas. Reg. §1.338-4 and the allocation to be prepared by Buyer within 90 days after closing, so the error is not yet locked in contractually — but it should be corrected now.</w:t>
      </w:r>
    </w:p>
    <w:p>
      <w:r>
        <w:pict>
          <v:rect style="width:0;height:1.5pt" o:hralign="center" o:hrstd="t" o:hr="t"/>
        </w:pict>
      </w:r>
    </w:p>
    <w:bookmarkEnd w:id="24"/>
    <w:bookmarkStart w:id="25" w:name="Xdd678f85643a62778e14ee5ee8671e1d5616118"/>
    <w:p>
      <w:pPr>
        <w:pStyle w:val="Heading3"/>
      </w:pPr>
      <w:r>
        <w:t xml:space="preserve">C-3. The aggregate adjusted tax basis is understated by ~$21.5 million, overstating the deemed sale gain by ~$69.5 million in total</w:t>
      </w:r>
    </w:p>
    <w:p>
      <w:pPr>
        <w:pStyle w:val="FirstParagraph"/>
      </w:pPr>
      <w:r>
        <w:rPr>
          <w:b/>
          <w:bCs/>
        </w:rPr>
        <w:t xml:space="preserve">The Memo’s figure.</w:t>
      </w:r>
      <w:r>
        <w:t xml:space="preserve"> </w:t>
      </w:r>
      <w:r>
        <w:t xml:space="preserve">Section III.B and Section V.A use an aggregate adjusted tax basis of</w:t>
      </w:r>
      <w:r>
        <w:t xml:space="preserve"> </w:t>
      </w:r>
      <w:r>
        <w:rPr>
          <w:b/>
          <w:bCs/>
        </w:rPr>
        <w:t xml:space="preserve">$42,800,000</w:t>
      </w:r>
      <w:r>
        <w:t xml:space="preserve">, yielding a total deemed sale gain of $473,000,000 − $42,800,000 =</w:t>
      </w:r>
      <w:r>
        <w:t xml:space="preserve"> </w:t>
      </w:r>
      <w:r>
        <w:rPr>
          <w:b/>
          <w:bCs/>
        </w:rPr>
        <w:t xml:space="preserve">$430,200,000</w:t>
      </w:r>
      <w:r>
        <w:t xml:space="preserve">.</w:t>
      </w:r>
    </w:p>
    <w:p>
      <w:pPr>
        <w:pStyle w:val="BodyText"/>
      </w:pPr>
      <w:r>
        <w:rPr>
          <w:b/>
          <w:bCs/>
        </w:rPr>
        <w:t xml:space="preserve">What the Asset Valuation shows.</w:t>
      </w:r>
      <w:r>
        <w:t xml:space="preserve"> </w:t>
      </w:r>
      <w:r>
        <w:t xml:space="preserve">The asset-by-asset adjusted tax basis sums to</w:t>
      </w:r>
      <w:r>
        <w:t xml:space="preserve"> </w:t>
      </w:r>
      <w:r>
        <w:rPr>
          <w:b/>
          <w:bCs/>
        </w:rPr>
        <w:t xml:space="preserve">$64,300,000</w:t>
      </w:r>
      <w:r>
        <w:t xml:space="preser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Asset</w:t>
            </w:r>
          </w:p>
        </w:tc>
        <w:tc>
          <w:tcPr/>
          <w:p>
            <w:pPr>
              <w:pStyle w:val="Compact"/>
              <w:jc w:val="left"/>
            </w:pPr>
            <w:r>
              <w:t xml:space="preserve">Adjusted Tax Basis</w:t>
            </w:r>
          </w:p>
        </w:tc>
      </w:tr>
      <w:tr>
        <w:tc>
          <w:tcPr/>
          <w:p>
            <w:pPr>
              <w:pStyle w:val="Compact"/>
              <w:jc w:val="left"/>
            </w:pPr>
            <w:r>
              <w:t xml:space="preserve">Cash (A-001)</w:t>
            </w:r>
          </w:p>
        </w:tc>
        <w:tc>
          <w:tcPr/>
          <w:p>
            <w:pPr>
              <w:pStyle w:val="Compact"/>
              <w:jc w:val="left"/>
            </w:pPr>
            <w:r>
              <w:t xml:space="preserve">$12,400,000</w:t>
            </w:r>
          </w:p>
        </w:tc>
      </w:tr>
      <w:tr>
        <w:tc>
          <w:tcPr/>
          <w:p>
            <w:pPr>
              <w:pStyle w:val="Compact"/>
              <w:jc w:val="left"/>
            </w:pPr>
            <w:r>
              <w:t xml:space="preserve">Commercial accounts receivable (A-002)</w:t>
            </w:r>
          </w:p>
        </w:tc>
        <w:tc>
          <w:tcPr/>
          <w:p>
            <w:pPr>
              <w:pStyle w:val="Compact"/>
              <w:jc w:val="left"/>
            </w:pPr>
            <w:r>
              <w:t xml:space="preserve">$18,700,000</w:t>
            </w:r>
          </w:p>
        </w:tc>
      </w:tr>
      <w:tr>
        <w:tc>
          <w:tcPr/>
          <w:p>
            <w:pPr>
              <w:pStyle w:val="Compact"/>
              <w:jc w:val="left"/>
            </w:pPr>
            <w:r>
              <w:t xml:space="preserve">Government-sector accounts receivable (A-003)</w:t>
            </w:r>
          </w:p>
        </w:tc>
        <w:tc>
          <w:tcPr/>
          <w:p>
            <w:pPr>
              <w:pStyle w:val="Compact"/>
              <w:jc w:val="left"/>
            </w:pPr>
            <w:r>
              <w:t xml:space="preserve">$6,400,000</w:t>
            </w:r>
          </w:p>
        </w:tc>
      </w:tr>
      <w:tr>
        <w:tc>
          <w:tcPr/>
          <w:p>
            <w:pPr>
              <w:pStyle w:val="Compact"/>
              <w:jc w:val="left"/>
            </w:pPr>
            <w:r>
              <w:t xml:space="preserve">Raleigh office building (A-004)</w:t>
            </w:r>
          </w:p>
        </w:tc>
        <w:tc>
          <w:tcPr/>
          <w:p>
            <w:pPr>
              <w:pStyle w:val="Compact"/>
              <w:jc w:val="left"/>
            </w:pPr>
            <w:r>
              <w:t xml:space="preserve">$9,100,000</w:t>
            </w:r>
          </w:p>
        </w:tc>
      </w:tr>
      <w:tr>
        <w:tc>
          <w:tcPr/>
          <w:p>
            <w:pPr>
              <w:pStyle w:val="Compact"/>
              <w:jc w:val="left"/>
            </w:pPr>
            <w:r>
              <w:t xml:space="preserve">Furniture, fixtures &amp; equipment (A-005)</w:t>
            </w:r>
          </w:p>
        </w:tc>
        <w:tc>
          <w:tcPr/>
          <w:p>
            <w:pPr>
              <w:pStyle w:val="Compact"/>
              <w:jc w:val="left"/>
            </w:pPr>
            <w:r>
              <w:t xml:space="preserve">$3,200,000</w:t>
            </w:r>
          </w:p>
        </w:tc>
      </w:tr>
      <w:tr>
        <w:tc>
          <w:tcPr/>
          <w:p>
            <w:pPr>
              <w:pStyle w:val="Compact"/>
              <w:jc w:val="left"/>
            </w:pPr>
            <w:r>
              <w:t xml:space="preserve">Developed technology / software platform (A-006)</w:t>
            </w:r>
          </w:p>
        </w:tc>
        <w:tc>
          <w:tcPr/>
          <w:p>
            <w:pPr>
              <w:pStyle w:val="Compact"/>
              <w:jc w:val="left"/>
            </w:pPr>
            <w:r>
              <w:t xml:space="preserve">$4,800,000</w:t>
            </w:r>
          </w:p>
        </w:tc>
      </w:tr>
      <w:tr>
        <w:tc>
          <w:tcPr/>
          <w:p>
            <w:pPr>
              <w:pStyle w:val="Compact"/>
              <w:jc w:val="left"/>
            </w:pPr>
            <w:r>
              <w:t xml:space="preserve">Government-sector software licenses (A-007)</w:t>
            </w:r>
          </w:p>
        </w:tc>
        <w:tc>
          <w:tcPr/>
          <w:p>
            <w:pPr>
              <w:pStyle w:val="Compact"/>
              <w:jc w:val="left"/>
            </w:pPr>
            <w:r>
              <w:t xml:space="preserve">$1,200,000</w:t>
            </w:r>
          </w:p>
        </w:tc>
      </w:tr>
      <w:tr>
        <w:tc>
          <w:tcPr/>
          <w:p>
            <w:pPr>
              <w:pStyle w:val="Compact"/>
              <w:jc w:val="left"/>
            </w:pPr>
            <w:r>
              <w:t xml:space="preserve">NC data processing license (A-008)</w:t>
            </w:r>
          </w:p>
        </w:tc>
        <w:tc>
          <w:tcPr/>
          <w:p>
            <w:pPr>
              <w:pStyle w:val="Compact"/>
              <w:jc w:val="left"/>
            </w:pPr>
            <w:r>
              <w:t xml:space="preserve">$0</w:t>
            </w:r>
          </w:p>
        </w:tc>
      </w:tr>
      <w:tr>
        <w:tc>
          <w:tcPr/>
          <w:p>
            <w:pPr>
              <w:pStyle w:val="Compact"/>
              <w:jc w:val="left"/>
            </w:pPr>
            <w:r>
              <w:t xml:space="preserve">80.5% Beacon interest (A-009)</w:t>
            </w:r>
          </w:p>
        </w:tc>
        <w:tc>
          <w:tcPr/>
          <w:p>
            <w:pPr>
              <w:pStyle w:val="Compact"/>
              <w:jc w:val="left"/>
            </w:pPr>
            <w:r>
              <w:t xml:space="preserve">$6,400,000</w:t>
            </w:r>
          </w:p>
        </w:tc>
      </w:tr>
      <w:tr>
        <w:tc>
          <w:tcPr/>
          <w:p>
            <w:pPr>
              <w:pStyle w:val="Compact"/>
              <w:jc w:val="left"/>
            </w:pPr>
            <w:r>
              <w:t xml:space="preserve">Customer relationships — hospital (A-010)</w:t>
            </w:r>
          </w:p>
        </w:tc>
        <w:tc>
          <w:tcPr/>
          <w:p>
            <w:pPr>
              <w:pStyle w:val="Compact"/>
              <w:jc w:val="left"/>
            </w:pPr>
            <w:r>
              <w:t xml:space="preserve">$0</w:t>
            </w:r>
          </w:p>
        </w:tc>
      </w:tr>
      <w:tr>
        <w:tc>
          <w:tcPr/>
          <w:p>
            <w:pPr>
              <w:pStyle w:val="Compact"/>
              <w:jc w:val="left"/>
            </w:pPr>
            <w:r>
              <w:t xml:space="preserve">Customer relationships — insurers (A-011)</w:t>
            </w:r>
          </w:p>
        </w:tc>
        <w:tc>
          <w:tcPr/>
          <w:p>
            <w:pPr>
              <w:pStyle w:val="Compact"/>
              <w:jc w:val="left"/>
            </w:pPr>
            <w:r>
              <w:t xml:space="preserve">$0</w:t>
            </w:r>
          </w:p>
        </w:tc>
      </w:tr>
      <w:tr>
        <w:tc>
          <w:tcPr/>
          <w:p>
            <w:pPr>
              <w:pStyle w:val="Compact"/>
              <w:jc w:val="left"/>
            </w:pPr>
            <w:r>
              <w:t xml:space="preserve">Proprietary data sets (A-012)</w:t>
            </w:r>
          </w:p>
        </w:tc>
        <w:tc>
          <w:tcPr/>
          <w:p>
            <w:pPr>
              <w:pStyle w:val="Compact"/>
              <w:jc w:val="left"/>
            </w:pPr>
            <w:r>
              <w:t xml:space="preserve">$2,100,000</w:t>
            </w:r>
          </w:p>
        </w:tc>
      </w:tr>
      <w:tr>
        <w:tc>
          <w:tcPr/>
          <w:p>
            <w:pPr>
              <w:pStyle w:val="Compact"/>
              <w:jc w:val="left"/>
            </w:pPr>
            <w:r>
              <w:t xml:space="preserve">Non-compete agreements (A-013)</w:t>
            </w:r>
          </w:p>
        </w:tc>
        <w:tc>
          <w:tcPr/>
          <w:p>
            <w:pPr>
              <w:pStyle w:val="Compact"/>
              <w:jc w:val="left"/>
            </w:pPr>
            <w:r>
              <w:t xml:space="preserve">$0</w:t>
            </w:r>
          </w:p>
        </w:tc>
      </w:tr>
      <w:tr>
        <w:tc>
          <w:tcPr/>
          <w:p>
            <w:pPr>
              <w:pStyle w:val="Compact"/>
              <w:jc w:val="left"/>
            </w:pPr>
            <w:r>
              <w:t xml:space="preserve">Assembled workforce / goodwill (A-014, A-015)</w:t>
            </w:r>
          </w:p>
        </w:tc>
        <w:tc>
          <w:tcPr/>
          <w:p>
            <w:pPr>
              <w:pStyle w:val="Compact"/>
              <w:jc w:val="left"/>
            </w:pPr>
            <w:r>
              <w:t xml:space="preserve">$0</w:t>
            </w:r>
          </w:p>
        </w:tc>
      </w:tr>
      <w:tr>
        <w:tc>
          <w:tcPr/>
          <w:p>
            <w:pPr>
              <w:pStyle w:val="Compact"/>
              <w:jc w:val="left"/>
            </w:pPr>
            <w:r>
              <w:rPr>
                <w:b/>
                <w:bCs/>
              </w:rPr>
              <w:t xml:space="preserve">Total</w:t>
            </w:r>
          </w:p>
        </w:tc>
        <w:tc>
          <w:tcPr/>
          <w:p>
            <w:pPr>
              <w:pStyle w:val="Compact"/>
              <w:jc w:val="left"/>
            </w:pPr>
            <w:r>
              <w:rPr>
                <w:b/>
                <w:bCs/>
              </w:rPr>
              <w:t xml:space="preserve">$64,300,000</w:t>
            </w:r>
          </w:p>
        </w:tc>
      </w:tr>
    </w:tbl>
    <w:p>
      <w:pPr>
        <w:pStyle w:val="BodyText"/>
      </w:pPr>
      <w:r>
        <w:t xml:space="preserve">The Memo’s $42.8 million does not reconcile to any identifiable subset of this register and is approximately</w:t>
      </w:r>
      <w:r>
        <w:t xml:space="preserve"> </w:t>
      </w:r>
      <w:r>
        <w:rPr>
          <w:b/>
          <w:bCs/>
        </w:rPr>
        <w:t xml:space="preserve">$21.5 million</w:t>
      </w:r>
      <w:r>
        <w:t xml:space="preserve"> </w:t>
      </w:r>
      <w:r>
        <w:t xml:space="preserve">below the Asset Valuation’s total.</w:t>
      </w:r>
    </w:p>
    <w:p>
      <w:pPr>
        <w:pStyle w:val="BodyText"/>
      </w:pPr>
      <w:r>
        <w:rPr>
          <w:b/>
          <w:bCs/>
        </w:rPr>
        <w:t xml:space="preserve">Combined impact with C-2.</w:t>
      </w:r>
      <w:r>
        <w:t xml:space="preserve"> </w:t>
      </w:r>
      <w:r>
        <w:t xml:space="preserve">Using the correct ADSP ($425M) and the correct aggregate basis ($64.3M), the total deemed sale gain is approximately</w:t>
      </w:r>
      <w:r>
        <w:t xml:space="preserve"> </w:t>
      </w:r>
      <w:r>
        <w:rPr>
          <w:b/>
          <w:bCs/>
        </w:rPr>
        <w:t xml:space="preserve">$360.7 million</w:t>
      </w:r>
      <w:r>
        <w:t xml:space="preserve">, not the $430.2 million stated. The Memo therefore overstates the deemed sale gain by approximately</w:t>
      </w:r>
      <w:r>
        <w:t xml:space="preserve"> </w:t>
      </w:r>
      <w:r>
        <w:rPr>
          <w:b/>
          <w:bCs/>
        </w:rPr>
        <w:t xml:space="preserve">$69.5 million</w:t>
      </w:r>
      <w:r>
        <w:t xml:space="preserve"> </w:t>
      </w:r>
      <w:r>
        <w:t xml:space="preserve">($48M ADSP overstatement + $21.5M basis understatement). The per-shareholder gain figures in Section V.B (Chandra $223.7M; Stowe $120.5M; Others $86.0M) are all overstated accordingly, as are the shareholders’ estimated tax liabilities.</w:t>
      </w:r>
    </w:p>
    <w:p>
      <w:pPr>
        <w:pStyle w:val="BodyText"/>
      </w:pPr>
      <w:r>
        <w:rPr>
          <w:b/>
          <w:bCs/>
        </w:rPr>
        <w:t xml:space="preserve">Recommended action.</w:t>
      </w:r>
      <w:r>
        <w:t xml:space="preserve"> </w:t>
      </w:r>
      <w:r>
        <w:t xml:space="preserve">Replace the $42.8 million aggregate basis with the asset-by-asset basis from the Asset Valuation, recompute the deemed sale gain on a per-asset basis (FMV allocation minus per-asset basis), and restate the per-shareholder gain and tax tables. Confirm with Thornfield whether the</w:t>
      </w:r>
      <w:r>
        <w:t xml:space="preserve"> </w:t>
      </w:r>
      <w:r>
        <w:t xml:space="preserve">“</w:t>
      </w:r>
      <w:r>
        <w:t xml:space="preserve">Adjusted Tax Basis (Book)</w:t>
      </w:r>
      <w:r>
        <w:t xml:space="preserve">”</w:t>
      </w:r>
      <w:r>
        <w:t xml:space="preserve"> </w:t>
      </w:r>
      <w:r>
        <w:t xml:space="preserve">column reflects tax basis for all assets (notably the real property, where book and tax basis can diverge).</w:t>
      </w:r>
    </w:p>
    <w:p>
      <w:r>
        <w:pict>
          <v:rect style="width:0;height:1.5pt" o:hralign="center" o:hrstd="t" o:hr="t"/>
        </w:pict>
      </w:r>
    </w:p>
    <w:bookmarkEnd w:id="25"/>
    <w:bookmarkStart w:id="26" w:name="X6e5ceeed8170217e7b0adf8c212db28c2c71bad"/>
    <w:p>
      <w:pPr>
        <w:pStyle w:val="Heading3"/>
      </w:pPr>
      <w:r>
        <w:t xml:space="preserve">C-4. The QSBS (Section 1202) analysis is omitted despite an express request and counsel’s written promise to include it</w:t>
      </w:r>
    </w:p>
    <w:p>
      <w:pPr>
        <w:pStyle w:val="FirstParagraph"/>
      </w:pPr>
      <w:r>
        <w:rPr>
          <w:b/>
          <w:bCs/>
        </w:rPr>
        <w:t xml:space="preserve">What the record shows.</w:t>
      </w:r>
      <w:r>
        <w:t xml:space="preserve"> </w:t>
      </w:r>
      <w:r>
        <w:t xml:space="preserve">The QSBS Email Thread documents the following:</w:t>
      </w:r>
    </w:p>
    <w:p>
      <w:pPr>
        <w:pStyle w:val="Compact"/>
        <w:numPr>
          <w:ilvl w:val="0"/>
          <w:numId w:val="1004"/>
        </w:numPr>
      </w:pPr>
      <w:r>
        <w:t xml:space="preserve">On behalf of</w:t>
      </w:r>
      <w:r>
        <w:t xml:space="preserve"> </w:t>
      </w:r>
      <w:r>
        <w:t xml:space="preserve">“</w:t>
      </w:r>
      <w:r>
        <w:t xml:space="preserve">several of Prism’s angel investor shareholders,</w:t>
      </w:r>
      <w:r>
        <w:t xml:space="preserve">”</w:t>
      </w:r>
      <w:r>
        <w:t xml:space="preserve"> </w:t>
      </w:r>
      <w:r>
        <w:t xml:space="preserve">Linden Rock Advisory formally requested a Section 1202 QSBS analysis, identifying four specific questions (C-to-S conversion effect; interaction with the 338(h)(10) deemed asset sale; the $50 million gross-assets test; and the position of the two California-resident shareholders).</w:t>
      </w:r>
    </w:p>
    <w:p>
      <w:pPr>
        <w:pStyle w:val="Compact"/>
        <w:numPr>
          <w:ilvl w:val="0"/>
          <w:numId w:val="1004"/>
        </w:numPr>
      </w:pPr>
      <w:r>
        <w:t xml:space="preserve">On November 20, 2024, the Memo’s author responded:</w:t>
      </w:r>
      <w:r>
        <w:t xml:space="preserve"> </w:t>
      </w:r>
      <w:r>
        <w:t xml:space="preserve">“</w:t>
      </w:r>
      <w:r>
        <w:t xml:space="preserve">I have asked Sandra Liu to begin researching the issue. We intend to include a QSBS analysis as part of the transaction structure memorandum we are preparing for Ridgeline,</w:t>
      </w:r>
      <w:r>
        <w:t xml:space="preserve">”</w:t>
      </w:r>
      <w:r>
        <w:t xml:space="preserve"> </w:t>
      </w:r>
      <w:r>
        <w:t xml:space="preserve">and stated the goal was to have the QSBS section</w:t>
      </w:r>
      <w:r>
        <w:t xml:space="preserve"> </w:t>
      </w:r>
      <w:r>
        <w:t xml:space="preserve">“</w:t>
      </w:r>
      <w:r>
        <w:t xml:space="preserve">drafted and incorporated into the memorandum well before the purchase agreement is executed, so that the shareholders have the information they need to make an informed decision.</w:t>
      </w:r>
      <w:r>
        <w:t xml:space="preserve">”</w:t>
      </w:r>
    </w:p>
    <w:p>
      <w:pPr>
        <w:pStyle w:val="Compact"/>
        <w:numPr>
          <w:ilvl w:val="0"/>
          <w:numId w:val="1004"/>
        </w:numPr>
      </w:pPr>
      <w:r>
        <w:t xml:space="preserve">On January 6, 2025, Linden Rock followed up to say no analysis had been received and to reiterate that</w:t>
      </w:r>
      <w:r>
        <w:t xml:space="preserve"> </w:t>
      </w:r>
      <w:r>
        <w:t xml:space="preserve">“</w:t>
      </w:r>
      <w:r>
        <w:t xml:space="preserve">we need a formal QSBS analysis … before the purchase agreement is finalized,</w:t>
      </w:r>
      <w:r>
        <w:t xml:space="preserve">”</w:t>
      </w:r>
      <w:r>
        <w:t xml:space="preserve"> </w:t>
      </w:r>
      <w:r>
        <w:t xml:space="preserve">noting that</w:t>
      </w:r>
      <w:r>
        <w:t xml:space="preserve"> </w:t>
      </w:r>
      <w:r>
        <w:t xml:space="preserve">“</w:t>
      </w:r>
      <w:r>
        <w:t xml:space="preserve">at least four of the 14 shareholders</w:t>
      </w:r>
      <w:r>
        <w:t xml:space="preserve">”</w:t>
      </w:r>
      <w:r>
        <w:t xml:space="preserve"> </w:t>
      </w:r>
      <w:r>
        <w:t xml:space="preserve">had specifically asked and that the after-tax swing</w:t>
      </w:r>
      <w:r>
        <w:t xml:space="preserve"> </w:t>
      </w:r>
      <w:r>
        <w:t xml:space="preserve">“</w:t>
      </w:r>
      <w:r>
        <w:t xml:space="preserve">in some cases [is] a seven-figure swing.</w:t>
      </w:r>
      <w:r>
        <w:t xml:space="preserve">”</w:t>
      </w:r>
    </w:p>
    <w:p>
      <w:pPr>
        <w:pStyle w:val="Compact"/>
        <w:numPr>
          <w:ilvl w:val="0"/>
          <w:numId w:val="1004"/>
        </w:numPr>
      </w:pPr>
      <w:r>
        <w:t xml:space="preserve">The Merger Agreement was executed January 28, 2025; the Memo is dated February 10, 2025.</w:t>
      </w:r>
      <w:r>
        <w:t xml:space="preserve"> </w:t>
      </w:r>
      <w:r>
        <w:rPr>
          <w:b/>
          <w:bCs/>
        </w:rPr>
        <w:t xml:space="preserve">The Memo contains no QSBS analysis.</w:t>
      </w:r>
    </w:p>
    <w:p>
      <w:pPr>
        <w:pStyle w:val="FirstParagraph"/>
      </w:pPr>
      <w:r>
        <w:rPr>
          <w:b/>
          <w:bCs/>
        </w:rPr>
        <w:t xml:space="preserve">Why it matters.</w:t>
      </w:r>
      <w:r>
        <w:t xml:space="preserve"> </w:t>
      </w:r>
      <w:r>
        <w:t xml:space="preserve">Section 1202 provides up to a 100% federal gain exclusion on qualified small business stock. Stock issued during Prism’s C corporation period (June 14 – December 31, 2016) may qualify. The Cap Table shows that</w:t>
      </w:r>
      <w:r>
        <w:t xml:space="preserve"> </w:t>
      </w:r>
      <w:r>
        <w:rPr>
          <w:b/>
          <w:bCs/>
        </w:rPr>
        <w:t xml:space="preserve">11 shareholders</w:t>
      </w:r>
      <w:r>
        <w:t xml:space="preserve"> </w:t>
      </w:r>
      <w:r>
        <w:t xml:space="preserve">acquired stock during the C corporation period (the two founders plus nine angel/early-employee holders: Greenfield, Muñoz, Yoon, Fielding, Whitford, Okoye, Donnelly, Srinivasan, and Hawkins) — more than the six identified in the Thornfield Report. The central legal question — whether the 338(h)(10) deemed asset sale (which recharacterizes a stock sale as a deemed asset sale followed by a deemed liquidation) forecloses the</w:t>
      </w:r>
      <w:r>
        <w:t xml:space="preserve"> </w:t>
      </w:r>
      <w:r>
        <w:t xml:space="preserve">“</w:t>
      </w:r>
      <w:r>
        <w:t xml:space="preserve">sale or exchange of qualified small business stock</w:t>
      </w:r>
      <w:r>
        <w:t xml:space="preserve">”</w:t>
      </w:r>
      <w:r>
        <w:t xml:space="preserve"> </w:t>
      </w:r>
      <w:r>
        <w:t xml:space="preserve">required by Section 1202 — is unresolved. If the 338(h)(10) election eliminates QSBS, affected shareholders may prefer a straight stock sale (foregoing the election), which is directly in tension with Buyer’s interest in the election. The Memo’s silence means the selling shareholders signed the Merger Agreement without the analysis counsel promised.</w:t>
      </w:r>
    </w:p>
    <w:p>
      <w:pPr>
        <w:pStyle w:val="BodyText"/>
      </w:pPr>
      <w:r>
        <w:rPr>
          <w:b/>
          <w:bCs/>
        </w:rPr>
        <w:t xml:space="preserve">Recommended action.</w:t>
      </w:r>
      <w:r>
        <w:t xml:space="preserve"> </w:t>
      </w:r>
      <w:r>
        <w:t xml:space="preserve">Prepare and circulate the QSBS analysis immediately, addressing (i) whether stock issued during the 2016 C corporation period retained QSBS character through the S corporation years and the sale, (ii) whether the 338(h)(10) deemed asset sale forecloses the Section 1202 exclusion, (iii) the $50 million gross-assets test, (iv) the per-shareholder exclusion (greater of $10 million or 10× basis), and (v) the escrow-timing question raised in the January 6 email. Disclose the interaction with the election decision so that affected shareholders can make an informed consent.</w:t>
      </w:r>
    </w:p>
    <w:p>
      <w:r>
        <w:pict>
          <v:rect style="width:0;height:1.5pt" o:hralign="center" o:hrstd="t" o:hr="t"/>
        </w:pict>
      </w:r>
    </w:p>
    <w:bookmarkEnd w:id="26"/>
    <w:bookmarkStart w:id="27" w:name="X010987a5ff5228dd39bae4316736dd82c85be0a"/>
    <w:p>
      <w:pPr>
        <w:pStyle w:val="Heading3"/>
      </w:pPr>
      <w:r>
        <w:t xml:space="preserve">C-5. The escrow installment-sale recommendation contradicts the Merger Agreement and is likely incorrect for a 338(h)(10)</w:t>
      </w:r>
    </w:p>
    <w:p>
      <w:pPr>
        <w:pStyle w:val="FirstParagraph"/>
      </w:pPr>
      <w:r>
        <w:rPr>
          <w:b/>
          <w:bCs/>
        </w:rPr>
        <w:t xml:space="preserve">The Memo’s position (Section V.C).</w:t>
      </w:r>
      <w:r>
        <w:t xml:space="preserve"> </w:t>
      </w:r>
      <w:r>
        <w:t xml:space="preserve">The Memo advises that the $22 million escrow</w:t>
      </w:r>
      <w:r>
        <w:t xml:space="preserve"> </w:t>
      </w:r>
      <w:r>
        <w:t xml:space="preserve">“</w:t>
      </w:r>
      <w:r>
        <w:t xml:space="preserve">constitutes contingent consideration</w:t>
      </w:r>
      <w:r>
        <w:t xml:space="preserve">”</w:t>
      </w:r>
      <w:r>
        <w:t xml:space="preserve"> </w:t>
      </w:r>
      <w:r>
        <w:t xml:space="preserve">and that shareholders</w:t>
      </w:r>
      <w:r>
        <w:t xml:space="preserve"> </w:t>
      </w:r>
      <w:r>
        <w:t xml:space="preserve">“</w:t>
      </w:r>
      <w:r>
        <w:t xml:space="preserve">may elect installment sale treatment with respect to the escrow amount, deferring recognition of a proportionate share of gain until the escrow is released</w:t>
      </w:r>
      <w:r>
        <w:t xml:space="preserve">”</w:t>
      </w:r>
      <w:r>
        <w:t xml:space="preserve"> </w:t>
      </w:r>
      <w:r>
        <w:t xml:space="preserve">(September 15, 2026).</w:t>
      </w:r>
    </w:p>
    <w:p>
      <w:pPr>
        <w:pStyle w:val="BodyText"/>
      </w:pPr>
      <w:r>
        <w:rPr>
          <w:b/>
          <w:bCs/>
        </w:rPr>
        <w:t xml:space="preserve">The Merger Agreement (Section 7.4).</w:t>
      </w:r>
      <w:r>
        <w:t xml:space="preserve"> </w:t>
      </w:r>
      <w:r>
        <w:t xml:space="preserve">The executed agreement states the opposite:</w:t>
      </w:r>
      <w:r>
        <w:t xml:space="preserve"> </w:t>
      </w:r>
      <w:r>
        <w:t xml:space="preserve">“</w:t>
      </w:r>
      <w:r>
        <w:t xml:space="preserve">the Escrow Amount shall be treated as additional consideration received by the Shareholders in connection with the Merger. The parties intend that the Escrow Amount be reported as an amount realized by the Shareholders in the taxable year in which the Closing occurs.</w:t>
      </w:r>
      <w:r>
        <w:t xml:space="preserve">”</w:t>
      </w:r>
      <w:r>
        <w:t xml:space="preserve"> </w:t>
      </w:r>
      <w:r>
        <w:t xml:space="preserve">The agreement thus requires current-year (2025) reporting, not deferral to 2026.</w:t>
      </w:r>
    </w:p>
    <w:p>
      <w:pPr>
        <w:pStyle w:val="BodyText"/>
      </w:pPr>
      <w:r>
        <w:rPr>
          <w:b/>
          <w:bCs/>
        </w:rPr>
        <w:t xml:space="preserve">The technical concern.</w:t>
      </w:r>
      <w:r>
        <w:t xml:space="preserve"> </w:t>
      </w:r>
      <w:r>
        <w:t xml:space="preserve">In a Section 338(h)(10) transaction, the gain is recognized through the deemed asset sale at the S corporation level and passed through to shareholders on the final short-period K-1 in the year of closing. The actual stock sale — to which the escrow relates — is disregarded. The escrow is a contingent payment at the shareholder level that does not map onto an installment sale of stock, because there is no stock sale for federal purposes. The Memo’s deferral recommendation is therefore both inconsistent with the deal documents and doubtful as a matter of the 338(h)(10) mechanics.</w:t>
      </w:r>
    </w:p>
    <w:p>
      <w:pPr>
        <w:pStyle w:val="BodyText"/>
      </w:pPr>
      <w:r>
        <w:rPr>
          <w:b/>
          <w:bCs/>
        </w:rPr>
        <w:t xml:space="preserve">Recommended action.</w:t>
      </w:r>
      <w:r>
        <w:t xml:space="preserve"> </w:t>
      </w:r>
      <w:r>
        <w:t xml:space="preserve">Revise Section V.C to conform to Merger Agreement Section 7.4 (current-year reporting) and to reflect that the deemed sale gain is recognized via the K-1 in the closing year. Remove or heavily qualify the installment-sale deferral recommendation. Address the escrow-timing question raised in the QSBS Email Thread in the QSBS analysis (C-4).</w:t>
      </w:r>
    </w:p>
    <w:p>
      <w:r>
        <w:pict>
          <v:rect style="width:0;height:1.5pt" o:hralign="center" o:hrstd="t" o:hr="t"/>
        </w:pict>
      </w:r>
    </w:p>
    <w:bookmarkEnd w:id="27"/>
    <w:bookmarkEnd w:id="28"/>
    <w:bookmarkStart w:id="34" w:name="iv.-high-severity-findings"/>
    <w:p>
      <w:pPr>
        <w:pStyle w:val="Heading2"/>
      </w:pPr>
      <w:r>
        <w:t xml:space="preserve">IV. High-Severity Findings</w:t>
      </w:r>
    </w:p>
    <w:bookmarkStart w:id="29" w:name="X49571edfbb1122a770a1ce48dc30a6d3efc44b9"/>
    <w:p>
      <w:pPr>
        <w:pStyle w:val="Heading3"/>
      </w:pPr>
      <w:r>
        <w:t xml:space="preserve">H-1. The Beacon change-of-control right of first refusal is triggered by the merger and is not adequately addressed</w:t>
      </w:r>
    </w:p>
    <w:p>
      <w:pPr>
        <w:pStyle w:val="FirstParagraph"/>
      </w:pPr>
      <w:r>
        <w:rPr>
          <w:b/>
          <w:bCs/>
        </w:rPr>
        <w:t xml:space="preserve">The Beacon OA (Section 8.03).</w:t>
      </w:r>
      <w:r>
        <w:t xml:space="preserve"> </w:t>
      </w:r>
      <w:r>
        <w:t xml:space="preserve">The right of first refusal is triggered not only on a transfer of a membership interest but expressly on</w:t>
      </w:r>
      <w:r>
        <w:t xml:space="preserve"> </w:t>
      </w:r>
      <w:r>
        <w:t xml:space="preserve">“</w:t>
      </w:r>
      <w:r>
        <w:t xml:space="preserve">a Change of Control of any Member that is an entity</w:t>
      </w:r>
      <w:r>
        <w:t xml:space="preserve">”</w:t>
      </w:r>
      <w:r>
        <w:t xml:space="preserve"> </w:t>
      </w:r>
      <w:r>
        <w:t xml:space="preserve">(Section 8.03(a)(ii)).</w:t>
      </w:r>
      <w:r>
        <w:t xml:space="preserve"> </w:t>
      </w:r>
      <w:r>
        <w:t xml:space="preserve">“</w:t>
      </w:r>
      <w:r>
        <w:t xml:space="preserve">Change of Control</w:t>
      </w:r>
      <w:r>
        <w:t xml:space="preserve">”</w:t>
      </w:r>
      <w:r>
        <w:t xml:space="preserve"> </w:t>
      </w:r>
      <w:r>
        <w:t xml:space="preserve">includes</w:t>
      </w:r>
      <w:r>
        <w:t xml:space="preserve"> </w:t>
      </w:r>
      <w:r>
        <w:t xml:space="preserve">“</w:t>
      </w:r>
      <w:r>
        <w:t xml:space="preserve">any other transaction or series of related transactions resulting in a change in the beneficial ownership of more than fifty percent (50%) of the voting equity interests of such Member</w:t>
      </w:r>
      <w:r>
        <w:t xml:space="preserve">”</w:t>
      </w:r>
      <w:r>
        <w:t xml:space="preserve"> </w:t>
      </w:r>
      <w:r>
        <w:t xml:space="preserve">(Article I). The reverse triangular merger results in Fund III owning 100% of Prism — plainly a change of control of Prism, an entity Member.</w:t>
      </w:r>
    </w:p>
    <w:p>
      <w:pPr>
        <w:pStyle w:val="BodyText"/>
      </w:pPr>
      <w:r>
        <w:rPr>
          <w:b/>
          <w:bCs/>
        </w:rPr>
        <w:t xml:space="preserve">Consequence.</w:t>
      </w:r>
      <w:r>
        <w:t xml:space="preserve"> </w:t>
      </w:r>
      <w:r>
        <w:t xml:space="preserve">The non-transferring members — Marcus Delano (12.0%) and Shirin Avesta (7.5%) — have 45 days following delivery of a ROFR Notice to elect to purchase all of Prism’s 80.5% Beacon interest at fair market value determined</w:t>
      </w:r>
      <w:r>
        <w:t xml:space="preserve"> </w:t>
      </w:r>
      <w:r>
        <w:rPr>
          <w:b/>
          <w:bCs/>
        </w:rPr>
        <w:t xml:space="preserve">without discount for lack of control or lack of marketability</w:t>
      </w:r>
      <w:r>
        <w:t xml:space="preserve"> </w:t>
      </w:r>
      <w:r>
        <w:t xml:space="preserve">(Section 8.04(d)). If exercised, Prism’s $28.5 million Beacon interest would be sold to the minority members rather than passing to Buyer in the deemed asset sale, which would affect the ADSP allocation, the deemed sale gain, and the transaction structure. The ROFR Notice was required within 10 business days of execution of the definitive agreement (January 28, 2025), so the ROFR process should already be underway.</w:t>
      </w:r>
    </w:p>
    <w:p>
      <w:pPr>
        <w:pStyle w:val="BodyText"/>
      </w:pPr>
      <w:r>
        <w:rPr>
          <w:b/>
          <w:bCs/>
        </w:rPr>
        <w:t xml:space="preserve">The Memo’s treatment.</w:t>
      </w:r>
      <w:r>
        <w:t xml:space="preserve"> </w:t>
      </w:r>
      <w:r>
        <w:t xml:space="preserve">Section VIII states only that the Beacon OA</w:t>
      </w:r>
      <w:r>
        <w:t xml:space="preserve"> </w:t>
      </w:r>
      <w:r>
        <w:t xml:space="preserve">“</w:t>
      </w:r>
      <w:r>
        <w:t xml:space="preserve">contains customary transfer restrictions, including a right of first refusal</w:t>
      </w:r>
      <w:r>
        <w:t xml:space="preserve">”</w:t>
      </w:r>
      <w:r>
        <w:t xml:space="preserve"> </w:t>
      </w:r>
      <w:r>
        <w:t xml:space="preserve">and that</w:t>
      </w:r>
      <w:r>
        <w:t xml:space="preserve"> </w:t>
      </w:r>
      <w:r>
        <w:t xml:space="preserve">“</w:t>
      </w:r>
      <w:r>
        <w:t xml:space="preserve">the parties and their counsel are addressing these transfer provisions.</w:t>
      </w:r>
      <w:r>
        <w:t xml:space="preserve">”</w:t>
      </w:r>
      <w:r>
        <w:t xml:space="preserve"> </w:t>
      </w:r>
      <w:r>
        <w:t xml:space="preserve">This does not flag that the merger specifically triggers the change-of-control ROFR, the 45-day exercise window, the no-discount pricing, or the potential diversion of the Beacon interest. The Merger Agreement (Section 8.2(g)) makes</w:t>
      </w:r>
      <w:r>
        <w:t xml:space="preserve"> </w:t>
      </w:r>
      <w:r>
        <w:t xml:space="preserve">“</w:t>
      </w:r>
      <w:r>
        <w:t xml:space="preserve">required consents under the operating agreement of Beacon Insights</w:t>
      </w:r>
      <w:r>
        <w:t xml:space="preserve">”</w:t>
      </w:r>
      <w:r>
        <w:t xml:space="preserve"> </w:t>
      </w:r>
      <w:r>
        <w:t xml:space="preserve">a closing condition, but a ROFR is a purchase right, not merely a consent.</w:t>
      </w:r>
    </w:p>
    <w:p>
      <w:pPr>
        <w:pStyle w:val="BodyText"/>
      </w:pPr>
      <w:r>
        <w:rPr>
          <w:b/>
          <w:bCs/>
        </w:rPr>
        <w:t xml:space="preserve">Recommended action.</w:t>
      </w:r>
      <w:r>
        <w:t xml:space="preserve"> </w:t>
      </w:r>
      <w:r>
        <w:t xml:space="preserve">Confirm whether the ROFR Notice has been delivered and whether Delano/Avesta intend to exercise. Model the exercise scenario (sale of the Beacon interest to the minority members at $28.5 million, outside the 338(h)(10) deemed sale) and the non-exercise/waiver scenario. If the interest is to pass to Buyer, obtain written waivers or completed ROFR process as a condition to closing. Revise the Memo to address the change-of-control ROFR specifically.</w:t>
      </w:r>
    </w:p>
    <w:p>
      <w:r>
        <w:pict>
          <v:rect style="width:0;height:1.5pt" o:hralign="center" o:hrstd="t" o:hr="t"/>
        </w:pict>
      </w:r>
    </w:p>
    <w:bookmarkEnd w:id="29"/>
    <w:bookmarkStart w:id="30" w:name="Xb319c53db656598f6fc25bdb191663c8d7cf734"/>
    <w:p>
      <w:pPr>
        <w:pStyle w:val="Heading3"/>
      </w:pPr>
      <w:r>
        <w:t xml:space="preserve">H-2. The California state tax analysis assumes conformity to Section 338(h)(10) that does not exist for S corporation targets</w:t>
      </w:r>
    </w:p>
    <w:p>
      <w:pPr>
        <w:pStyle w:val="FirstParagraph"/>
      </w:pPr>
      <w:r>
        <w:rPr>
          <w:b/>
          <w:bCs/>
        </w:rPr>
        <w:t xml:space="preserve">The Memo’s position (Section VI.B).</w:t>
      </w:r>
      <w:r>
        <w:t xml:space="preserve"> </w:t>
      </w:r>
      <w:r>
        <w:t xml:space="preserve">The Memo states that</w:t>
      </w:r>
      <w:r>
        <w:t xml:space="preserve"> </w:t>
      </w:r>
      <w:r>
        <w:t xml:space="preserve">“</w:t>
      </w:r>
      <w:r>
        <w:t xml:space="preserve">California imposes a 1.5% entity-level tax on S corporation net income</w:t>
      </w:r>
      <w:r>
        <w:t xml:space="preserve">”</w:t>
      </w:r>
      <w:r>
        <w:t xml:space="preserve"> </w:t>
      </w:r>
      <w:r>
        <w:t xml:space="preserve">and that</w:t>
      </w:r>
      <w:r>
        <w:t xml:space="preserve"> </w:t>
      </w:r>
      <w:r>
        <w:t xml:space="preserve">“</w:t>
      </w:r>
      <w:r>
        <w:t xml:space="preserve">for the short-period return ending March 15, 2025, this tax will apply to the California-apportioned share of the deemed sale gain.</w:t>
      </w:r>
      <w:r>
        <w:t xml:space="preserve">”</w:t>
      </w:r>
      <w:r>
        <w:t xml:space="preserve"> </w:t>
      </w:r>
      <w:r>
        <w:t xml:space="preserve">This assumes California treats the deemed sale gain as Prism’s S corporation net income — i.e., that California conforms to the federal 338(h)(10) deemed asset sale.</w:t>
      </w:r>
    </w:p>
    <w:p>
      <w:pPr>
        <w:pStyle w:val="BodyText"/>
      </w:pPr>
      <w:r>
        <w:rPr>
          <w:b/>
          <w:bCs/>
        </w:rPr>
        <w:t xml:space="preserve">The likely error.</w:t>
      </w:r>
      <w:r>
        <w:t xml:space="preserve"> </w:t>
      </w:r>
      <w:r>
        <w:t xml:space="preserve">California does</w:t>
      </w:r>
      <w:r>
        <w:t xml:space="preserve"> </w:t>
      </w:r>
      <w:r>
        <w:rPr>
          <w:b/>
          <w:bCs/>
        </w:rPr>
        <w:t xml:space="preserve">not</w:t>
      </w:r>
      <w:r>
        <w:t xml:space="preserve"> </w:t>
      </w:r>
      <w:r>
        <w:t xml:space="preserve">conform to federal Section 338(h)(10) for S corporation targets. California’s analogous deemed-asset-sale election (Rev. &amp; Tax. Code §23801.5) is available only to C corporations. For an S corporation target, California treats the transaction as a stock sale (the actual reverse triangular merger), not a deemed asset sale. Accordingly, the deemed sale gain would not be subject to the 1.5% entity-level S corporation tax; instead, the selling shareholders would recognize gain on the sale of their Prism stock for California purposes (at California individual rates, up to 13.3% for residents, and on a California-apportioned basis for non-residents). The Memo’s analysis likely overstates the entity-level California tax and misallocates the California burden between the corporation and the shareholders.</w:t>
      </w:r>
    </w:p>
    <w:p>
      <w:pPr>
        <w:pStyle w:val="BodyText"/>
      </w:pPr>
      <w:r>
        <w:rPr>
          <w:b/>
          <w:bCs/>
        </w:rPr>
        <w:t xml:space="preserve">Recommended action.</w:t>
      </w:r>
      <w:r>
        <w:t xml:space="preserve"> </w:t>
      </w:r>
      <w:r>
        <w:t xml:space="preserve">Revise the California analysis to reflect non-conformity. Compute the California tax at the shareholder level (stock sale treatment) rather than as a 1.5% entity-level tax on deemed sale gain. Confirm the California apportionment treatment for the non-resident shareholders. Note that the two California-resident shareholders (Muñoz, Yoon) acquired during the C corporation period and may have QSBS questions for California (California does not conform to the federal Section 1202 exclusion either).</w:t>
      </w:r>
    </w:p>
    <w:p>
      <w:r>
        <w:pict>
          <v:rect style="width:0;height:1.5pt" o:hralign="center" o:hrstd="t" o:hr="t"/>
        </w:pict>
      </w:r>
    </w:p>
    <w:bookmarkEnd w:id="30"/>
    <w:bookmarkStart w:id="31" w:name="X46af4d0f90576c015a5efb5ca7197b579a8c0b0"/>
    <w:p>
      <w:pPr>
        <w:pStyle w:val="Heading3"/>
      </w:pPr>
      <w:r>
        <w:t xml:space="preserve">H-3. The identity/role of counsel is inconsistent across the documents, creating a potential conflict</w:t>
      </w:r>
    </w:p>
    <w:p>
      <w:pPr>
        <w:pStyle w:val="FirstParagraph"/>
      </w:pPr>
      <w:r>
        <w:rPr>
          <w:b/>
          <w:bCs/>
        </w:rPr>
        <w:t xml:space="preserve">The inconsistency.</w:t>
      </w:r>
    </w:p>
    <w:p>
      <w:pPr>
        <w:pStyle w:val="Compact"/>
        <w:numPr>
          <w:ilvl w:val="0"/>
          <w:numId w:val="1005"/>
        </w:numPr>
      </w:pPr>
      <w:r>
        <w:t xml:space="preserve">The Memo is addressed</w:t>
      </w:r>
      <w:r>
        <w:t xml:space="preserve"> </w:t>
      </w:r>
      <w:r>
        <w:t xml:space="preserve">“</w:t>
      </w:r>
      <w:r>
        <w:t xml:space="preserve">TO: Ridgeline Capital Partners Fund III, LP</w:t>
      </w:r>
      <w:r>
        <w:t xml:space="preserve">”</w:t>
      </w:r>
      <w:r>
        <w:t xml:space="preserve"> </w:t>
      </w:r>
      <w:r>
        <w:t xml:space="preserve">“</w:t>
      </w:r>
      <w:r>
        <w:t xml:space="preserve">FROM: James Calloway … Calloway, Stern &amp; Whitaker LLP,</w:t>
      </w:r>
      <w:r>
        <w:t xml:space="preserve">”</w:t>
      </w:r>
      <w:r>
        <w:t xml:space="preserve"> </w:t>
      </w:r>
      <w:r>
        <w:t xml:space="preserve">and the Memo’s Advisors section lists the firm as</w:t>
      </w:r>
      <w:r>
        <w:t xml:space="preserve"> </w:t>
      </w:r>
      <w:r>
        <w:t xml:space="preserve">“</w:t>
      </w:r>
      <w:r>
        <w:t xml:space="preserve">Tax and deal counsel to Ridgeline Capital Partners</w:t>
      </w:r>
      <w:r>
        <w:t xml:space="preserve">”</w:t>
      </w:r>
      <w:r>
        <w:t xml:space="preserve"> </w:t>
      </w:r>
      <w:r>
        <w:t xml:space="preserve">(the Buyer).</w:t>
      </w:r>
    </w:p>
    <w:p>
      <w:pPr>
        <w:pStyle w:val="Compact"/>
        <w:numPr>
          <w:ilvl w:val="0"/>
          <w:numId w:val="1005"/>
        </w:numPr>
      </w:pPr>
      <w:r>
        <w:t xml:space="preserve">The Thornfield Report states it was engaged</w:t>
      </w:r>
      <w:r>
        <w:t xml:space="preserve"> </w:t>
      </w:r>
      <w:r>
        <w:t xml:space="preserve">“</w:t>
      </w:r>
      <w:r>
        <w:t xml:space="preserve">through its tax counsel Calloway, Stern &amp; Whitaker LLP (CSW).</w:t>
      </w:r>
      <w:r>
        <w:t xml:space="preserve">”</w:t>
      </w:r>
    </w:p>
    <w:p>
      <w:pPr>
        <w:pStyle w:val="Compact"/>
        <w:numPr>
          <w:ilvl w:val="0"/>
          <w:numId w:val="1005"/>
        </w:numPr>
      </w:pPr>
      <w:r>
        <w:t xml:space="preserve">The QSBS Email Thread confirms it: the Memo’s author wrote,</w:t>
      </w:r>
      <w:r>
        <w:t xml:space="preserve"> </w:t>
      </w:r>
      <w:r>
        <w:t xml:space="preserve">“</w:t>
      </w:r>
      <w:r>
        <w:t xml:space="preserve">I recognize that our primary engagement is with Ridgeline as the buyer, and the selling shareholders are not our clients.</w:t>
      </w:r>
      <w:r>
        <w:t xml:space="preserve">”</w:t>
      </w:r>
    </w:p>
    <w:p>
      <w:pPr>
        <w:pStyle w:val="Compact"/>
        <w:numPr>
          <w:ilvl w:val="0"/>
          <w:numId w:val="1005"/>
        </w:numPr>
      </w:pPr>
      <w:r>
        <w:t xml:space="preserve">The Merger Agreement (Section 2.6(b)), however, lists</w:t>
      </w:r>
      <w:r>
        <w:t xml:space="preserve"> </w:t>
      </w:r>
      <w:r>
        <w:t xml:space="preserve">“</w:t>
      </w:r>
      <w:r>
        <w:t xml:space="preserve">legal fees of Two Million Two Hundred Thousand Dollars ($2,200,000) payable to Calloway, Stern &amp; Whitaker LLP (as Company counsel)</w:t>
      </w:r>
      <w:r>
        <w:t xml:space="preserve">”</w:t>
      </w:r>
      <w:r>
        <w:t xml:space="preserve"> </w:t>
      </w:r>
      <w:r>
        <w:t xml:space="preserve">as a component of</w:t>
      </w:r>
      <w:r>
        <w:t xml:space="preserve"> </w:t>
      </w:r>
      <w:r>
        <w:rPr>
          <w:b/>
          <w:bCs/>
        </w:rPr>
        <w:t xml:space="preserve">seller</w:t>
      </w:r>
      <w:r>
        <w:t xml:space="preserve"> </w:t>
      </w:r>
      <w:r>
        <w:t xml:space="preserve">transaction expenses, and the closing is scheduled at the firm’s offices (Section 3.1).</w:t>
      </w:r>
      <w:r>
        <w:t xml:space="preserve"> </w:t>
      </w:r>
      <w:r>
        <w:t xml:space="preserve">“</w:t>
      </w:r>
      <w:r>
        <w:t xml:space="preserve">Company</w:t>
      </w:r>
      <w:r>
        <w:t xml:space="preserve">”</w:t>
      </w:r>
      <w:r>
        <w:t xml:space="preserve"> </w:t>
      </w:r>
      <w:r>
        <w:t xml:space="preserve">means Prism — i.e., the seller side.</w:t>
      </w:r>
    </w:p>
    <w:p>
      <w:pPr>
        <w:pStyle w:val="FirstParagraph"/>
      </w:pPr>
      <w:r>
        <w:rPr>
          <w:b/>
          <w:bCs/>
        </w:rPr>
        <w:t xml:space="preserve">Why it matters.</w:t>
      </w:r>
      <w:r>
        <w:t xml:space="preserve"> </w:t>
      </w:r>
      <w:r>
        <w:t xml:space="preserve">The same firm cannot simultaneously be Buyer’s tax/deal counsel (per the Memo, Thornfield, and the email) and the Company’s/sellers’ counsel (per the Merger Agreement) without a conflict. The discrepancy also affects the $2.2 million fee allocation (whether it is a buyer or seller expense) and the privilege/work-product analysis. At minimum, the engagement and the fee allocation are internally inconsistent across the deal documents.</w:t>
      </w:r>
    </w:p>
    <w:p>
      <w:pPr>
        <w:pStyle w:val="BodyText"/>
      </w:pPr>
      <w:r>
        <w:rPr>
          <w:b/>
          <w:bCs/>
        </w:rPr>
        <w:t xml:space="preserve">Recommended action.</w:t>
      </w:r>
      <w:r>
        <w:t xml:space="preserve"> </w:t>
      </w:r>
      <w:r>
        <w:t xml:space="preserve">Reconcile the firm’s engagement letter and role. If the firm represents the Buyer, correct the Merger Agreement’s</w:t>
      </w:r>
      <w:r>
        <w:t xml:space="preserve"> </w:t>
      </w:r>
      <w:r>
        <w:t xml:space="preserve">“</w:t>
      </w:r>
      <w:r>
        <w:t xml:space="preserve">Company counsel</w:t>
      </w:r>
      <w:r>
        <w:t xml:space="preserve">”</w:t>
      </w:r>
      <w:r>
        <w:t xml:space="preserve"> </w:t>
      </w:r>
      <w:r>
        <w:t xml:space="preserve">designation and the $2.2 million seller-expense allocation (or confirm a separate, conflict-waived engagement). If the firm represents the Company/sellers, correct the Memo’s</w:t>
      </w:r>
      <w:r>
        <w:t xml:space="preserve"> </w:t>
      </w:r>
      <w:r>
        <w:t xml:space="preserve">“</w:t>
      </w:r>
      <w:r>
        <w:t xml:space="preserve">counsel to Ridgeline</w:t>
      </w:r>
      <w:r>
        <w:t xml:space="preserve">”</w:t>
      </w:r>
      <w:r>
        <w:t xml:space="preserve"> </w:t>
      </w:r>
      <w:r>
        <w:t xml:space="preserve">framing and re-evaluate the privilege posture of the Memo itself.</w:t>
      </w:r>
    </w:p>
    <w:p>
      <w:r>
        <w:pict>
          <v:rect style="width:0;height:1.5pt" o:hralign="center" o:hrstd="t" o:hr="t"/>
        </w:pict>
      </w:r>
    </w:p>
    <w:bookmarkEnd w:id="31"/>
    <w:bookmarkStart w:id="32" w:name="Xfb3df9f59d551abe71b6314d5decc46014cb948"/>
    <w:p>
      <w:pPr>
        <w:pStyle w:val="Heading3"/>
      </w:pPr>
      <w:r>
        <w:t xml:space="preserve">H-4. The NC Data Processing License is non-transferable; the Memo downplays a risk to ~$19 million of government-sector revenue</w:t>
      </w:r>
    </w:p>
    <w:p>
      <w:pPr>
        <w:pStyle w:val="FirstParagraph"/>
      </w:pPr>
      <w:r>
        <w:rPr>
          <w:b/>
          <w:bCs/>
        </w:rPr>
        <w:t xml:space="preserve">The Merger Agreement (Section 4.9(i)).</w:t>
      </w:r>
      <w:r>
        <w:t xml:space="preserve"> </w:t>
      </w:r>
      <w:r>
        <w:t xml:space="preserve">The Company represents that Prism Data Services</w:t>
      </w:r>
      <w:r>
        <w:t xml:space="preserve"> </w:t>
      </w:r>
      <w:r>
        <w:t xml:space="preserve">“</w:t>
      </w:r>
      <w:r>
        <w:t xml:space="preserve">holds the NC Data Processing License (License No. DIT-2019-04821), which, pursuant to its terms, is non-transferable and non-assignable.</w:t>
      </w:r>
      <w:r>
        <w:t xml:space="preserve">”</w:t>
      </w:r>
    </w:p>
    <w:p>
      <w:pPr>
        <w:pStyle w:val="BodyText"/>
      </w:pPr>
      <w:r>
        <w:rPr>
          <w:b/>
          <w:bCs/>
        </w:rPr>
        <w:t xml:space="preserve">The Asset Valuation (A-008).</w:t>
      </w:r>
      <w:r>
        <w:t xml:space="preserve"> </w:t>
      </w:r>
      <w:r>
        <w:t xml:space="preserve">Thornfield assigns the license</w:t>
      </w:r>
      <w:r>
        <w:t xml:space="preserve"> </w:t>
      </w:r>
      <w:r>
        <w:rPr>
          <w:b/>
          <w:bCs/>
        </w:rPr>
        <w:t xml:space="preserve">$0 fair market value</w:t>
      </w:r>
      <w:r>
        <w:t xml:space="preserve">, warns that it</w:t>
      </w:r>
      <w:r>
        <w:t xml:space="preserve"> </w:t>
      </w:r>
      <w:r>
        <w:t xml:space="preserve">“</w:t>
      </w:r>
      <w:r>
        <w:t xml:space="preserve">cannot be transferred and may need to be re-obtained by the surviving entity,</w:t>
      </w:r>
      <w:r>
        <w:t xml:space="preserve">”</w:t>
      </w:r>
      <w:r>
        <w:t xml:space="preserve"> </w:t>
      </w:r>
      <w:r>
        <w:t xml:space="preserve">and states that</w:t>
      </w:r>
      <w:r>
        <w:t xml:space="preserve"> </w:t>
      </w:r>
      <w:r>
        <w:t xml:space="preserve">“</w:t>
      </w:r>
      <w:r>
        <w:t xml:space="preserve">if the license is deemed terminated upon the §338(h)(10) deemed asset sale, the ongoing government-sector revenue (~$19M) attributable to the license may be impaired, affecting the overall enterprise value and PPA.</w:t>
      </w:r>
      <w:r>
        <w:t xml:space="preserve">”</w:t>
      </w:r>
    </w:p>
    <w:p>
      <w:pPr>
        <w:pStyle w:val="BodyText"/>
      </w:pPr>
      <w:r>
        <w:rPr>
          <w:b/>
          <w:bCs/>
        </w:rPr>
        <w:t xml:space="preserve">The Memo’s treatment.</w:t>
      </w:r>
      <w:r>
        <w:t xml:space="preserve"> </w:t>
      </w:r>
      <w:r>
        <w:t xml:space="preserve">Section VI.A and Section IX.A state only that</w:t>
      </w:r>
      <w:r>
        <w:t xml:space="preserve"> </w:t>
      </w:r>
      <w:r>
        <w:t xml:space="preserve">“</w:t>
      </w:r>
      <w:r>
        <w:t xml:space="preserve">we expect that the existing license should remain valid post-closing, subject to confirmation with the North Carolina Department of Information Technology.</w:t>
      </w:r>
      <w:r>
        <w:t xml:space="preserve">”</w:t>
      </w:r>
      <w:r>
        <w:t xml:space="preserve"> </w:t>
      </w:r>
      <w:r>
        <w:t xml:space="preserve">The Memo does not (i) flag the non-transferability as a closing-condition risk, (ii) address the potential impairment of the ~$19 million government-sector business, or (iii) note that the license carries $0 value in the Asset Valuation and that any value the Memo may have embedded for it in its</w:t>
      </w:r>
      <w:r>
        <w:t xml:space="preserve"> </w:t>
      </w:r>
      <w:r>
        <w:t xml:space="preserve">“</w:t>
      </w:r>
      <w:r>
        <w:t xml:space="preserve">Software / developed technology</w:t>
      </w:r>
      <w:r>
        <w:t xml:space="preserve">”</w:t>
      </w:r>
      <w:r>
        <w:t xml:space="preserve"> </w:t>
      </w:r>
      <w:r>
        <w:t xml:space="preserve">line should be reallocated.</w:t>
      </w:r>
    </w:p>
    <w:p>
      <w:pPr>
        <w:pStyle w:val="BodyText"/>
      </w:pPr>
      <w:r>
        <w:rPr>
          <w:b/>
          <w:bCs/>
        </w:rPr>
        <w:t xml:space="preserve">Recommended action.</w:t>
      </w:r>
      <w:r>
        <w:t xml:space="preserve"> </w:t>
      </w:r>
      <w:r>
        <w:t xml:space="preserve">Obtain a definitive ruling or written confirmation from the NC Department of Information Technology on whether the license survives the reverse triangular merger or must be re-obtained. If it does not survive, re-evaluate the government-sector business valuation and the PPA. Add license survival/re-issuance as a closing condition. Revise the Memo to reflect the non-transferability and the $0 valuation rather than the current</w:t>
      </w:r>
      <w:r>
        <w:t xml:space="preserve"> </w:t>
      </w:r>
      <w:r>
        <w:t xml:space="preserve">“</w:t>
      </w:r>
      <w:r>
        <w:t xml:space="preserve">we expect … should remain valid</w:t>
      </w:r>
      <w:r>
        <w:t xml:space="preserve">”</w:t>
      </w:r>
      <w:r>
        <w:t xml:space="preserve"> </w:t>
      </w:r>
      <w:r>
        <w:t xml:space="preserve">framing.</w:t>
      </w:r>
    </w:p>
    <w:p>
      <w:r>
        <w:pict>
          <v:rect style="width:0;height:1.5pt" o:hralign="center" o:hrstd="t" o:hr="t"/>
        </w:pict>
      </w:r>
    </w:p>
    <w:bookmarkEnd w:id="32"/>
    <w:bookmarkStart w:id="33" w:name="X8861c22b36c0d6b8ade7239355c8eaa15ccf663"/>
    <w:p>
      <w:pPr>
        <w:pStyle w:val="Heading3"/>
      </w:pPr>
      <w:r>
        <w:t xml:space="preserve">H-5. The Section 482 intercompany transfer-pricing exposure (~$6.3 million) is omitted, and the Merger Agreement’s arm’s-length representation may be inaccurate</w:t>
      </w:r>
    </w:p>
    <w:p>
      <w:pPr>
        <w:pStyle w:val="FirstParagraph"/>
      </w:pPr>
      <w:r>
        <w:rPr>
          <w:b/>
          <w:bCs/>
        </w:rPr>
        <w:t xml:space="preserve">What the supporting documents show.</w:t>
      </w:r>
    </w:p>
    <w:p>
      <w:pPr>
        <w:pStyle w:val="Compact"/>
        <w:numPr>
          <w:ilvl w:val="0"/>
          <w:numId w:val="1006"/>
        </w:numPr>
      </w:pPr>
      <w:r>
        <w:t xml:space="preserve">The Thornfield Report (Section VII) concludes that the $850,000/year management fee and $400,000/year IP license fee between Prism and Beacon are</w:t>
      </w:r>
      <w:r>
        <w:t xml:space="preserve"> </w:t>
      </w:r>
      <w:r>
        <w:rPr>
          <w:b/>
          <w:bCs/>
        </w:rPr>
        <w:t xml:space="preserve">below arm’s-length</w:t>
      </w:r>
      <w:r>
        <w:t xml:space="preserve"> </w:t>
      </w:r>
      <w:r>
        <w:t xml:space="preserve">pricing, estimates cumulative Section 482 exposure of approximately</w:t>
      </w:r>
      <w:r>
        <w:t xml:space="preserve"> </w:t>
      </w:r>
      <w:r>
        <w:rPr>
          <w:b/>
          <w:bCs/>
        </w:rPr>
        <w:t xml:space="preserve">$6,300,000</w:t>
      </w:r>
      <w:r>
        <w:t xml:space="preserve"> </w:t>
      </w:r>
      <w:r>
        <w:t xml:space="preserve">for 2019–2024, and notes the cross-entity impact (a reallocation would increase income to all Prism shareholders while decreasing income to Beacon’s minority members).</w:t>
      </w:r>
    </w:p>
    <w:p>
      <w:pPr>
        <w:pStyle w:val="Compact"/>
        <w:numPr>
          <w:ilvl w:val="0"/>
          <w:numId w:val="1006"/>
        </w:numPr>
      </w:pPr>
      <w:r>
        <w:t xml:space="preserve">The Beacon OA (Sections 9.01–9.02) confirms that neither fee</w:t>
      </w:r>
      <w:r>
        <w:t xml:space="preserve"> </w:t>
      </w:r>
      <w:r>
        <w:t xml:space="preserve">“</w:t>
      </w:r>
      <w:r>
        <w:t xml:space="preserve">has been the subject of a benchmarking study, transfer pricing analysis, or independent appraisal at any time since execution,</w:t>
      </w:r>
      <w:r>
        <w:t xml:space="preserve">”</w:t>
      </w:r>
      <w:r>
        <w:t xml:space="preserve"> </w:t>
      </w:r>
      <w:r>
        <w:t xml:space="preserve">and that the management fee does not adjust for actual cost (Thornfield estimates true cost at $1.1M–$1.25M/year) while the IP fee (~3.6% of Beacon revenue) is far below the 8–15% industry benchmark.</w:t>
      </w:r>
    </w:p>
    <w:p>
      <w:pPr>
        <w:pStyle w:val="Compact"/>
        <w:numPr>
          <w:ilvl w:val="0"/>
          <w:numId w:val="1006"/>
        </w:numPr>
      </w:pPr>
      <w:r>
        <w:t xml:space="preserve">The Merger Agreement (Section 4.9(h)) represents that the fees</w:t>
      </w:r>
      <w:r>
        <w:t xml:space="preserve"> </w:t>
      </w:r>
      <w:r>
        <w:t xml:space="preserve">“</w:t>
      </w:r>
      <w:r>
        <w:t xml:space="preserve">are at arm’s length</w:t>
      </w:r>
      <w:r>
        <w:t xml:space="preserve">”</w:t>
      </w:r>
      <w:r>
        <w:t xml:space="preserve"> </w:t>
      </w:r>
      <w:r>
        <w:t xml:space="preserve">while simultaneously disclosing that</w:t>
      </w:r>
      <w:r>
        <w:t xml:space="preserve"> </w:t>
      </w:r>
      <w:r>
        <w:t xml:space="preserve">“</w:t>
      </w:r>
      <w:r>
        <w:t xml:space="preserve">no formal transfer pricing study has been prepared</w:t>
      </w:r>
      <w:r>
        <w:t xml:space="preserve">”</w:t>
      </w:r>
      <w:r>
        <w:t xml:space="preserve"> </w:t>
      </w:r>
      <w:r>
        <w:t xml:space="preserve">— a representation that is, at best, unverified and potentially inaccurate given Thornfield’s contrary conclusion.</w:t>
      </w:r>
    </w:p>
    <w:p>
      <w:pPr>
        <w:pStyle w:val="FirstParagraph"/>
      </w:pPr>
      <w:r>
        <w:rPr>
          <w:b/>
          <w:bCs/>
        </w:rPr>
        <w:t xml:space="preserve">The Memo’s treatment.</w:t>
      </w:r>
      <w:r>
        <w:t xml:space="preserve"> </w:t>
      </w:r>
      <w:r>
        <w:t xml:space="preserve">Section VIII mentions the fees and states they are</w:t>
      </w:r>
      <w:r>
        <w:t xml:space="preserve"> </w:t>
      </w:r>
      <w:r>
        <w:t xml:space="preserve">“</w:t>
      </w:r>
      <w:r>
        <w:t xml:space="preserve">documented in separate services and license agreements</w:t>
      </w:r>
      <w:r>
        <w:t xml:space="preserve">”</w:t>
      </w:r>
      <w:r>
        <w:t xml:space="preserve"> </w:t>
      </w:r>
      <w:r>
        <w:t xml:space="preserve">and</w:t>
      </w:r>
      <w:r>
        <w:t xml:space="preserve"> </w:t>
      </w:r>
      <w:r>
        <w:t xml:space="preserve">“</w:t>
      </w:r>
      <w:r>
        <w:t xml:space="preserve">reflected in the Thornfield due diligence report,</w:t>
      </w:r>
      <w:r>
        <w:t xml:space="preserve">”</w:t>
      </w:r>
      <w:r>
        <w:t xml:space="preserve"> </w:t>
      </w:r>
      <w:r>
        <w:t xml:space="preserve">but does not flag the Section 482 exposure, the absence of transfer-pricing documentation, the below-arm’s-length concern, or the indemnification risk created by the Section 4.9(h) representation.</w:t>
      </w:r>
    </w:p>
    <w:p>
      <w:pPr>
        <w:pStyle w:val="BodyText"/>
      </w:pPr>
      <w:r>
        <w:rPr>
          <w:b/>
          <w:bCs/>
        </w:rPr>
        <w:t xml:space="preserve">Recommended action.</w:t>
      </w:r>
      <w:r>
        <w:t xml:space="preserve"> </w:t>
      </w:r>
      <w:r>
        <w:t xml:space="preserve">Flag the ~$6.3 million Section 482 exposure as a pre-closing tax liability and address it in the indemnification/escrow risk allocation. Commission a formal transfer-pricing study and consider amended returns or a voluntary disclosure for prior years. Reconcile the Section 4.9(h) representation with Thornfield’s findings (consider carving out the representation or expanding the disclosure schedules). Revise the Memo to disclose the exposure.</w:t>
      </w:r>
    </w:p>
    <w:p>
      <w:r>
        <w:pict>
          <v:rect style="width:0;height:1.5pt" o:hralign="center" o:hrstd="t" o:hr="t"/>
        </w:pict>
      </w:r>
    </w:p>
    <w:bookmarkEnd w:id="33"/>
    <w:bookmarkEnd w:id="34"/>
    <w:bookmarkStart w:id="46" w:name="v.-moderate-severity-findings"/>
    <w:p>
      <w:pPr>
        <w:pStyle w:val="Heading2"/>
      </w:pPr>
      <w:r>
        <w:t xml:space="preserve">V. Moderate-Severity Findings</w:t>
      </w:r>
    </w:p>
    <w:bookmarkStart w:id="35" w:name="X8484d57e28c31edcfa83048abb310986cebf16b"/>
    <w:p>
      <w:pPr>
        <w:pStyle w:val="Heading3"/>
      </w:pPr>
      <w:r>
        <w:t xml:space="preserve">M-1. The Beacon IP License Agreement terminates automatically on the change of control of Prism</w:t>
      </w:r>
    </w:p>
    <w:p>
      <w:pPr>
        <w:pStyle w:val="FirstParagraph"/>
      </w:pPr>
      <w:r>
        <w:t xml:space="preserve">The Beacon OA (Section 9.02) provides that the IP License Agreement</w:t>
      </w:r>
      <w:r>
        <w:t xml:space="preserve"> </w:t>
      </w:r>
      <w:r>
        <w:t xml:space="preserve">“</w:t>
      </w:r>
      <w:r>
        <w:t xml:space="preserve">shall terminate automatically upon a Transfer of Prism’s Membership Interest in the Company (including a deemed Transfer resulting from a Change of Control of Prism), unless the parties agree otherwise in writing.</w:t>
      </w:r>
      <w:r>
        <w:t xml:space="preserve">”</w:t>
      </w:r>
      <w:r>
        <w:t xml:space="preserve"> </w:t>
      </w:r>
      <w:r>
        <w:t xml:space="preserve">The merger is a change of control of Prism, so Beacon’s license to Prism’s proprietary IP — the core of Beacon’s ~$11 million revenue platform — terminates at closing unless the parties execute a new or continued license. The Memo does not flag this automatic termination. Because Buyer will own Prism post-closing and Beacon’s minority members (Delano, Avesta) will have leverage in any renegotiation (especially if the H-1 ROFR is also in play), this affects both the going-forward operations and the $28.5 million Beacon valuation.</w:t>
      </w:r>
      <w:r>
        <w:t xml:space="preserve"> </w:t>
      </w:r>
      <w:r>
        <w:rPr>
          <w:b/>
          <w:bCs/>
        </w:rPr>
        <w:t xml:space="preserve">Recommended:</w:t>
      </w:r>
      <w:r>
        <w:t xml:space="preserve"> </w:t>
      </w:r>
      <w:r>
        <w:t xml:space="preserve">negotiate a replacement IP license as a closing deliverable and reflect the risk in the Memo.</w:t>
      </w:r>
    </w:p>
    <w:bookmarkEnd w:id="35"/>
    <w:bookmarkStart w:id="36" w:name="X4a7d42bcf5c37a3df77286c3436d874666eb26d"/>
    <w:p>
      <w:pPr>
        <w:pStyle w:val="Heading3"/>
      </w:pPr>
      <w:r>
        <w:t xml:space="preserve">M-2. The shareholder count and state-of-residency figures are inconsistent with the Cap Table</w:t>
      </w:r>
    </w:p>
    <w:p>
      <w:pPr>
        <w:pStyle w:val="FirstParagraph"/>
      </w:pPr>
      <w:r>
        <w:t xml:space="preserve">The Memo (Section II.A) states there are</w:t>
      </w:r>
      <w:r>
        <w:t xml:space="preserve"> </w:t>
      </w:r>
      <w:r>
        <w:t xml:space="preserve">“</w:t>
      </w:r>
      <w:r>
        <w:t xml:space="preserve">Fourteen (14) angel investors and early employees</w:t>
      </w:r>
      <w:r>
        <w:t xml:space="preserve">”</w:t>
      </w:r>
      <w:r>
        <w:t xml:space="preserve"> </w:t>
      </w:r>
      <w:r>
        <w:t xml:space="preserve">in the</w:t>
      </w:r>
      <w:r>
        <w:t xml:space="preserve"> </w:t>
      </w:r>
      <w:r>
        <w:t xml:space="preserve">“</w:t>
      </w:r>
      <w:r>
        <w:t xml:space="preserve">other shareholders</w:t>
      </w:r>
      <w:r>
        <w:t xml:space="preserve">”</w:t>
      </w:r>
      <w:r>
        <w:t xml:space="preserve"> </w:t>
      </w:r>
      <w:r>
        <w:t xml:space="preserve">group, with</w:t>
      </w:r>
      <w:r>
        <w:t xml:space="preserve"> </w:t>
      </w:r>
      <w:r>
        <w:t xml:space="preserve">“</w:t>
      </w:r>
      <w:r>
        <w:t xml:space="preserve">eleven (11) in North Carolina, two (2) in California, and one (1) in New York.</w:t>
      </w:r>
      <w:r>
        <w:t xml:space="preserve">”</w:t>
      </w:r>
      <w:r>
        <w:t xml:space="preserve"> </w:t>
      </w:r>
      <w:r>
        <w:t xml:space="preserve">The Cap Table shows</w:t>
      </w:r>
      <w:r>
        <w:t xml:space="preserve"> </w:t>
      </w:r>
      <w:r>
        <w:rPr>
          <w:b/>
          <w:bCs/>
        </w:rPr>
        <w:t xml:space="preserve">seventeen</w:t>
      </w:r>
      <w:r>
        <w:t xml:space="preserve"> </w:t>
      </w:r>
      <w:r>
        <w:t xml:space="preserve">non-founder individual shareholders (the two founders plus 17 others), with</w:t>
      </w:r>
      <w:r>
        <w:t xml:space="preserve"> </w:t>
      </w:r>
      <w:r>
        <w:rPr>
          <w:b/>
          <w:bCs/>
        </w:rPr>
        <w:t xml:space="preserve">fourteen (14) in North Carolina, two (2) in California, and one (1) in New York</w:t>
      </w:r>
      <w:r>
        <w:t xml:space="preserve">. The Memo undercounts by three (all North Carolina residents). The QSBS Email Thread repeats the</w:t>
      </w:r>
      <w:r>
        <w:t xml:space="preserve"> </w:t>
      </w:r>
      <w:r>
        <w:t xml:space="preserve">“</w:t>
      </w:r>
      <w:r>
        <w:t xml:space="preserve">14</w:t>
      </w:r>
      <w:r>
        <w:t xml:space="preserve">”</w:t>
      </w:r>
      <w:r>
        <w:t xml:space="preserve"> </w:t>
      </w:r>
      <w:r>
        <w:t xml:space="preserve">figure, so the error has propagated.</w:t>
      </w:r>
      <w:r>
        <w:t xml:space="preserve"> </w:t>
      </w:r>
      <w:r>
        <w:rPr>
          <w:b/>
          <w:bCs/>
        </w:rPr>
        <w:t xml:space="preserve">Why it matters:</w:t>
      </w:r>
      <w:r>
        <w:t xml:space="preserve"> </w:t>
      </w:r>
      <w:r>
        <w:t xml:space="preserve">the Section 338(h)(10) election requires the consent of</w:t>
      </w:r>
      <w:r>
        <w:t xml:space="preserve"> </w:t>
      </w:r>
      <w:r>
        <w:rPr>
          <w:i/>
          <w:iCs/>
        </w:rPr>
        <w:t xml:space="preserve">all</w:t>
      </w:r>
      <w:r>
        <w:t xml:space="preserve"> </w:t>
      </w:r>
      <w:r>
        <w:t xml:space="preserve">shareholders (Treas. Reg. §1.338(h)(10)-1(c)(3)); three more consents are required than the Memo implies, and the North Carolina state-tax analysis understates the number of North Carolina-resident shareholders subject to North Carolina tax.</w:t>
      </w:r>
      <w:r>
        <w:t xml:space="preserve"> </w:t>
      </w:r>
      <w:r>
        <w:rPr>
          <w:b/>
          <w:bCs/>
        </w:rPr>
        <w:t xml:space="preserve">Recommended:</w:t>
      </w:r>
      <w:r>
        <w:t xml:space="preserve"> </w:t>
      </w:r>
      <w:r>
        <w:t xml:space="preserve">correct the count and residency figures and confirm the consent checklist against the Cap Table.</w:t>
      </w:r>
    </w:p>
    <w:bookmarkEnd w:id="36"/>
    <w:bookmarkStart w:id="37" w:name="Xd1b14b11d875093fa3dda656b9413116e69495c"/>
    <w:p>
      <w:pPr>
        <w:pStyle w:val="Heading3"/>
      </w:pPr>
      <w:r>
        <w:t xml:space="preserve">M-3. The consideration allocation to the restricted-stock holders is not reconciled (basic vs. fully diluted)</w:t>
      </w:r>
    </w:p>
    <w:p>
      <w:pPr>
        <w:pStyle w:val="FirstParagraph"/>
      </w:pPr>
      <w:r>
        <w:t xml:space="preserve">The Memo allocates the</w:t>
      </w:r>
      <w:r>
        <w:t xml:space="preserve"> </w:t>
      </w:r>
      <w:r>
        <w:t xml:space="preserve">“</w:t>
      </w:r>
      <w:r>
        <w:t xml:space="preserve">Other Shareholders</w:t>
      </w:r>
      <w:r>
        <w:t xml:space="preserve">”</w:t>
      </w:r>
      <w:r>
        <w:t xml:space="preserve"> </w:t>
      </w:r>
      <w:r>
        <w:t xml:space="preserve">20% = $74,000,000 and states this is</w:t>
      </w:r>
      <w:r>
        <w:t xml:space="preserve"> </w:t>
      </w:r>
      <w:r>
        <w:t xml:space="preserve">“</w:t>
      </w:r>
      <w:r>
        <w:t xml:space="preserve">inclusive of restricted stock holders.</w:t>
      </w:r>
      <w:r>
        <w:t xml:space="preserve">”</w:t>
      </w:r>
      <w:r>
        <w:t xml:space="preserve"> </w:t>
      </w:r>
      <w:r>
        <w:t xml:space="preserve">But the basic non-founder common stock alone totals 20% (390,000 of 1,950,000 basic shares), which would consume the entire $74 million and leave nothing for the 45,000 restricted shares (2.26% on a fully diluted basis) that vest and convert into the right to receive consideration under Merger Agreement Section 2.5. The Cap Table’s waterfall, by contrast, allocates additional consideration to the restricted-stock holders (the non-founder subtotals sum to ~$80.55 million rather than $74 million), implying a fully diluted allocation that would reduce the founders’ share below 80%. The consideration methodology (basic vs. fully diluted) is therefore inconsistent across the Memo, the Merger Agreement’s stated per-shareholder amounts (which use basic percentages: 52/28/20), and the Cap Table.</w:t>
      </w:r>
      <w:r>
        <w:t xml:space="preserve"> </w:t>
      </w:r>
      <w:r>
        <w:rPr>
          <w:b/>
          <w:bCs/>
        </w:rPr>
        <w:t xml:space="preserve">Why it matters:</w:t>
      </w:r>
      <w:r>
        <w:t xml:space="preserve"> </w:t>
      </w:r>
      <w:r>
        <w:t xml:space="preserve">each shareholder’s amount realized and gain depends on the allocation; the restricted-stock holders’ consideration is not clearly accounted for.</w:t>
      </w:r>
      <w:r>
        <w:t xml:space="preserve"> </w:t>
      </w:r>
      <w:r>
        <w:rPr>
          <w:b/>
          <w:bCs/>
        </w:rPr>
        <w:t xml:space="preserve">Recommended:</w:t>
      </w:r>
      <w:r>
        <w:t xml:space="preserve"> </w:t>
      </w:r>
      <w:r>
        <w:t xml:space="preserve">confirm whether the $370 million is allocated across all 1,995,000 fully diluted shares (≈$185.46/share) or the 1,950,000 basic shares, reconcile the per-shareholder amounts in Merger Agreement Section 2.6(d), and restate the per-shareholder gain tables accordingly.</w:t>
      </w:r>
    </w:p>
    <w:bookmarkEnd w:id="37"/>
    <w:bookmarkStart w:id="38" w:name="X6358000f37f81b2fa56930cb097e0cb05def8a2"/>
    <w:p>
      <w:pPr>
        <w:pStyle w:val="Heading3"/>
      </w:pPr>
      <w:r>
        <w:t xml:space="preserve">M-4. The Section 751</w:t>
      </w:r>
      <w:r>
        <w:t xml:space="preserve"> </w:t>
      </w:r>
      <w:r>
        <w:t xml:space="preserve">“</w:t>
      </w:r>
      <w:r>
        <w:t xml:space="preserve">hot asset</w:t>
      </w:r>
      <w:r>
        <w:t xml:space="preserve">”</w:t>
      </w:r>
      <w:r>
        <w:t xml:space="preserve"> </w:t>
      </w:r>
      <w:r>
        <w:t xml:space="preserve">characterization of the Beacon gain is not addressed</w:t>
      </w:r>
    </w:p>
    <w:p>
      <w:pPr>
        <w:pStyle w:val="FirstParagraph"/>
      </w:pPr>
      <w:r>
        <w:t xml:space="preserve">The Memo (Sections V.A and VIII) states that the gain on the deemed disposition of Prism’s Beacon interest</w:t>
      </w:r>
      <w:r>
        <w:t xml:space="preserve"> </w:t>
      </w:r>
      <w:r>
        <w:t xml:space="preserve">“</w:t>
      </w:r>
      <w:r>
        <w:t xml:space="preserve">is expected to be long-term capital gain.</w:t>
      </w:r>
      <w:r>
        <w:t xml:space="preserve">”</w:t>
      </w:r>
      <w:r>
        <w:t xml:space="preserve"> </w:t>
      </w:r>
      <w:r>
        <w:t xml:space="preserve">The Thornfield Report (Section VI.B) flags that Beacon’s accounts receivable (~$2.1 million) and accrued but unbilled revenue (~$1.8 million) are</w:t>
      </w:r>
      <w:r>
        <w:t xml:space="preserve"> </w:t>
      </w:r>
      <w:r>
        <w:t xml:space="preserve">“</w:t>
      </w:r>
      <w:r>
        <w:t xml:space="preserve">hot assets</w:t>
      </w:r>
      <w:r>
        <w:t xml:space="preserve">”</w:t>
      </w:r>
      <w:r>
        <w:t xml:space="preserve"> </w:t>
      </w:r>
      <w:r>
        <w:t xml:space="preserve">under Section 751 that should be analyzed for ordinary-income characterization on any transfer or deemed transfer of the partnership interest. The Beacon OA (Section 6.05) confirms that Beacon’s assets — including receivables — generate items that retain their character when allocated to members. The Memo’s blanket long-term-capital-gain characterization is therefore incomplete; a portion of the Beacon gain attributable to hot assets should be ordinary.</w:t>
      </w:r>
      <w:r>
        <w:t xml:space="preserve"> </w:t>
      </w:r>
      <w:r>
        <w:rPr>
          <w:b/>
          <w:bCs/>
        </w:rPr>
        <w:t xml:space="preserve">Recommended:</w:t>
      </w:r>
      <w:r>
        <w:t xml:space="preserve"> </w:t>
      </w:r>
      <w:r>
        <w:t xml:space="preserve">perform the Section 751 analysis and restate the character of the Beacon gain.</w:t>
      </w:r>
    </w:p>
    <w:bookmarkEnd w:id="38"/>
    <w:bookmarkStart w:id="39" w:name="Xe4ac8bd3c9dbcad90d9bf6f7a448234a83ce1bb"/>
    <w:p>
      <w:pPr>
        <w:pStyle w:val="Heading3"/>
      </w:pPr>
      <w:r>
        <w:t xml:space="preserve">M-5. The deemed liquidation distribution characterization (AAA / AE&amp;P) is omitted</w:t>
      </w:r>
    </w:p>
    <w:p>
      <w:pPr>
        <w:pStyle w:val="FirstParagraph"/>
      </w:pPr>
      <w:r>
        <w:t xml:space="preserve">A Section 338(h)(10) election produces two deemed events: (1) a deemed asset sale (gain recognized by old Prism and passed through on the K-1) and (2) a deemed liquidation (deemed sale proceeds distributed to shareholders, characterized under the S corporation distribution rules). The Memo addresses only the deemed sale gain and is silent on the deemed liquidation. The Thornfield Report (Section IX.C) reports an AAA balance of $64.2 million, Accumulated E&amp;P of $792,000, and PTI of $792,000 as of December 31, 2023, and notes that deemed liquidating distributions are characterized first against AAA (tax-free to basis), then against AE&amp;P (taxable dividend), then as return of capital/capital gain. The Memo’s per-shareholder analysis does not address this ordering or the $792,000 of AE&amp;P that would produce dividend income.</w:t>
      </w:r>
      <w:r>
        <w:t xml:space="preserve"> </w:t>
      </w:r>
      <w:r>
        <w:rPr>
          <w:b/>
          <w:bCs/>
        </w:rPr>
        <w:t xml:space="preserve">Recommended:</w:t>
      </w:r>
      <w:r>
        <w:t xml:space="preserve"> </w:t>
      </w:r>
      <w:r>
        <w:t xml:space="preserve">add a deemed-liquidation distribution analysis addressing the AAA/AE&amp;P/PTI ordering and the dividend characterization of the AE&amp;P.</w:t>
      </w:r>
    </w:p>
    <w:bookmarkEnd w:id="39"/>
    <w:bookmarkStart w:id="40" w:name="Xe64fb2f21d6c92dbf62009ec0fd2831172ce3df"/>
    <w:p>
      <w:pPr>
        <w:pStyle w:val="Heading3"/>
      </w:pPr>
      <w:r>
        <w:t xml:space="preserve">M-6. The Section 1411 net investment income tax / material-participation analysis is absent</w:t>
      </w:r>
    </w:p>
    <w:p>
      <w:pPr>
        <w:pStyle w:val="FirstParagraph"/>
      </w:pPr>
      <w:r>
        <w:t xml:space="preserve">The Memo (Section V.A) assumes the 3.8% net investment income tax applies to the capital-gain portion (combined 23.8%). For S corporation shareholders who materially participate in the business, gain from the deemed sale of active business assets may qualify for the active trade or business exception under Section 1411(c)(4) and be excluded from net investment income. Dr. Chandra (CEO) and Ms. Stowe (CTO) are likely material participants. If the exception applies, the 3.8% NIIT would not apply to their capital-gain share — a material saving on a large gain. The Memo does not analyze material participation or the Section 1411(c)(4) exception.</w:t>
      </w:r>
      <w:r>
        <w:t xml:space="preserve"> </w:t>
      </w:r>
      <w:r>
        <w:rPr>
          <w:b/>
          <w:bCs/>
        </w:rPr>
        <w:t xml:space="preserve">Recommended:</w:t>
      </w:r>
      <w:r>
        <w:t xml:space="preserve"> </w:t>
      </w:r>
      <w:r>
        <w:t xml:space="preserve">analyze each shareholder’s material participation and the availability of the active business exception, and restate the after-tax figures.</w:t>
      </w:r>
    </w:p>
    <w:bookmarkEnd w:id="40"/>
    <w:bookmarkStart w:id="41" w:name="Xd74db9d9b2eee6531023513cd178bbf0c366340"/>
    <w:p>
      <w:pPr>
        <w:pStyle w:val="Heading3"/>
      </w:pPr>
      <w:r>
        <w:t xml:space="preserve">M-7. Section 280G (golden parachute) is not addressed</w:t>
      </w:r>
    </w:p>
    <w:p>
      <w:pPr>
        <w:pStyle w:val="FirstParagraph"/>
      </w:pPr>
      <w:r>
        <w:t xml:space="preserve">Dr. Chandra (CEO and &gt;1% shareholder) and Ms. Stowe (CTO and &gt;1% shareholder) are likely</w:t>
      </w:r>
      <w:r>
        <w:t xml:space="preserve"> </w:t>
      </w:r>
      <w:r>
        <w:t xml:space="preserve">“</w:t>
      </w:r>
      <w:r>
        <w:t xml:space="preserve">disqualified individuals</w:t>
      </w:r>
      <w:r>
        <w:t xml:space="preserve">”</w:t>
      </w:r>
      <w:r>
        <w:t xml:space="preserve"> </w:t>
      </w:r>
      <w:r>
        <w:t xml:space="preserve">receiving substantial payments in connection with the change of control, plus new employment/consulting agreements (a four-year employment agreement for Chandra; a two-year consulting agreement for Stowe). Section 280G can impose a 20% excise tax on excess parachute payments and disallow the employer’s deduction. The Memo does not analyze whether any portion of the consideration or the new service agreements constitutes parachute payments or whether a Section 280G cutback analysis is warranted.</w:t>
      </w:r>
      <w:r>
        <w:t xml:space="preserve"> </w:t>
      </w:r>
      <w:r>
        <w:rPr>
          <w:b/>
          <w:bCs/>
        </w:rPr>
        <w:t xml:space="preserve">Recommended:</w:t>
      </w:r>
      <w:r>
        <w:t xml:space="preserve"> </w:t>
      </w:r>
      <w:r>
        <w:t xml:space="preserve">perform a Section 280G analysis, including whether any consideration is compensatory versus sale proceeds, and consider a cutback election if applicable.</w:t>
      </w:r>
    </w:p>
    <w:bookmarkEnd w:id="41"/>
    <w:bookmarkStart w:id="42" w:name="X22731292b8368fd9a1c942e8628b54a5b00512a"/>
    <w:p>
      <w:pPr>
        <w:pStyle w:val="Heading3"/>
      </w:pPr>
      <w:r>
        <w:t xml:space="preserve">M-8. The $3.8 million suspended R&amp;D credits’ risk of permanent loss is not analyzed</w:t>
      </w:r>
    </w:p>
    <w:p>
      <w:pPr>
        <w:pStyle w:val="FirstParagraph"/>
      </w:pPr>
      <w:r>
        <w:t xml:space="preserve">The Memo (Section III.D) notes the $3.8 million in unused federal R&amp;D credits from the 2016 C corporation year and the ~$1.2 million/year North Carolina credits, and states they</w:t>
      </w:r>
      <w:r>
        <w:t xml:space="preserve"> </w:t>
      </w:r>
      <w:r>
        <w:t xml:space="preserve">“</w:t>
      </w:r>
      <w:r>
        <w:t xml:space="preserve">will be addressed in the post-closing tax planning.</w:t>
      </w:r>
      <w:r>
        <w:t xml:space="preserve">”</w:t>
      </w:r>
      <w:r>
        <w:t xml:space="preserve"> </w:t>
      </w:r>
      <w:r>
        <w:t xml:space="preserve">The Thornfield Report (Sections IV.B and IX.A) concludes the federal credits are at</w:t>
      </w:r>
      <w:r>
        <w:t xml:space="preserve"> </w:t>
      </w:r>
      <w:r>
        <w:t xml:space="preserve">“</w:t>
      </w:r>
      <w:r>
        <w:t xml:space="preserve">significant risk of permanent expiration</w:t>
      </w:r>
      <w:r>
        <w:t xml:space="preserve">”</w:t>
      </w:r>
      <w:r>
        <w:t xml:space="preserve"> </w:t>
      </w:r>
      <w:r>
        <w:t xml:space="preserve">in the 338(h)(10) (they are suspended under Section 1371(b)(1) during S years; the built-in-gains offset is unavailable because the recognition period expired; and whether the post-termination transition period or a final C corporation return can salvage them is an open question of law). The Memo does not analyze the risk or any preservation strategy.</w:t>
      </w:r>
      <w:r>
        <w:t xml:space="preserve"> </w:t>
      </w:r>
      <w:r>
        <w:rPr>
          <w:b/>
          <w:bCs/>
        </w:rPr>
        <w:t xml:space="preserve">Recommended:</w:t>
      </w:r>
      <w:r>
        <w:t xml:space="preserve"> </w:t>
      </w:r>
      <w:r>
        <w:t xml:space="preserve">analyze the interaction of Sections 1371(b), 1371(e), 1374, and 338(h)(10) to determine whether any portion of the credits can be salvaged, and reflect the at-risk amount in the transaction economics.</w:t>
      </w:r>
    </w:p>
    <w:bookmarkEnd w:id="42"/>
    <w:bookmarkStart w:id="43" w:name="Xe0acaf2126eb0be1775f3f52e56632404337674"/>
    <w:p>
      <w:pPr>
        <w:pStyle w:val="Heading3"/>
      </w:pPr>
      <w:r>
        <w:t xml:space="preserve">M-9. The Class V allocation understates developed technology and omits government-sector software licenses</w:t>
      </w:r>
    </w:p>
    <w:p>
      <w:pPr>
        <w:pStyle w:val="FirstParagraph"/>
      </w:pPr>
      <w:r>
        <w:t xml:space="preserve">The Memo’s Class V is $68.5 million (real property $14.2M; FF&amp;E $6.8M; software/developed technology $19.0M; Beacon $28.5M). The Asset Valuation’s Class V is</w:t>
      </w:r>
      <w:r>
        <w:t xml:space="preserve"> </w:t>
      </w:r>
      <w:r>
        <w:rPr>
          <w:b/>
          <w:bCs/>
        </w:rPr>
        <w:t xml:space="preserve">$97.0 million</w:t>
      </w:r>
      <w:r>
        <w:t xml:space="preserve"> </w:t>
      </w:r>
      <w:r>
        <w:t xml:space="preserve">(real property $14.2M; FF&amp;E $6.8M; developed technology</w:t>
      </w:r>
      <w:r>
        <w:t xml:space="preserve"> </w:t>
      </w:r>
      <w:r>
        <w:rPr>
          <w:b/>
          <w:bCs/>
        </w:rPr>
        <w:t xml:space="preserve">$41.8M</w:t>
      </w:r>
      <w:r>
        <w:t xml:space="preserve">; government-sector software licenses</w:t>
      </w:r>
      <w:r>
        <w:t xml:space="preserve"> </w:t>
      </w:r>
      <w:r>
        <w:rPr>
          <w:b/>
          <w:bCs/>
        </w:rPr>
        <w:t xml:space="preserve">$5.7M</w:t>
      </w:r>
      <w:r>
        <w:t xml:space="preserve">; NC license $0; Beacon $28.5M). The Memo therefore</w:t>
      </w:r>
      <w:r>
        <w:t xml:space="preserve"> </w:t>
      </w:r>
      <w:r>
        <w:rPr>
          <w:b/>
          <w:bCs/>
        </w:rPr>
        <w:t xml:space="preserve">understates developed technology by $22.8 million</w:t>
      </w:r>
      <w:r>
        <w:t xml:space="preserve"> </w:t>
      </w:r>
      <w:r>
        <w:t xml:space="preserve">($19.0M vs. $41.8M, valued by Thornfield using the relief-from-royalty method) and</w:t>
      </w:r>
      <w:r>
        <w:t xml:space="preserve"> </w:t>
      </w:r>
      <w:r>
        <w:rPr>
          <w:b/>
          <w:bCs/>
        </w:rPr>
        <w:t xml:space="preserve">entirely omits $5.7 million</w:t>
      </w:r>
      <w:r>
        <w:t xml:space="preserve"> </w:t>
      </w:r>
      <w:r>
        <w:t xml:space="preserve">of government-sector software licenses. (Note: the Asset Valuation’s Note 2 misattributes the entire $28.5 million Class V variance to the Beacon interest, but the Memo does include Beacon; the true variance is the developed-technology understatement plus the omitted licenses.)</w:t>
      </w:r>
      <w:r>
        <w:t xml:space="preserve"> </w:t>
      </w:r>
      <w:r>
        <w:rPr>
          <w:b/>
          <w:bCs/>
        </w:rPr>
        <w:t xml:space="preserve">Recommended:</w:t>
      </w:r>
      <w:r>
        <w:t xml:space="preserve"> </w:t>
      </w:r>
      <w:r>
        <w:t xml:space="preserve">adopt the Asset Valuation’s Class V detail and restate the allocation.</w:t>
      </w:r>
    </w:p>
    <w:bookmarkEnd w:id="43"/>
    <w:bookmarkStart w:id="44" w:name="X7fd5d6bbdc5e1eb45c2ef649e35bba7b4382e4e"/>
    <w:p>
      <w:pPr>
        <w:pStyle w:val="Heading3"/>
      </w:pPr>
      <w:r>
        <w:t xml:space="preserve">M-10. Buyer’s depreciation/amortization analysis is incomplete and based on the overstated ADSP</w:t>
      </w:r>
    </w:p>
    <w:p>
      <w:pPr>
        <w:pStyle w:val="FirstParagraph"/>
      </w:pPr>
      <w:r>
        <w:t xml:space="preserve">The Memo (Section VII.A) estimates ~$24.5 million/year in depreciation and amortization, computed from the Class VI ($95M/15 = $6.33M) and Class VII ($272.8M/15 = $18.19M) intangibles, plus MACRS depreciation on the tangible Class V assets. Two problems: (i) the figure is built on the overstated ADSP, so the Class VII amortization is overstated (the correct Class VII of ~$196.3M yields ~$13.09M/year, not $18.19M); and (ii) the Memo’s Class V depreciation discussion covers only tangible assets and omits amortization of the developed-technology/software intangible (~$41.8M over 5 years ≈ $8.36M/year per the Asset Valuation) and the government-sector software licenses (~$5.7M over 7 years). The Memo thus both overstates (ADSP) and undercounts (omitted intangible amortization) Buyer’s tax benefits.</w:t>
      </w:r>
      <w:r>
        <w:t xml:space="preserve"> </w:t>
      </w:r>
      <w:r>
        <w:rPr>
          <w:b/>
          <w:bCs/>
        </w:rPr>
        <w:t xml:space="preserve">Recommended:</w:t>
      </w:r>
      <w:r>
        <w:t xml:space="preserve"> </w:t>
      </w:r>
      <w:r>
        <w:t xml:space="preserve">recompute Buyer’s annual D&amp;A using the corrected ADSP and the full asset register, including the Section 167 amortization of the Class V software intangibles.</w:t>
      </w:r>
    </w:p>
    <w:bookmarkEnd w:id="44"/>
    <w:bookmarkStart w:id="45" w:name="Xb3aad6c00296320bbd365ddaf2cec6e705d0e52"/>
    <w:p>
      <w:pPr>
        <w:pStyle w:val="Heading3"/>
      </w:pPr>
      <w:r>
        <w:t xml:space="preserve">M-11. The Section 163(j) EBITDA figure ($58 million) is unsupported and implies an implausible margin</w:t>
      </w:r>
    </w:p>
    <w:p>
      <w:pPr>
        <w:pStyle w:val="FirstParagraph"/>
      </w:pPr>
      <w:r>
        <w:t xml:space="preserve">The Memo (Section VII.B) cites</w:t>
      </w:r>
      <w:r>
        <w:t xml:space="preserve"> </w:t>
      </w:r>
      <w:r>
        <w:t xml:space="preserve">“</w:t>
      </w:r>
      <w:r>
        <w:t xml:space="preserve">Prism’s historical EBITDA of approximately $58,000,000 (2024 estimate)</w:t>
      </w:r>
      <w:r>
        <w:t xml:space="preserve">”</w:t>
      </w:r>
      <w:r>
        <w:t xml:space="preserve"> </w:t>
      </w:r>
      <w:r>
        <w:t xml:space="preserve">to support the conclusion that Buyer will have sufficient adjusted taxable income to deduct the interest on the $190 million Term Loan A (≈$16 million/year at SOFR + 350 bps). A $58 million EBITDA on ~$87 million of revenue implies a ~67% EBITDA margin, which is unusually high for a healthcare analytics/software business and is not corroborated by any other document (the Thornfield Report and Asset Valuation do not state a consolidated EBITDA; Beacon alone reports ~$3.2 million EBITDA). If the true EBITDA is materially lower, the 30%-of-ATI limitation could constrain the interest deduction.</w:t>
      </w:r>
      <w:r>
        <w:t xml:space="preserve"> </w:t>
      </w:r>
      <w:r>
        <w:rPr>
          <w:b/>
          <w:bCs/>
        </w:rPr>
        <w:t xml:space="preserve">Recommended:</w:t>
      </w:r>
      <w:r>
        <w:t xml:space="preserve"> </w:t>
      </w:r>
      <w:r>
        <w:t xml:space="preserve">corroborate the EBITDA figure with the quality-of-earnings analysis and re-test the Section 163(j) capacity at a realistic EBITDA level.</w:t>
      </w:r>
    </w:p>
    <w:p>
      <w:r>
        <w:pict>
          <v:rect style="width:0;height:1.5pt" o:hralign="center" o:hrstd="t" o:hr="t"/>
        </w:pict>
      </w:r>
    </w:p>
    <w:bookmarkEnd w:id="45"/>
    <w:bookmarkEnd w:id="46"/>
    <w:bookmarkStart w:id="47" w:name="vi.-low-severity-findings"/>
    <w:p>
      <w:pPr>
        <w:pStyle w:val="Heading2"/>
      </w:pPr>
      <w:r>
        <w:t xml:space="preserve">VI. Low-Severity Findings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Finding</w:t>
            </w:r>
          </w:p>
        </w:tc>
        <w:tc>
          <w:tcPr/>
          <w:p>
            <w:pPr>
              <w:pStyle w:val="Compact"/>
              <w:jc w:val="left"/>
            </w:pPr>
            <w:r>
              <w:t xml:space="preserve">Detail</w:t>
            </w:r>
          </w:p>
        </w:tc>
      </w:tr>
      <w:tr>
        <w:tc>
          <w:tcPr/>
          <w:p>
            <w:pPr>
              <w:pStyle w:val="Compact"/>
              <w:jc w:val="left"/>
            </w:pPr>
            <w:r>
              <w:t xml:space="preserve">L-1</w:t>
            </w:r>
          </w:p>
        </w:tc>
        <w:tc>
          <w:tcPr/>
          <w:p>
            <w:pPr>
              <w:pStyle w:val="Compact"/>
              <w:jc w:val="left"/>
            </w:pPr>
            <w:r>
              <w:t xml:space="preserve">NC 2025 individual income tax rate</w:t>
            </w:r>
          </w:p>
        </w:tc>
        <w:tc>
          <w:tcPr/>
          <w:p>
            <w:pPr>
              <w:pStyle w:val="Compact"/>
              <w:jc w:val="left"/>
            </w:pPr>
            <w:r>
              <w:t xml:space="preserve">The Memo states 4.5% for 2025. Under recent North Carolina legislation the 2025 individual rate was reduced to 4.25% (from 4.5% in 2024). Verify and update.</w:t>
            </w:r>
          </w:p>
        </w:tc>
      </w:tr>
      <w:tr>
        <w:tc>
          <w:tcPr/>
          <w:p>
            <w:pPr>
              <w:pStyle w:val="Compact"/>
              <w:jc w:val="left"/>
            </w:pPr>
            <w:r>
              <w:t xml:space="preserve">L-2</w:t>
            </w:r>
          </w:p>
        </w:tc>
        <w:tc>
          <w:tcPr/>
          <w:p>
            <w:pPr>
              <w:pStyle w:val="Compact"/>
              <w:jc w:val="left"/>
            </w:pPr>
            <w:r>
              <w:t xml:space="preserve">Document naming</w:t>
            </w:r>
          </w:p>
        </w:tc>
        <w:tc>
          <w:tcPr/>
          <w:p>
            <w:pPr>
              <w:pStyle w:val="Compact"/>
              <w:jc w:val="left"/>
            </w:pPr>
            <w:r>
              <w:t xml:space="preserve">The Memo repeatedly refers to a</w:t>
            </w:r>
            <w:r>
              <w:t xml:space="preserve"> </w:t>
            </w:r>
            <w:r>
              <w:t xml:space="preserve">“</w:t>
            </w:r>
            <w:r>
              <w:t xml:space="preserve">Stock Purchase Agreement dated January 28, 2025.</w:t>
            </w:r>
            <w:r>
              <w:t xml:space="preserve">”</w:t>
            </w:r>
            <w:r>
              <w:t xml:space="preserve"> </w:t>
            </w:r>
            <w:r>
              <w:t xml:space="preserve">The executed document is an</w:t>
            </w:r>
            <w:r>
              <w:t xml:space="preserve"> </w:t>
            </w:r>
            <w:r>
              <w:t xml:space="preserve">“</w:t>
            </w:r>
            <w:r>
              <w:t xml:space="preserve">Agreement and Plan of Merger.</w:t>
            </w:r>
            <w:r>
              <w:t xml:space="preserve">”</w:t>
            </w:r>
            <w:r>
              <w:t xml:space="preserve"> </w:t>
            </w:r>
            <w:r>
              <w:t xml:space="preserve">Use the correct instrument name.</w:t>
            </w:r>
          </w:p>
        </w:tc>
      </w:tr>
      <w:tr>
        <w:tc>
          <w:tcPr/>
          <w:p>
            <w:pPr>
              <w:pStyle w:val="Compact"/>
              <w:jc w:val="left"/>
            </w:pPr>
            <w:r>
              <w:t xml:space="preserve">L-3</w:t>
            </w:r>
          </w:p>
        </w:tc>
        <w:tc>
          <w:tcPr/>
          <w:p>
            <w:pPr>
              <w:pStyle w:val="Compact"/>
              <w:jc w:val="left"/>
            </w:pPr>
            <w:r>
              <w:t xml:space="preserve">Thornfield Report date</w:t>
            </w:r>
          </w:p>
        </w:tc>
        <w:tc>
          <w:tcPr/>
          <w:p>
            <w:pPr>
              <w:pStyle w:val="Compact"/>
              <w:jc w:val="left"/>
            </w:pPr>
            <w:r>
              <w:t xml:space="preserve">The Memo cites the due diligence report as</w:t>
            </w:r>
            <w:r>
              <w:t xml:space="preserve"> </w:t>
            </w:r>
            <w:r>
              <w:t xml:space="preserve">“</w:t>
            </w:r>
            <w:r>
              <w:t xml:space="preserve">dated January 10, 2025.</w:t>
            </w:r>
            <w:r>
              <w:t xml:space="preserve">”</w:t>
            </w:r>
            <w:r>
              <w:t xml:space="preserve"> </w:t>
            </w:r>
            <w:r>
              <w:t xml:space="preserve">The report is dated January 15, 2025 (it relies on information through January 10, 2025). Correct the citation.</w:t>
            </w:r>
          </w:p>
        </w:tc>
      </w:tr>
      <w:tr>
        <w:tc>
          <w:tcPr/>
          <w:p>
            <w:pPr>
              <w:pStyle w:val="Compact"/>
              <w:jc w:val="left"/>
            </w:pPr>
            <w:r>
              <w:t xml:space="preserve">L-4</w:t>
            </w:r>
          </w:p>
        </w:tc>
        <w:tc>
          <w:tcPr/>
          <w:p>
            <w:pPr>
              <w:pStyle w:val="Compact"/>
              <w:jc w:val="left"/>
            </w:pPr>
            <w:r>
              <w:t xml:space="preserve">Dr. Chandra stock basis estimate</w:t>
            </w:r>
          </w:p>
        </w:tc>
        <w:tc>
          <w:tcPr/>
          <w:p>
            <w:pPr>
              <w:pStyle w:val="Compact"/>
              <w:jc w:val="left"/>
            </w:pPr>
            <w:r>
              <w:t xml:space="preserve">The Memo estimates Chandra’s stock basis at ~$1,500,000. The Cap Table shows founder shares at $0.001 par, i.e., a total cost basis of $1,014. The estimate is inaccurate (though the dollar impact is negligible given the ~$192M gain).</w:t>
            </w:r>
          </w:p>
        </w:tc>
      </w:tr>
      <w:tr>
        <w:tc>
          <w:tcPr/>
          <w:p>
            <w:pPr>
              <w:pStyle w:val="Compact"/>
              <w:jc w:val="left"/>
            </w:pPr>
            <w:r>
              <w:t xml:space="preserve">L-5</w:t>
            </w:r>
          </w:p>
        </w:tc>
        <w:tc>
          <w:tcPr/>
          <w:p>
            <w:pPr>
              <w:pStyle w:val="Compact"/>
              <w:jc w:val="left"/>
            </w:pPr>
            <w:r>
              <w:t xml:space="preserve">Rollover vehicle identity</w:t>
            </w:r>
          </w:p>
        </w:tc>
        <w:tc>
          <w:tcPr/>
          <w:p>
            <w:pPr>
              <w:pStyle w:val="Compact"/>
              <w:jc w:val="left"/>
            </w:pPr>
            <w:r>
              <w:t xml:space="preserve">The Memo refers to rollover into</w:t>
            </w:r>
            <w:r>
              <w:t xml:space="preserve"> </w:t>
            </w:r>
            <w:r>
              <w:t xml:space="preserve">“</w:t>
            </w:r>
            <w:r>
              <w:t xml:space="preserve">Newco</w:t>
            </w:r>
            <w:r>
              <w:t xml:space="preserve">”</w:t>
            </w:r>
            <w:r>
              <w:t xml:space="preserve">; the Merger Agreement refers to</w:t>
            </w:r>
            <w:r>
              <w:t xml:space="preserve"> </w:t>
            </w:r>
            <w:r>
              <w:t xml:space="preserve">“</w:t>
            </w:r>
            <w:r>
              <w:t xml:space="preserve">Parent (or a designated acquisition vehicle thereof)</w:t>
            </w:r>
            <w:r>
              <w:t xml:space="preserve">”</w:t>
            </w:r>
            <w:r>
              <w:t xml:space="preserve">; the Cap Table refers to</w:t>
            </w:r>
            <w:r>
              <w:t xml:space="preserve"> </w:t>
            </w:r>
            <w:r>
              <w:t xml:space="preserve">“</w:t>
            </w:r>
            <w:r>
              <w:t xml:space="preserve">Ridgeline Acquisition Sub, Inc.</w:t>
            </w:r>
            <w:r>
              <w:t xml:space="preserve">”</w:t>
            </w:r>
            <w:r>
              <w:t xml:space="preserve"> </w:t>
            </w:r>
            <w:r>
              <w:t xml:space="preserve">(Merger Sub, which ceases to exist in the merger). The Cap Table’s description appears incorrect; reconcile the rollover vehicle.</w:t>
            </w:r>
          </w:p>
        </w:tc>
      </w:tr>
      <w:tr>
        <w:tc>
          <w:tcPr/>
          <w:p>
            <w:pPr>
              <w:pStyle w:val="Compact"/>
              <w:jc w:val="left"/>
            </w:pPr>
            <w:r>
              <w:t xml:space="preserve">L-6</w:t>
            </w:r>
          </w:p>
        </w:tc>
        <w:tc>
          <w:tcPr/>
          <w:p>
            <w:pPr>
              <w:pStyle w:val="Compact"/>
              <w:jc w:val="left"/>
            </w:pPr>
            <w:r>
              <w:t xml:space="preserve">H-1B holder nationality</w:t>
            </w:r>
          </w:p>
        </w:tc>
        <w:tc>
          <w:tcPr/>
          <w:p>
            <w:pPr>
              <w:pStyle w:val="Compact"/>
              <w:jc w:val="left"/>
            </w:pPr>
            <w:r>
              <w:t xml:space="preserve">The Thornfield Report describes the H-1B holder as a</w:t>
            </w:r>
            <w:r>
              <w:t xml:space="preserve"> </w:t>
            </w:r>
            <w:r>
              <w:t xml:space="preserve">“</w:t>
            </w:r>
            <w:r>
              <w:t xml:space="preserve">Canadian national.</w:t>
            </w:r>
            <w:r>
              <w:t xml:space="preserve">”</w:t>
            </w:r>
            <w:r>
              <w:t xml:space="preserve"> </w:t>
            </w:r>
            <w:r>
              <w:t xml:space="preserve">The Cap Table identifies Lin Wei Zhang as a citizen of the People’s Republic of China. Cross-document inconsistency (does not change the eligibility concern but should be corrected).</w:t>
            </w:r>
          </w:p>
        </w:tc>
      </w:tr>
      <w:tr>
        <w:tc>
          <w:tcPr/>
          <w:p>
            <w:pPr>
              <w:pStyle w:val="Compact"/>
              <w:jc w:val="left"/>
            </w:pPr>
            <w:r>
              <w:t xml:space="preserve">L-7</w:t>
            </w:r>
          </w:p>
        </w:tc>
        <w:tc>
          <w:tcPr/>
          <w:p>
            <w:pPr>
              <w:pStyle w:val="Compact"/>
              <w:jc w:val="left"/>
            </w:pPr>
            <w:r>
              <w:t xml:space="preserve">Asset Valuation reconciliation note</w:t>
            </w:r>
          </w:p>
        </w:tc>
        <w:tc>
          <w:tcPr/>
          <w:p>
            <w:pPr>
              <w:pStyle w:val="Compact"/>
              <w:jc w:val="left"/>
            </w:pPr>
            <w:r>
              <w:t xml:space="preserve">The Asset Valuation’s Note 2 states the Memo’s Class V</w:t>
            </w:r>
            <w:r>
              <w:t xml:space="preserve"> </w:t>
            </w:r>
            <w:r>
              <w:t xml:space="preserve">“</w:t>
            </w:r>
            <w:r>
              <w:t xml:space="preserve">does not appear to include the $28,500,000 Beacon interest,</w:t>
            </w:r>
            <w:r>
              <w:t xml:space="preserve">”</w:t>
            </w:r>
            <w:r>
              <w:t xml:space="preserve"> </w:t>
            </w:r>
            <w:r>
              <w:t xml:space="preserve">but the Memo does include it. The actual Class V variance is the developed-technology understatement and the omitted government licenses (see M-9). Thornfield should correct its reconciliation note.</w:t>
            </w:r>
          </w:p>
        </w:tc>
      </w:tr>
      <w:tr>
        <w:tc>
          <w:tcPr/>
          <w:p>
            <w:pPr>
              <w:pStyle w:val="Compact"/>
              <w:jc w:val="left"/>
            </w:pPr>
            <w:r>
              <w:t xml:space="preserve">L-8</w:t>
            </w:r>
          </w:p>
        </w:tc>
        <w:tc>
          <w:tcPr/>
          <w:p>
            <w:pPr>
              <w:pStyle w:val="Compact"/>
              <w:jc w:val="left"/>
            </w:pPr>
            <w:r>
              <w:t xml:space="preserve">New York sales tax exposure</w:t>
            </w:r>
          </w:p>
        </w:tc>
        <w:tc>
          <w:tcPr/>
          <w:p>
            <w:pPr>
              <w:pStyle w:val="Compact"/>
              <w:jc w:val="left"/>
            </w:pPr>
            <w:r>
              <w:t xml:space="preserve">The Thornfield Report (Section X.A) flags $150,000–$300,000 of New York SaaS sales-tax exposure (Prism has not collected New York sales tax on SaaS subscriptions). The Memo does not mention it. Address as a pre-closing indemnity item.</w:t>
            </w:r>
          </w:p>
        </w:tc>
      </w:tr>
      <w:tr>
        <w:tc>
          <w:tcPr/>
          <w:p>
            <w:pPr>
              <w:pStyle w:val="Compact"/>
              <w:jc w:val="left"/>
            </w:pPr>
            <w:r>
              <w:t xml:space="preserve">L-9</w:t>
            </w:r>
          </w:p>
        </w:tc>
        <w:tc>
          <w:tcPr/>
          <w:p>
            <w:pPr>
              <w:pStyle w:val="Compact"/>
              <w:jc w:val="left"/>
            </w:pPr>
            <w:r>
              <w:t xml:space="preserve">New York separate S election</w:t>
            </w:r>
          </w:p>
        </w:tc>
        <w:tc>
          <w:tcPr/>
          <w:p>
            <w:pPr>
              <w:pStyle w:val="Compact"/>
              <w:jc w:val="left"/>
            </w:pPr>
            <w:r>
              <w:t xml:space="preserve">The Thornfield Report (Section V.B) notes New York requires a separate state-level S election (Form CT-6, effective 2019). The Memo’s New York discussion is cursory and does not address the separate election or its interaction with the federal S election validity.</w:t>
            </w:r>
          </w:p>
        </w:tc>
      </w:tr>
      <w:tr>
        <w:tc>
          <w:tcPr/>
          <w:p>
            <w:pPr>
              <w:pStyle w:val="Compact"/>
              <w:jc w:val="left"/>
            </w:pPr>
            <w:r>
              <w:t xml:space="preserve">L-10</w:t>
            </w:r>
          </w:p>
        </w:tc>
        <w:tc>
          <w:tcPr/>
          <w:p>
            <w:pPr>
              <w:pStyle w:val="Compact"/>
              <w:jc w:val="left"/>
            </w:pPr>
            <w:r>
              <w:t xml:space="preserve">Effective tax rate vs. post-closing conversion</w:t>
            </w:r>
          </w:p>
        </w:tc>
        <w:tc>
          <w:tcPr/>
          <w:p>
            <w:pPr>
              <w:pStyle w:val="Compact"/>
              <w:jc w:val="left"/>
            </w:pPr>
            <w:r>
              <w:t xml:space="preserve">The Memo computes Buyer’s tax savings at a 25% combined C corporation rate, but also recommends converting Prism to a disregarded entity/partnership post-closing (where deductions flow to partners at individual rates). The 25% assumption is inconsistent with the conversion recommendation.</w:t>
            </w:r>
          </w:p>
        </w:tc>
      </w:tr>
      <w:tr>
        <w:tc>
          <w:tcPr/>
          <w:p>
            <w:pPr>
              <w:pStyle w:val="Compact"/>
              <w:jc w:val="left"/>
            </w:pPr>
            <w:r>
              <w:t xml:space="preserve">L-11</w:t>
            </w:r>
          </w:p>
        </w:tc>
        <w:tc>
          <w:tcPr/>
          <w:p>
            <w:pPr>
              <w:pStyle w:val="Compact"/>
              <w:jc w:val="left"/>
            </w:pPr>
            <w:r>
              <w:t xml:space="preserve">Section 708 / Section 754 / Beacon look-through</w:t>
            </w:r>
          </w:p>
        </w:tc>
        <w:tc>
          <w:tcPr/>
          <w:p>
            <w:pPr>
              <w:pStyle w:val="Compact"/>
              <w:jc w:val="left"/>
            </w:pPr>
            <w:r>
              <w:t xml:space="preserve">The deemed sale of 80.5% of Beacon would have triggered a partnership technical termination under former Section 708(b)(1)(B), but that rule was repealed by the TCJA (effective for tax years beginning after December 31, 2017) — likely a non-issue under current law, but the Memo does not address it. Separately, the Asset Valuation recommends evaluating a Section 754 election and a look-through of Beacon’s underlying assets for the step-up amortization; the Memo does not address either.</w:t>
            </w:r>
          </w:p>
        </w:tc>
      </w:tr>
      <w:tr>
        <w:tc>
          <w:tcPr/>
          <w:p>
            <w:pPr>
              <w:pStyle w:val="Compact"/>
              <w:jc w:val="left"/>
            </w:pPr>
            <w:r>
              <w:t xml:space="preserve">L-12</w:t>
            </w:r>
          </w:p>
        </w:tc>
        <w:tc>
          <w:tcPr/>
          <w:p>
            <w:pPr>
              <w:pStyle w:val="Compact"/>
              <w:jc w:val="left"/>
            </w:pPr>
            <w:r>
              <w:t xml:space="preserve">Non-compete classification in the 338(h)(10)</w:t>
            </w:r>
          </w:p>
        </w:tc>
        <w:tc>
          <w:tcPr/>
          <w:p>
            <w:pPr>
              <w:pStyle w:val="Compact"/>
              <w:jc w:val="left"/>
            </w:pPr>
            <w:r>
              <w:t xml:space="preserve">The Memo allocates $15 million to non-compete agreements as a Class VI asset in the ADSP allocation. In a 338(h)(10), covenants not to compete with selling shareholders are generally separate contractual rights obtained by Buyer directly from the shareholders rather than assets of old target sold in the deemed asset sale; the treatment should be confirmed. (The Asset Valuation A-013 also classifies non-competes as Class VI, so this is consistent with Thornfield, but the structural treatment warrants confirmation.)</w:t>
            </w:r>
          </w:p>
        </w:tc>
      </w:tr>
    </w:tbl>
    <w:p>
      <w:r>
        <w:pict>
          <v:rect style="width:0;height:1.5pt" o:hralign="center" o:hrstd="t" o:hr="t"/>
        </w:pict>
      </w:r>
    </w:p>
    <w:bookmarkEnd w:id="47"/>
    <w:bookmarkStart w:id="48" w:name="vii.-consolidated-findings-table"/>
    <w:p>
      <w:pPr>
        <w:pStyle w:val="Heading2"/>
      </w:pPr>
      <w:r>
        <w:t xml:space="preserve">VII. Consolidated Findings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Severity</w:t>
            </w:r>
          </w:p>
        </w:tc>
        <w:tc>
          <w:tcPr/>
          <w:p>
            <w:pPr>
              <w:pStyle w:val="Compact"/>
              <w:jc w:val="left"/>
            </w:pPr>
            <w:r>
              <w:t xml:space="preserve">Finding</w:t>
            </w:r>
          </w:p>
        </w:tc>
        <w:tc>
          <w:tcPr/>
          <w:p>
            <w:pPr>
              <w:pStyle w:val="Compact"/>
              <w:jc w:val="left"/>
            </w:pPr>
            <w:r>
              <w:t xml:space="preserve">Primary source of the inconsistency</w:t>
            </w:r>
          </w:p>
        </w:tc>
      </w:tr>
      <w:tr>
        <w:tc>
          <w:tcPr/>
          <w:p>
            <w:pPr>
              <w:pStyle w:val="Compact"/>
              <w:jc w:val="left"/>
            </w:pPr>
            <w:r>
              <w:t xml:space="preserve">C-1</w:t>
            </w:r>
          </w:p>
        </w:tc>
        <w:tc>
          <w:tcPr/>
          <w:p>
            <w:pPr>
              <w:pStyle w:val="Compact"/>
              <w:jc w:val="left"/>
            </w:pPr>
            <w:r>
              <w:t xml:space="preserve">Critical</w:t>
            </w:r>
          </w:p>
        </w:tc>
        <w:tc>
          <w:tcPr/>
          <w:p>
            <w:pPr>
              <w:pStyle w:val="Compact"/>
              <w:jc w:val="left"/>
            </w:pPr>
            <w:r>
              <w:t xml:space="preserve">S election validity contradicted by due diligence; threshold requirement for 338(h)(10)</w:t>
            </w:r>
          </w:p>
        </w:tc>
        <w:tc>
          <w:tcPr/>
          <w:p>
            <w:pPr>
              <w:pStyle w:val="Compact"/>
              <w:jc w:val="left"/>
            </w:pPr>
            <w:r>
              <w:t xml:space="preserve">Thornfield Report §III.B; Cap Table; Merger Agreement §§2.5, 4.9(a), 8.2(c)</w:t>
            </w:r>
          </w:p>
        </w:tc>
      </w:tr>
      <w:tr>
        <w:tc>
          <w:tcPr/>
          <w:p>
            <w:pPr>
              <w:pStyle w:val="Compact"/>
              <w:jc w:val="left"/>
            </w:pPr>
            <w:r>
              <w:t xml:space="preserve">C-2</w:t>
            </w:r>
          </w:p>
        </w:tc>
        <w:tc>
          <w:tcPr/>
          <w:p>
            <w:pPr>
              <w:pStyle w:val="Compact"/>
              <w:jc w:val="left"/>
            </w:pPr>
            <w:r>
              <w:t xml:space="preserve">Critical</w:t>
            </w:r>
          </w:p>
        </w:tc>
        <w:tc>
          <w:tcPr/>
          <w:p>
            <w:pPr>
              <w:pStyle w:val="Compact"/>
              <w:jc w:val="left"/>
            </w:pPr>
            <w:r>
              <w:t xml:space="preserve">ADSP overstated $48M (double-counts funded debt); $473M vs. $425M</w:t>
            </w:r>
          </w:p>
        </w:tc>
        <w:tc>
          <w:tcPr/>
          <w:p>
            <w:pPr>
              <w:pStyle w:val="Compact"/>
              <w:jc w:val="left"/>
            </w:pPr>
            <w:r>
              <w:t xml:space="preserve">Asset Valuation; Memo’s own equity bridge</w:t>
            </w:r>
          </w:p>
        </w:tc>
      </w:tr>
      <w:tr>
        <w:tc>
          <w:tcPr/>
          <w:p>
            <w:pPr>
              <w:pStyle w:val="Compact"/>
              <w:jc w:val="left"/>
            </w:pPr>
            <w:r>
              <w:t xml:space="preserve">C-3</w:t>
            </w:r>
          </w:p>
        </w:tc>
        <w:tc>
          <w:tcPr/>
          <w:p>
            <w:pPr>
              <w:pStyle w:val="Compact"/>
              <w:jc w:val="left"/>
            </w:pPr>
            <w:r>
              <w:t xml:space="preserve">Critical</w:t>
            </w:r>
          </w:p>
        </w:tc>
        <w:tc>
          <w:tcPr/>
          <w:p>
            <w:pPr>
              <w:pStyle w:val="Compact"/>
              <w:jc w:val="left"/>
            </w:pPr>
            <w:r>
              <w:t xml:space="preserve">Aggregate tax basis understated ~$21.5M; deemed sale gain overstated ~$69.5M</w:t>
            </w:r>
          </w:p>
        </w:tc>
        <w:tc>
          <w:tcPr/>
          <w:p>
            <w:pPr>
              <w:pStyle w:val="Compact"/>
              <w:jc w:val="left"/>
            </w:pPr>
            <w:r>
              <w:t xml:space="preserve">Asset Valuation asset register ($64.3M) vs. Memo ($42.8M)</w:t>
            </w:r>
          </w:p>
        </w:tc>
      </w:tr>
      <w:tr>
        <w:tc>
          <w:tcPr/>
          <w:p>
            <w:pPr>
              <w:pStyle w:val="Compact"/>
              <w:jc w:val="left"/>
            </w:pPr>
            <w:r>
              <w:t xml:space="preserve">C-4</w:t>
            </w:r>
          </w:p>
        </w:tc>
        <w:tc>
          <w:tcPr/>
          <w:p>
            <w:pPr>
              <w:pStyle w:val="Compact"/>
              <w:jc w:val="left"/>
            </w:pPr>
            <w:r>
              <w:t xml:space="preserve">Critical</w:t>
            </w:r>
          </w:p>
        </w:tc>
        <w:tc>
          <w:tcPr/>
          <w:p>
            <w:pPr>
              <w:pStyle w:val="Compact"/>
              <w:jc w:val="left"/>
            </w:pPr>
            <w:r>
              <w:t xml:space="preserve">QSBS analysis omitted despite express request and counsel’s written promise</w:t>
            </w:r>
          </w:p>
        </w:tc>
        <w:tc>
          <w:tcPr/>
          <w:p>
            <w:pPr>
              <w:pStyle w:val="Compact"/>
              <w:jc w:val="left"/>
            </w:pPr>
            <w:r>
              <w:t xml:space="preserve">QSBS Email Thread; Cap Table; Memo (silent)</w:t>
            </w:r>
          </w:p>
        </w:tc>
      </w:tr>
      <w:tr>
        <w:tc>
          <w:tcPr/>
          <w:p>
            <w:pPr>
              <w:pStyle w:val="Compact"/>
              <w:jc w:val="left"/>
            </w:pPr>
            <w:r>
              <w:t xml:space="preserve">C-5</w:t>
            </w:r>
          </w:p>
        </w:tc>
        <w:tc>
          <w:tcPr/>
          <w:p>
            <w:pPr>
              <w:pStyle w:val="Compact"/>
              <w:jc w:val="left"/>
            </w:pPr>
            <w:r>
              <w:t xml:space="preserve">Critical</w:t>
            </w:r>
          </w:p>
        </w:tc>
        <w:tc>
          <w:tcPr/>
          <w:p>
            <w:pPr>
              <w:pStyle w:val="Compact"/>
              <w:jc w:val="left"/>
            </w:pPr>
            <w:r>
              <w:t xml:space="preserve">Escrow installment deferral contradicts Merger Agreement §7.4 and is likely incorrect</w:t>
            </w:r>
          </w:p>
        </w:tc>
        <w:tc>
          <w:tcPr/>
          <w:p>
            <w:pPr>
              <w:pStyle w:val="Compact"/>
              <w:jc w:val="left"/>
            </w:pPr>
            <w:r>
              <w:t xml:space="preserve">Merger Agreement §7.4 vs. Memo §V.C</w:t>
            </w:r>
          </w:p>
        </w:tc>
      </w:tr>
      <w:tr>
        <w:tc>
          <w:tcPr/>
          <w:p>
            <w:pPr>
              <w:pStyle w:val="Compact"/>
              <w:jc w:val="left"/>
            </w:pPr>
            <w:r>
              <w:t xml:space="preserve">H-1</w:t>
            </w:r>
          </w:p>
        </w:tc>
        <w:tc>
          <w:tcPr/>
          <w:p>
            <w:pPr>
              <w:pStyle w:val="Compact"/>
              <w:jc w:val="left"/>
            </w:pPr>
            <w:r>
              <w:t xml:space="preserve">High</w:t>
            </w:r>
          </w:p>
        </w:tc>
        <w:tc>
          <w:tcPr/>
          <w:p>
            <w:pPr>
              <w:pStyle w:val="Compact"/>
              <w:jc w:val="left"/>
            </w:pPr>
            <w:r>
              <w:t xml:space="preserve">Beacon change-of-control ROFR triggered by merger; not adequately addressed</w:t>
            </w:r>
          </w:p>
        </w:tc>
        <w:tc>
          <w:tcPr/>
          <w:p>
            <w:pPr>
              <w:pStyle w:val="Compact"/>
              <w:jc w:val="left"/>
            </w:pPr>
            <w:r>
              <w:t xml:space="preserve">Beacon OA §8.03(a)(ii), §8.04; Merger Agreement §8.2(g)</w:t>
            </w:r>
          </w:p>
        </w:tc>
      </w:tr>
      <w:tr>
        <w:tc>
          <w:tcPr/>
          <w:p>
            <w:pPr>
              <w:pStyle w:val="Compact"/>
              <w:jc w:val="left"/>
            </w:pPr>
            <w:r>
              <w:t xml:space="preserve">H-2</w:t>
            </w:r>
          </w:p>
        </w:tc>
        <w:tc>
          <w:tcPr/>
          <w:p>
            <w:pPr>
              <w:pStyle w:val="Compact"/>
              <w:jc w:val="left"/>
            </w:pPr>
            <w:r>
              <w:t xml:space="preserve">High</w:t>
            </w:r>
          </w:p>
        </w:tc>
        <w:tc>
          <w:tcPr/>
          <w:p>
            <w:pPr>
              <w:pStyle w:val="Compact"/>
              <w:jc w:val="left"/>
            </w:pPr>
            <w:r>
              <w:t xml:space="preserve">California 338(h)(10) non-conformity; entity-level tax analysis likely incorrect</w:t>
            </w:r>
          </w:p>
        </w:tc>
        <w:tc>
          <w:tcPr/>
          <w:p>
            <w:pPr>
              <w:pStyle w:val="Compact"/>
              <w:jc w:val="left"/>
            </w:pPr>
            <w:r>
              <w:t xml:space="preserve">CA R&amp;TC §23801.5 (C-corp only) vs. Memo §VI.B</w:t>
            </w:r>
          </w:p>
        </w:tc>
      </w:tr>
      <w:tr>
        <w:tc>
          <w:tcPr/>
          <w:p>
            <w:pPr>
              <w:pStyle w:val="Compact"/>
              <w:jc w:val="left"/>
            </w:pPr>
            <w:r>
              <w:t xml:space="preserve">H-3</w:t>
            </w:r>
          </w:p>
        </w:tc>
        <w:tc>
          <w:tcPr/>
          <w:p>
            <w:pPr>
              <w:pStyle w:val="Compact"/>
              <w:jc w:val="left"/>
            </w:pPr>
            <w:r>
              <w:t xml:space="preserve">High</w:t>
            </w:r>
          </w:p>
        </w:tc>
        <w:tc>
          <w:tcPr/>
          <w:p>
            <w:pPr>
              <w:pStyle w:val="Compact"/>
              <w:jc w:val="left"/>
            </w:pPr>
            <w:r>
              <w:t xml:space="preserve">Counsel’s role inconsistent (Buyer’s counsel vs. </w:t>
            </w:r>
            <w:r>
              <w:t xml:space="preserve">“</w:t>
            </w:r>
            <w:r>
              <w:t xml:space="preserve">Company counsel</w:t>
            </w:r>
            <w:r>
              <w:t xml:space="preserve">”</w:t>
            </w:r>
            <w:r>
              <w:t xml:space="preserve">); $2.2M fee</w:t>
            </w:r>
          </w:p>
        </w:tc>
        <w:tc>
          <w:tcPr/>
          <w:p>
            <w:pPr>
              <w:pStyle w:val="Compact"/>
              <w:jc w:val="left"/>
            </w:pPr>
            <w:r>
              <w:t xml:space="preserve">Merger Agreement §2.6(b) vs. Memo, Thornfield, QSBS Email</w:t>
            </w:r>
          </w:p>
        </w:tc>
      </w:tr>
      <w:tr>
        <w:tc>
          <w:tcPr/>
          <w:p>
            <w:pPr>
              <w:pStyle w:val="Compact"/>
              <w:jc w:val="left"/>
            </w:pPr>
            <w:r>
              <w:t xml:space="preserve">H-4</w:t>
            </w:r>
          </w:p>
        </w:tc>
        <w:tc>
          <w:tcPr/>
          <w:p>
            <w:pPr>
              <w:pStyle w:val="Compact"/>
              <w:jc w:val="left"/>
            </w:pPr>
            <w:r>
              <w:t xml:space="preserve">High</w:t>
            </w:r>
          </w:p>
        </w:tc>
        <w:tc>
          <w:tcPr/>
          <w:p>
            <w:pPr>
              <w:pStyle w:val="Compact"/>
              <w:jc w:val="left"/>
            </w:pPr>
            <w:r>
              <w:t xml:space="preserve">NC Data Processing License non-transferable; ~$19M govt business at risk; downplayed</w:t>
            </w:r>
          </w:p>
        </w:tc>
        <w:tc>
          <w:tcPr/>
          <w:p>
            <w:pPr>
              <w:pStyle w:val="Compact"/>
              <w:jc w:val="left"/>
            </w:pPr>
            <w:r>
              <w:t xml:space="preserve">Merger Agreement §4.9(i); Asset Valuation A-008 vs. Memo §VI.A/IX.A</w:t>
            </w:r>
          </w:p>
        </w:tc>
      </w:tr>
      <w:tr>
        <w:tc>
          <w:tcPr/>
          <w:p>
            <w:pPr>
              <w:pStyle w:val="Compact"/>
              <w:jc w:val="left"/>
            </w:pPr>
            <w:r>
              <w:t xml:space="preserve">H-5</w:t>
            </w:r>
          </w:p>
        </w:tc>
        <w:tc>
          <w:tcPr/>
          <w:p>
            <w:pPr>
              <w:pStyle w:val="Compact"/>
              <w:jc w:val="left"/>
            </w:pPr>
            <w:r>
              <w:t xml:space="preserve">High</w:t>
            </w:r>
          </w:p>
        </w:tc>
        <w:tc>
          <w:tcPr/>
          <w:p>
            <w:pPr>
              <w:pStyle w:val="Compact"/>
              <w:jc w:val="left"/>
            </w:pPr>
            <w:r>
              <w:t xml:space="preserve">Section 482 exposure (~$6.3M) omitted; arm’s-length representation may be inaccurate</w:t>
            </w:r>
          </w:p>
        </w:tc>
        <w:tc>
          <w:tcPr/>
          <w:p>
            <w:pPr>
              <w:pStyle w:val="Compact"/>
              <w:jc w:val="left"/>
            </w:pPr>
            <w:r>
              <w:t xml:space="preserve">Thornfield Report §VII; Beacon OA §§9.01–9.02; Merger Agreement §4.9(h)</w:t>
            </w:r>
          </w:p>
        </w:tc>
      </w:tr>
      <w:tr>
        <w:tc>
          <w:tcPr/>
          <w:p>
            <w:pPr>
              <w:pStyle w:val="Compact"/>
              <w:jc w:val="left"/>
            </w:pPr>
            <w:r>
              <w:t xml:space="preserve">M-1</w:t>
            </w:r>
          </w:p>
        </w:tc>
        <w:tc>
          <w:tcPr/>
          <w:p>
            <w:pPr>
              <w:pStyle w:val="Compact"/>
              <w:jc w:val="left"/>
            </w:pPr>
            <w:r>
              <w:t xml:space="preserve">Moderate</w:t>
            </w:r>
          </w:p>
        </w:tc>
        <w:tc>
          <w:tcPr/>
          <w:p>
            <w:pPr>
              <w:pStyle w:val="Compact"/>
              <w:jc w:val="left"/>
            </w:pPr>
            <w:r>
              <w:t xml:space="preserve">Beacon IP License auto-terminates on change of control of Prism</w:t>
            </w:r>
          </w:p>
        </w:tc>
        <w:tc>
          <w:tcPr/>
          <w:p>
            <w:pPr>
              <w:pStyle w:val="Compact"/>
              <w:jc w:val="left"/>
            </w:pPr>
            <w:r>
              <w:t xml:space="preserve">Beacon OA §9.02</w:t>
            </w:r>
          </w:p>
        </w:tc>
      </w:tr>
      <w:tr>
        <w:tc>
          <w:tcPr/>
          <w:p>
            <w:pPr>
              <w:pStyle w:val="Compact"/>
              <w:jc w:val="left"/>
            </w:pPr>
            <w:r>
              <w:t xml:space="preserve">M-2</w:t>
            </w:r>
          </w:p>
        </w:tc>
        <w:tc>
          <w:tcPr/>
          <w:p>
            <w:pPr>
              <w:pStyle w:val="Compact"/>
              <w:jc w:val="left"/>
            </w:pPr>
            <w:r>
              <w:t xml:space="preserve">Moderate</w:t>
            </w:r>
          </w:p>
        </w:tc>
        <w:tc>
          <w:tcPr/>
          <w:p>
            <w:pPr>
              <w:pStyle w:val="Compact"/>
              <w:jc w:val="left"/>
            </w:pPr>
            <w:r>
              <w:t xml:space="preserve">Shareholder count/residency inconsistent (14 vs. 17; 11 vs. 14 NC)</w:t>
            </w:r>
          </w:p>
        </w:tc>
        <w:tc>
          <w:tcPr/>
          <w:p>
            <w:pPr>
              <w:pStyle w:val="Compact"/>
              <w:jc w:val="left"/>
            </w:pPr>
            <w:r>
              <w:t xml:space="preserve">Cap Table vs. Memo §II.A</w:t>
            </w:r>
          </w:p>
        </w:tc>
      </w:tr>
      <w:tr>
        <w:tc>
          <w:tcPr/>
          <w:p>
            <w:pPr>
              <w:pStyle w:val="Compact"/>
              <w:jc w:val="left"/>
            </w:pPr>
            <w:r>
              <w:t xml:space="preserve">M-3</w:t>
            </w:r>
          </w:p>
        </w:tc>
        <w:tc>
          <w:tcPr/>
          <w:p>
            <w:pPr>
              <w:pStyle w:val="Compact"/>
              <w:jc w:val="left"/>
            </w:pPr>
            <w:r>
              <w:t xml:space="preserve">Moderate</w:t>
            </w:r>
          </w:p>
        </w:tc>
        <w:tc>
          <w:tcPr/>
          <w:p>
            <w:pPr>
              <w:pStyle w:val="Compact"/>
              <w:jc w:val="left"/>
            </w:pPr>
            <w:r>
              <w:t xml:space="preserve">Consideration allocation to restricted-stock holders not reconciled (basic vs. FD)</w:t>
            </w:r>
          </w:p>
        </w:tc>
        <w:tc>
          <w:tcPr/>
          <w:p>
            <w:pPr>
              <w:pStyle w:val="Compact"/>
              <w:jc w:val="left"/>
            </w:pPr>
            <w:r>
              <w:t xml:space="preserve">Cap Table waterfall vs. Memo §II.C; Merger Agreement §2.6(d)</w:t>
            </w:r>
          </w:p>
        </w:tc>
      </w:tr>
      <w:tr>
        <w:tc>
          <w:tcPr/>
          <w:p>
            <w:pPr>
              <w:pStyle w:val="Compact"/>
              <w:jc w:val="left"/>
            </w:pPr>
            <w:r>
              <w:t xml:space="preserve">M-4</w:t>
            </w:r>
          </w:p>
        </w:tc>
        <w:tc>
          <w:tcPr/>
          <w:p>
            <w:pPr>
              <w:pStyle w:val="Compact"/>
              <w:jc w:val="left"/>
            </w:pPr>
            <w:r>
              <w:t xml:space="preserve">Moderate</w:t>
            </w:r>
          </w:p>
        </w:tc>
        <w:tc>
          <w:tcPr/>
          <w:p>
            <w:pPr>
              <w:pStyle w:val="Compact"/>
              <w:jc w:val="left"/>
            </w:pPr>
            <w:r>
              <w:t xml:space="preserve">Section 751 hot-asset characterization of Beacon gain not addressed</w:t>
            </w:r>
          </w:p>
        </w:tc>
        <w:tc>
          <w:tcPr/>
          <w:p>
            <w:pPr>
              <w:pStyle w:val="Compact"/>
              <w:jc w:val="left"/>
            </w:pPr>
            <w:r>
              <w:t xml:space="preserve">Thornfield Report §VI.B; Beacon OA §6.05 vs. Memo §V.A/VIII</w:t>
            </w:r>
          </w:p>
        </w:tc>
      </w:tr>
      <w:tr>
        <w:tc>
          <w:tcPr/>
          <w:p>
            <w:pPr>
              <w:pStyle w:val="Compact"/>
              <w:jc w:val="left"/>
            </w:pPr>
            <w:r>
              <w:t xml:space="preserve">M-5</w:t>
            </w:r>
          </w:p>
        </w:tc>
        <w:tc>
          <w:tcPr/>
          <w:p>
            <w:pPr>
              <w:pStyle w:val="Compact"/>
              <w:jc w:val="left"/>
            </w:pPr>
            <w:r>
              <w:t xml:space="preserve">Moderate</w:t>
            </w:r>
          </w:p>
        </w:tc>
        <w:tc>
          <w:tcPr/>
          <w:p>
            <w:pPr>
              <w:pStyle w:val="Compact"/>
              <w:jc w:val="left"/>
            </w:pPr>
            <w:r>
              <w:t xml:space="preserve">Deemed liquidation distribution characterization (AAA/AE&amp;P) omitted</w:t>
            </w:r>
          </w:p>
        </w:tc>
        <w:tc>
          <w:tcPr/>
          <w:p>
            <w:pPr>
              <w:pStyle w:val="Compact"/>
              <w:jc w:val="left"/>
            </w:pPr>
            <w:r>
              <w:t xml:space="preserve">Thornfield Report §IX.C vs. Memo §V</w:t>
            </w:r>
          </w:p>
        </w:tc>
      </w:tr>
      <w:tr>
        <w:tc>
          <w:tcPr/>
          <w:p>
            <w:pPr>
              <w:pStyle w:val="Compact"/>
              <w:jc w:val="left"/>
            </w:pPr>
            <w:r>
              <w:t xml:space="preserve">M-6</w:t>
            </w:r>
          </w:p>
        </w:tc>
        <w:tc>
          <w:tcPr/>
          <w:p>
            <w:pPr>
              <w:pStyle w:val="Compact"/>
              <w:jc w:val="left"/>
            </w:pPr>
            <w:r>
              <w:t xml:space="preserve">Moderate</w:t>
            </w:r>
          </w:p>
        </w:tc>
        <w:tc>
          <w:tcPr/>
          <w:p>
            <w:pPr>
              <w:pStyle w:val="Compact"/>
              <w:jc w:val="left"/>
            </w:pPr>
            <w:r>
              <w:t xml:space="preserve">Section 1411 NIIT / material-participation exception not analyzed</w:t>
            </w:r>
          </w:p>
        </w:tc>
        <w:tc>
          <w:tcPr/>
          <w:p>
            <w:pPr>
              <w:pStyle w:val="Compact"/>
              <w:jc w:val="left"/>
            </w:pPr>
            <w:r>
              <w:t xml:space="preserve">Memo §V.A (assumes 3.8% applies)</w:t>
            </w:r>
          </w:p>
        </w:tc>
      </w:tr>
      <w:tr>
        <w:tc>
          <w:tcPr/>
          <w:p>
            <w:pPr>
              <w:pStyle w:val="Compact"/>
              <w:jc w:val="left"/>
            </w:pPr>
            <w:r>
              <w:t xml:space="preserve">M-7</w:t>
            </w:r>
          </w:p>
        </w:tc>
        <w:tc>
          <w:tcPr/>
          <w:p>
            <w:pPr>
              <w:pStyle w:val="Compact"/>
              <w:jc w:val="left"/>
            </w:pPr>
            <w:r>
              <w:t xml:space="preserve">Moderate</w:t>
            </w:r>
          </w:p>
        </w:tc>
        <w:tc>
          <w:tcPr/>
          <w:p>
            <w:pPr>
              <w:pStyle w:val="Compact"/>
              <w:jc w:val="left"/>
            </w:pPr>
            <w:r>
              <w:t xml:space="preserve">Section 280G golden parachute not addressed</w:t>
            </w:r>
          </w:p>
        </w:tc>
        <w:tc>
          <w:tcPr/>
          <w:p>
            <w:pPr>
              <w:pStyle w:val="Compact"/>
              <w:jc w:val="left"/>
            </w:pPr>
            <w:r>
              <w:t xml:space="preserve">Merger Agreement §§2.6(e),(f), 8.2(e),(f)</w:t>
            </w:r>
          </w:p>
        </w:tc>
      </w:tr>
      <w:tr>
        <w:tc>
          <w:tcPr/>
          <w:p>
            <w:pPr>
              <w:pStyle w:val="Compact"/>
              <w:jc w:val="left"/>
            </w:pPr>
            <w:r>
              <w:t xml:space="preserve">M-8</w:t>
            </w:r>
          </w:p>
        </w:tc>
        <w:tc>
          <w:tcPr/>
          <w:p>
            <w:pPr>
              <w:pStyle w:val="Compact"/>
              <w:jc w:val="left"/>
            </w:pPr>
            <w:r>
              <w:t xml:space="preserve">Moderate</w:t>
            </w:r>
          </w:p>
        </w:tc>
        <w:tc>
          <w:tcPr/>
          <w:p>
            <w:pPr>
              <w:pStyle w:val="Compact"/>
              <w:jc w:val="left"/>
            </w:pPr>
            <w:r>
              <w:t xml:space="preserve">$3.8M suspended R&amp;D credits’ risk of permanent loss not analyzed</w:t>
            </w:r>
          </w:p>
        </w:tc>
        <w:tc>
          <w:tcPr/>
          <w:p>
            <w:pPr>
              <w:pStyle w:val="Compact"/>
              <w:jc w:val="left"/>
            </w:pPr>
            <w:r>
              <w:t xml:space="preserve">Thornfield Report §§IV.B, IX.A vs. Memo §III.D</w:t>
            </w:r>
          </w:p>
        </w:tc>
      </w:tr>
      <w:tr>
        <w:tc>
          <w:tcPr/>
          <w:p>
            <w:pPr>
              <w:pStyle w:val="Compact"/>
              <w:jc w:val="left"/>
            </w:pPr>
            <w:r>
              <w:t xml:space="preserve">M-9</w:t>
            </w:r>
          </w:p>
        </w:tc>
        <w:tc>
          <w:tcPr/>
          <w:p>
            <w:pPr>
              <w:pStyle w:val="Compact"/>
              <w:jc w:val="left"/>
            </w:pPr>
            <w:r>
              <w:t xml:space="preserve">Moderate</w:t>
            </w:r>
          </w:p>
        </w:tc>
        <w:tc>
          <w:tcPr/>
          <w:p>
            <w:pPr>
              <w:pStyle w:val="Compact"/>
              <w:jc w:val="left"/>
            </w:pPr>
            <w:r>
              <w:t xml:space="preserve">Class V understates developed technology ($19M vs. $41.8M) and omits $5.7M govt licenses</w:t>
            </w:r>
          </w:p>
        </w:tc>
        <w:tc>
          <w:tcPr/>
          <w:p>
            <w:pPr>
              <w:pStyle w:val="Compact"/>
              <w:jc w:val="left"/>
            </w:pPr>
            <w:r>
              <w:t xml:space="preserve">Asset Valuation vs. Memo §IV.C</w:t>
            </w:r>
          </w:p>
        </w:tc>
      </w:tr>
      <w:tr>
        <w:tc>
          <w:tcPr/>
          <w:p>
            <w:pPr>
              <w:pStyle w:val="Compact"/>
              <w:jc w:val="left"/>
            </w:pPr>
            <w:r>
              <w:t xml:space="preserve">M-10</w:t>
            </w:r>
          </w:p>
        </w:tc>
        <w:tc>
          <w:tcPr/>
          <w:p>
            <w:pPr>
              <w:pStyle w:val="Compact"/>
              <w:jc w:val="left"/>
            </w:pPr>
            <w:r>
              <w:t xml:space="preserve">Moderate</w:t>
            </w:r>
          </w:p>
        </w:tc>
        <w:tc>
          <w:tcPr/>
          <w:p>
            <w:pPr>
              <w:pStyle w:val="Compact"/>
              <w:jc w:val="left"/>
            </w:pPr>
            <w:r>
              <w:t xml:space="preserve">Buyer D&amp;A incomplete and based on overstated ADSP</w:t>
            </w:r>
          </w:p>
        </w:tc>
        <w:tc>
          <w:tcPr/>
          <w:p>
            <w:pPr>
              <w:pStyle w:val="Compact"/>
              <w:jc w:val="left"/>
            </w:pPr>
            <w:r>
              <w:t xml:space="preserve">Asset Valuation vs. Memo §VII.A</w:t>
            </w:r>
          </w:p>
        </w:tc>
      </w:tr>
      <w:tr>
        <w:tc>
          <w:tcPr/>
          <w:p>
            <w:pPr>
              <w:pStyle w:val="Compact"/>
              <w:jc w:val="left"/>
            </w:pPr>
            <w:r>
              <w:t xml:space="preserve">M-11</w:t>
            </w:r>
          </w:p>
        </w:tc>
        <w:tc>
          <w:tcPr/>
          <w:p>
            <w:pPr>
              <w:pStyle w:val="Compact"/>
              <w:jc w:val="left"/>
            </w:pPr>
            <w:r>
              <w:t xml:space="preserve">Moderate</w:t>
            </w:r>
          </w:p>
        </w:tc>
        <w:tc>
          <w:tcPr/>
          <w:p>
            <w:pPr>
              <w:pStyle w:val="Compact"/>
              <w:jc w:val="left"/>
            </w:pPr>
            <w:r>
              <w:t xml:space="preserve">Section 163(j) EBITDA ($58M) unsupported; ~67% margin implausible</w:t>
            </w:r>
          </w:p>
        </w:tc>
        <w:tc>
          <w:tcPr/>
          <w:p>
            <w:pPr>
              <w:pStyle w:val="Compact"/>
              <w:jc w:val="left"/>
            </w:pPr>
            <w:r>
              <w:t xml:space="preserve">Memo §VII.B (no corroboration)</w:t>
            </w:r>
          </w:p>
        </w:tc>
      </w:tr>
      <w:tr>
        <w:tc>
          <w:tcPr/>
          <w:p>
            <w:pPr>
              <w:pStyle w:val="Compact"/>
              <w:jc w:val="left"/>
            </w:pPr>
            <w:r>
              <w:t xml:space="preserve">L-1</w:t>
            </w:r>
          </w:p>
        </w:tc>
        <w:tc>
          <w:tcPr/>
          <w:p>
            <w:pPr>
              <w:pStyle w:val="Compact"/>
              <w:jc w:val="left"/>
            </w:pPr>
            <w:r>
              <w:t xml:space="preserve">Low</w:t>
            </w:r>
          </w:p>
        </w:tc>
        <w:tc>
          <w:tcPr/>
          <w:p>
            <w:pPr>
              <w:pStyle w:val="Compact"/>
              <w:jc w:val="left"/>
            </w:pPr>
            <w:r>
              <w:t xml:space="preserve">NC 2025 individual rate 4.5% vs. 4.25%</w:t>
            </w:r>
          </w:p>
        </w:tc>
        <w:tc>
          <w:tcPr/>
          <w:p>
            <w:pPr>
              <w:pStyle w:val="Compact"/>
              <w:jc w:val="left"/>
            </w:pPr>
            <w:r>
              <w:t xml:space="preserve">Memo §VI.A</w:t>
            </w:r>
          </w:p>
        </w:tc>
      </w:tr>
      <w:tr>
        <w:tc>
          <w:tcPr/>
          <w:p>
            <w:pPr>
              <w:pStyle w:val="Compact"/>
              <w:jc w:val="left"/>
            </w:pPr>
            <w:r>
              <w:t xml:space="preserve">L-2</w:t>
            </w:r>
          </w:p>
        </w:tc>
        <w:tc>
          <w:tcPr/>
          <w:p>
            <w:pPr>
              <w:pStyle w:val="Compact"/>
              <w:jc w:val="left"/>
            </w:pPr>
            <w:r>
              <w:t xml:space="preserve">Low</w:t>
            </w:r>
          </w:p>
        </w:tc>
        <w:tc>
          <w:tcPr/>
          <w:p>
            <w:pPr>
              <w:pStyle w:val="Compact"/>
              <w:jc w:val="left"/>
            </w:pPr>
            <w:r>
              <w:t xml:space="preserve">“</w:t>
            </w:r>
            <w:r>
              <w:t xml:space="preserve">Stock Purchase Agreement</w:t>
            </w:r>
            <w:r>
              <w:t xml:space="preserve">”</w:t>
            </w:r>
            <w:r>
              <w:t xml:space="preserve"> </w:t>
            </w:r>
            <w:r>
              <w:t xml:space="preserve">vs. </w:t>
            </w:r>
            <w:r>
              <w:t xml:space="preserve">“</w:t>
            </w:r>
            <w:r>
              <w:t xml:space="preserve">Agreement and Plan of Merger</w:t>
            </w:r>
            <w:r>
              <w:t xml:space="preserve">”</w:t>
            </w:r>
          </w:p>
        </w:tc>
        <w:tc>
          <w:tcPr/>
          <w:p>
            <w:pPr>
              <w:pStyle w:val="Compact"/>
              <w:jc w:val="left"/>
            </w:pPr>
            <w:r>
              <w:t xml:space="preserve">Merger Agreement title vs. Memo</w:t>
            </w:r>
          </w:p>
        </w:tc>
      </w:tr>
      <w:tr>
        <w:tc>
          <w:tcPr/>
          <w:p>
            <w:pPr>
              <w:pStyle w:val="Compact"/>
              <w:jc w:val="left"/>
            </w:pPr>
            <w:r>
              <w:t xml:space="preserve">L-3</w:t>
            </w:r>
          </w:p>
        </w:tc>
        <w:tc>
          <w:tcPr/>
          <w:p>
            <w:pPr>
              <w:pStyle w:val="Compact"/>
              <w:jc w:val="left"/>
            </w:pPr>
            <w:r>
              <w:t xml:space="preserve">Low</w:t>
            </w:r>
          </w:p>
        </w:tc>
        <w:tc>
          <w:tcPr/>
          <w:p>
            <w:pPr>
              <w:pStyle w:val="Compact"/>
              <w:jc w:val="left"/>
            </w:pPr>
            <w:r>
              <w:t xml:space="preserve">Thornfield Report date Jan 10 vs. Jan 15</w:t>
            </w:r>
          </w:p>
        </w:tc>
        <w:tc>
          <w:tcPr/>
          <w:p>
            <w:pPr>
              <w:pStyle w:val="Compact"/>
              <w:jc w:val="left"/>
            </w:pPr>
            <w:r>
              <w:t xml:space="preserve">Thornfield Report vs. Memo</w:t>
            </w:r>
          </w:p>
        </w:tc>
      </w:tr>
      <w:tr>
        <w:tc>
          <w:tcPr/>
          <w:p>
            <w:pPr>
              <w:pStyle w:val="Compact"/>
              <w:jc w:val="left"/>
            </w:pPr>
            <w:r>
              <w:t xml:space="preserve">L-4</w:t>
            </w:r>
          </w:p>
        </w:tc>
        <w:tc>
          <w:tcPr/>
          <w:p>
            <w:pPr>
              <w:pStyle w:val="Compact"/>
              <w:jc w:val="left"/>
            </w:pPr>
            <w:r>
              <w:t xml:space="preserve">Low</w:t>
            </w:r>
          </w:p>
        </w:tc>
        <w:tc>
          <w:tcPr/>
          <w:p>
            <w:pPr>
              <w:pStyle w:val="Compact"/>
              <w:jc w:val="left"/>
            </w:pPr>
            <w:r>
              <w:t xml:space="preserve">Chandra stock basis $1.5M vs. $1,014</w:t>
            </w:r>
          </w:p>
        </w:tc>
        <w:tc>
          <w:tcPr/>
          <w:p>
            <w:pPr>
              <w:pStyle w:val="Compact"/>
              <w:jc w:val="left"/>
            </w:pPr>
            <w:r>
              <w:t xml:space="preserve">Cap Table vs. Memo §V.B</w:t>
            </w:r>
          </w:p>
        </w:tc>
      </w:tr>
      <w:tr>
        <w:tc>
          <w:tcPr/>
          <w:p>
            <w:pPr>
              <w:pStyle w:val="Compact"/>
              <w:jc w:val="left"/>
            </w:pPr>
            <w:r>
              <w:t xml:space="preserve">L-5</w:t>
            </w:r>
          </w:p>
        </w:tc>
        <w:tc>
          <w:tcPr/>
          <w:p>
            <w:pPr>
              <w:pStyle w:val="Compact"/>
              <w:jc w:val="left"/>
            </w:pPr>
            <w:r>
              <w:t xml:space="preserve">Low</w:t>
            </w:r>
          </w:p>
        </w:tc>
        <w:tc>
          <w:tcPr/>
          <w:p>
            <w:pPr>
              <w:pStyle w:val="Compact"/>
              <w:jc w:val="left"/>
            </w:pPr>
            <w:r>
              <w:t xml:space="preserve">Rollover vehicle identity inconsistent</w:t>
            </w:r>
          </w:p>
        </w:tc>
        <w:tc>
          <w:tcPr/>
          <w:p>
            <w:pPr>
              <w:pStyle w:val="Compact"/>
              <w:jc w:val="left"/>
            </w:pPr>
            <w:r>
              <w:t xml:space="preserve">Cap Table vs. Merger Agreement vs. Memo</w:t>
            </w:r>
          </w:p>
        </w:tc>
      </w:tr>
      <w:tr>
        <w:tc>
          <w:tcPr/>
          <w:p>
            <w:pPr>
              <w:pStyle w:val="Compact"/>
              <w:jc w:val="left"/>
            </w:pPr>
            <w:r>
              <w:t xml:space="preserve">L-6</w:t>
            </w:r>
          </w:p>
        </w:tc>
        <w:tc>
          <w:tcPr/>
          <w:p>
            <w:pPr>
              <w:pStyle w:val="Compact"/>
              <w:jc w:val="left"/>
            </w:pPr>
            <w:r>
              <w:t xml:space="preserve">Low</w:t>
            </w:r>
          </w:p>
        </w:tc>
        <w:tc>
          <w:tcPr/>
          <w:p>
            <w:pPr>
              <w:pStyle w:val="Compact"/>
              <w:jc w:val="left"/>
            </w:pPr>
            <w:r>
              <w:t xml:space="preserve">H-1B holder nationality Canadian vs. PRC</w:t>
            </w:r>
          </w:p>
        </w:tc>
        <w:tc>
          <w:tcPr/>
          <w:p>
            <w:pPr>
              <w:pStyle w:val="Compact"/>
              <w:jc w:val="left"/>
            </w:pPr>
            <w:r>
              <w:t xml:space="preserve">Thornfield Report vs. Cap Table</w:t>
            </w:r>
          </w:p>
        </w:tc>
      </w:tr>
      <w:tr>
        <w:tc>
          <w:tcPr/>
          <w:p>
            <w:pPr>
              <w:pStyle w:val="Compact"/>
              <w:jc w:val="left"/>
            </w:pPr>
            <w:r>
              <w:t xml:space="preserve">L-7</w:t>
            </w:r>
          </w:p>
        </w:tc>
        <w:tc>
          <w:tcPr/>
          <w:p>
            <w:pPr>
              <w:pStyle w:val="Compact"/>
              <w:jc w:val="left"/>
            </w:pPr>
            <w:r>
              <w:t xml:space="preserve">Low</w:t>
            </w:r>
          </w:p>
        </w:tc>
        <w:tc>
          <w:tcPr/>
          <w:p>
            <w:pPr>
              <w:pStyle w:val="Compact"/>
              <w:jc w:val="left"/>
            </w:pPr>
            <w:r>
              <w:t xml:space="preserve">Asset Valuation Note 2 misattributes Class V variance</w:t>
            </w:r>
          </w:p>
        </w:tc>
        <w:tc>
          <w:tcPr/>
          <w:p>
            <w:pPr>
              <w:pStyle w:val="Compact"/>
              <w:jc w:val="left"/>
            </w:pPr>
            <w:r>
              <w:t xml:space="preserve">Asset Valuation Note 2</w:t>
            </w:r>
          </w:p>
        </w:tc>
      </w:tr>
      <w:tr>
        <w:tc>
          <w:tcPr/>
          <w:p>
            <w:pPr>
              <w:pStyle w:val="Compact"/>
              <w:jc w:val="left"/>
            </w:pPr>
            <w:r>
              <w:t xml:space="preserve">L-8</w:t>
            </w:r>
          </w:p>
        </w:tc>
        <w:tc>
          <w:tcPr/>
          <w:p>
            <w:pPr>
              <w:pStyle w:val="Compact"/>
              <w:jc w:val="left"/>
            </w:pPr>
            <w:r>
              <w:t xml:space="preserve">Low</w:t>
            </w:r>
          </w:p>
        </w:tc>
        <w:tc>
          <w:tcPr/>
          <w:p>
            <w:pPr>
              <w:pStyle w:val="Compact"/>
              <w:jc w:val="left"/>
            </w:pPr>
            <w:r>
              <w:t xml:space="preserve">NY sales tax exposure ($150–300K) not mentioned</w:t>
            </w:r>
          </w:p>
        </w:tc>
        <w:tc>
          <w:tcPr/>
          <w:p>
            <w:pPr>
              <w:pStyle w:val="Compact"/>
              <w:jc w:val="left"/>
            </w:pPr>
            <w:r>
              <w:t xml:space="preserve">Thornfield Report §X.A</w:t>
            </w:r>
          </w:p>
        </w:tc>
      </w:tr>
      <w:tr>
        <w:tc>
          <w:tcPr/>
          <w:p>
            <w:pPr>
              <w:pStyle w:val="Compact"/>
              <w:jc w:val="left"/>
            </w:pPr>
            <w:r>
              <w:t xml:space="preserve">L-9</w:t>
            </w:r>
          </w:p>
        </w:tc>
        <w:tc>
          <w:tcPr/>
          <w:p>
            <w:pPr>
              <w:pStyle w:val="Compact"/>
              <w:jc w:val="left"/>
            </w:pPr>
            <w:r>
              <w:t xml:space="preserve">Low</w:t>
            </w:r>
          </w:p>
        </w:tc>
        <w:tc>
          <w:tcPr/>
          <w:p>
            <w:pPr>
              <w:pStyle w:val="Compact"/>
              <w:jc w:val="left"/>
            </w:pPr>
            <w:r>
              <w:t xml:space="preserve">NY separate S election (CT-6) not addressed</w:t>
            </w:r>
          </w:p>
        </w:tc>
        <w:tc>
          <w:tcPr/>
          <w:p>
            <w:pPr>
              <w:pStyle w:val="Compact"/>
              <w:jc w:val="left"/>
            </w:pPr>
            <w:r>
              <w:t xml:space="preserve">Thornfield Report §V.B</w:t>
            </w:r>
          </w:p>
        </w:tc>
      </w:tr>
      <w:tr>
        <w:tc>
          <w:tcPr/>
          <w:p>
            <w:pPr>
              <w:pStyle w:val="Compact"/>
              <w:jc w:val="left"/>
            </w:pPr>
            <w:r>
              <w:t xml:space="preserve">L-10</w:t>
            </w:r>
          </w:p>
        </w:tc>
        <w:tc>
          <w:tcPr/>
          <w:p>
            <w:pPr>
              <w:pStyle w:val="Compact"/>
              <w:jc w:val="left"/>
            </w:pPr>
            <w:r>
              <w:t xml:space="preserve">Low</w:t>
            </w:r>
          </w:p>
        </w:tc>
        <w:tc>
          <w:tcPr/>
          <w:p>
            <w:pPr>
              <w:pStyle w:val="Compact"/>
              <w:jc w:val="left"/>
            </w:pPr>
            <w:r>
              <w:t xml:space="preserve">25% tax rate vs. post-closing conversion recommendation</w:t>
            </w:r>
          </w:p>
        </w:tc>
        <w:tc>
          <w:tcPr/>
          <w:p>
            <w:pPr>
              <w:pStyle w:val="Compact"/>
              <w:jc w:val="left"/>
            </w:pPr>
            <w:r>
              <w:t xml:space="preserve">Memo §VII.A vs. §VII.B</w:t>
            </w:r>
          </w:p>
        </w:tc>
      </w:tr>
      <w:tr>
        <w:tc>
          <w:tcPr/>
          <w:p>
            <w:pPr>
              <w:pStyle w:val="Compact"/>
              <w:jc w:val="left"/>
            </w:pPr>
            <w:r>
              <w:t xml:space="preserve">L-11</w:t>
            </w:r>
          </w:p>
        </w:tc>
        <w:tc>
          <w:tcPr/>
          <w:p>
            <w:pPr>
              <w:pStyle w:val="Compact"/>
              <w:jc w:val="left"/>
            </w:pPr>
            <w:r>
              <w:t xml:space="preserve">Low</w:t>
            </w:r>
          </w:p>
        </w:tc>
        <w:tc>
          <w:tcPr/>
          <w:p>
            <w:pPr>
              <w:pStyle w:val="Compact"/>
              <w:jc w:val="left"/>
            </w:pPr>
            <w:r>
              <w:t xml:space="preserve">Section 708 / 754 / Beacon look-through not addressed</w:t>
            </w:r>
          </w:p>
        </w:tc>
        <w:tc>
          <w:tcPr/>
          <w:p>
            <w:pPr>
              <w:pStyle w:val="Compact"/>
              <w:jc w:val="left"/>
            </w:pPr>
            <w:r>
              <w:t xml:space="preserve">Asset Valuation Note 2</w:t>
            </w:r>
          </w:p>
        </w:tc>
      </w:tr>
      <w:tr>
        <w:tc>
          <w:tcPr/>
          <w:p>
            <w:pPr>
              <w:pStyle w:val="Compact"/>
              <w:jc w:val="left"/>
            </w:pPr>
            <w:r>
              <w:t xml:space="preserve">L-12</w:t>
            </w:r>
          </w:p>
        </w:tc>
        <w:tc>
          <w:tcPr/>
          <w:p>
            <w:pPr>
              <w:pStyle w:val="Compact"/>
              <w:jc w:val="left"/>
            </w:pPr>
            <w:r>
              <w:t xml:space="preserve">Low</w:t>
            </w:r>
          </w:p>
        </w:tc>
        <w:tc>
          <w:tcPr/>
          <w:p>
            <w:pPr>
              <w:pStyle w:val="Compact"/>
              <w:jc w:val="left"/>
            </w:pPr>
            <w:r>
              <w:t xml:space="preserve">Non-compete classification in 338(h)(10) to confirm</w:t>
            </w:r>
          </w:p>
        </w:tc>
        <w:tc>
          <w:tcPr/>
          <w:p>
            <w:pPr>
              <w:pStyle w:val="Compact"/>
              <w:jc w:val="left"/>
            </w:pPr>
            <w:r>
              <w:t xml:space="preserve">Memo §IV.C; Asset Valuation A-013</w:t>
            </w:r>
          </w:p>
        </w:tc>
      </w:tr>
    </w:tbl>
    <w:p>
      <w:r>
        <w:pict>
          <v:rect style="width:0;height:1.5pt" o:hralign="center" o:hrstd="t" o:hr="t"/>
        </w:pict>
      </w:r>
    </w:p>
    <w:bookmarkEnd w:id="48"/>
    <w:bookmarkStart w:id="49" w:name="viii.-recommended-next-steps-prioritized"/>
    <w:p>
      <w:pPr>
        <w:pStyle w:val="Heading2"/>
      </w:pPr>
      <w:r>
        <w:t xml:space="preserve">VIII. Recommended Next Steps (Prioritized)</w:t>
      </w:r>
    </w:p>
    <w:p>
      <w:pPr>
        <w:numPr>
          <w:ilvl w:val="0"/>
          <w:numId w:val="1007"/>
        </w:numPr>
      </w:pPr>
      <w:r>
        <w:rPr>
          <w:b/>
          <w:bCs/>
        </w:rPr>
        <w:t xml:space="preserve">Resolve the S election eligibility question (C-1) before closing.</w:t>
      </w:r>
      <w:r>
        <w:t xml:space="preserve"> </w:t>
      </w:r>
      <w:r>
        <w:t xml:space="preserve">This is the gating item. If the S election is invalid, the entire 338(h)(10) structure fails. Obtain the immigration, residency, and entity-classification documentation for the unverified holders; confirm or cure the alleged family-LLC transfer; and confirm the Section 8.2(c) closing condition can be satisfied.</w:t>
      </w:r>
    </w:p>
    <w:p>
      <w:pPr>
        <w:numPr>
          <w:ilvl w:val="0"/>
          <w:numId w:val="1007"/>
        </w:numPr>
      </w:pPr>
      <w:r>
        <w:rPr>
          <w:b/>
          <w:bCs/>
        </w:rPr>
        <w:t xml:space="preserve">Correct the ADSP and tax-basis computations (C-2, C-3) and restate the allocation and per-shareholder gain tables.</w:t>
      </w:r>
      <w:r>
        <w:t xml:space="preserve"> </w:t>
      </w:r>
      <w:r>
        <w:t xml:space="preserve">Adopt the Asset Valuation’s $425 million ADSP and $64.3 million aggregate basis; recompute the deemed sale gain (~$360.7M) and the per-shareholder figures; restate the Class V and Class VII allocations.</w:t>
      </w:r>
    </w:p>
    <w:p>
      <w:pPr>
        <w:numPr>
          <w:ilvl w:val="0"/>
          <w:numId w:val="1007"/>
        </w:numPr>
      </w:pPr>
      <w:r>
        <w:rPr>
          <w:b/>
          <w:bCs/>
        </w:rPr>
        <w:t xml:space="preserve">Produce the promised QSBS analysis (C-4) immediately.</w:t>
      </w:r>
      <w:r>
        <w:t xml:space="preserve"> </w:t>
      </w:r>
      <w:r>
        <w:t xml:space="preserve">Address the C-to-S conversion, the 338(h)(10) interaction, the gross-assets test, the per-shareholder exclusion, and the escrow-timing question. Disclose the trade-off with the election decision so affected shareholders can give informed consent.</w:t>
      </w:r>
    </w:p>
    <w:p>
      <w:pPr>
        <w:numPr>
          <w:ilvl w:val="0"/>
          <w:numId w:val="1007"/>
        </w:numPr>
      </w:pPr>
      <w:r>
        <w:rPr>
          <w:b/>
          <w:bCs/>
        </w:rPr>
        <w:t xml:space="preserve">Conform the escrow tax-treatment discussion (C-5) to Merger Agreement Section 7.4</w:t>
      </w:r>
      <w:r>
        <w:t xml:space="preserve"> </w:t>
      </w:r>
      <w:r>
        <w:t xml:space="preserve">(current-year reporting) and remove the installment-deferral recommendation.</w:t>
      </w:r>
    </w:p>
    <w:p>
      <w:pPr>
        <w:numPr>
          <w:ilvl w:val="0"/>
          <w:numId w:val="1007"/>
        </w:numPr>
      </w:pPr>
      <w:r>
        <w:rPr>
          <w:b/>
          <w:bCs/>
        </w:rPr>
        <w:t xml:space="preserve">Resolve the Beacon ROFR (H-1) and IP License termination (M-1).</w:t>
      </w:r>
      <w:r>
        <w:t xml:space="preserve"> </w:t>
      </w:r>
      <w:r>
        <w:t xml:space="preserve">Confirm the ROFR Notice status and the exercise decision; obtain waivers or complete the ROFR process; negotiate a replacement IP license as a closing deliverable.</w:t>
      </w:r>
    </w:p>
    <w:p>
      <w:pPr>
        <w:numPr>
          <w:ilvl w:val="0"/>
          <w:numId w:val="1007"/>
        </w:numPr>
      </w:pPr>
      <w:r>
        <w:rPr>
          <w:b/>
          <w:bCs/>
        </w:rPr>
        <w:t xml:space="preserve">Revise the California analysis (H-2)</w:t>
      </w:r>
      <w:r>
        <w:t xml:space="preserve"> </w:t>
      </w:r>
      <w:r>
        <w:t xml:space="preserve">to reflect non-conformity and compute the tax at the shareholder level.</w:t>
      </w:r>
    </w:p>
    <w:p>
      <w:pPr>
        <w:numPr>
          <w:ilvl w:val="0"/>
          <w:numId w:val="1007"/>
        </w:numPr>
      </w:pPr>
      <w:r>
        <w:rPr>
          <w:b/>
          <w:bCs/>
        </w:rPr>
        <w:t xml:space="preserve">Reconcile counsel’s role (H-3)</w:t>
      </w:r>
      <w:r>
        <w:t xml:space="preserve"> </w:t>
      </w:r>
      <w:r>
        <w:t xml:space="preserve">and the $2.2 million fee allocation across the documents.</w:t>
      </w:r>
    </w:p>
    <w:p>
      <w:pPr>
        <w:numPr>
          <w:ilvl w:val="0"/>
          <w:numId w:val="1007"/>
        </w:numPr>
      </w:pPr>
      <w:r>
        <w:rPr>
          <w:b/>
          <w:bCs/>
        </w:rPr>
        <w:t xml:space="preserve">Address the NC Data Processing License (H-4)</w:t>
      </w:r>
      <w:r>
        <w:t xml:space="preserve"> </w:t>
      </w:r>
      <w:r>
        <w:t xml:space="preserve">as a closing condition and reflect the $0 valuation and impairment risk.</w:t>
      </w:r>
    </w:p>
    <w:p>
      <w:pPr>
        <w:numPr>
          <w:ilvl w:val="0"/>
          <w:numId w:val="1007"/>
        </w:numPr>
      </w:pPr>
      <w:r>
        <w:rPr>
          <w:b/>
          <w:bCs/>
        </w:rPr>
        <w:t xml:space="preserve">Disclose and allocate the Section 482 exposure (H-5)</w:t>
      </w:r>
      <w:r>
        <w:t xml:space="preserve"> </w:t>
      </w:r>
      <w:r>
        <w:t xml:space="preserve">and reconcile the Section 4.9(h) representation.</w:t>
      </w:r>
    </w:p>
    <w:p>
      <w:pPr>
        <w:numPr>
          <w:ilvl w:val="0"/>
          <w:numId w:val="1007"/>
        </w:numPr>
      </w:pPr>
      <w:r>
        <w:rPr>
          <w:b/>
          <w:bCs/>
        </w:rPr>
        <w:t xml:space="preserve">Complete the secondary analyses (M-2 through M-11):</w:t>
      </w:r>
      <w:r>
        <w:t xml:space="preserve"> </w:t>
      </w:r>
      <w:r>
        <w:t xml:space="preserve">correct the shareholder count; reconcile the consideration allocation; perform the Section 751, AAA/AE&amp;P deemed-liquidation, Section 1411, and Section 280G analyses; analyze the R&amp;D credit preservation; adopt the corrected Class V and Buyer D&amp;A figures; and corroborate the Section 163(j) EBITDA.</w:t>
      </w:r>
    </w:p>
    <w:p>
      <w:r>
        <w:pict>
          <v:rect style="width:0;height:1.5pt" o:hralign="center" o:hrstd="t" o:hr="t"/>
        </w:pict>
      </w:r>
    </w:p>
    <w:bookmarkEnd w:id="49"/>
    <w:bookmarkStart w:id="50" w:name="ix.-limitations"/>
    <w:p>
      <w:pPr>
        <w:pStyle w:val="Heading2"/>
      </w:pPr>
      <w:r>
        <w:t xml:space="preserve">IX. Limitations</w:t>
      </w:r>
    </w:p>
    <w:p>
      <w:pPr>
        <w:pStyle w:val="FirstParagraph"/>
      </w:pPr>
      <w:r>
        <w:t xml:space="preserve">This report is an issue-identification review of the Tax Structure Memorandum against the listed supporting documents. It does not constitute a tax opinion, does not independently verify the factual representations in any source document, and does not opine on the correct resolution of any identified item. Where a finding states that a Memo conclusion is</w:t>
      </w:r>
      <w:r>
        <w:t xml:space="preserve"> </w:t>
      </w:r>
      <w:r>
        <w:t xml:space="preserve">“</w:t>
      </w:r>
      <w:r>
        <w:t xml:space="preserve">likely incorrect</w:t>
      </w:r>
      <w:r>
        <w:t xml:space="preserve">”</w:t>
      </w:r>
      <w:r>
        <w:t xml:space="preserve"> </w:t>
      </w:r>
      <w:r>
        <w:t xml:space="preserve">(for example, the California conformity analysis), the conclusion reflects the reviewer’s assessment based on the documents reviewed and general principles; the parties should confirm the applicable law with qualified tax counsel before relying on any corrected position. Dollar impacts are approximate and are derived from the figures as stated in the source documents. This report was prepared solely to assist the recipient in evaluating the Memo and should be read together with, and not in place of, the underlying deal documents and the advice of qualified tax professionals.</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2026-06-28T22:09:02Z</dcterms:created>
  <dcterms:modified xsi:type="dcterms:W3CDTF">2026-06-28T22:09:02Z</dcterms:modified>
</cp:coreProperties>
</file>

<file path=docProps/custom.xml><?xml version="1.0" encoding="utf-8"?>
<Properties xmlns="http://schemas.openxmlformats.org/officeDocument/2006/custom-properties" xmlns:vt="http://schemas.openxmlformats.org/officeDocument/2006/docPropsVTypes"/>
</file>