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ax-issue-identification-report"/>
    <w:p>
      <w:pPr>
        <w:pStyle w:val="Heading1"/>
      </w:pPr>
      <w:r>
        <w:t xml:space="preserve">Tax Issue Identification Report</w:t>
      </w:r>
    </w:p>
    <w:bookmarkStart w:id="20" w:name="X8eea763a14ba76f01f23a7411ea102cb0e075e6"/>
    <w:p>
      <w:pPr>
        <w:pStyle w:val="Heading2"/>
      </w:pPr>
      <w:r>
        <w:t xml:space="preserve">Review of the Transaction Structure Memorandum — Acquisition of Prism Health Analytics, Inc.</w:t>
      </w:r>
    </w:p>
    <w:p>
      <w:pPr>
        <w:pStyle w:val="FirstParagraph"/>
      </w:pPr>
      <w:r>
        <w:rPr>
          <w:b/>
          <w:bCs/>
        </w:rPr>
        <w:t xml:space="preserve">Prepared for:</w:t>
      </w:r>
      <w:r>
        <w:t xml:space="preserve"> </w:t>
      </w:r>
      <w:r>
        <w:t xml:space="preserve">Ridgeline Capital Partners Fund III, LP — Investment Committee</w:t>
      </w:r>
      <w:r>
        <w:t xml:space="preserve"> </w:t>
      </w:r>
      <w:r>
        <w:rPr>
          <w:b/>
          <w:bCs/>
        </w:rPr>
        <w:t xml:space="preserve">Re:</w:t>
      </w:r>
      <w:r>
        <w:t xml:space="preserve"> </w:t>
      </w:r>
      <w:r>
        <w:t xml:space="preserve">Tax Structure Memorandum dated February 10, 2025, prepared by Calloway, Stern &amp; Whitaker LLP</w:t>
      </w:r>
      <w:r>
        <w:t xml:space="preserve"> </w:t>
      </w:r>
      <w:r>
        <w:rPr>
          <w:b/>
          <w:bCs/>
        </w:rPr>
        <w:t xml:space="preserve">Subject:</w:t>
      </w:r>
      <w:r>
        <w:t xml:space="preserve"> </w:t>
      </w:r>
      <w:r>
        <w:t xml:space="preserve">Issues, Inconsistencies, and Omissions Identified on Cross-Review Against Supporting Deal Documents</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results of a cross-review of the Tax Structure Memorandum prepared by Calloway, Stern &amp; Whitaker LLP (</w:t>
      </w:r>
      <w:r>
        <w:t xml:space="preserve">“</w:t>
      </w:r>
      <w:r>
        <w:t xml:space="preserve">CSW</w:t>
      </w:r>
      <w:r>
        <w:t xml:space="preserve">”</w:t>
      </w:r>
      <w:r>
        <w:t xml:space="preserve"> </w:t>
      </w:r>
      <w:r>
        <w:t xml:space="preserve">or the</w:t>
      </w:r>
      <w:r>
        <w:t xml:space="preserve"> </w:t>
      </w:r>
      <w:r>
        <w:t xml:space="preserve">“</w:t>
      </w:r>
      <w:r>
        <w:t xml:space="preserve">Memo</w:t>
      </w:r>
      <w:r>
        <w:t xml:space="preserve">”</w:t>
      </w:r>
      <w:r>
        <w:t xml:space="preserve">) dated February 10, 2025, against the supporting deal documents for the proposed acquisition of Prism Health Analytics, Inc. (</w:t>
      </w:r>
      <w:r>
        <w:t xml:space="preserve">“</w:t>
      </w:r>
      <w:r>
        <w:t xml:space="preserve">Prism</w:t>
      </w:r>
      <w:r>
        <w:t xml:space="preserve">”</w:t>
      </w:r>
      <w:r>
        <w:t xml:space="preserve">) by Ridgeline Capital Partners Fund III, LP (</w:t>
      </w:r>
      <w:r>
        <w:t xml:space="preserve">“</w:t>
      </w:r>
      <w:r>
        <w:t xml:space="preserve">Ridgeline</w:t>
      </w:r>
      <w:r>
        <w:t xml:space="preserve">”</w:t>
      </w:r>
      <w:r>
        <w:t xml:space="preserve"> </w:t>
      </w:r>
      <w:r>
        <w:t xml:space="preserve">or</w:t>
      </w:r>
      <w:r>
        <w:t xml:space="preserve"> </w:t>
      </w:r>
      <w:r>
        <w:t xml:space="preserve">“</w:t>
      </w:r>
      <w:r>
        <w:t xml:space="preserve">Fund III</w:t>
      </w:r>
      <w:r>
        <w:t xml:space="preserve">”</w:t>
      </w:r>
      <w:r>
        <w:t xml:space="preserve">). The documents reviewed were: (i) the Thornfield Accounting Group, LLP tax due diligence report dated January 15, 2025 (</w:t>
      </w:r>
      <w:r>
        <w:t xml:space="preserve">“</w:t>
      </w:r>
      <w:r>
        <w:t xml:space="preserve">Thornfield Report</w:t>
      </w:r>
      <w:r>
        <w:t xml:space="preserve">”</w:t>
      </w:r>
      <w:r>
        <w:t xml:space="preserve">); (ii) the Thornfield asset valuation summary / preliminary purchase price allocation (</w:t>
      </w:r>
      <w:r>
        <w:t xml:space="preserve">“</w:t>
      </w:r>
      <w:r>
        <w:t xml:space="preserve">Asset Valuation</w:t>
      </w:r>
      <w:r>
        <w:t xml:space="preserve">”</w:t>
      </w:r>
      <w:r>
        <w:t xml:space="preserve">); (iii) the Prism capitalization table as of December 31, 2024 (</w:t>
      </w:r>
      <w:r>
        <w:t xml:space="preserve">“</w:t>
      </w:r>
      <w:r>
        <w:t xml:space="preserve">Cap Table</w:t>
      </w:r>
      <w:r>
        <w:t xml:space="preserve">”</w:t>
      </w:r>
      <w:r>
        <w:t xml:space="preserve">); (iv) the Agreement and Plan of Merger dated January 28, 2025 (</w:t>
      </w:r>
      <w:r>
        <w:t xml:space="preserve">“</w:t>
      </w:r>
      <w:r>
        <w:t xml:space="preserve">Purchase Agreement</w:t>
      </w:r>
      <w:r>
        <w:t xml:space="preserve">”</w:t>
      </w:r>
      <w:r>
        <w:t xml:space="preserve"> </w:t>
      </w:r>
      <w:r>
        <w:t xml:space="preserve">or</w:t>
      </w:r>
      <w:r>
        <w:t xml:space="preserve"> </w:t>
      </w:r>
      <w:r>
        <w:t xml:space="preserve">“</w:t>
      </w:r>
      <w:r>
        <w:t xml:space="preserve">PA</w:t>
      </w:r>
      <w:r>
        <w:t xml:space="preserve">”</w:t>
      </w:r>
      <w:r>
        <w:t xml:space="preserve">); (v) the Amended and Restated Operating Agreement of Beacon Insights, LLC (</w:t>
      </w:r>
      <w:r>
        <w:t xml:space="preserve">“</w:t>
      </w:r>
      <w:r>
        <w:t xml:space="preserve">Beacon OA</w:t>
      </w:r>
      <w:r>
        <w:t xml:space="preserve">”</w:t>
      </w:r>
      <w:r>
        <w:t xml:space="preserve">); and (vi) the email thread between Linden Rock Advisory, LLC and CSW regarding Section 1202 QSBS eligibility (</w:t>
      </w:r>
      <w:r>
        <w:t xml:space="preserve">“</w:t>
      </w:r>
      <w:r>
        <w:t xml:space="preserve">QSBS Email Thread</w:t>
      </w:r>
      <w:r>
        <w:t xml:space="preserve">”</w:t>
      </w:r>
      <w:r>
        <w:t xml:space="preserve">).</w:t>
      </w:r>
    </w:p>
    <w:p>
      <w:pPr>
        <w:pStyle w:val="BodyText"/>
      </w:pPr>
      <w:r>
        <w:t xml:space="preserve">The review identified</w:t>
      </w:r>
      <w:r>
        <w:t xml:space="preserve"> </w:t>
      </w:r>
      <w:r>
        <w:rPr>
          <w:b/>
          <w:bCs/>
        </w:rPr>
        <w:t xml:space="preserve">twenty-four (24) issues</w:t>
      </w:r>
      <w:r>
        <w:t xml:space="preserve">, ranked by severity:</w:t>
      </w:r>
      <w:r>
        <w:t xml:space="preserve"> </w:t>
      </w:r>
      <w:r>
        <w:rPr>
          <w:b/>
          <w:bCs/>
        </w:rPr>
        <w:t xml:space="preserve">3 Critical, 5 High, 9 Moderate, and 7 Low</w:t>
      </w:r>
      <w:r>
        <w:t xml:space="preserve">. The most serious findings are summarized below.</w:t>
      </w:r>
    </w:p>
    <w:p>
      <w:pPr>
        <w:pStyle w:val="BodyText"/>
      </w:pPr>
      <w:r>
        <w:rPr>
          <w:b/>
          <w:bCs/>
        </w:rPr>
        <w:t xml:space="preserve">The Memo’s central tax computation is materially incorrect.</w:t>
      </w:r>
      <w:r>
        <w:t xml:space="preserve"> </w:t>
      </w:r>
      <w:r>
        <w:t xml:space="preserve">The Memo computes the Aggregate Deemed Sale Price (</w:t>
      </w:r>
      <w:r>
        <w:t xml:space="preserve">“</w:t>
      </w:r>
      <w:r>
        <w:t xml:space="preserve">ADSP</w:t>
      </w:r>
      <w:r>
        <w:t xml:space="preserve">”</w:t>
      </w:r>
      <w:r>
        <w:t xml:space="preserve">) as the enterprise value ($425.0M) plus the funded debt ($48.0M), yielding $473.0M. This double-counts the $48.0M of funded debt, which is already embedded in enterprise value (enterprise value = equity value + net debt). Under Treasury Regulation §1.338-4, the ADSP is the grossed-up amount realized on the stock — i.e., the amount realized on the stock sale ($370.0M equity value) plus the target’s liabilities — which Thornfield correctly computes at $425.0M. The $48.0M overstatement cascades through the entire analysis: it inflates the Class VII goodwill residual, the total deemed sale gain, the per-shareholder gain allocations, and the buyer’s amortization deductions. When combined with a separate $28.5M understatement in the Class V allocation (developed technology and omitted government software licenses), the Memo’s goodwill figure of $272.8M is overstated by</w:t>
      </w:r>
      <w:r>
        <w:t xml:space="preserve"> </w:t>
      </w:r>
      <w:r>
        <w:rPr>
          <w:b/>
          <w:bCs/>
        </w:rPr>
        <w:t xml:space="preserve">$76.5M</w:t>
      </w:r>
      <w:r>
        <w:t xml:space="preserve"> </w:t>
      </w:r>
      <w:r>
        <w:t xml:space="preserve">versus the Asset Valuation’s $196.3M.</w:t>
      </w:r>
    </w:p>
    <w:p>
      <w:pPr>
        <w:pStyle w:val="BodyText"/>
      </w:pPr>
      <w:r>
        <w:rPr>
          <w:b/>
          <w:bCs/>
        </w:rPr>
        <w:t xml:space="preserve">The Memo contradicts the most critical due diligence finding and omits it from its analysis.</w:t>
      </w:r>
      <w:r>
        <w:t xml:space="preserve"> </w:t>
      </w:r>
      <w:r>
        <w:t xml:space="preserve">The Memo states that</w:t>
      </w:r>
      <w:r>
        <w:t xml:space="preserve"> </w:t>
      </w:r>
      <w:r>
        <w:t xml:space="preserve">“</w:t>
      </w:r>
      <w:r>
        <w:t xml:space="preserve">no events causing a termination of the S election have been identified</w:t>
      </w:r>
      <w:r>
        <w:t xml:space="preserve">”</w:t>
      </w:r>
      <w:r>
        <w:t xml:space="preserve"> </w:t>
      </w:r>
      <w:r>
        <w:t xml:space="preserve">and that</w:t>
      </w:r>
      <w:r>
        <w:t xml:space="preserve"> </w:t>
      </w:r>
      <w:r>
        <w:t xml:space="preserve">“</w:t>
      </w:r>
      <w:r>
        <w:t xml:space="preserve">we are not aware of any ineligible shareholders.</w:t>
      </w:r>
      <w:r>
        <w:t xml:space="preserve">”</w:t>
      </w:r>
      <w:r>
        <w:t xml:space="preserve"> </w:t>
      </w:r>
      <w:r>
        <w:t xml:space="preserve">This directly contradicts the Thornfield Report, which flags S corporation shareholder eligibility as a</w:t>
      </w:r>
      <w:r>
        <w:t xml:space="preserve"> </w:t>
      </w:r>
      <w:r>
        <w:rPr>
          <w:b/>
          <w:bCs/>
        </w:rPr>
        <w:t xml:space="preserve">Critical</w:t>
      </w:r>
      <w:r>
        <w:t xml:space="preserve"> </w:t>
      </w:r>
      <w:r>
        <w:t xml:space="preserve">open item (two of eight restricted stock holders with unconfirmed eligibility), and the Cap Table, which flags</w:t>
      </w:r>
      <w:r>
        <w:t xml:space="preserve"> </w:t>
      </w:r>
      <w:r>
        <w:rPr>
          <w:b/>
          <w:bCs/>
        </w:rPr>
        <w:t xml:space="preserve">three</w:t>
      </w:r>
      <w:r>
        <w:t xml:space="preserve"> </w:t>
      </w:r>
      <w:r>
        <w:t xml:space="preserve">restricted stock holders with unverified citizenship/residency status. Validity of the S election is a threshold prerequisite for the Section 338(h)(10) election; if the S election was inadvertently terminated in any prior year, the election is unavailable and the entire transaction structure collapses. The Memo does not list this issue among its</w:t>
      </w:r>
      <w:r>
        <w:t xml:space="preserve"> </w:t>
      </w:r>
      <w:r>
        <w:t xml:space="preserve">“</w:t>
      </w:r>
      <w:r>
        <w:t xml:space="preserve">Items Noted for Further Analysis.</w:t>
      </w:r>
      <w:r>
        <w:t xml:space="preserve">”</w:t>
      </w:r>
    </w:p>
    <w:p>
      <w:pPr>
        <w:pStyle w:val="BodyText"/>
      </w:pPr>
      <w:r>
        <w:rPr>
          <w:b/>
          <w:bCs/>
        </w:rPr>
        <w:t xml:space="preserve">The Memo entirely omits the QSBS / Section 1202 analysis.</w:t>
      </w:r>
      <w:r>
        <w:t xml:space="preserve"> </w:t>
      </w:r>
      <w:r>
        <w:t xml:space="preserve">The QSBS Email Thread documents that the selling shareholders’ advisor (Linden Rock) formally requested a QSBS analysis in November 2024, that CSW expressly promised to include a QSBS section in the transaction structure memorandum (November 20, 2024 email), and that Linden Rock followed up on January 6, 2025 reporting that no analysis had been received. The Purchase Agreement was signed on January 28, 2025, and the Memo was issued on February 10, 2025 — yet the Memo contains no QSBS analysis whatsoever. The Cap Table confirms that multiple shareholders acquired shares during the C corporation period (2016) and may have QSBS eligibility, and the interaction between Section 1202 and the Section 338(h)(10) deemed asset sale is a genuine open question with seven-figure after-tax consequences for affected shareholders.</w:t>
      </w:r>
    </w:p>
    <w:p>
      <w:pPr>
        <w:pStyle w:val="BodyText"/>
      </w:pPr>
      <w:r>
        <w:rPr>
          <w:b/>
          <w:bCs/>
        </w:rPr>
        <w:t xml:space="preserve">Additional high-severity issues</w:t>
      </w:r>
      <w:r>
        <w:t xml:space="preserve"> </w:t>
      </w:r>
      <w:r>
        <w:t xml:space="preserve">include: (a) an aggregate adjusted tax basis figure ($42.8M) that does not reconcile to the Asset Valuation ($64.3M), understating the basis by $21.5M and overstating the total deemed sale gain by approximately $69.5M in aggregate; (b) an escrow tax-treatment recommendation (Section 453 installment deferral) that conflicts with the express tax-treatment provision of the Purchase Agreement (§7.4), and that is framed at the wrong taxpayer level for a 338(h)(10) transaction; (c) the Memo’s failure to flag the automatic termination of the Beacon IP license upon a change of control of Prism, which could impair Beacon’s revenue and the $28.5M value of Prism’s Beacon interest; and (d) an incomplete analysis of the rollover equity / 338(h)(10) interaction, including the tax cash-flow burden on the rolling shareholder.</w:t>
      </w:r>
    </w:p>
    <w:p>
      <w:pPr>
        <w:pStyle w:val="BodyText"/>
      </w:pPr>
      <w:r>
        <w:rPr>
          <w:b/>
          <w:bCs/>
        </w:rPr>
        <w:t xml:space="preserve">Overall assessment.</w:t>
      </w:r>
      <w:r>
        <w:t xml:space="preserve"> </w:t>
      </w:r>
      <w:r>
        <w:t xml:space="preserve">The Memo contains foundational computational errors in its core tax analysis and fails to incorporate or address several critical and moderate findings from the supporting due diligence. The errors are not merely presentational — they affect the tax liabilities of both the selling shareholders (overstated gain of approximately $69.5M in the aggregate) and the buyer (amortization deductions built on an overstated goodwill figure that would not withstand IRS examination). The Memo should be revised before any party relies on it, and the Critical and High items should be resolved on or before closing. A consolidated issues log and recommended actions appear in Sections III and IV below.</w:t>
      </w:r>
    </w:p>
    <w:p>
      <w:r>
        <w:pict>
          <v:rect style="width:0;height:1.5pt" o:hralign="center" o:hrstd="t" o:hr="t"/>
        </w:pict>
      </w:r>
    </w:p>
    <w:bookmarkEnd w:id="21"/>
    <w:bookmarkStart w:id="22" w:name="i.-scope-and-methodology"/>
    <w:p>
      <w:pPr>
        <w:pStyle w:val="Heading2"/>
      </w:pPr>
      <w:r>
        <w:t xml:space="preserve">I. Scope and Methodology</w:t>
      </w:r>
    </w:p>
    <w:p>
      <w:pPr>
        <w:pStyle w:val="FirstParagraph"/>
      </w:pPr>
      <w:r>
        <w:rPr>
          <w:b/>
          <w:bCs/>
        </w:rPr>
        <w:t xml:space="preserve">Subject of review.</w:t>
      </w:r>
      <w:r>
        <w:t xml:space="preserve"> </w:t>
      </w:r>
      <w:r>
        <w:t xml:space="preserve">The Tax Structure Memorandum dated February 10, 2025, prepared by CSW for Ridgeline Capital Partners Fund III, LP, analyzing the federal and state income tax consequences of the proposed reverse triangular merger acquisition of Prism Health Analytics, Inc. with a joint Section 338(h)(10) election.</w:t>
      </w:r>
    </w:p>
    <w:p>
      <w:pPr>
        <w:pStyle w:val="BodyText"/>
      </w:pPr>
      <w:r>
        <w:rPr>
          <w:b/>
          <w:bCs/>
        </w:rPr>
        <w:t xml:space="preserve">Supporting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Tax Due Diligence Report</w:t>
            </w:r>
          </w:p>
        </w:tc>
        <w:tc>
          <w:tcPr/>
          <w:p>
            <w:pPr>
              <w:pStyle w:val="Compact"/>
              <w:jc w:val="left"/>
            </w:pPr>
            <w:r>
              <w:t xml:space="preserve">Thornfield Accounting Group, LLP</w:t>
            </w:r>
          </w:p>
        </w:tc>
        <w:tc>
          <w:tcPr/>
          <w:p>
            <w:pPr>
              <w:pStyle w:val="Compact"/>
              <w:jc w:val="left"/>
            </w:pPr>
            <w:r>
              <w:t xml:space="preserve">January 15, 2025</w:t>
            </w:r>
          </w:p>
        </w:tc>
      </w:tr>
      <w:tr>
        <w:tc>
          <w:tcPr/>
          <w:p>
            <w:pPr>
              <w:pStyle w:val="Compact"/>
              <w:jc w:val="left"/>
            </w:pPr>
            <w:r>
              <w:t xml:space="preserve">Asset Valuation Summary / Preliminary PPA</w:t>
            </w:r>
          </w:p>
        </w:tc>
        <w:tc>
          <w:tcPr/>
          <w:p>
            <w:pPr>
              <w:pStyle w:val="Compact"/>
              <w:jc w:val="left"/>
            </w:pPr>
            <w:r>
              <w:t xml:space="preserve">Thornfield Accounting Group, LLP</w:t>
            </w:r>
          </w:p>
        </w:tc>
        <w:tc>
          <w:tcPr/>
          <w:p>
            <w:pPr>
              <w:pStyle w:val="Compact"/>
              <w:jc w:val="left"/>
            </w:pPr>
            <w:r>
              <w:t xml:space="preserve">(draft, pre-closing)</w:t>
            </w:r>
          </w:p>
        </w:tc>
      </w:tr>
      <w:tr>
        <w:tc>
          <w:tcPr/>
          <w:p>
            <w:pPr>
              <w:pStyle w:val="Compact"/>
              <w:jc w:val="left"/>
            </w:pPr>
            <w:r>
              <w:t xml:space="preserve">Capitalization Table</w:t>
            </w:r>
          </w:p>
        </w:tc>
        <w:tc>
          <w:tcPr/>
          <w:p>
            <w:pPr>
              <w:pStyle w:val="Compact"/>
              <w:jc w:val="left"/>
            </w:pPr>
            <w:r>
              <w:t xml:space="preserve">Prism / Company counsel</w:t>
            </w:r>
          </w:p>
        </w:tc>
        <w:tc>
          <w:tcPr/>
          <w:p>
            <w:pPr>
              <w:pStyle w:val="Compact"/>
              <w:jc w:val="left"/>
            </w:pPr>
            <w:r>
              <w:t xml:space="preserve">as of December 31, 2024</w:t>
            </w:r>
          </w:p>
        </w:tc>
      </w:tr>
      <w:tr>
        <w:tc>
          <w:tcPr/>
          <w:p>
            <w:pPr>
              <w:pStyle w:val="Compact"/>
              <w:jc w:val="left"/>
            </w:pPr>
            <w:r>
              <w:t xml:space="preserve">Agreement and Plan of Merger (excerpts)</w:t>
            </w:r>
          </w:p>
        </w:tc>
        <w:tc>
          <w:tcPr/>
          <w:p>
            <w:pPr>
              <w:pStyle w:val="Compact"/>
              <w:jc w:val="left"/>
            </w:pPr>
            <w:r>
              <w:t xml:space="preserve">Parties</w:t>
            </w:r>
          </w:p>
        </w:tc>
        <w:tc>
          <w:tcPr/>
          <w:p>
            <w:pPr>
              <w:pStyle w:val="Compact"/>
              <w:jc w:val="left"/>
            </w:pPr>
            <w:r>
              <w:t xml:space="preserve">January 28, 2025</w:t>
            </w:r>
          </w:p>
        </w:tc>
      </w:tr>
      <w:tr>
        <w:tc>
          <w:tcPr/>
          <w:p>
            <w:pPr>
              <w:pStyle w:val="Compact"/>
              <w:jc w:val="left"/>
            </w:pPr>
            <w:r>
              <w:t xml:space="preserve">Beacon Insights, LLC Operating Agreement (excerpts)</w:t>
            </w:r>
          </w:p>
        </w:tc>
        <w:tc>
          <w:tcPr/>
          <w:p>
            <w:pPr>
              <w:pStyle w:val="Compact"/>
              <w:jc w:val="left"/>
            </w:pPr>
            <w:r>
              <w:t xml:space="preserve">Beacon members</w:t>
            </w:r>
          </w:p>
        </w:tc>
        <w:tc>
          <w:tcPr/>
          <w:p>
            <w:pPr>
              <w:pStyle w:val="Compact"/>
              <w:jc w:val="left"/>
            </w:pPr>
            <w:r>
              <w:t xml:space="preserve">effective August 1, 2018</w:t>
            </w:r>
          </w:p>
        </w:tc>
      </w:tr>
      <w:tr>
        <w:tc>
          <w:tcPr/>
          <w:p>
            <w:pPr>
              <w:pStyle w:val="Compact"/>
              <w:jc w:val="left"/>
            </w:pPr>
            <w:r>
              <w:t xml:space="preserve">QSBS Eligibility email thread</w:t>
            </w:r>
          </w:p>
        </w:tc>
        <w:tc>
          <w:tcPr/>
          <w:p>
            <w:pPr>
              <w:pStyle w:val="Compact"/>
              <w:jc w:val="left"/>
            </w:pPr>
            <w:r>
              <w:t xml:space="preserve">Linden Rock Advisory / CSW</w:t>
            </w:r>
          </w:p>
        </w:tc>
        <w:tc>
          <w:tcPr/>
          <w:p>
            <w:pPr>
              <w:pStyle w:val="Compact"/>
              <w:jc w:val="left"/>
            </w:pPr>
            <w:r>
              <w:t xml:space="preserve">Nov 2024 – Jan 6, 2025</w:t>
            </w:r>
          </w:p>
        </w:tc>
      </w:tr>
    </w:tbl>
    <w:p>
      <w:pPr>
        <w:pStyle w:val="BodyText"/>
      </w:pPr>
      <w:r>
        <w:rPr>
          <w:b/>
          <w:bCs/>
        </w:rPr>
        <w:t xml:space="preserve">Methodology.</w:t>
      </w:r>
      <w:r>
        <w:t xml:space="preserve"> </w:t>
      </w:r>
      <w:r>
        <w:t xml:space="preserve">Each substantive section of the Memo was compared against the corresponding provisions of the supporting documents. Numerical computations (ADSP, purchase price allocation, deemed sale gain, financing sources and uses, depreciation and amortization) were independently recomputed and reconciled to the Asset Valuation and Cap Table. Factual representations in the Memo were checked against the Thornfield Report, the Cap Table, the Purchase Agreement, and the Beacon OA. Issues were classified by severity based on (a) the magnitude of the dollar impact, (b) the significance of the tax position affected, and (c) whether the issue threatens a threshold requirement of the transaction structure.</w:t>
      </w:r>
    </w:p>
    <w:p>
      <w:pPr>
        <w:pStyle w:val="BodyText"/>
      </w:pPr>
      <w:r>
        <w:rPr>
          <w:b/>
          <w:bCs/>
        </w:rPr>
        <w:t xml:space="preserve">Severity definitions.</w:t>
      </w:r>
    </w:p>
    <w:p>
      <w:pPr>
        <w:pStyle w:val="Compact"/>
        <w:numPr>
          <w:ilvl w:val="0"/>
          <w:numId w:val="1001"/>
        </w:numPr>
      </w:pPr>
      <w:r>
        <w:rPr>
          <w:b/>
          <w:bCs/>
        </w:rPr>
        <w:t xml:space="preserve">Critical</w:t>
      </w:r>
      <w:r>
        <w:t xml:space="preserve"> </w:t>
      </w:r>
      <w:r>
        <w:t xml:space="preserve">— A foundational error in a core tax computation, or an omission/contradiction of a threshold requirement, that materially misstates the tax consequences to one or more parties or jeopardizes the viability of the transaction structure.</w:t>
      </w:r>
    </w:p>
    <w:p>
      <w:pPr>
        <w:pStyle w:val="Compact"/>
        <w:numPr>
          <w:ilvl w:val="0"/>
          <w:numId w:val="1001"/>
        </w:numPr>
      </w:pPr>
      <w:r>
        <w:rPr>
          <w:b/>
          <w:bCs/>
        </w:rPr>
        <w:t xml:space="preserve">High</w:t>
      </w:r>
      <w:r>
        <w:t xml:space="preserve"> </w:t>
      </w:r>
      <w:r>
        <w:t xml:space="preserve">— A significant error or omission that affects a material tax attribute, creates a direct inconsistency with a governing deal document, or leaves a material risk unaddressed.</w:t>
      </w:r>
    </w:p>
    <w:p>
      <w:pPr>
        <w:pStyle w:val="Compact"/>
        <w:numPr>
          <w:ilvl w:val="0"/>
          <w:numId w:val="1001"/>
        </w:numPr>
      </w:pPr>
      <w:r>
        <w:rPr>
          <w:b/>
          <w:bCs/>
        </w:rPr>
        <w:t xml:space="preserve">Moderate</w:t>
      </w:r>
      <w:r>
        <w:t xml:space="preserve"> </w:t>
      </w:r>
      <w:r>
        <w:t xml:space="preserve">— A notable error, inconsistency, or omission that should be corrected but is not, by itself, deal-threatening.</w:t>
      </w:r>
    </w:p>
    <w:p>
      <w:pPr>
        <w:pStyle w:val="Compact"/>
        <w:numPr>
          <w:ilvl w:val="0"/>
          <w:numId w:val="1001"/>
        </w:numPr>
      </w:pPr>
      <w:r>
        <w:rPr>
          <w:b/>
          <w:bCs/>
        </w:rPr>
        <w:t xml:space="preserve">Low</w:t>
      </w:r>
      <w:r>
        <w:t xml:space="preserve"> </w:t>
      </w:r>
      <w:r>
        <w:t xml:space="preserve">— A minor error, cross-reference mistake, or point warranting confirmation.</w:t>
      </w:r>
    </w:p>
    <w:p>
      <w:r>
        <w:pict>
          <v:rect style="width:0;height:1.5pt" o:hralign="center" o:hrstd="t" o:hr="t"/>
        </w:pict>
      </w:r>
    </w:p>
    <w:bookmarkEnd w:id="22"/>
    <w:bookmarkStart w:id="51" w:name="ii.-severity-ranked-findings"/>
    <w:p>
      <w:pPr>
        <w:pStyle w:val="Heading2"/>
      </w:pPr>
      <w:r>
        <w:t xml:space="preserve">II. Severity-Ranked Findings</w:t>
      </w:r>
    </w:p>
    <w:bookmarkStart w:id="26" w:name="a.-critical-findings"/>
    <w:p>
      <w:pPr>
        <w:pStyle w:val="Heading3"/>
      </w:pPr>
      <w:r>
        <w:t xml:space="preserve">A. Critical Findings</w:t>
      </w:r>
    </w:p>
    <w:bookmarkStart w:id="23" w:name="Xe50c4ff06095f97d9fba4b3f528087dadb48048"/>
    <w:p>
      <w:pPr>
        <w:pStyle w:val="Heading4"/>
      </w:pPr>
      <w:r>
        <w:t xml:space="preserve">Critical 1 — ADSP Overstated by $48.0 Million (Double-Count of Funded Debt)</w:t>
      </w:r>
    </w:p>
    <w:p>
      <w:pPr>
        <w:pStyle w:val="FirstParagraph"/>
      </w:pPr>
      <w:r>
        <w:rPr>
          <w:b/>
          <w:bCs/>
        </w:rPr>
        <w:t xml:space="preserve">Location in Memo:</w:t>
      </w:r>
      <w:r>
        <w:t xml:space="preserve"> </w:t>
      </w:r>
      <w:r>
        <w:t xml:space="preserve">Section IV.B and Appendix B.</w:t>
      </w:r>
    </w:p>
    <w:p>
      <w:pPr>
        <w:pStyle w:val="BodyText"/>
      </w:pPr>
      <w:r>
        <w:rPr>
          <w:b/>
          <w:bCs/>
        </w:rPr>
        <w:t xml:space="preserve">The issue.</w:t>
      </w:r>
      <w:r>
        <w:t xml:space="preserve"> </w:t>
      </w:r>
      <w:r>
        <w:t xml:space="preserve">The Memo computes the ADSP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Memo Amount</w:t>
            </w:r>
          </w:p>
        </w:tc>
      </w:tr>
      <w:tr>
        <w:tc>
          <w:tcPr/>
          <w:p>
            <w:pPr>
              <w:pStyle w:val="Compact"/>
              <w:jc w:val="left"/>
            </w:pPr>
            <w:r>
              <w:t xml:space="preserve">Enterprise Value</w:t>
            </w:r>
          </w:p>
        </w:tc>
        <w:tc>
          <w:tcPr/>
          <w:p>
            <w:pPr>
              <w:pStyle w:val="Compact"/>
              <w:jc w:val="left"/>
            </w:pPr>
            <w:r>
              <w:t xml:space="preserve">$425,000,000</w:t>
            </w:r>
          </w:p>
        </w:tc>
      </w:tr>
      <w:tr>
        <w:tc>
          <w:tcPr/>
          <w:p>
            <w:pPr>
              <w:pStyle w:val="Compact"/>
              <w:jc w:val="left"/>
            </w:pPr>
            <w:r>
              <w:t xml:space="preserve">Plus: Assumed Liabilities (Funded Debt at Closing)</w:t>
            </w:r>
          </w:p>
        </w:tc>
        <w:tc>
          <w:tcPr/>
          <w:p>
            <w:pPr>
              <w:pStyle w:val="Compact"/>
              <w:jc w:val="left"/>
            </w:pPr>
            <w:r>
              <w:t xml:space="preserve">$48,000,000</w:t>
            </w:r>
          </w:p>
        </w:tc>
      </w:tr>
      <w:tr>
        <w:tc>
          <w:tcPr/>
          <w:p>
            <w:pPr>
              <w:pStyle w:val="Compact"/>
              <w:jc w:val="left"/>
            </w:pPr>
            <w:r>
              <w:rPr>
                <w:b/>
                <w:bCs/>
              </w:rPr>
              <w:t xml:space="preserve">ADSP</w:t>
            </w:r>
          </w:p>
        </w:tc>
        <w:tc>
          <w:tcPr/>
          <w:p>
            <w:pPr>
              <w:pStyle w:val="Compact"/>
              <w:jc w:val="left"/>
            </w:pPr>
            <w:r>
              <w:rPr>
                <w:b/>
                <w:bCs/>
              </w:rPr>
              <w:t xml:space="preserve">$473,000,000</w:t>
            </w:r>
          </w:p>
        </w:tc>
      </w:tr>
    </w:tbl>
    <w:p>
      <w:pPr>
        <w:pStyle w:val="BodyText"/>
      </w:pPr>
      <w:r>
        <w:t xml:space="preserve">This computation is incorrect. Under Treasury Regulation §1.338-4(b), the ADSP equals the grossed-up amount realized on the sale of old target stock, which is the amount realized on the stock sale</w:t>
      </w:r>
      <w:r>
        <w:t xml:space="preserve"> </w:t>
      </w:r>
      <w:r>
        <w:rPr>
          <w:b/>
          <w:bCs/>
        </w:rPr>
        <w:t xml:space="preserve">plus</w:t>
      </w:r>
      <w:r>
        <w:t xml:space="preserve"> </w:t>
      </w:r>
      <w:r>
        <w:t xml:space="preserve">the liabilities of old target. The</w:t>
      </w:r>
      <w:r>
        <w:t xml:space="preserve"> </w:t>
      </w:r>
      <w:r>
        <w:t xml:space="preserve">“</w:t>
      </w:r>
      <w:r>
        <w:t xml:space="preserve">amount realized on the stock sale</w:t>
      </w:r>
      <w:r>
        <w:t xml:space="preserve">”</w:t>
      </w:r>
      <w:r>
        <w:t xml:space="preserve"> </w:t>
      </w:r>
      <w:r>
        <w:t xml:space="preserve">is the consideration paid for the stock — here, the $370.0M equity value ($333.0M cash + $37.0M rollover equity) —</w:t>
      </w:r>
      <w:r>
        <w:t xml:space="preserve"> </w:t>
      </w:r>
      <w:r>
        <w:rPr>
          <w:b/>
          <w:bCs/>
        </w:rPr>
        <w:t xml:space="preserve">not</w:t>
      </w:r>
      <w:r>
        <w:t xml:space="preserve"> </w:t>
      </w:r>
      <w:r>
        <w:t xml:space="preserve">the enterprise value. Enterprise value already incorporates the funded debt (enterprise value = equity value + net debt). By starting from enterprise value ($425.0M) and then adding the funded debt ($48.0M) a second time, the Memo double-counts the $48.0M.</w:t>
      </w:r>
    </w:p>
    <w:p>
      <w:pPr>
        <w:pStyle w:val="BodyText"/>
      </w:pPr>
      <w:r>
        <w:rPr>
          <w:b/>
          <w:bCs/>
        </w:rPr>
        <w:t xml:space="preserve">Correct computation (per the Asset Valuation,</w:t>
      </w:r>
      <w:r>
        <w:rPr>
          <w:b/>
          <w:bCs/>
        </w:rPr>
        <w:t xml:space="preserve"> </w:t>
      </w:r>
      <w:r>
        <w:rPr>
          <w:b/>
          <w:bCs/>
        </w:rPr>
        <w:t xml:space="preserve">“</w:t>
      </w:r>
      <w:r>
        <w:rPr>
          <w:b/>
          <w:bCs/>
        </w:rPr>
        <w:t xml:space="preserve">Allocation Summary</w:t>
      </w:r>
      <w:r>
        <w:rPr>
          <w:b/>
          <w:bCs/>
        </w:rPr>
        <w:t xml:space="preserve">”</w:t>
      </w:r>
      <w:r>
        <w:rPr>
          <w:b/>
          <w:bCs/>
        </w:rPr>
        <w:t xml:space="preserve"> </w:t>
      </w:r>
      <w:r>
        <w:rPr>
          <w:b/>
          <w:bCs/>
        </w:rPr>
        <w:t xml:space="preserve">tab):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Correct Amount</w:t>
            </w:r>
          </w:p>
        </w:tc>
      </w:tr>
      <w:tr>
        <w:tc>
          <w:tcPr/>
          <w:p>
            <w:pPr>
              <w:pStyle w:val="Compact"/>
              <w:jc w:val="left"/>
            </w:pPr>
            <w:r>
              <w:t xml:space="preserve">Amount realized on stock sale (equity value)</w:t>
            </w:r>
          </w:p>
        </w:tc>
        <w:tc>
          <w:tcPr/>
          <w:p>
            <w:pPr>
              <w:pStyle w:val="Compact"/>
              <w:jc w:val="left"/>
            </w:pPr>
            <w:r>
              <w:t xml:space="preserve">$370,000,000</w:t>
            </w:r>
          </w:p>
        </w:tc>
      </w:tr>
      <w:tr>
        <w:tc>
          <w:tcPr/>
          <w:p>
            <w:pPr>
              <w:pStyle w:val="Compact"/>
              <w:jc w:val="left"/>
            </w:pPr>
            <w:r>
              <w:t xml:space="preserve">Plus: Funded debt (target liability)</w:t>
            </w:r>
          </w:p>
        </w:tc>
        <w:tc>
          <w:tcPr/>
          <w:p>
            <w:pPr>
              <w:pStyle w:val="Compact"/>
              <w:jc w:val="left"/>
            </w:pPr>
            <w:r>
              <w:t xml:space="preserve">$48,000,000</w:t>
            </w:r>
          </w:p>
        </w:tc>
      </w:tr>
      <w:tr>
        <w:tc>
          <w:tcPr/>
          <w:p>
            <w:pPr>
              <w:pStyle w:val="Compact"/>
              <w:jc w:val="left"/>
            </w:pPr>
            <w:r>
              <w:t xml:space="preserve">Plus: Seller transaction expenses (target liability, per Thornfield)</w:t>
            </w:r>
          </w:p>
        </w:tc>
        <w:tc>
          <w:tcPr/>
          <w:p>
            <w:pPr>
              <w:pStyle w:val="Compact"/>
              <w:jc w:val="left"/>
            </w:pPr>
            <w:r>
              <w:t xml:space="preserve">$7,000,000</w:t>
            </w:r>
          </w:p>
        </w:tc>
      </w:tr>
      <w:tr>
        <w:tc>
          <w:tcPr/>
          <w:p>
            <w:pPr>
              <w:pStyle w:val="Compact"/>
              <w:jc w:val="left"/>
            </w:pPr>
            <w:r>
              <w:rPr>
                <w:b/>
                <w:bCs/>
              </w:rPr>
              <w:t xml:space="preserve">ADSP</w:t>
            </w:r>
          </w:p>
        </w:tc>
        <w:tc>
          <w:tcPr/>
          <w:p>
            <w:pPr>
              <w:pStyle w:val="Compact"/>
              <w:jc w:val="left"/>
            </w:pPr>
            <w:r>
              <w:rPr>
                <w:b/>
                <w:bCs/>
              </w:rPr>
              <w:t xml:space="preserve">$425,000,000</w:t>
            </w:r>
          </w:p>
        </w:tc>
      </w:tr>
    </w:tbl>
    <w:p>
      <w:pPr>
        <w:pStyle w:val="BodyText"/>
      </w:pPr>
      <w:r>
        <w:t xml:space="preserve">The Asset Valuation expressly flags this as a</w:t>
      </w:r>
      <w:r>
        <w:t xml:space="preserve"> </w:t>
      </w:r>
      <w:r>
        <w:t xml:space="preserve">“</w:t>
      </w:r>
      <w:r>
        <w:t xml:space="preserve">SIGNIFICANT DISCREPANCY</w:t>
      </w:r>
      <w:r>
        <w:t xml:space="preserve">”</w:t>
      </w:r>
      <w:r>
        <w:t xml:space="preserve"> </w:t>
      </w:r>
      <w:r>
        <w:t xml:space="preserve">and states that the Memo’s approach</w:t>
      </w:r>
      <w:r>
        <w:t xml:space="preserve"> </w:t>
      </w:r>
      <w:r>
        <w:t xml:space="preserve">“</w:t>
      </w:r>
      <w:r>
        <w:t xml:space="preserve">double-counts the $48M funded debt, which was already subtracted to derive equity value ($425M − $48M − $7M = $370M) and is then added back again.</w:t>
      </w:r>
      <w:r>
        <w:t xml:space="preserve">”</w:t>
      </w:r>
    </w:p>
    <w:p>
      <w:pPr>
        <w:pStyle w:val="BodyText"/>
      </w:pPr>
      <w:r>
        <w:rPr>
          <w:b/>
          <w:bCs/>
        </w:rPr>
        <w:t xml:space="preserve">Impact.</w:t>
      </w:r>
      <w:r>
        <w:t xml:space="preserve"> </w:t>
      </w:r>
      <w:r>
        <w:t xml:space="preserve">The $48.0M ADSP overstatement propagates throughout the Memo:</w:t>
      </w:r>
    </w:p>
    <w:p>
      <w:pPr>
        <w:pStyle w:val="Compact"/>
        <w:numPr>
          <w:ilvl w:val="0"/>
          <w:numId w:val="1002"/>
        </w:numPr>
      </w:pPr>
      <w:r>
        <w:rPr>
          <w:b/>
          <w:bCs/>
        </w:rPr>
        <w:t xml:space="preserve">Goodwill (Class VII) overstated.</w:t>
      </w:r>
      <w:r>
        <w:t xml:space="preserve"> </w:t>
      </w:r>
      <w:r>
        <w:t xml:space="preserve">The Memo’s goodwill is $272.8M; the correct figure (per the Asset Valuation) is $196.3M — an overstatement of $76.5M, of which $48.0M is attributable to the ADSP error and $28.5M to the Class V understatement (see High 1).</w:t>
      </w:r>
    </w:p>
    <w:p>
      <w:pPr>
        <w:pStyle w:val="Compact"/>
        <w:numPr>
          <w:ilvl w:val="0"/>
          <w:numId w:val="1002"/>
        </w:numPr>
      </w:pPr>
      <w:r>
        <w:rPr>
          <w:b/>
          <w:bCs/>
        </w:rPr>
        <w:t xml:space="preserve">Total deemed sale gain overstated.</w:t>
      </w:r>
      <w:r>
        <w:t xml:space="preserve"> </w:t>
      </w:r>
      <w:r>
        <w:t xml:space="preserve">The Memo computes total deemed sale gain as $473.0M − $42.8M = $430.2M. Using the correct ADSP of $425.0M (and the correct aggregate basis of $64.3M per the Asset Valuation — see High 2), the gain is approximately $360.7M. The Memo overstates the gain by approximately $69.5M in the aggregate.</w:t>
      </w:r>
    </w:p>
    <w:p>
      <w:pPr>
        <w:pStyle w:val="Compact"/>
        <w:numPr>
          <w:ilvl w:val="0"/>
          <w:numId w:val="1002"/>
        </w:numPr>
      </w:pPr>
      <w:r>
        <w:rPr>
          <w:b/>
          <w:bCs/>
        </w:rPr>
        <w:t xml:space="preserve">Per-shareholder gain allocations overstated.</w:t>
      </w:r>
      <w:r>
        <w:t xml:space="preserve"> </w:t>
      </w:r>
      <w:r>
        <w:t xml:space="preserve">All per-shareholder gain figures in Section V.B are computed off the inflated $430.2M (e.g., Dr. Chandra 52% × $430.2M = $223.7M; the correct figure is approximately $198.7M using the corrected ADSP and the Memo’s own basis, or approximately $187.6M using the corrected basis).</w:t>
      </w:r>
    </w:p>
    <w:p>
      <w:pPr>
        <w:pStyle w:val="Compact"/>
        <w:numPr>
          <w:ilvl w:val="0"/>
          <w:numId w:val="1002"/>
        </w:numPr>
      </w:pPr>
      <w:r>
        <w:rPr>
          <w:b/>
          <w:bCs/>
        </w:rPr>
        <w:t xml:space="preserve">Buyer’s amortization deductions overstated.</w:t>
      </w:r>
      <w:r>
        <w:t xml:space="preserve"> </w:t>
      </w:r>
      <w:r>
        <w:t xml:space="preserve">The Memo’s $18.19M/year goodwill amortization is built on the inflated $272.8M; the correct figure is approximately $13.09M/year. The overstated deductions would not withstand IRS examination and create a downstream underpayment/exposure for the buyer.</w:t>
      </w:r>
    </w:p>
    <w:p>
      <w:pPr>
        <w:pStyle w:val="FirstParagraph"/>
      </w:pPr>
      <w:r>
        <w:rPr>
          <w:b/>
          <w:bCs/>
        </w:rPr>
        <w:t xml:space="preserve">Recommendation.</w:t>
      </w:r>
      <w:r>
        <w:t xml:space="preserve"> </w:t>
      </w:r>
      <w:r>
        <w:t xml:space="preserve">Recompute the ADSP from the equity value (amount realized on the stock) plus target liabilities, reconcile to the Asset Valuation, and restate the purchase price allocation, deemed sale gain, per-shareholder allocations, and buyer D&amp;A schedule before the Form 8883 is prepared or any party relies on the Memo.</w:t>
      </w:r>
    </w:p>
    <w:p>
      <w:r>
        <w:pict>
          <v:rect style="width:0;height:1.5pt" o:hralign="center" o:hrstd="t" o:hr="t"/>
        </w:pict>
      </w:r>
    </w:p>
    <w:bookmarkEnd w:id="23"/>
    <w:bookmarkStart w:id="24" w:name="X82cc6fb5e468bd41678bd9e2b484d9c3f009b1d"/>
    <w:p>
      <w:pPr>
        <w:pStyle w:val="Heading4"/>
      </w:pPr>
      <w:r>
        <w:t xml:space="preserve">Critical 2 — S Corporation Shareholder Eligibility Contradicted and Omitted</w:t>
      </w:r>
    </w:p>
    <w:p>
      <w:pPr>
        <w:pStyle w:val="FirstParagraph"/>
      </w:pPr>
      <w:r>
        <w:rPr>
          <w:b/>
          <w:bCs/>
        </w:rPr>
        <w:t xml:space="preserve">Location in Memo:</w:t>
      </w:r>
      <w:r>
        <w:t xml:space="preserve"> </w:t>
      </w:r>
      <w:r>
        <w:t xml:space="preserve">Section III.A; Section IX.C (Items Noted for Further Analysis).</w:t>
      </w:r>
    </w:p>
    <w:p>
      <w:pPr>
        <w:pStyle w:val="BodyText"/>
      </w:pPr>
      <w:r>
        <w:rPr>
          <w:b/>
          <w:bCs/>
        </w:rPr>
        <w:t xml:space="preserve">The issue.</w:t>
      </w:r>
      <w:r>
        <w:t xml:space="preserve"> </w:t>
      </w:r>
      <w:r>
        <w:t xml:space="preserve">The Memo states:</w:t>
      </w:r>
      <w:r>
        <w:t xml:space="preserve"> </w:t>
      </w:r>
      <w:r>
        <w:t xml:space="preserve">“</w:t>
      </w:r>
      <w:r>
        <w:t xml:space="preserve">We have reviewed the S election file and the annual shareholder records provided to us. No events causing a termination of the S election have been identified. All shareholders of Prism are U.S. individuals, and we are not aware of any ineligible shareholders.</w:t>
      </w:r>
      <w:r>
        <w:t xml:space="preserve">”</w:t>
      </w:r>
      <w:r>
        <w:t xml:space="preserve"> </w:t>
      </w:r>
      <w:r>
        <w:t xml:space="preserve">The Memo’s</w:t>
      </w:r>
      <w:r>
        <w:t xml:space="preserve"> </w:t>
      </w:r>
      <w:r>
        <w:t xml:space="preserve">“</w:t>
      </w:r>
      <w:r>
        <w:t xml:space="preserve">Items Noted for Further Analysis</w:t>
      </w:r>
      <w:r>
        <w:t xml:space="preserve">”</w:t>
      </w:r>
      <w:r>
        <w:t xml:space="preserve"> </w:t>
      </w:r>
      <w:r>
        <w:t xml:space="preserve">(Section IX.C) does not list shareholder eligibility as an open item.</w:t>
      </w:r>
    </w:p>
    <w:p>
      <w:pPr>
        <w:pStyle w:val="BodyText"/>
      </w:pPr>
      <w:r>
        <w:t xml:space="preserve">This affirmatively contradicts the supporting due diligence:</w:t>
      </w:r>
    </w:p>
    <w:p>
      <w:pPr>
        <w:pStyle w:val="Compact"/>
        <w:numPr>
          <w:ilvl w:val="0"/>
          <w:numId w:val="1003"/>
        </w:numPr>
      </w:pPr>
      <w:r>
        <w:rPr>
          <w:b/>
          <w:bCs/>
        </w:rPr>
        <w:t xml:space="preserve">Thornfield Report (Section III.B)</w:t>
      </w:r>
      <w:r>
        <w:t xml:space="preserve"> </w:t>
      </w:r>
      <w:r>
        <w:t xml:space="preserve">designates S corporation shareholder eligibility as a</w:t>
      </w:r>
      <w:r>
        <w:t xml:space="preserve"> </w:t>
      </w:r>
      <w:r>
        <w:rPr>
          <w:b/>
          <w:bCs/>
        </w:rPr>
        <w:t xml:space="preserve">Critical</w:t>
      </w:r>
      <w:r>
        <w:t xml:space="preserve"> </w:t>
      </w:r>
      <w:r>
        <w:t xml:space="preserve">finding. Thornfield was</w:t>
      </w:r>
      <w:r>
        <w:t xml:space="preserve"> </w:t>
      </w:r>
      <w:r>
        <w:t xml:space="preserve">“</w:t>
      </w:r>
      <w:r>
        <w:t xml:space="preserve">unable to confirm S corporation eligibility for 2 of the 8 restricted stock holders</w:t>
      </w:r>
      <w:r>
        <w:t xml:space="preserve">”</w:t>
      </w:r>
      <w:r>
        <w:t xml:space="preserve">: (a) a Canadian national on an H-1B visa whose substantial-presence-test compliance has not been verified for all years since grant; and (b) a holder whose shares may have been transferred to a family LLC, which would be an ineligible shareholder. Thornfield warns that if the S election was inadvertently terminated in any prior year,</w:t>
      </w:r>
      <w:r>
        <w:t xml:space="preserve"> </w:t>
      </w:r>
      <w:r>
        <w:t xml:space="preserve">“</w:t>
      </w:r>
      <w:r>
        <w:t xml:space="preserve">Prism would have been a C corporation for that year and all subsequent years, with cascading consequences including entity-level federal and state income tax liability for all open years, potential penalties and interest, and the unavailability of the Section 338(h)(10) election.</w:t>
      </w:r>
      <w:r>
        <w:t xml:space="preserve">”</w:t>
      </w:r>
    </w:p>
    <w:p>
      <w:pPr>
        <w:pStyle w:val="Compact"/>
        <w:numPr>
          <w:ilvl w:val="0"/>
          <w:numId w:val="1003"/>
        </w:numPr>
      </w:pPr>
      <w:r>
        <w:rPr>
          <w:b/>
          <w:bCs/>
        </w:rPr>
        <w:t xml:space="preserve">Cap Table</w:t>
      </w:r>
      <w:r>
        <w:t xml:space="preserve"> </w:t>
      </w:r>
      <w:r>
        <w:t xml:space="preserve">flags</w:t>
      </w:r>
      <w:r>
        <w:t xml:space="preserve"> </w:t>
      </w:r>
      <w:r>
        <w:rPr>
          <w:b/>
          <w:bCs/>
        </w:rPr>
        <w:t xml:space="preserve">three</w:t>
      </w:r>
      <w:r>
        <w:t xml:space="preserve"> </w:t>
      </w:r>
      <w:r>
        <w:t xml:space="preserve">restricted stock holders with unconfirmed S corporation eligibility: Lin Wei Zhang (H-1B visa holder, PRC citizen, residency/citizenship not verified); Yusuf Al-Rashidi (dual U.S./Jordan citizen, citizenship documentation not on file); and Nina Petrova (Bulgarian-born, green-card/lawful-permanent-resident status not verified on file). The Cap Table notes that</w:t>
      </w:r>
      <w:r>
        <w:t xml:space="preserve"> </w:t>
      </w:r>
      <w:r>
        <w:t xml:space="preserve">“</w:t>
      </w:r>
      <w:r>
        <w:t xml:space="preserve">Unverified S corp shareholders receiving $2,775,000 in aggregate consideration.</w:t>
      </w:r>
      <w:r>
        <w:t xml:space="preserve">”</w:t>
      </w:r>
    </w:p>
    <w:p>
      <w:pPr>
        <w:pStyle w:val="FirstParagraph"/>
      </w:pPr>
      <w:r>
        <w:rPr>
          <w:b/>
          <w:bCs/>
        </w:rPr>
        <w:t xml:space="preserve">Inconsistency among the supporting documents.</w:t>
      </w:r>
      <w:r>
        <w:t xml:space="preserve"> </w:t>
      </w:r>
      <w:r>
        <w:t xml:space="preserve">The Thornfield Report and the Cap Table do not themselves fully agree on which holders are at risk (Thornfield references a</w:t>
      </w:r>
      <w:r>
        <w:t xml:space="preserve"> </w:t>
      </w:r>
      <w:r>
        <w:t xml:space="preserve">“</w:t>
      </w:r>
      <w:r>
        <w:t xml:space="preserve">Canadian national</w:t>
      </w:r>
      <w:r>
        <w:t xml:space="preserve">”</w:t>
      </w:r>
      <w:r>
        <w:t xml:space="preserve"> </w:t>
      </w:r>
      <w:r>
        <w:t xml:space="preserve">and a</w:t>
      </w:r>
      <w:r>
        <w:t xml:space="preserve"> </w:t>
      </w:r>
      <w:r>
        <w:t xml:space="preserve">“</w:t>
      </w:r>
      <w:r>
        <w:t xml:space="preserve">family LLC transfer</w:t>
      </w:r>
      <w:r>
        <w:t xml:space="preserve">”</w:t>
      </w:r>
      <w:r>
        <w:t xml:space="preserve">; the Cap Table references a PRC citizen on H-1B, a dual U.S./Jordan citizen, and a Bulgarian-born green-card holder). This lack of reconciliation is itself a concern, but the central point is that</w:t>
      </w:r>
      <w:r>
        <w:t xml:space="preserve"> </w:t>
      </w:r>
      <w:r>
        <w:rPr>
          <w:b/>
          <w:bCs/>
        </w:rPr>
        <w:t xml:space="preserve">both</w:t>
      </w:r>
      <w:r>
        <w:t xml:space="preserve"> </w:t>
      </w:r>
      <w:r>
        <w:t xml:space="preserve">supporting documents identify unresolved eligibility questions that the Memo ignores.</w:t>
      </w:r>
    </w:p>
    <w:p>
      <w:pPr>
        <w:pStyle w:val="BodyText"/>
      </w:pPr>
      <w:r>
        <w:rPr>
          <w:b/>
          <w:bCs/>
        </w:rPr>
        <w:t xml:space="preserve">Why this is critical.</w:t>
      </w:r>
      <w:r>
        <w:t xml:space="preserve"> </w:t>
      </w:r>
      <w:r>
        <w:t xml:space="preserve">Validity of the S corporation election is a threshold prerequisite for the Section 338(h)(10) election. The Purchase Agreement conditions closing on the Company having</w:t>
      </w:r>
      <w:r>
        <w:t xml:space="preserve"> </w:t>
      </w:r>
      <w:r>
        <w:t xml:space="preserve">“</w:t>
      </w:r>
      <w:r>
        <w:t xml:space="preserve">maintained its status as a validly electing S corporation under Section 1361 of the Code continuously through the Closing Date</w:t>
      </w:r>
      <w:r>
        <w:t xml:space="preserve">”</w:t>
      </w:r>
      <w:r>
        <w:t xml:space="preserve"> </w:t>
      </w:r>
      <w:r>
        <w:t xml:space="preserve">(§8.2(c)) and represents that</w:t>
      </w:r>
      <w:r>
        <w:t xml:space="preserve"> </w:t>
      </w:r>
      <w:r>
        <w:t xml:space="preserve">“</w:t>
      </w:r>
      <w:r>
        <w:t xml:space="preserve">each shareholder is an eligible S corporation shareholder</w:t>
      </w:r>
      <w:r>
        <w:t xml:space="preserve">”</w:t>
      </w:r>
      <w:r>
        <w:t xml:space="preserve"> </w:t>
      </w:r>
      <w:r>
        <w:t xml:space="preserve">(§4.9(a)) and that</w:t>
      </w:r>
      <w:r>
        <w:t xml:space="preserve"> </w:t>
      </w:r>
      <w:r>
        <w:t xml:space="preserve">“</w:t>
      </w:r>
      <w:r>
        <w:t xml:space="preserve">each holder of restricted stock is an individual who is a citizen or resident of the United States</w:t>
      </w:r>
      <w:r>
        <w:t xml:space="preserve">”</w:t>
      </w:r>
      <w:r>
        <w:t xml:space="preserve"> </w:t>
      </w:r>
      <w:r>
        <w:t xml:space="preserve">(§2.5). If any restricted stock holder was an ineligible shareholder (e.g., a nonresident alien) in any year since the S election became effective (January 1, 2017), the S election would have terminated under §1362(d)(2), retroactively converting Prism to a C corporation — which would (i) eliminate the Section 338(h)(10) election, (ii) trigger entity-level C corporation tax (federal and state) for all open years, and (iii) breach the Purchase Agreement representations and closing conditions.</w:t>
      </w:r>
    </w:p>
    <w:p>
      <w:pPr>
        <w:pStyle w:val="BodyText"/>
      </w:pPr>
      <w:r>
        <w:rPr>
          <w:b/>
          <w:bCs/>
        </w:rPr>
        <w:t xml:space="preserve">Recommendation.</w:t>
      </w:r>
      <w:r>
        <w:t xml:space="preserve"> </w:t>
      </w:r>
      <w:r>
        <w:t xml:space="preserve">The Memo must be revised to (a) withdraw or qualify the statement that there are no ineligible shareholders, (b) disclose the Thornfield and Cap Table eligibility findings, and (c) list shareholder eligibility confirmation as a Critical open item to be resolved before closing. Definitive immigration/residency documentation should be obtained for every restricted stock holder for every year since January 1, 2017, and the alleged family-LLC transfer should be investigated.</w:t>
      </w:r>
    </w:p>
    <w:p>
      <w:r>
        <w:pict>
          <v:rect style="width:0;height:1.5pt" o:hralign="center" o:hrstd="t" o:hr="t"/>
        </w:pict>
      </w:r>
    </w:p>
    <w:bookmarkEnd w:id="24"/>
    <w:bookmarkStart w:id="25" w:name="X3817079e1967b7af5549367173044065525f28f"/>
    <w:p>
      <w:pPr>
        <w:pStyle w:val="Heading4"/>
      </w:pPr>
      <w:r>
        <w:t xml:space="preserve">Critical 3 — QSBS / Section 1202 Analysis Entirely Omitted</w:t>
      </w:r>
    </w:p>
    <w:p>
      <w:pPr>
        <w:pStyle w:val="FirstParagraph"/>
      </w:pPr>
      <w:r>
        <w:rPr>
          <w:b/>
          <w:bCs/>
        </w:rPr>
        <w:t xml:space="preserve">Location in Memo:</w:t>
      </w:r>
      <w:r>
        <w:t xml:space="preserve"> </w:t>
      </w:r>
      <w:r>
        <w:t xml:space="preserve">Absent throughout (no reference to Section 1202 or</w:t>
      </w:r>
      <w:r>
        <w:t xml:space="preserve"> </w:t>
      </w:r>
      <w:r>
        <w:t xml:space="preserve">“</w:t>
      </w:r>
      <w:r>
        <w:t xml:space="preserve">QSBS</w:t>
      </w:r>
      <w:r>
        <w:t xml:space="preserve">”</w:t>
      </w:r>
      <w:r>
        <w:t xml:space="preserve"> </w:t>
      </w:r>
      <w:r>
        <w:t xml:space="preserve">appears anywhere in the Memo).</w:t>
      </w:r>
    </w:p>
    <w:p>
      <w:pPr>
        <w:pStyle w:val="BodyText"/>
      </w:pPr>
      <w:r>
        <w:rPr>
          <w:b/>
          <w:bCs/>
        </w:rPr>
        <w:t xml:space="preserve">The issue.</w:t>
      </w:r>
      <w:r>
        <w:t xml:space="preserve"> </w:t>
      </w:r>
      <w:r>
        <w:t xml:space="preserve">The Memo contains no analysis of Section 1202 qualified small business stock (</w:t>
      </w:r>
      <w:r>
        <w:t xml:space="preserve">“</w:t>
      </w:r>
      <w:r>
        <w:t xml:space="preserve">QSBS</w:t>
      </w:r>
      <w:r>
        <w:t xml:space="preserve">”</w:t>
      </w:r>
      <w:r>
        <w:t xml:space="preserve">) eligibility, despite the following:</w:t>
      </w:r>
    </w:p>
    <w:p>
      <w:pPr>
        <w:pStyle w:val="Compact"/>
        <w:numPr>
          <w:ilvl w:val="0"/>
          <w:numId w:val="1004"/>
        </w:numPr>
      </w:pPr>
      <w:r>
        <w:rPr>
          <w:b/>
          <w:bCs/>
        </w:rPr>
        <w:t xml:space="preserve">Express request and promise.</w:t>
      </w:r>
      <w:r>
        <w:t xml:space="preserve"> </w:t>
      </w:r>
      <w:r>
        <w:t xml:space="preserve">The QSBS Email Thread documents that Linden Rock Advisory (on behalf of the angel-investor shareholders) formally requested a written QSBS analysis in November 2024. CSW’s response (November 20, 2024) states:</w:t>
      </w:r>
      <w:r>
        <w:t xml:space="preserve"> </w:t>
      </w:r>
      <w:r>
        <w:t xml:space="preserve">“</w:t>
      </w:r>
      <w:r>
        <w:t xml:space="preserve">I have asked Sandra Liu to begin researching the issue. We intend to include a QSBS analysis as part of the transaction structure memorandum we are preparing for Ridgeline.</w:t>
      </w:r>
      <w:r>
        <w:t xml:space="preserve">”</w:t>
      </w:r>
      <w:r>
        <w:t xml:space="preserve"> </w:t>
      </w:r>
      <w:r>
        <w:t xml:space="preserve">CSW further stated the goal was to have the QSBS section</w:t>
      </w:r>
      <w:r>
        <w:t xml:space="preserve"> </w:t>
      </w:r>
      <w:r>
        <w:t xml:space="preserve">“</w:t>
      </w:r>
      <w:r>
        <w:t xml:space="preserve">drafted and incorporated into the memorandum well before the purchase agreement is executed.</w:t>
      </w:r>
      <w:r>
        <w:t xml:space="preserve">”</w:t>
      </w:r>
    </w:p>
    <w:p>
      <w:pPr>
        <w:pStyle w:val="Compact"/>
        <w:numPr>
          <w:ilvl w:val="0"/>
          <w:numId w:val="1004"/>
        </w:numPr>
      </w:pPr>
      <w:r>
        <w:rPr>
          <w:b/>
          <w:bCs/>
        </w:rPr>
        <w:t xml:space="preserve">Unfulfilled follow-up.</w:t>
      </w:r>
      <w:r>
        <w:t xml:space="preserve"> </w:t>
      </w:r>
      <w:r>
        <w:t xml:space="preserve">On January 6, 2025, Linden Rock followed up reporting that</w:t>
      </w:r>
      <w:r>
        <w:t xml:space="preserve"> </w:t>
      </w:r>
      <w:r>
        <w:t xml:space="preserve">“</w:t>
      </w:r>
      <w:r>
        <w:t xml:space="preserve">I have not yet received any written analysis or update on the QSBS question since your November 20 email</w:t>
      </w:r>
      <w:r>
        <w:t xml:space="preserve">”</w:t>
      </w:r>
      <w:r>
        <w:t xml:space="preserve"> </w:t>
      </w:r>
      <w:r>
        <w:t xml:space="preserve">and reiterating that</w:t>
      </w:r>
      <w:r>
        <w:t xml:space="preserve"> </w:t>
      </w:r>
      <w:r>
        <w:t xml:space="preserve">“</w:t>
      </w:r>
      <w:r>
        <w:t xml:space="preserve">we need a formal QSBS analysis … before the purchase agreement is finalized.</w:t>
      </w:r>
      <w:r>
        <w:t xml:space="preserve">”</w:t>
      </w:r>
      <w:r>
        <w:t xml:space="preserve"> </w:t>
      </w:r>
      <w:r>
        <w:t xml:space="preserve">The Purchase Agreement was signed on January 28, 2025, and the Memo was issued on February 10, 2025 — yet no QSBS analysis was provided.</w:t>
      </w:r>
    </w:p>
    <w:p>
      <w:pPr>
        <w:pStyle w:val="Compact"/>
        <w:numPr>
          <w:ilvl w:val="0"/>
          <w:numId w:val="1004"/>
        </w:numPr>
      </w:pPr>
      <w:r>
        <w:rPr>
          <w:b/>
          <w:bCs/>
        </w:rPr>
        <w:t xml:space="preserve">Materiality.</w:t>
      </w:r>
      <w:r>
        <w:t xml:space="preserve"> </w:t>
      </w:r>
      <w:r>
        <w:t xml:space="preserve">The Cap Table confirms that the founders (Dr. Chandra, Ms. Stowe) and at least eight other shareholders acquired shares during the C corporation period (June 14 – December 31, 2016), when Prism was a C corporation with aggregate gross assets well below the $50M Section 1202(d) threshold. For these holders, the shares potentially qualify as QSBS, and the Section 1202 exclusion (up to 100% for stock acquired after September 27, 2010) could eliminate federal capital gains tax on a material portion of their gain — a seven-figure after-tax swing for several individuals.</w:t>
      </w:r>
    </w:p>
    <w:p>
      <w:pPr>
        <w:pStyle w:val="Compact"/>
        <w:numPr>
          <w:ilvl w:val="0"/>
          <w:numId w:val="1004"/>
        </w:numPr>
      </w:pPr>
      <w:r>
        <w:rPr>
          <w:b/>
          <w:bCs/>
        </w:rPr>
        <w:t xml:space="preserve">Genuine open question.</w:t>
      </w:r>
      <w:r>
        <w:t xml:space="preserve"> </w:t>
      </w:r>
      <w:r>
        <w:t xml:space="preserve">The central issue — whether the Section 338(h)(10) deemed asset sale recharacterization is compatible with the Section 1202</w:t>
      </w:r>
      <w:r>
        <w:t xml:space="preserve"> </w:t>
      </w:r>
      <w:r>
        <w:t xml:space="preserve">“</w:t>
      </w:r>
      <w:r>
        <w:t xml:space="preserve">sale or exchange</w:t>
      </w:r>
      <w:r>
        <w:t xml:space="preserve">”</w:t>
      </w:r>
      <w:r>
        <w:t xml:space="preserve"> </w:t>
      </w:r>
      <w:r>
        <w:t xml:space="preserve">requirement — is a real and unresolved question. CSW’s own November 20 email acknowledged</w:t>
      </w:r>
      <w:r>
        <w:t xml:space="preserve"> </w:t>
      </w:r>
      <w:r>
        <w:t xml:space="preserve">“</w:t>
      </w:r>
      <w:r>
        <w:t xml:space="preserve">a real question … as to whether the deemed asset sale treatment under Section 338(h)(10) is in tension with the statutory language of Section 1202.</w:t>
      </w:r>
      <w:r>
        <w:t xml:space="preserve">”</w:t>
      </w:r>
      <w:r>
        <w:t xml:space="preserve"> </w:t>
      </w:r>
      <w:r>
        <w:t xml:space="preserve">The Thornfield Report (Section VIII.B) likewise flags this as requiring</w:t>
      </w:r>
      <w:r>
        <w:t xml:space="preserve"> </w:t>
      </w:r>
      <w:r>
        <w:t xml:space="preserve">“</w:t>
      </w:r>
      <w:r>
        <w:t xml:space="preserve">definitive analysis … with particular attention to the interaction between Section 1202 and the Section 338(h)(10) election.</w:t>
      </w:r>
      <w:r>
        <w:t xml:space="preserve">”</w:t>
      </w:r>
    </w:p>
    <w:p>
      <w:pPr>
        <w:pStyle w:val="Compact"/>
        <w:numPr>
          <w:ilvl w:val="0"/>
          <w:numId w:val="1004"/>
        </w:numPr>
      </w:pPr>
      <w:r>
        <w:rPr>
          <w:b/>
          <w:bCs/>
        </w:rPr>
        <w:t xml:space="preserve">Additional sub-issues not addressed.</w:t>
      </w:r>
      <w:r>
        <w:t xml:space="preserve"> </w:t>
      </w:r>
      <w:r>
        <w:t xml:space="preserve">Linden Rock also asked whether an alternative structure (a straight stock sale without the 338(h)(10) election) would preserve the QSBS exclusion, and whether the QSBS analysis (if available) applies to gain attributable to the $22.0M escrow. Neither is addressed.</w:t>
      </w:r>
    </w:p>
    <w:p>
      <w:pPr>
        <w:pStyle w:val="FirstParagraph"/>
      </w:pPr>
      <w:r>
        <w:rPr>
          <w:b/>
          <w:bCs/>
        </w:rPr>
        <w:t xml:space="preserve">Why this is critical.</w:t>
      </w:r>
      <w:r>
        <w:t xml:space="preserve"> </w:t>
      </w:r>
      <w:r>
        <w:t xml:space="preserve">The selling shareholders are not CSW’s clients, but CSW expressly undertook to address QSBS in the Memo, and the analysis bears directly on the allocation of tax consequences among the parties and on the shareholders’ decision whether to consent to the Section 338(h)(10) election (a condition to closing under §7.3(a) and §8.2(d) of the PA). The shareholders signed the Purchase Agreement without the analysis they were promised.</w:t>
      </w:r>
    </w:p>
    <w:p>
      <w:pPr>
        <w:pStyle w:val="BodyText"/>
      </w:pPr>
      <w:r>
        <w:rPr>
          <w:b/>
          <w:bCs/>
        </w:rPr>
        <w:t xml:space="preserve">Recommendation.</w:t>
      </w:r>
      <w:r>
        <w:t xml:space="preserve"> </w:t>
      </w:r>
      <w:r>
        <w:t xml:space="preserve">Prepare and circulate a dedicated QSBS analysis addressing (a) whether shares issued during the 2016 C corporation period retain QSBS character through the S corporation years and the sale, (b) whether the Section 338(h)(10) deemed asset sale forecloses the Section 1202 exclusion, (c) the $50M aggregate gross assets qualification, (d) the per-taxpayer/per-issuer exclusion caps, (e) the escrow component, and (f) whether an alternative structure would preserve the exclusion. This should be completed and delivered to the affected shareholders before they are asked to execute the Form 8023 consents.</w:t>
      </w:r>
    </w:p>
    <w:p>
      <w:r>
        <w:pict>
          <v:rect style="width:0;height:1.5pt" o:hralign="center" o:hrstd="t" o:hr="t"/>
        </w:pict>
      </w:r>
    </w:p>
    <w:bookmarkEnd w:id="25"/>
    <w:bookmarkEnd w:id="26"/>
    <w:bookmarkStart w:id="32" w:name="b.-high-findings"/>
    <w:p>
      <w:pPr>
        <w:pStyle w:val="Heading3"/>
      </w:pPr>
      <w:r>
        <w:t xml:space="preserve">B. High Findings</w:t>
      </w:r>
    </w:p>
    <w:bookmarkStart w:id="27" w:name="Xd900fc175fa4bf7b03616f8f179af6b18bc73db"/>
    <w:p>
      <w:pPr>
        <w:pStyle w:val="Heading4"/>
      </w:pPr>
      <w:r>
        <w:t xml:space="preserve">High 1 — Class V Allocation Understated by $28.5 Million (Developed Technology and Government Software Licenses)</w:t>
      </w:r>
    </w:p>
    <w:p>
      <w:pPr>
        <w:pStyle w:val="FirstParagraph"/>
      </w:pPr>
      <w:r>
        <w:rPr>
          <w:b/>
          <w:bCs/>
        </w:rPr>
        <w:t xml:space="preserve">Location in Memo:</w:t>
      </w:r>
      <w:r>
        <w:t xml:space="preserve"> </w:t>
      </w:r>
      <w:r>
        <w:t xml:space="preserve">Section IV.C (Class V) and Appendix B.</w:t>
      </w:r>
    </w:p>
    <w:p>
      <w:pPr>
        <w:pStyle w:val="BodyText"/>
      </w:pPr>
      <w:r>
        <w:rPr>
          <w:b/>
          <w:bCs/>
        </w:rPr>
        <w:t xml:space="preserve">The issue.</w:t>
      </w:r>
      <w:r>
        <w:t xml:space="preserve"> </w:t>
      </w:r>
      <w:r>
        <w:t xml:space="preserve">The Memo’s Class V allocation is $68.5M, comprising: real property $14.2M; furniture, fixtures &amp; equipment $6.8M; software/developed technology $19.0M; and Prism’s 80.5% Beacon interest $28.5M. The Asset Valuation’s Class V is $97.0M, comprising: real property $14.2M; FF&amp;E $6.8M; developed technology/proprietary software platform $41.8M (relief-from-royalty method); government-sector software licenses $5.7M (income/DCF approach); NC data processing license $0; and the Beacon interest $28.5M. The $28.5M difference is attributable entirely to two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 V Component</w:t>
            </w:r>
          </w:p>
        </w:tc>
        <w:tc>
          <w:tcPr/>
          <w:p>
            <w:pPr>
              <w:pStyle w:val="Compact"/>
              <w:jc w:val="left"/>
            </w:pPr>
            <w:r>
              <w:t xml:space="preserve">Memo</w:t>
            </w:r>
          </w:p>
        </w:tc>
        <w:tc>
          <w:tcPr/>
          <w:p>
            <w:pPr>
              <w:pStyle w:val="Compact"/>
              <w:jc w:val="left"/>
            </w:pPr>
            <w:r>
              <w:t xml:space="preserve">Asset Valuation</w:t>
            </w:r>
          </w:p>
        </w:tc>
        <w:tc>
          <w:tcPr/>
          <w:p>
            <w:pPr>
              <w:pStyle w:val="Compact"/>
              <w:jc w:val="left"/>
            </w:pPr>
            <w:r>
              <w:t xml:space="preserve">Variance</w:t>
            </w:r>
          </w:p>
        </w:tc>
      </w:tr>
      <w:tr>
        <w:tc>
          <w:tcPr/>
          <w:p>
            <w:pPr>
              <w:pStyle w:val="Compact"/>
              <w:jc w:val="left"/>
            </w:pPr>
            <w:r>
              <w:t xml:space="preserve">Developed technology / proprietary software platform</w:t>
            </w:r>
          </w:p>
        </w:tc>
        <w:tc>
          <w:tcPr/>
          <w:p>
            <w:pPr>
              <w:pStyle w:val="Compact"/>
              <w:jc w:val="left"/>
            </w:pPr>
            <w:r>
              <w:t xml:space="preserve">$19,000,000</w:t>
            </w:r>
          </w:p>
        </w:tc>
        <w:tc>
          <w:tcPr/>
          <w:p>
            <w:pPr>
              <w:pStyle w:val="Compact"/>
              <w:jc w:val="left"/>
            </w:pPr>
            <w:r>
              <w:t xml:space="preserve">$41,800,000</w:t>
            </w:r>
          </w:p>
        </w:tc>
        <w:tc>
          <w:tcPr/>
          <w:p>
            <w:pPr>
              <w:pStyle w:val="Compact"/>
              <w:jc w:val="left"/>
            </w:pPr>
            <w:r>
              <w:t xml:space="preserve">($22,800,000)</w:t>
            </w:r>
          </w:p>
        </w:tc>
      </w:tr>
      <w:tr>
        <w:tc>
          <w:tcPr/>
          <w:p>
            <w:pPr>
              <w:pStyle w:val="Compact"/>
              <w:jc w:val="left"/>
            </w:pPr>
            <w:r>
              <w:t xml:space="preserve">Government-sector software licenses</w:t>
            </w:r>
          </w:p>
        </w:tc>
        <w:tc>
          <w:tcPr/>
          <w:p>
            <w:pPr>
              <w:pStyle w:val="Compact"/>
              <w:jc w:val="left"/>
            </w:pPr>
            <w:r>
              <w:t xml:space="preserve">$0 (omitted)</w:t>
            </w:r>
          </w:p>
        </w:tc>
        <w:tc>
          <w:tcPr/>
          <w:p>
            <w:pPr>
              <w:pStyle w:val="Compact"/>
              <w:jc w:val="left"/>
            </w:pPr>
            <w:r>
              <w:t xml:space="preserve">$5,700,000</w:t>
            </w:r>
          </w:p>
        </w:tc>
        <w:tc>
          <w:tcPr/>
          <w:p>
            <w:pPr>
              <w:pStyle w:val="Compact"/>
              <w:jc w:val="left"/>
            </w:pPr>
            <w:r>
              <w:t xml:space="preserve">($5,700,000)</w:t>
            </w:r>
          </w:p>
        </w:tc>
      </w:tr>
      <w:tr>
        <w:tc>
          <w:tcPr/>
          <w:p>
            <w:pPr>
              <w:pStyle w:val="Compact"/>
              <w:jc w:val="left"/>
            </w:pPr>
            <w:r>
              <w:rPr>
                <w:b/>
                <w:bCs/>
              </w:rPr>
              <w:t xml:space="preserve">Total Class V variance</w:t>
            </w:r>
          </w:p>
        </w:tc>
        <w:tc>
          <w:tcPr/>
          <w:p>
            <w:pPr>
              <w:pStyle w:val="Compact"/>
            </w:pPr>
          </w:p>
        </w:tc>
        <w:tc>
          <w:tcPr/>
          <w:p>
            <w:pPr>
              <w:pStyle w:val="Compact"/>
            </w:pPr>
          </w:p>
        </w:tc>
        <w:tc>
          <w:tcPr/>
          <w:p>
            <w:pPr>
              <w:pStyle w:val="Compact"/>
              <w:jc w:val="left"/>
            </w:pPr>
            <w:r>
              <w:rPr>
                <w:b/>
                <w:bCs/>
              </w:rPr>
              <w:t xml:space="preserve">($28,500,000)</w:t>
            </w:r>
          </w:p>
        </w:tc>
      </w:tr>
    </w:tbl>
    <w:p>
      <w:pPr>
        <w:pStyle w:val="BodyText"/>
      </w:pPr>
      <w:r>
        <w:t xml:space="preserve">The Memo understates the developed technology — Prism’s core predictive analytics platform — by $22.8M, using an unexplained $19.0M figure that does not correspond to any value in the Asset Valuation. The Memo also omits the $5.7M of government-sector software licenses (Asset ID A-007) held by Prism Data Services entirely.</w:t>
      </w:r>
    </w:p>
    <w:p>
      <w:pPr>
        <w:pStyle w:val="BodyText"/>
      </w:pPr>
      <w:r>
        <w:rPr>
          <w:b/>
          <w:bCs/>
        </w:rPr>
        <w:t xml:space="preserve">Note on the Asset Valuation’s own reconciliation.</w:t>
      </w:r>
      <w:r>
        <w:t xml:space="preserve"> </w:t>
      </w:r>
      <w:r>
        <w:t xml:space="preserve">The Asset Valuation’s</w:t>
      </w:r>
      <w:r>
        <w:t xml:space="preserve"> </w:t>
      </w:r>
      <w:r>
        <w:t xml:space="preserve">“</w:t>
      </w:r>
      <w:r>
        <w:t xml:space="preserve">Allocation Summary</w:t>
      </w:r>
      <w:r>
        <w:t xml:space="preserve">”</w:t>
      </w:r>
      <w:r>
        <w:t xml:space="preserve"> </w:t>
      </w:r>
      <w:r>
        <w:t xml:space="preserve">Note 2 states that the Memo’s Class V</w:t>
      </w:r>
      <w:r>
        <w:t xml:space="preserve"> </w:t>
      </w:r>
      <w:r>
        <w:t xml:space="preserve">“</w:t>
      </w:r>
      <w:r>
        <w:t xml:space="preserve">does not appear to include the $28,500,000 Beacon interest.</w:t>
      </w:r>
      <w:r>
        <w:t xml:space="preserve">”</w:t>
      </w:r>
      <w:r>
        <w:t xml:space="preserve"> </w:t>
      </w:r>
      <w:r>
        <w:t xml:space="preserve">This observation is itself incorrect — the Memo does list the Beacon interest at $28.5M in its Class V table. The actual cause of the $28.5M Class V variance is the developed-technology understatement and the omitted government software licenses, not the Beacon interest. This internal error in the Asset Valuation’s reconciliation should be corrected, but it does not diminish the underlying Class V discrepancy in the Memo.</w:t>
      </w:r>
    </w:p>
    <w:p>
      <w:pPr>
        <w:pStyle w:val="BodyText"/>
      </w:pPr>
      <w:r>
        <w:rPr>
          <w:b/>
          <w:bCs/>
        </w:rPr>
        <w:t xml:space="preserve">Impact.</w:t>
      </w:r>
      <w:r>
        <w:t xml:space="preserve"> </w:t>
      </w:r>
      <w:r>
        <w:t xml:space="preserve">Combined with the $48.0M ADSP overstatement (Critical 1), the $28.5M Class V understatement inflates the Class VII goodwill residual by $76.5M ($272.8M Memo vs. $196.3M correct). It also misstates the character and recovery period of the buyer’s basis: developed technology is amortizable under §167 over 5 years (per Asset Valuation A-006), not §197 over 15 years, so the understatement shifts approximately $22.8M of basis from a 5-year recovery profile to goodwill’s 15-year profile, deferring the buyer’s deductions.</w:t>
      </w:r>
    </w:p>
    <w:p>
      <w:pPr>
        <w:pStyle w:val="BodyText"/>
      </w:pPr>
      <w:r>
        <w:rPr>
          <w:b/>
          <w:bCs/>
        </w:rPr>
        <w:t xml:space="preserve">Recommendation.</w:t>
      </w:r>
      <w:r>
        <w:t xml:space="preserve"> </w:t>
      </w:r>
      <w:r>
        <w:t xml:space="preserve">Revise the Class V allocation to incorporate the Asset Valuation’s developed-technology ($41.8M) and government-software-license ($5.7M) values, and confirm the §167 (5-year) amortization treatment for the developed technology.</w:t>
      </w:r>
    </w:p>
    <w:p>
      <w:r>
        <w:pict>
          <v:rect style="width:0;height:1.5pt" o:hralign="center" o:hrstd="t" o:hr="t"/>
        </w:pict>
      </w:r>
    </w:p>
    <w:bookmarkEnd w:id="27"/>
    <w:bookmarkStart w:id="28" w:name="X7907a2ed68183eee4eeb428b3ee2b435e02e338"/>
    <w:p>
      <w:pPr>
        <w:pStyle w:val="Heading4"/>
      </w:pPr>
      <w:r>
        <w:t xml:space="preserve">High 2 — Aggregate Adjusted Tax Basis Does Not Reconcile to the Asset Valuation ($21.5M Discrepancy)</w:t>
      </w:r>
    </w:p>
    <w:p>
      <w:pPr>
        <w:pStyle w:val="FirstParagraph"/>
      </w:pPr>
      <w:r>
        <w:rPr>
          <w:b/>
          <w:bCs/>
        </w:rPr>
        <w:t xml:space="preserve">Location in Memo:</w:t>
      </w:r>
      <w:r>
        <w:t xml:space="preserve"> </w:t>
      </w:r>
      <w:r>
        <w:t xml:space="preserve">Section III.B and Section V.A.</w:t>
      </w:r>
    </w:p>
    <w:p>
      <w:pPr>
        <w:pStyle w:val="BodyText"/>
      </w:pPr>
      <w:r>
        <w:rPr>
          <w:b/>
          <w:bCs/>
        </w:rPr>
        <w:t xml:space="preserve">The issue.</w:t>
      </w:r>
      <w:r>
        <w:t xml:space="preserve"> </w:t>
      </w:r>
      <w:r>
        <w:t xml:space="preserve">The Memo states that Prism’s</w:t>
      </w:r>
      <w:r>
        <w:t xml:space="preserve"> </w:t>
      </w:r>
      <w:r>
        <w:t xml:space="preserve">“</w:t>
      </w:r>
      <w:r>
        <w:t xml:space="preserve">current aggregate adjusted tax basis in its assets (as of the most recent available date) is approximately $42,800,000</w:t>
      </w:r>
      <w:r>
        <w:t xml:space="preserve">”</w:t>
      </w:r>
      <w:r>
        <w:t xml:space="preserve"> </w:t>
      </w:r>
      <w:r>
        <w:t xml:space="preserve">and uses this figure to compute the total deemed sale gain ($473.0M − $42.8M = $430.2M). The Asset Valuation’s</w:t>
      </w:r>
      <w:r>
        <w:t xml:space="preserve"> </w:t>
      </w:r>
      <w:r>
        <w:t xml:space="preserve">“</w:t>
      </w:r>
      <w:r>
        <w:t xml:space="preserve">Asset Detail</w:t>
      </w:r>
      <w:r>
        <w:t xml:space="preserve">”</w:t>
      </w:r>
      <w:r>
        <w:t xml:space="preserve"> </w:t>
      </w:r>
      <w:r>
        <w:t xml:space="preserve">tab, however, itemizes the adjusted tax basis of every asset, which sums to</w:t>
      </w:r>
      <w:r>
        <w:t xml:space="preserve"> </w:t>
      </w:r>
      <w:r>
        <w:rPr>
          <w:b/>
          <w:bCs/>
        </w:rPr>
        <w:t xml:space="preserve">$64,300,000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w:t>
            </w:r>
          </w:p>
        </w:tc>
        <w:tc>
          <w:tcPr/>
          <w:p>
            <w:pPr>
              <w:pStyle w:val="Compact"/>
              <w:jc w:val="left"/>
            </w:pPr>
            <w:r>
              <w:t xml:space="preserve">$12,400,000</w:t>
            </w:r>
          </w:p>
        </w:tc>
      </w:tr>
      <w:tr>
        <w:tc>
          <w:tcPr/>
          <w:p>
            <w:pPr>
              <w:pStyle w:val="Compact"/>
              <w:jc w:val="left"/>
            </w:pPr>
            <w:r>
              <w:t xml:space="preserve">Accounts receivable — commercial</w:t>
            </w:r>
          </w:p>
        </w:tc>
        <w:tc>
          <w:tcPr/>
          <w:p>
            <w:pPr>
              <w:pStyle w:val="Compact"/>
              <w:jc w:val="left"/>
            </w:pPr>
            <w:r>
              <w:t xml:space="preserve">$18,700,000</w:t>
            </w:r>
          </w:p>
        </w:tc>
      </w:tr>
      <w:tr>
        <w:tc>
          <w:tcPr/>
          <w:p>
            <w:pPr>
              <w:pStyle w:val="Compact"/>
              <w:jc w:val="left"/>
            </w:pPr>
            <w:r>
              <w:t xml:space="preserve">Accounts receivable — government</w:t>
            </w:r>
          </w:p>
        </w:tc>
        <w:tc>
          <w:tcPr/>
          <w:p>
            <w:pPr>
              <w:pStyle w:val="Compact"/>
              <w:jc w:val="left"/>
            </w:pPr>
            <w:r>
              <w:t xml:space="preserve">$6,400,000</w:t>
            </w:r>
          </w:p>
        </w:tc>
      </w:tr>
      <w:tr>
        <w:tc>
          <w:tcPr/>
          <w:p>
            <w:pPr>
              <w:pStyle w:val="Compact"/>
              <w:jc w:val="left"/>
            </w:pPr>
            <w:r>
              <w:t xml:space="preserve">Real property — Raleigh office</w:t>
            </w:r>
          </w:p>
        </w:tc>
        <w:tc>
          <w:tcPr/>
          <w:p>
            <w:pPr>
              <w:pStyle w:val="Compact"/>
              <w:jc w:val="left"/>
            </w:pPr>
            <w:r>
              <w:t xml:space="preserve">$9,100,000</w:t>
            </w:r>
          </w:p>
        </w:tc>
      </w:tr>
      <w:tr>
        <w:tc>
          <w:tcPr/>
          <w:p>
            <w:pPr>
              <w:pStyle w:val="Compact"/>
              <w:jc w:val="left"/>
            </w:pPr>
            <w:r>
              <w:t xml:space="preserve">Furniture, fixtures &amp; equipment</w:t>
            </w:r>
          </w:p>
        </w:tc>
        <w:tc>
          <w:tcPr/>
          <w:p>
            <w:pPr>
              <w:pStyle w:val="Compact"/>
              <w:jc w:val="left"/>
            </w:pPr>
            <w:r>
              <w:t xml:space="preserve">$3,200,000</w:t>
            </w:r>
          </w:p>
        </w:tc>
      </w:tr>
      <w:tr>
        <w:tc>
          <w:tcPr/>
          <w:p>
            <w:pPr>
              <w:pStyle w:val="Compact"/>
              <w:jc w:val="left"/>
            </w:pPr>
            <w:r>
              <w:t xml:space="preserve">Developed technology</w:t>
            </w:r>
          </w:p>
        </w:tc>
        <w:tc>
          <w:tcPr/>
          <w:p>
            <w:pPr>
              <w:pStyle w:val="Compact"/>
              <w:jc w:val="left"/>
            </w:pPr>
            <w:r>
              <w:t xml:space="preserve">$4,800,000</w:t>
            </w:r>
          </w:p>
        </w:tc>
      </w:tr>
      <w:tr>
        <w:tc>
          <w:tcPr/>
          <w:p>
            <w:pPr>
              <w:pStyle w:val="Compact"/>
              <w:jc w:val="left"/>
            </w:pPr>
            <w:r>
              <w:t xml:space="preserve">Government-sector software licenses</w:t>
            </w:r>
          </w:p>
        </w:tc>
        <w:tc>
          <w:tcPr/>
          <w:p>
            <w:pPr>
              <w:pStyle w:val="Compact"/>
              <w:jc w:val="left"/>
            </w:pPr>
            <w:r>
              <w:t xml:space="preserve">$1,200,000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80.5% Beacon interest</w:t>
            </w:r>
          </w:p>
        </w:tc>
        <w:tc>
          <w:tcPr/>
          <w:p>
            <w:pPr>
              <w:pStyle w:val="Compact"/>
              <w:jc w:val="left"/>
            </w:pPr>
            <w:r>
              <w:t xml:space="preserve">$6,400,000</w:t>
            </w:r>
          </w:p>
        </w:tc>
      </w:tr>
      <w:tr>
        <w:tc>
          <w:tcPr/>
          <w:p>
            <w:pPr>
              <w:pStyle w:val="Compact"/>
              <w:jc w:val="left"/>
            </w:pPr>
            <w:r>
              <w:t xml:space="preserve">Customer relationships (hospital + insurer)</w:t>
            </w:r>
          </w:p>
        </w:tc>
        <w:tc>
          <w:tcPr/>
          <w:p>
            <w:pPr>
              <w:pStyle w:val="Compact"/>
              <w:jc w:val="left"/>
            </w:pPr>
            <w:r>
              <w:t xml:space="preserve">$0</w:t>
            </w:r>
          </w:p>
        </w:tc>
      </w:tr>
      <w:tr>
        <w:tc>
          <w:tcPr/>
          <w:p>
            <w:pPr>
              <w:pStyle w:val="Compact"/>
              <w:jc w:val="left"/>
            </w:pPr>
            <w:r>
              <w:t xml:space="preserve">Proprietary data sets / databases</w:t>
            </w:r>
          </w:p>
        </w:tc>
        <w:tc>
          <w:tcPr/>
          <w:p>
            <w:pPr>
              <w:pStyle w:val="Compact"/>
              <w:jc w:val="left"/>
            </w:pPr>
            <w:r>
              <w:t xml:space="preserve">$2,100,000</w:t>
            </w:r>
          </w:p>
        </w:tc>
      </w:tr>
      <w:tr>
        <w:tc>
          <w:tcPr/>
          <w:p>
            <w:pPr>
              <w:pStyle w:val="Compact"/>
              <w:jc w:val="left"/>
            </w:pPr>
            <w:r>
              <w:t xml:space="preserve">Non-compete agreements</w:t>
            </w:r>
          </w:p>
        </w:tc>
        <w:tc>
          <w:tcPr/>
          <w:p>
            <w:pPr>
              <w:pStyle w:val="Compact"/>
              <w:jc w:val="left"/>
            </w:pPr>
            <w:r>
              <w:t xml:space="preserve">$0</w:t>
            </w:r>
          </w:p>
        </w:tc>
      </w:tr>
      <w:tr>
        <w:tc>
          <w:tcPr/>
          <w:p>
            <w:pPr>
              <w:pStyle w:val="Compact"/>
              <w:jc w:val="left"/>
            </w:pPr>
            <w:r>
              <w:t xml:space="preserve">Assembled workforce / 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t xml:space="preserve">The Memo’s $42.8M does not reconcile to the Asset Valuation’s $64.3M, nor to any identifiable subset of those figures. The $21.5M understatement of basis, combined with the $48.0M ADSP overstatement, means the Memo’s total deemed sale gain of $430.2M is overstated by approximately</w:t>
      </w:r>
      <w:r>
        <w:t xml:space="preserve"> </w:t>
      </w:r>
      <w:r>
        <w:rPr>
          <w:b/>
          <w:bCs/>
        </w:rPr>
        <w:t xml:space="preserve">$69.5M</w:t>
      </w:r>
      <w:r>
        <w:t xml:space="preserve"> </w:t>
      </w:r>
      <w:r>
        <w:t xml:space="preserve">versus the figure the supporting documents would produce (approximately $360.7M).</w:t>
      </w:r>
    </w:p>
    <w:p>
      <w:pPr>
        <w:pStyle w:val="BodyText"/>
      </w:pPr>
      <w:r>
        <w:rPr>
          <w:b/>
          <w:bCs/>
        </w:rPr>
        <w:t xml:space="preserve">Recommendation.</w:t>
      </w:r>
      <w:r>
        <w:t xml:space="preserve"> </w:t>
      </w:r>
      <w:r>
        <w:t xml:space="preserve">Replace the $42.8M figure with the Asset Valuation’s itemized $64.3M aggregate basis (or reconcile and explain any difference), and recompute the deemed sale gain and per-shareholder allocations.</w:t>
      </w:r>
    </w:p>
    <w:p>
      <w:r>
        <w:pict>
          <v:rect style="width:0;height:1.5pt" o:hralign="center" o:hrstd="t" o:hr="t"/>
        </w:pict>
      </w:r>
    </w:p>
    <w:bookmarkEnd w:id="28"/>
    <w:bookmarkStart w:id="29" w:name="X568180cf54534f949afd69c64c15b952bdf2f38"/>
    <w:p>
      <w:pPr>
        <w:pStyle w:val="Heading4"/>
      </w:pPr>
      <w:r>
        <w:t xml:space="preserve">High 3 — Escrow Tax Treatment Inconsistent with the Purchase Agreement and Framed at the Wrong Taxpayer Level</w:t>
      </w:r>
    </w:p>
    <w:p>
      <w:pPr>
        <w:pStyle w:val="FirstParagraph"/>
      </w:pPr>
      <w:r>
        <w:rPr>
          <w:b/>
          <w:bCs/>
        </w:rPr>
        <w:t xml:space="preserve">Location in Memo:</w:t>
      </w:r>
      <w:r>
        <w:t xml:space="preserve"> </w:t>
      </w:r>
      <w:r>
        <w:t xml:space="preserve">Section V.C; compared to PA §7.4.</w:t>
      </w:r>
    </w:p>
    <w:p>
      <w:pPr>
        <w:pStyle w:val="BodyText"/>
      </w:pPr>
      <w:r>
        <w:rPr>
          <w:b/>
          <w:bCs/>
        </w:rPr>
        <w:t xml:space="preserve">The issue.</w:t>
      </w:r>
      <w:r>
        <w:t xml:space="preserve"> </w:t>
      </w:r>
      <w:r>
        <w:t xml:space="preserve">The Memo (Section V.C) recommends that the selling shareholders</w:t>
      </w:r>
      <w:r>
        <w:t xml:space="preserve"> </w:t>
      </w:r>
      <w:r>
        <w:t xml:space="preserve">“</w:t>
      </w:r>
      <w:r>
        <w:t xml:space="preserve">may elect installment sale treatment</w:t>
      </w:r>
      <w:r>
        <w:t xml:space="preserve">”</w:t>
      </w:r>
      <w:r>
        <w:t xml:space="preserve"> </w:t>
      </w:r>
      <w:r>
        <w:t xml:space="preserve">under §453 with respect to the $22.0M escrow,</w:t>
      </w:r>
      <w:r>
        <w:t xml:space="preserve"> </w:t>
      </w:r>
      <w:r>
        <w:t xml:space="preserve">“</w:t>
      </w:r>
      <w:r>
        <w:t xml:space="preserve">deferring recognition of a proportionate share of gain until the escrow is released</w:t>
      </w:r>
      <w:r>
        <w:t xml:space="preserve">”</w:t>
      </w:r>
      <w:r>
        <w:t xml:space="preserve"> </w:t>
      </w:r>
      <w:r>
        <w:t xml:space="preserve">(September 15, 2026). The Purchase Agreement, however, contains an express tax-treatment provision that is directly to the contrary. PA §7.4 (</w:t>
      </w:r>
      <w:r>
        <w:t xml:space="preserve">“</w:t>
      </w:r>
      <w:r>
        <w:t xml:space="preserve">Tax Treatment</w:t>
      </w:r>
      <w:r>
        <w:t xml:space="preserve">”</w:t>
      </w:r>
      <w:r>
        <w:t xml:space="preserve">) states:</w:t>
      </w:r>
      <w:r>
        <w:t xml:space="preserve"> </w:t>
      </w: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r>
        <w:t xml:space="preserve"> </w:t>
      </w:r>
      <w:r>
        <w:t xml:space="preserve">The Memo’s deferral recommendation thus conflicts with the agreed tax treatment in the governing deal document.</w:t>
      </w:r>
    </w:p>
    <w:p>
      <w:pPr>
        <w:pStyle w:val="BodyText"/>
      </w:pPr>
      <w:r>
        <w:rPr>
          <w:b/>
          <w:bCs/>
        </w:rPr>
        <w:t xml:space="preserve">Additional technical concern.</w:t>
      </w:r>
      <w:r>
        <w:t xml:space="preserve"> </w:t>
      </w:r>
      <w:r>
        <w:t xml:space="preserve">The Memo frames the installment election at the</w:t>
      </w:r>
      <w:r>
        <w:t xml:space="preserve"> </w:t>
      </w:r>
      <w:r>
        <w:rPr>
          <w:b/>
          <w:bCs/>
        </w:rPr>
        <w:t xml:space="preserve">shareholder</w:t>
      </w:r>
      <w:r>
        <w:t xml:space="preserve"> </w:t>
      </w:r>
      <w:r>
        <w:t xml:space="preserve">level (</w:t>
      </w:r>
      <w:r>
        <w:t xml:space="preserve">“</w:t>
      </w:r>
      <w:r>
        <w:t xml:space="preserve">the selling shareholders may elect installment sale treatment</w:t>
      </w:r>
      <w:r>
        <w:t xml:space="preserve">”</w:t>
      </w:r>
      <w:r>
        <w:t xml:space="preserve">). In a Section 338(h)(10) transaction, however, the deemed sale of assets occurs at the</w:t>
      </w:r>
      <w:r>
        <w:t xml:space="preserve"> </w:t>
      </w:r>
      <w:r>
        <w:rPr>
          <w:b/>
          <w:bCs/>
        </w:rPr>
        <w:t xml:space="preserve">entity</w:t>
      </w:r>
      <w:r>
        <w:t xml:space="preserve"> </w:t>
      </w:r>
      <w:r>
        <w:t xml:space="preserve">(old Prism) level; the shareholders do not sell stock or assets directly. They receive</w:t>
      </w:r>
      <w:r>
        <w:t xml:space="preserve"> </w:t>
      </w:r>
      <w:r>
        <w:rPr>
          <w:b/>
          <w:bCs/>
        </w:rPr>
        <w:t xml:space="preserve">deemed liquidating distributions</w:t>
      </w:r>
      <w:r>
        <w:t xml:space="preserve"> </w:t>
      </w:r>
      <w:r>
        <w:t xml:space="preserve">from old Prism following the deemed sale. The installment method, if available at all, would be elected and applied by old Prism with respect to the deemed asset sale — not by the shareholders with respect to a deemed liquidating distribution (which is not an installment sale). The Memo’s shareholder-level framing is therefore conceptually misplaced. The Memo also does not address whether the installment method is available for a §338(h)(10) deemed sale at all, given that the deemed sale is a tax fiction occurring at the close of the acquisition date.</w:t>
      </w:r>
    </w:p>
    <w:p>
      <w:pPr>
        <w:pStyle w:val="BodyText"/>
      </w:pPr>
      <w:r>
        <w:rPr>
          <w:b/>
          <w:bCs/>
        </w:rPr>
        <w:t xml:space="preserve">Recommendation.</w:t>
      </w:r>
      <w:r>
        <w:t xml:space="preserve"> </w:t>
      </w:r>
      <w:r>
        <w:t xml:space="preserve">Reconcile the Memo’s escrow analysis with PA §7.4. If installment treatment is to be pursued, the analysis should be conducted at the entity (old Prism) level, the PA’s tax-treatment provision should be conformed, and the availability of §453 for a deemed asset sale should be specifically addressed. The escrow/QSBS question raised by Linden Rock (whether any QSBS exclusion applies to escrow-attributable gain) should also be addressed (see Critical 3).</w:t>
      </w:r>
    </w:p>
    <w:p>
      <w:r>
        <w:pict>
          <v:rect style="width:0;height:1.5pt" o:hralign="center" o:hrstd="t" o:hr="t"/>
        </w:pict>
      </w:r>
    </w:p>
    <w:bookmarkEnd w:id="29"/>
    <w:bookmarkStart w:id="30" w:name="X6535ca908288ccbc6244ff53b1c9cc9c829d308"/>
    <w:p>
      <w:pPr>
        <w:pStyle w:val="Heading4"/>
      </w:pPr>
      <w:r>
        <w:t xml:space="preserve">High 4 — Beacon IP License Automatic Termination on Change of Control Not Flagged</w:t>
      </w:r>
    </w:p>
    <w:p>
      <w:pPr>
        <w:pStyle w:val="FirstParagraph"/>
      </w:pPr>
      <w:r>
        <w:rPr>
          <w:b/>
          <w:bCs/>
        </w:rPr>
        <w:t xml:space="preserve">Location in Memo:</w:t>
      </w:r>
      <w:r>
        <w:t xml:space="preserve"> </w:t>
      </w:r>
      <w:r>
        <w:t xml:space="preserve">Section VIII; compared to Beacon OA §9.02.</w:t>
      </w:r>
    </w:p>
    <w:p>
      <w:pPr>
        <w:pStyle w:val="BodyText"/>
      </w:pPr>
      <w:r>
        <w:rPr>
          <w:b/>
          <w:bCs/>
        </w:rPr>
        <w:t xml:space="preserve">The issue.</w:t>
      </w:r>
      <w:r>
        <w:t xml:space="preserve"> </w:t>
      </w:r>
      <w:r>
        <w:t xml:space="preserve">The Beacon OA §9.02 provides that the IP License Agreement between Prism and Beacon</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The merger constitutes a</w:t>
      </w:r>
      <w:r>
        <w:t xml:space="preserve"> </w:t>
      </w:r>
      <w:r>
        <w:t xml:space="preserve">“</w:t>
      </w:r>
      <w:r>
        <w:t xml:space="preserve">Change of Control</w:t>
      </w:r>
      <w:r>
        <w:t xml:space="preserve">”</w:t>
      </w:r>
      <w:r>
        <w:t xml:space="preserve"> </w:t>
      </w:r>
      <w:r>
        <w:t xml:space="preserve">of Prism under the Beacon OA’s definition (§1,</w:t>
      </w:r>
      <w:r>
        <w:t xml:space="preserve"> </w:t>
      </w:r>
      <w:r>
        <w:t xml:space="preserve">“</w:t>
      </w:r>
      <w:r>
        <w:t xml:space="preserve">Change of Control</w:t>
      </w:r>
      <w:r>
        <w:t xml:space="preserve">”</w:t>
      </w:r>
      <w:r>
        <w:t xml:space="preserve">: a merger or other transaction resulting in a change in beneficial ownership of more than 50% of Prism’s voting equity) and is expressly treated as a change of control under PA §2.3(d). Unless the parties agree otherwise in writing, the IP license — under which Beacon uses Prism’s proprietary algorithms, software platforms, and data processing tools — terminates automatically at closing.</w:t>
      </w:r>
    </w:p>
    <w:p>
      <w:pPr>
        <w:pStyle w:val="BodyText"/>
      </w:pPr>
      <w:r>
        <w:t xml:space="preserve">The Memo’s Beacon discussion (Section VIII) mentions the Beacon OA’s transfer restrictions (the right of first refusal) and states that</w:t>
      </w:r>
      <w:r>
        <w:t xml:space="preserve"> </w:t>
      </w:r>
      <w:r>
        <w:t xml:space="preserve">“</w:t>
      </w:r>
      <w:r>
        <w:t xml:space="preserve">the parties and their counsel are addressing these transfer provisions,</w:t>
      </w:r>
      <w:r>
        <w:t xml:space="preserve">”</w:t>
      </w:r>
      <w:r>
        <w:t xml:space="preserve"> </w:t>
      </w:r>
      <w:r>
        <w:t xml:space="preserve">but it does</w:t>
      </w:r>
      <w:r>
        <w:t xml:space="preserve"> </w:t>
      </w:r>
      <w:r>
        <w:rPr>
          <w:b/>
          <w:bCs/>
        </w:rPr>
        <w:t xml:space="preserve">not</w:t>
      </w:r>
      <w:r>
        <w:t xml:space="preserve"> </w:t>
      </w:r>
      <w:r>
        <w:t xml:space="preserve">flag the automatic IP license termination. This is a more serious issue than the ROFR: the Thornfield Report (Section VII.B) describes the licensed IP as</w:t>
      </w:r>
      <w:r>
        <w:t xml:space="preserve"> </w:t>
      </w:r>
      <w:r>
        <w:t xml:space="preserve">“</w:t>
      </w:r>
      <w:r>
        <w:t xml:space="preserve">a core element of Beacon’s service delivery platform and revenue generation capability,</w:t>
      </w:r>
      <w:r>
        <w:t xml:space="preserve">”</w:t>
      </w:r>
      <w:r>
        <w:t xml:space="preserve"> </w:t>
      </w:r>
      <w:r>
        <w:t xml:space="preserve">and Beacon generates approximately $11.0M in annual revenue and $3.2M in EBITDA using the licensed IP. If the license terminates, Beacon’s revenue-generating capacity — and thus the $28.5M fair market value assigned to Prism’s 80.5% Beacon interest (a Class V asset in the deemed sale) — could be materially impaired.</w:t>
      </w:r>
    </w:p>
    <w:p>
      <w:pPr>
        <w:pStyle w:val="BodyText"/>
      </w:pPr>
      <w:r>
        <w:rPr>
          <w:b/>
          <w:bCs/>
        </w:rPr>
        <w:t xml:space="preserve">Related observation.</w:t>
      </w:r>
      <w:r>
        <w:t xml:space="preserve"> </w:t>
      </w:r>
      <w:r>
        <w:t xml:space="preserve">PA §8.2(g) makes</w:t>
      </w:r>
      <w:r>
        <w:t xml:space="preserve"> </w:t>
      </w:r>
      <w:r>
        <w:t xml:space="preserve">“</w:t>
      </w:r>
      <w:r>
        <w:t xml:space="preserve">any required consents under the operating agreement of Beacon Insights, LLC</w:t>
      </w:r>
      <w:r>
        <w:t xml:space="preserve">”</w:t>
      </w:r>
      <w:r>
        <w:t xml:space="preserve"> </w:t>
      </w:r>
      <w:r>
        <w:t xml:space="preserve">a closing condition, but the IP license termination is automatic (not merely a consent item) unless the parties</w:t>
      </w:r>
      <w:r>
        <w:t xml:space="preserve"> </w:t>
      </w:r>
      <w:r>
        <w:t xml:space="preserve">“</w:t>
      </w:r>
      <w:r>
        <w:t xml:space="preserve">agree otherwise in writing,</w:t>
      </w:r>
      <w:r>
        <w:t xml:space="preserve">”</w:t>
      </w:r>
      <w:r>
        <w:t xml:space="preserve"> </w:t>
      </w:r>
      <w:r>
        <w:t xml:space="preserve">so a consent alone may be insufficient — a written agreement to continue the license is required.</w:t>
      </w:r>
    </w:p>
    <w:p>
      <w:pPr>
        <w:pStyle w:val="BodyText"/>
      </w:pPr>
      <w:r>
        <w:rPr>
          <w:b/>
          <w:bCs/>
        </w:rPr>
        <w:t xml:space="preserve">Recommendation.</w:t>
      </w:r>
      <w:r>
        <w:t xml:space="preserve"> </w:t>
      </w:r>
      <w:r>
        <w:t xml:space="preserve">The Memo should flag the automatic IP license termination, confirm whether a written agreement to continue the license will be executed at closing, and assess the impact on Beacon’s enterprise value and the $28.5M Beacon-interest allocation if the license is not continued. The ROFR trigger (Beacon OA §8.03(a)(ii), triggered by a Change of Control of Prism as an entity member) should also be specifically analyzed.</w:t>
      </w:r>
    </w:p>
    <w:p>
      <w:r>
        <w:pict>
          <v:rect style="width:0;height:1.5pt" o:hralign="center" o:hrstd="t" o:hr="t"/>
        </w:pict>
      </w:r>
    </w:p>
    <w:bookmarkEnd w:id="30"/>
    <w:bookmarkStart w:id="31" w:name="Xc33c1b4319f225d9f2aa897c9559be6b9270a1d"/>
    <w:p>
      <w:pPr>
        <w:pStyle w:val="Heading4"/>
      </w:pPr>
      <w:r>
        <w:t xml:space="preserve">High 5 — Rollover Equity / Section 338(h)(10) Interaction Not Fully Addressed</w:t>
      </w:r>
    </w:p>
    <w:p>
      <w:pPr>
        <w:pStyle w:val="FirstParagraph"/>
      </w:pPr>
      <w:r>
        <w:rPr>
          <w:b/>
          <w:bCs/>
        </w:rPr>
        <w:t xml:space="preserve">Location in Memo:</w:t>
      </w:r>
      <w:r>
        <w:t xml:space="preserve"> </w:t>
      </w:r>
      <w:r>
        <w:t xml:space="preserve">Section II.B and Section V.B; Cap Table</w:t>
      </w:r>
      <w:r>
        <w:t xml:space="preserve"> </w:t>
      </w:r>
      <w:r>
        <w:t xml:space="preserve">“</w:t>
      </w:r>
      <w:r>
        <w:t xml:space="preserve">Consideration Waterfall</w:t>
      </w:r>
      <w:r>
        <w:t xml:space="preserve">”</w:t>
      </w:r>
      <w:r>
        <w:t xml:space="preserve"> </w:t>
      </w:r>
      <w:r>
        <w:t xml:space="preserve">notes.</w:t>
      </w:r>
    </w:p>
    <w:p>
      <w:pPr>
        <w:pStyle w:val="BodyText"/>
      </w:pPr>
      <w:r>
        <w:rPr>
          <w:b/>
          <w:bCs/>
        </w:rPr>
        <w:t xml:space="preserve">The issue.</w:t>
      </w:r>
      <w:r>
        <w:t xml:space="preserve"> </w:t>
      </w:r>
      <w:r>
        <w:t xml:space="preserve">The Memo states that Dr. Chandra’s $37.0M rollover</w:t>
      </w:r>
      <w:r>
        <w:t xml:space="preserve"> </w:t>
      </w:r>
      <w:r>
        <w:t xml:space="preserve">“</w:t>
      </w:r>
      <w:r>
        <w:t xml:space="preserve">is treated as a separate transaction from the deemed sale,</w:t>
      </w:r>
      <w:r>
        <w:t xml:space="preserve">”</w:t>
      </w:r>
      <w:r>
        <w:t xml:space="preserve"> </w:t>
      </w:r>
      <w:r>
        <w:t xml:space="preserve">that he</w:t>
      </w:r>
      <w:r>
        <w:t xml:space="preserve"> </w:t>
      </w:r>
      <w:r>
        <w:t xml:space="preserve">“</w:t>
      </w:r>
      <w:r>
        <w:t xml:space="preserve">will recognize his full pro rata share of the deemed sale gain and then contribute a portion of his after-tax proceeds to the new entity,</w:t>
      </w:r>
      <w:r>
        <w:t xml:space="preserve">”</w:t>
      </w:r>
      <w:r>
        <w:t xml:space="preserve"> </w:t>
      </w:r>
      <w:r>
        <w:t xml:space="preserve">and that</w:t>
      </w:r>
      <w:r>
        <w:t xml:space="preserve"> </w:t>
      </w:r>
      <w:r>
        <w:t xml:space="preserve">“</w:t>
      </w:r>
      <w:r>
        <w:t xml:space="preserve">the rollover does not reduce or defer Dr. Chandra’s recognition of deemed sale gain.</w:t>
      </w:r>
      <w:r>
        <w:t xml:space="preserve">”</w:t>
      </w:r>
      <w:r>
        <w:t xml:space="preserve"> </w:t>
      </w:r>
      <w:r>
        <w:t xml:space="preserve">This high-level statement is directionally correct, but the Memo does not address the principal tax-planning consequence of rolling equity into a §338(h)(10) transaction: the</w:t>
      </w:r>
      <w:r>
        <w:t xml:space="preserve"> </w:t>
      </w:r>
      <w:r>
        <w:rPr>
          <w:b/>
          <w:bCs/>
        </w:rPr>
        <w:t xml:space="preserve">tax cash-flow burden</w:t>
      </w:r>
      <w:r>
        <w:t xml:space="preserve"> </w:t>
      </w:r>
      <w:r>
        <w:t xml:space="preserve">on the rolling shareholder.</w:t>
      </w:r>
    </w:p>
    <w:p>
      <w:pPr>
        <w:pStyle w:val="BodyText"/>
      </w:pPr>
      <w:r>
        <w:t xml:space="preserve">Under the §338(h)(10) deemed sale and deemed liquidation, Dr. Chandra recognizes gain on the</w:t>
      </w:r>
      <w:r>
        <w:t xml:space="preserve"> </w:t>
      </w:r>
      <w:r>
        <w:rPr>
          <w:b/>
          <w:bCs/>
        </w:rPr>
        <w:t xml:space="preserve">full</w:t>
      </w:r>
      <w:r>
        <w:t xml:space="preserve"> </w:t>
      </w:r>
      <w:r>
        <w:t xml:space="preserve">value of his stock (including the $37.0M rollover portion), but he receives cash only for the non-rollover portion ($155.4M). He must therefore fund the tax on the gain attributable to the $37.0M rollover portion out of his $155.4M cash proceeds, reducing his net cash. Using the Memo’s own (inflated) figures, Dr. Chandra’s total deemed sale gain is $223.7M; the tax (at a combined federal/NC rate of roughly 28.3%) is approximately $63M, all payable from $155.4M of cash, leaving materially less net cash after funding both the tax and the rollover contribution. The Memo does not quantify this cash-flow impact, does not address whether the structure could be optimized (e.g., via a F reorganization or other mitigating structure), and does not analyze the basis Dr. Chandra receives in the rollover equity. The Cap Table’s</w:t>
      </w:r>
      <w:r>
        <w:t xml:space="preserve"> </w:t>
      </w:r>
      <w:r>
        <w:t xml:space="preserve">“</w:t>
      </w:r>
      <w:r>
        <w:t xml:space="preserve">Consideration Waterfall</w:t>
      </w:r>
      <w:r>
        <w:t xml:space="preserve">”</w:t>
      </w:r>
      <w:r>
        <w:t xml:space="preserve"> </w:t>
      </w:r>
      <w:r>
        <w:t xml:space="preserve">expressly notes that</w:t>
      </w:r>
      <w:r>
        <w:t xml:space="preserve"> </w:t>
      </w:r>
      <w:r>
        <w:t xml:space="preserve">“</w:t>
      </w:r>
      <w:r>
        <w:t xml:space="preserve">the Memo does not address interaction of rollover with 338(h)(10) deemed sale.</w:t>
      </w:r>
      <w:r>
        <w:t xml:space="preserve">”</w:t>
      </w:r>
    </w:p>
    <w:p>
      <w:pPr>
        <w:pStyle w:val="BodyText"/>
      </w:pPr>
      <w:r>
        <w:rPr>
          <w:b/>
          <w:bCs/>
        </w:rPr>
        <w:t xml:space="preserve">Recommendation.</w:t>
      </w:r>
      <w:r>
        <w:t xml:space="preserve"> </w:t>
      </w:r>
      <w:r>
        <w:t xml:space="preserve">Expand the rollover analysis to quantify the tax cash-flow burden on Dr. Chandra, analyze the basis in the rollover equity, and evaluate whether any alternative or mitigating structure would reduce the tax cost of the rollover while preserving the §338(h)(10) election for the buyer.</w:t>
      </w:r>
    </w:p>
    <w:p>
      <w:r>
        <w:pict>
          <v:rect style="width:0;height:1.5pt" o:hralign="center" o:hrstd="t" o:hr="t"/>
        </w:pict>
      </w:r>
    </w:p>
    <w:bookmarkEnd w:id="31"/>
    <w:bookmarkEnd w:id="32"/>
    <w:bookmarkStart w:id="42" w:name="c.-moderate-findings"/>
    <w:p>
      <w:pPr>
        <w:pStyle w:val="Heading3"/>
      </w:pPr>
      <w:r>
        <w:t xml:space="preserve">C. Moderate Findings</w:t>
      </w:r>
    </w:p>
    <w:bookmarkStart w:id="33" w:name="Xb790a8f883506a26517d2f870fb40bb1856bb96"/>
    <w:p>
      <w:pPr>
        <w:pStyle w:val="Heading4"/>
      </w:pPr>
      <w:r>
        <w:t xml:space="preserve">Moderate 1 — Intercompany Transfer Pricing (§482) Exposure Omitted</w:t>
      </w:r>
    </w:p>
    <w:p>
      <w:pPr>
        <w:pStyle w:val="FirstParagraph"/>
      </w:pPr>
      <w:r>
        <w:rPr>
          <w:b/>
          <w:bCs/>
        </w:rPr>
        <w:t xml:space="preserve">Location in Memo:</w:t>
      </w:r>
      <w:r>
        <w:t xml:space="preserve"> </w:t>
      </w:r>
      <w:r>
        <w:t xml:space="preserve">Sections III.C and VIII; compared to Thornfield Report §VII and PA §4.9(h).</w:t>
      </w:r>
    </w:p>
    <w:p>
      <w:pPr>
        <w:pStyle w:val="BodyText"/>
      </w:pPr>
      <w:r>
        <w:rPr>
          <w:b/>
          <w:bCs/>
        </w:rPr>
        <w:t xml:space="preserve">The issue.</w:t>
      </w:r>
      <w:r>
        <w:t xml:space="preserve"> </w:t>
      </w:r>
      <w:r>
        <w:t xml:space="preserve">The Thornfield Report (Section VII) identifies approximately</w:t>
      </w:r>
      <w:r>
        <w:t xml:space="preserve"> </w:t>
      </w:r>
      <w:r>
        <w:rPr>
          <w:b/>
          <w:bCs/>
        </w:rPr>
        <w:t xml:space="preserve">$6.3M</w:t>
      </w:r>
      <w:r>
        <w:t xml:space="preserve"> </w:t>
      </w:r>
      <w:r>
        <w:t xml:space="preserve">of cumulative Section 482 exposure for 2019–2024 from the intercompany management fee ($850K/year) and IP license fee ($400K/year) between Prism and Beacon, both of which appear to be below arm’s-length pricing and lack formal transfer-pricing documentation or benchmarking. The Beacon OA (§§9.01–9.02) confirms that neither fee has been the subject of a benchmarking study, transfer-pricing analysis, or independent appraisal, and that neither fee adjusts based on the volume, scope, or cost of services or Beacon’s revenue. The Memo mentions the intercompany fees (Sections III.C, VIII) but does not flag the §482 exposure, the below-arm’s-length pricing concern, or the absence of transfer-pricing documentation. Separately, PA §4.9(h) represents that the intercompany fees</w:t>
      </w:r>
      <w:r>
        <w:t xml:space="preserve"> </w:t>
      </w:r>
      <w:r>
        <w:t xml:space="preserve">“</w:t>
      </w:r>
      <w:r>
        <w:t xml:space="preserve">are at arm’s length</w:t>
      </w:r>
      <w:r>
        <w:t xml:space="preserve">”</w:t>
      </w:r>
      <w:r>
        <w:t xml:space="preserve"> </w:t>
      </w:r>
      <w:r>
        <w:t xml:space="preserve">while also disclosing that</w:t>
      </w:r>
      <w:r>
        <w:t xml:space="preserve"> </w:t>
      </w:r>
      <w:r>
        <w:t xml:space="preserve">“</w:t>
      </w:r>
      <w:r>
        <w:t xml:space="preserve">[n]o formal transfer pricing study has been prepared</w:t>
      </w:r>
      <w:r>
        <w:t xml:space="preserve">”</w:t>
      </w:r>
      <w:r>
        <w:t xml:space="preserve"> </w:t>
      </w:r>
      <w:r>
        <w:t xml:space="preserve">— a representation that is in tension with the Thornfield finding that the fees appear below arm’s length.</w:t>
      </w:r>
    </w:p>
    <w:p>
      <w:pPr>
        <w:pStyle w:val="BodyText"/>
      </w:pPr>
      <w:r>
        <w:rPr>
          <w:b/>
          <w:bCs/>
        </w:rPr>
        <w:t xml:space="preserve">Recommendation.</w:t>
      </w:r>
      <w:r>
        <w:t xml:space="preserve"> </w:t>
      </w:r>
      <w:r>
        <w:t xml:space="preserve">The Memo should disclose the §482 exposure, note the tension with the PA’s arm’s-length representation, and recommend a transfer-pricing study and consideration of amended returns or a voluntary disclosure for prior years. The exposure should be reflected in the transaction’s risk-allocation and indemnification provisions.</w:t>
      </w:r>
    </w:p>
    <w:p>
      <w:r>
        <w:pict>
          <v:rect style="width:0;height:1.5pt" o:hralign="center" o:hrstd="t" o:hr="t"/>
        </w:pict>
      </w:r>
    </w:p>
    <w:bookmarkEnd w:id="33"/>
    <w:bookmarkStart w:id="34" w:name="Xeba7e35c1cbd41001a9f5705e7286e14cdf69e7"/>
    <w:p>
      <w:pPr>
        <w:pStyle w:val="Heading4"/>
      </w:pPr>
      <w:r>
        <w:t xml:space="preserve">Moderate 2 — Suspended Federal R&amp;D Credits ($3.8M) Inadequately Addressed</w:t>
      </w:r>
    </w:p>
    <w:p>
      <w:pPr>
        <w:pStyle w:val="FirstParagraph"/>
      </w:pPr>
      <w:r>
        <w:rPr>
          <w:b/>
          <w:bCs/>
        </w:rPr>
        <w:t xml:space="preserve">Location in Memo:</w:t>
      </w:r>
      <w:r>
        <w:t xml:space="preserve"> </w:t>
      </w:r>
      <w:r>
        <w:t xml:space="preserve">Section III.D and Section IX.C; compared to Thornfield Report §§IV.B, IX.A.</w:t>
      </w:r>
    </w:p>
    <w:p>
      <w:pPr>
        <w:pStyle w:val="BodyText"/>
      </w:pPr>
      <w:r>
        <w:rPr>
          <w:b/>
          <w:bCs/>
        </w:rPr>
        <w:t xml:space="preserve">The issue.</w:t>
      </w:r>
      <w:r>
        <w:t xml:space="preserve"> </w:t>
      </w:r>
      <w:r>
        <w:t xml:space="preserve">The Memo mentions the $3.8M in unused federal R&amp;D credits (carried forward from the 2016 C corporation year) and the ~$1.2M/year North Carolina R&amp;D credits, and states that</w:t>
      </w:r>
      <w:r>
        <w:t xml:space="preserve"> </w:t>
      </w:r>
      <w:r>
        <w:t xml:space="preserve">“</w:t>
      </w:r>
      <w:r>
        <w:t xml:space="preserve">[t]hese credits are noted and will be addressed in the post-closing tax planning.</w:t>
      </w:r>
      <w:r>
        <w:t xml:space="preserve">”</w:t>
      </w:r>
      <w:r>
        <w:t xml:space="preserve"> </w:t>
      </w:r>
      <w:r>
        <w:t xml:space="preserve">The Memo’s</w:t>
      </w:r>
      <w:r>
        <w:t xml:space="preserve"> </w:t>
      </w:r>
      <w:r>
        <w:t xml:space="preserve">“</w:t>
      </w:r>
      <w:r>
        <w:t xml:space="preserve">Items Noted for Further Analysis</w:t>
      </w:r>
      <w:r>
        <w:t xml:space="preserve">”</w:t>
      </w:r>
      <w:r>
        <w:t xml:space="preserve"> </w:t>
      </w:r>
      <w:r>
        <w:t xml:space="preserve">(Section IX.C) does not list the R&amp;D credits. The Thornfield Report (Sections IV.B, IX.A) concludes that the $3.8M in suspended credits are</w:t>
      </w:r>
      <w:r>
        <w:t xml:space="preserve"> </w:t>
      </w:r>
      <w:r>
        <w:t xml:space="preserve">“</w:t>
      </w:r>
      <w:r>
        <w:t xml:space="preserve">at significant risk of permanent expiration in connection with this transaction</w:t>
      </w:r>
      <w:r>
        <w:t xml:space="preserve">”</w:t>
      </w:r>
      <w:r>
        <w:t xml:space="preserve"> </w:t>
      </w:r>
      <w:r>
        <w:t xml:space="preserve">(because they can only offset C corporation tax or §1374 built-in-gains tax, and no built-in-gains tax applies) and specifically recommends that</w:t>
      </w:r>
      <w:r>
        <w:t xml:space="preserve"> </w:t>
      </w:r>
      <w:r>
        <w:t xml:space="preserve">“</w:t>
      </w:r>
      <w:r>
        <w:t xml:space="preserve">tax counsel should analyze the interaction of Sections 1371(b), 1371(e), 1374, and 338(h)(10) to determine whether any portion of these credits can be salvaged.</w:t>
      </w:r>
      <w:r>
        <w:t xml:space="preserve">”</w:t>
      </w:r>
      <w:r>
        <w:t xml:space="preserve"> </w:t>
      </w:r>
      <w:r>
        <w:t xml:space="preserve">The Memo, which is tax counsel’s analysis, does not perform this analysis.</w:t>
      </w:r>
    </w:p>
    <w:p>
      <w:pPr>
        <w:pStyle w:val="BodyText"/>
      </w:pPr>
      <w:r>
        <w:rPr>
          <w:b/>
          <w:bCs/>
        </w:rPr>
        <w:t xml:space="preserve">Recommendation.</w:t>
      </w:r>
      <w:r>
        <w:t xml:space="preserve"> </w:t>
      </w:r>
      <w:r>
        <w:t xml:space="preserve">The Memo should analyze whether any portion of the $3.8M suspended credits can be utilized (e.g., during the post-termination transition period or via a final-return mechanism) and whether any structuring alternative could preserve their value. If the credits cannot be salvaged, the Memo should so conclude and address the treatment on the final return. This should be listed as an open item.</w:t>
      </w:r>
    </w:p>
    <w:p>
      <w:r>
        <w:pict>
          <v:rect style="width:0;height:1.5pt" o:hralign="center" o:hrstd="t" o:hr="t"/>
        </w:pict>
      </w:r>
    </w:p>
    <w:bookmarkEnd w:id="34"/>
    <w:bookmarkStart w:id="35" w:name="X699a8c5767cd116f6eda13efa181569c756eee4"/>
    <w:p>
      <w:pPr>
        <w:pStyle w:val="Heading4"/>
      </w:pPr>
      <w:r>
        <w:t xml:space="preserve">Moderate 3 — AAA / Deemed Liquidation Distribution Characterization Omitted</w:t>
      </w:r>
    </w:p>
    <w:p>
      <w:pPr>
        <w:pStyle w:val="FirstParagraph"/>
      </w:pPr>
      <w:r>
        <w:rPr>
          <w:b/>
          <w:bCs/>
        </w:rPr>
        <w:t xml:space="preserve">Location in Memo:</w:t>
      </w:r>
      <w:r>
        <w:t xml:space="preserve"> </w:t>
      </w:r>
      <w:r>
        <w:t xml:space="preserve">Section V.A; compared to Thornfield Report §IX.C.</w:t>
      </w:r>
    </w:p>
    <w:p>
      <w:pPr>
        <w:pStyle w:val="BodyText"/>
      </w:pPr>
      <w:r>
        <w:rPr>
          <w:b/>
          <w:bCs/>
        </w:rPr>
        <w:t xml:space="preserve">The issue.</w:t>
      </w:r>
      <w:r>
        <w:t xml:space="preserve"> </w:t>
      </w:r>
      <w:r>
        <w:t xml:space="preserve">The Thornfield Report (Section IX.C) identifies the Accumulated Adjustments Account (</w:t>
      </w:r>
      <w:r>
        <w:t xml:space="preserve">“</w:t>
      </w:r>
      <w:r>
        <w:t xml:space="preserve">AAA</w:t>
      </w:r>
      <w:r>
        <w:t xml:space="preserve">”</w:t>
      </w:r>
      <w:r>
        <w:t xml:space="preserve">) balance of $64.2M (as of December 31, 2023), Previously Taxed Income of $792K, and Accumulated Earnings &amp; Profits (</w:t>
      </w:r>
      <w:r>
        <w:t xml:space="preserve">“</w:t>
      </w:r>
      <w:r>
        <w:t xml:space="preserve">AE&amp;P</w:t>
      </w:r>
      <w:r>
        <w:t xml:space="preserve">”</w:t>
      </w:r>
      <w:r>
        <w:t xml:space="preserve">) of $792K (from the 2016 C corporation year), and states that the AAA balance</w:t>
      </w:r>
      <w:r>
        <w:t xml:space="preserve"> </w:t>
      </w:r>
      <w:r>
        <w:t xml:space="preserve">“</w:t>
      </w:r>
      <w:r>
        <w:t xml:space="preserve">will be relevant for the characterization of deemed distributions in connection with the deemed liquidation under Section 338(h)(10).</w:t>
      </w:r>
      <w:r>
        <w:t xml:space="preserve">”</w:t>
      </w:r>
      <w:r>
        <w:t xml:space="preserve"> </w:t>
      </w:r>
      <w:r>
        <w:t xml:space="preserve">In the deemed liquidation, deemed distributions are characterized first against AAA (tax-free to the extent of stock basis), then against AE&amp;P (taxable as a dividend), then as return of capital / capital gain. The Memo does not address the AAA, the AE&amp;P, or the characterization of the deemed liquidating distributions at all. The $792K of AE&amp;P would generate a taxable dividend to the shareholders in the deemed liquidation — a specific item the Memo overlooks.</w:t>
      </w:r>
    </w:p>
    <w:p>
      <w:pPr>
        <w:pStyle w:val="BodyText"/>
      </w:pPr>
      <w:r>
        <w:rPr>
          <w:b/>
          <w:bCs/>
        </w:rPr>
        <w:t xml:space="preserve">Related inconsistency — shareholder stock basis.</w:t>
      </w:r>
      <w:r>
        <w:t xml:space="preserve"> </w:t>
      </w:r>
      <w:r>
        <w:t xml:space="preserve">The Memo states that Dr. Chandra’s stock basis is</w:t>
      </w:r>
      <w:r>
        <w:t xml:space="preserve"> </w:t>
      </w:r>
      <w:r>
        <w:t xml:space="preserve">“</w:t>
      </w:r>
      <w:r>
        <w:t xml:space="preserve">estimated at approximately $1,500,000.</w:t>
      </w:r>
      <w:r>
        <w:t xml:space="preserve">”</w:t>
      </w:r>
      <w:r>
        <w:t xml:space="preserve"> </w:t>
      </w:r>
      <w:r>
        <w:t xml:space="preserve">The Cap Table shows Dr. Chandra’s original cost basis as $1,014 (1,014,000 shares × $0.001 par). More importantly, a $64.2M AAA implies that the shareholders’ stock bases have grown substantially through retained pass-through income; Dr. Chandra’s 52% share of the AAA alone is approximately $33.4M, such that his actual stock basis is likely in the tens of millions (subject to distributions), not $1.5M. The $1.5M estimate matches neither the original cost ($1,014) nor the likely current basis, and is not reconciled to the AAA.</w:t>
      </w:r>
    </w:p>
    <w:p>
      <w:pPr>
        <w:pStyle w:val="BodyText"/>
      </w:pPr>
      <w:r>
        <w:rPr>
          <w:b/>
          <w:bCs/>
        </w:rPr>
        <w:t xml:space="preserve">Recommendation.</w:t>
      </w:r>
      <w:r>
        <w:t xml:space="preserve"> </w:t>
      </w:r>
      <w:r>
        <w:t xml:space="preserve">The Memo should analyze the AAA/AE&amp;P/PTI mechanics and the characterization of the deemed liquidating distributions (including the $792K AE&amp;P dividend), and should restate the shareholders’ stock bases by reference to the AAA and distribution history.</w:t>
      </w:r>
    </w:p>
    <w:p>
      <w:r>
        <w:pict>
          <v:rect style="width:0;height:1.5pt" o:hralign="center" o:hrstd="t" o:hr="t"/>
        </w:pict>
      </w:r>
    </w:p>
    <w:bookmarkEnd w:id="35"/>
    <w:bookmarkStart w:id="36" w:name="X64e57c25f2467d7abd915ce26a6153d43a1e9d8"/>
    <w:p>
      <w:pPr>
        <w:pStyle w:val="Heading4"/>
      </w:pPr>
      <w:r>
        <w:t xml:space="preserve">Moderate 4 — Section 751</w:t>
      </w:r>
      <w:r>
        <w:t xml:space="preserve"> </w:t>
      </w:r>
      <w:r>
        <w:t xml:space="preserve">“</w:t>
      </w:r>
      <w:r>
        <w:t xml:space="preserve">Hot Assets</w:t>
      </w:r>
      <w:r>
        <w:t xml:space="preserve">”</w:t>
      </w:r>
      <w:r>
        <w:t xml:space="preserve"> </w:t>
      </w:r>
      <w:r>
        <w:t xml:space="preserve">/ Beacon Look-Through / Section 754 Election Omitted</w:t>
      </w:r>
    </w:p>
    <w:p>
      <w:pPr>
        <w:pStyle w:val="FirstParagraph"/>
      </w:pPr>
      <w:r>
        <w:rPr>
          <w:b/>
          <w:bCs/>
        </w:rPr>
        <w:t xml:space="preserve">Location in Memo:</w:t>
      </w:r>
      <w:r>
        <w:t xml:space="preserve"> </w:t>
      </w:r>
      <w:r>
        <w:t xml:space="preserve">Section VIII; compared to Thornfield Report §VI.B and Asset Valuation A-009.</w:t>
      </w:r>
    </w:p>
    <w:p>
      <w:pPr>
        <w:pStyle w:val="BodyText"/>
      </w:pPr>
      <w:r>
        <w:rPr>
          <w:b/>
          <w:bCs/>
        </w:rPr>
        <w:t xml:space="preserve">The issue.</w:t>
      </w:r>
      <w:r>
        <w:t xml:space="preserve"> </w:t>
      </w:r>
      <w:r>
        <w:t xml:space="preserve">The Memo treats the entire $22.1M gain on the deemed disposition of Prism’s 80.5% Beacon interest as</w:t>
      </w:r>
      <w:r>
        <w:t xml:space="preserve"> </w:t>
      </w:r>
      <w:r>
        <w:t xml:space="preserve">“</w:t>
      </w:r>
      <w:r>
        <w:t xml:space="preserve">expected to be long-term capital gain.</w:t>
      </w:r>
      <w:r>
        <w:t xml:space="preserve">”</w:t>
      </w:r>
      <w:r>
        <w:t xml:space="preserve"> </w:t>
      </w:r>
      <w:r>
        <w:t xml:space="preserve">The Thornfield Report (Section VI.B) notes that Beacon’s underlying assets include accounts receivable (~$2.1M) and accrued but unbilled revenue (~$1.8M) as of December 31, 2023, and that</w:t>
      </w:r>
      <w:r>
        <w:t xml:space="preserve"> </w:t>
      </w:r>
      <w:r>
        <w:t xml:space="preserve">“</w:t>
      </w:r>
      <w:r>
        <w:t xml:space="preserve">[t]he nature of the accounts receivable and unbilled revenue items should be analyzed under Section 751 for</w:t>
      </w:r>
      <w:r>
        <w:t xml:space="preserve"> </w:t>
      </w:r>
      <w:r>
        <w:t xml:space="preserve">‘</w:t>
      </w:r>
      <w:r>
        <w:t xml:space="preserve">hot asset</w:t>
      </w:r>
      <w:r>
        <w:t xml:space="preserve">’</w:t>
      </w:r>
      <w:r>
        <w:t xml:space="preserve"> </w:t>
      </w:r>
      <w:r>
        <w:t xml:space="preserve">characterization in connection with any transfer or deemed transfer of Prism’s partnership interest.</w:t>
      </w:r>
      <w:r>
        <w:t xml:space="preserve">”</w:t>
      </w:r>
      <w:r>
        <w:t xml:space="preserve"> </w:t>
      </w:r>
      <w:r>
        <w:t xml:space="preserve">Under §751, the</w:t>
      </w:r>
      <w:r>
        <w:t xml:space="preserve"> </w:t>
      </w:r>
      <w:r>
        <w:t xml:space="preserve">“</w:t>
      </w:r>
      <w:r>
        <w:t xml:space="preserve">hot assets</w:t>
      </w:r>
      <w:r>
        <w:t xml:space="preserve">”</w:t>
      </w:r>
      <w:r>
        <w:t xml:space="preserve"> </w:t>
      </w:r>
      <w:r>
        <w:t xml:space="preserve">(unrealized receivables, including AR and unbilled revenue) would generate</w:t>
      </w:r>
      <w:r>
        <w:t xml:space="preserve"> </w:t>
      </w:r>
      <w:r>
        <w:rPr>
          <w:b/>
          <w:bCs/>
        </w:rPr>
        <w:t xml:space="preserve">ordinary income</w:t>
      </w:r>
      <w:r>
        <w:t xml:space="preserve">, not capital gain, on the deemed disposition of Prism’s partnership interest. The Memo’s blanket characterization of the entire gain as long-term capital gain is therefore potentially overstated.</w:t>
      </w:r>
    </w:p>
    <w:p>
      <w:pPr>
        <w:pStyle w:val="BodyText"/>
      </w:pPr>
      <w:r>
        <w:rPr>
          <w:b/>
          <w:bCs/>
        </w:rPr>
        <w:t xml:space="preserve">Separate omission — Section 754 election.</w:t>
      </w:r>
      <w:r>
        <w:t xml:space="preserve"> </w:t>
      </w:r>
      <w:r>
        <w:t xml:space="preserve">The Asset Valuation (A-009, Note 2) recommends that</w:t>
      </w:r>
      <w:r>
        <w:t xml:space="preserve"> </w:t>
      </w:r>
      <w:r>
        <w:t xml:space="preserve">“</w:t>
      </w:r>
      <w:r>
        <w:t xml:space="preserve">[b]uyer’s counsel should determine whether a §754 election is advisable and, if so, prepare the §743(b) basis adjustment computations for Beacon.</w:t>
      </w:r>
      <w:r>
        <w:t xml:space="preserve">”</w:t>
      </w:r>
      <w:r>
        <w:t xml:space="preserve"> </w:t>
      </w:r>
      <w:r>
        <w:t xml:space="preserve">Because Beacon is a partnership, a §754 election (made by Beacon) would adjust the basis of Beacon’s underlying assets upon the deemed transfer of Prism’s interest, providing the buyer (new Prism) a step-up in Beacon’s underlying assets. Without a §754 election, the buyer’s basis in Beacon’s underlying assets would be limited. The Memo does not address the §754 election or the look-through analysis of Beacon’s underlying assets (which the Asset Valuation states Thornfield has not performed).</w:t>
      </w:r>
    </w:p>
    <w:p>
      <w:pPr>
        <w:pStyle w:val="BodyText"/>
      </w:pPr>
      <w:r>
        <w:rPr>
          <w:b/>
          <w:bCs/>
        </w:rPr>
        <w:t xml:space="preserve">Recommendation.</w:t>
      </w:r>
      <w:r>
        <w:t xml:space="preserve"> </w:t>
      </w:r>
      <w:r>
        <w:t xml:space="preserve">The Memo should analyze the §751 hot-asset characterization of the Beacon gain (splitting ordinary income from capital gain), evaluate whether a §754 election should be made by Beacon, and address the amortization/depreciation treatment of any step-up allocated to the Beacon interest by reference to Beacon’s underlying assets.</w:t>
      </w:r>
    </w:p>
    <w:p>
      <w:r>
        <w:pict>
          <v:rect style="width:0;height:1.5pt" o:hralign="center" o:hrstd="t" o:hr="t"/>
        </w:pict>
      </w:r>
    </w:p>
    <w:bookmarkEnd w:id="36"/>
    <w:bookmarkStart w:id="37" w:name="X15245689e7a34503d6a707b34abb915a7fb5315"/>
    <w:p>
      <w:pPr>
        <w:pStyle w:val="Heading4"/>
      </w:pPr>
      <w:r>
        <w:t xml:space="preserve">Moderate 5 — NC Data Processing License Risk Downplayed</w:t>
      </w:r>
    </w:p>
    <w:p>
      <w:pPr>
        <w:pStyle w:val="FirstParagraph"/>
      </w:pPr>
      <w:r>
        <w:rPr>
          <w:b/>
          <w:bCs/>
        </w:rPr>
        <w:t xml:space="preserve">Location in Memo:</w:t>
      </w:r>
      <w:r>
        <w:t xml:space="preserve"> </w:t>
      </w:r>
      <w:r>
        <w:t xml:space="preserve">Sections VI.A and IX.A; compared to Asset Valuation A-008 and PA §4.9(i).</w:t>
      </w:r>
    </w:p>
    <w:p>
      <w:pPr>
        <w:pStyle w:val="BodyText"/>
      </w:pPr>
      <w:r>
        <w:rPr>
          <w:b/>
          <w:bCs/>
        </w:rPr>
        <w:t xml:space="preserve">The issue.</w:t>
      </w:r>
      <w:r>
        <w:t xml:space="preserve"> </w:t>
      </w:r>
      <w:r>
        <w:t xml:space="preserve">The NC data processing license (No. DIT-2019-04821) held by Prism Data Services is, per its terms and per PA §4.9(i),</w:t>
      </w:r>
      <w:r>
        <w:t xml:space="preserve"> </w:t>
      </w:r>
      <w:r>
        <w:t xml:space="preserve">“</w:t>
      </w:r>
      <w:r>
        <w:t xml:space="preserve">non-transferable and non-assignable.</w:t>
      </w:r>
      <w:r>
        <w:t xml:space="preserve">”</w:t>
      </w:r>
      <w:r>
        <w:t xml:space="preserve"> </w:t>
      </w:r>
      <w:r>
        <w:t xml:space="preserve">The Asset Valuation (A-008) assigns it $0 FMV and warns that</w:t>
      </w:r>
      <w:r>
        <w:t xml:space="preserve"> </w:t>
      </w:r>
      <w:r>
        <w:t xml:space="preserve">“</w:t>
      </w:r>
      <w:r>
        <w:t xml:space="preserve">[i]n a deemed asset sale under §338(h)(10), this license cannot be transferred and may need to be re-obtained by the surviving entity,</w:t>
      </w:r>
      <w:r>
        <w:t xml:space="preserve">”</w:t>
      </w:r>
      <w:r>
        <w:t xml:space="preserve"> </w:t>
      </w:r>
      <w:r>
        <w:t xml:space="preserve">that</w:t>
      </w:r>
      <w:r>
        <w:t xml:space="preserve"> </w:t>
      </w:r>
      <w:r>
        <w:t xml:space="preserve">“</w:t>
      </w:r>
      <w:r>
        <w:t xml:space="preserve">Prism Data Services government-sector revenue (~$19M annually) partially depends on this license,</w:t>
      </w:r>
      <w:r>
        <w:t xml:space="preserve">”</w:t>
      </w:r>
      <w:r>
        <w:t xml:space="preserve"> </w:t>
      </w:r>
      <w:r>
        <w:t xml:space="preserve">and that</w:t>
      </w:r>
      <w:r>
        <w:t xml:space="preserve"> </w:t>
      </w:r>
      <w:r>
        <w:t xml:space="preserve">“</w:t>
      </w:r>
      <w:r>
        <w:t xml:space="preserve">[l]egal counsel should confirm whether the license survives the reverse triangular merger or is deemed terminated. If terminated, value associated with the government business line should be reassigned to goodwill or reduced.</w:t>
      </w:r>
      <w:r>
        <w:t xml:space="preserve">”</w:t>
      </w:r>
      <w:r>
        <w:t xml:space="preserve"> </w:t>
      </w:r>
      <w:r>
        <w:t xml:space="preserve">The Memo (Sections VI.A, IX.A) treats the license as a minor commercial matter, stating only that</w:t>
      </w:r>
      <w:r>
        <w:t xml:space="preserve"> </w:t>
      </w:r>
      <w:r>
        <w:t xml:space="preserve">“</w:t>
      </w:r>
      <w:r>
        <w:t xml:space="preserve">we expect that the existing license should remain valid post-closing, subject to confirmation</w:t>
      </w:r>
      <w:r>
        <w:t xml:space="preserve">”</w:t>
      </w:r>
      <w:r>
        <w:t xml:space="preserve"> </w:t>
      </w:r>
      <w:r>
        <w:t xml:space="preserve">and that change-of-control notification</w:t>
      </w:r>
      <w:r>
        <w:t xml:space="preserve"> </w:t>
      </w:r>
      <w:r>
        <w:t xml:space="preserve">“</w:t>
      </w:r>
      <w:r>
        <w:t xml:space="preserve">is a commercial matter to be addressed by deal counsel.</w:t>
      </w:r>
      <w:r>
        <w:t xml:space="preserve">”</w:t>
      </w:r>
      <w:r>
        <w:t xml:space="preserve"> </w:t>
      </w:r>
      <w:r>
        <w:t xml:space="preserve">The Memo does not flag the potential impairment of ~$19M in annual government-sector revenue if the license does not survive, nor the consequent impact on enterprise value and the purchase price allocation.</w:t>
      </w:r>
    </w:p>
    <w:p>
      <w:pPr>
        <w:pStyle w:val="BodyText"/>
      </w:pPr>
      <w:r>
        <w:rPr>
          <w:b/>
          <w:bCs/>
        </w:rPr>
        <w:t xml:space="preserve">Recommendation.</w:t>
      </w:r>
      <w:r>
        <w:t xml:space="preserve"> </w:t>
      </w:r>
      <w:r>
        <w:t xml:space="preserve">The Memo should elevate this item, confirm the license’s post-closing status (including any change-of-control consent requirement distinct from the deemed asset sale), and assess the revenue/value impairment if the license is not continued or re-obtained.</w:t>
      </w:r>
    </w:p>
    <w:p>
      <w:r>
        <w:pict>
          <v:rect style="width:0;height:1.5pt" o:hralign="center" o:hrstd="t" o:hr="t"/>
        </w:pict>
      </w:r>
    </w:p>
    <w:bookmarkEnd w:id="37"/>
    <w:bookmarkStart w:id="38" w:name="Xf896b48bfe320011eaa1cf54b4634275a938d8b"/>
    <w:p>
      <w:pPr>
        <w:pStyle w:val="Heading4"/>
      </w:pPr>
      <w:r>
        <w:t xml:space="preserve">Moderate 6 — Shareholder Count and State Residency Inconsistent with the Cap Table</w:t>
      </w:r>
    </w:p>
    <w:p>
      <w:pPr>
        <w:pStyle w:val="FirstParagraph"/>
      </w:pPr>
      <w:r>
        <w:rPr>
          <w:b/>
          <w:bCs/>
        </w:rPr>
        <w:t xml:space="preserve">Location in Memo:</w:t>
      </w:r>
      <w:r>
        <w:t xml:space="preserve"> </w:t>
      </w:r>
      <w:r>
        <w:t xml:space="preserve">Section II.A (</w:t>
      </w:r>
      <w:r>
        <w:t xml:space="preserve">“</w:t>
      </w:r>
      <w:r>
        <w:t xml:space="preserve">Other Shareholders</w:t>
      </w:r>
      <w:r>
        <w:t xml:space="preserve">”</w:t>
      </w:r>
      <w:r>
        <w:t xml:space="preserve">); compared to Cap Table.</w:t>
      </w:r>
    </w:p>
    <w:p>
      <w:pPr>
        <w:pStyle w:val="BodyText"/>
      </w:pPr>
      <w:r>
        <w:rPr>
          <w:b/>
          <w:bCs/>
        </w:rPr>
        <w:t xml:space="preserve">The issue.</w:t>
      </w:r>
      <w:r>
        <w:t xml:space="preserve"> </w:t>
      </w:r>
      <w:r>
        <w:t xml:space="preserve">The Memo states that</w:t>
      </w:r>
      <w:r>
        <w:t xml:space="preserve"> </w:t>
      </w:r>
      <w:r>
        <w:t xml:space="preserve">“</w:t>
      </w:r>
      <w:r>
        <w:t xml:space="preserve">[f]ourteen (14) angel investors and early employees hold the remaining 20% of the outstanding common stock</w:t>
      </w:r>
      <w:r>
        <w:t xml:space="preserve">”</w:t>
      </w:r>
      <w:r>
        <w:t xml:space="preserve"> </w:t>
      </w:r>
      <w:r>
        <w:t xml:space="preserve">and that</w:t>
      </w:r>
      <w:r>
        <w:t xml:space="preserve"> </w:t>
      </w:r>
      <w:r>
        <w:t xml:space="preserve">“</w:t>
      </w:r>
      <w:r>
        <w:t xml:space="preserve">[o]f these, eleven (11) reside in North Carolina, two (2) reside in California, and one (1) resides in New York.</w:t>
      </w:r>
      <w:r>
        <w:t xml:space="preserve">”</w:t>
      </w:r>
      <w:r>
        <w:t xml:space="preserve"> </w:t>
      </w:r>
      <w:r>
        <w:t xml:space="preserve">The Cap Table, however, shows</w:t>
      </w:r>
      <w:r>
        <w:t xml:space="preserve"> </w:t>
      </w:r>
      <w:r>
        <w:rPr>
          <w:b/>
          <w:bCs/>
        </w:rPr>
        <w:t xml:space="preserve">seventeen (17)</w:t>
      </w:r>
      <w:r>
        <w:t xml:space="preserve"> </w:t>
      </w:r>
      <w:r>
        <w:t xml:space="preserve">non-founder shareholders:</w:t>
      </w:r>
      <w:r>
        <w:t xml:space="preserve"> </w:t>
      </w:r>
      <w:r>
        <w:rPr>
          <w:b/>
          <w:bCs/>
        </w:rPr>
        <w:t xml:space="preserve">fourteen (14)</w:t>
      </w:r>
      <w:r>
        <w:t xml:space="preserve"> </w:t>
      </w:r>
      <w:r>
        <w:t xml:space="preserve">North Carolina residents, two (2) California residents, and one (1) New York resident. The Memo understates the non-founder count by three (all North Carolina residents). The</w:t>
      </w:r>
      <w:r>
        <w:t xml:space="preserve"> </w:t>
      </w:r>
      <w:r>
        <w:t xml:space="preserve">“</w:t>
      </w:r>
      <w:r>
        <w:t xml:space="preserve">14</w:t>
      </w:r>
      <w:r>
        <w:t xml:space="preserve">”</w:t>
      </w:r>
      <w:r>
        <w:t xml:space="preserve"> </w:t>
      </w:r>
      <w:r>
        <w:t xml:space="preserve">figure (which also appears in the Thornfield Report and the QSBS Email Thread) appears to predate the restricted stock grants (2020–2023); the Memo purports to make the 20% allocation</w:t>
      </w:r>
      <w:r>
        <w:t xml:space="preserve"> </w:t>
      </w:r>
      <w:r>
        <w:t xml:space="preserve">“</w:t>
      </w:r>
      <w:r>
        <w:t xml:space="preserve">inclusive of restricted stock holders</w:t>
      </w:r>
      <w:r>
        <w:t xml:space="preserve">”</w:t>
      </w:r>
      <w:r>
        <w:t xml:space="preserve"> </w:t>
      </w:r>
      <w:r>
        <w:t xml:space="preserve">but uses a count that does not include all of them.</w:t>
      </w:r>
    </w:p>
    <w:p>
      <w:pPr>
        <w:pStyle w:val="BodyText"/>
      </w:pPr>
      <w:r>
        <w:rPr>
          <w:b/>
          <w:bCs/>
        </w:rPr>
        <w:t xml:space="preserve">Impact.</w:t>
      </w:r>
      <w:r>
        <w:t xml:space="preserve"> </w:t>
      </w:r>
      <w:r>
        <w:t xml:space="preserve">The understated North Carolina count (11 vs. 14) affects the state tax analysis (the number of NC-resident shareholders subject to NC tax on the pass-through gain) and, more importantly, reflects that the Memo has not fully accounted for all shareholders — including the restricted stock holders whose eligibility is unconfirmed (see Critical 2).</w:t>
      </w:r>
    </w:p>
    <w:p>
      <w:pPr>
        <w:pStyle w:val="BodyText"/>
      </w:pPr>
      <w:r>
        <w:rPr>
          <w:b/>
          <w:bCs/>
        </w:rPr>
        <w:t xml:space="preserve">Recommendation.</w:t>
      </w:r>
      <w:r>
        <w:t xml:space="preserve"> </w:t>
      </w:r>
      <w:r>
        <w:t xml:space="preserve">Update the shareholder count and state-residency breakdown to match the Cap Table (17 non-founders; 14 NC, 2 CA, 1 NY), and reconcile the</w:t>
      </w:r>
      <w:r>
        <w:t xml:space="preserve"> </w:t>
      </w:r>
      <w:r>
        <w:t xml:space="preserve">“</w:t>
      </w:r>
      <w:r>
        <w:t xml:space="preserve">20%</w:t>
      </w:r>
      <w:r>
        <w:t xml:space="preserve">”</w:t>
      </w:r>
      <w:r>
        <w:t xml:space="preserve"> </w:t>
      </w:r>
      <w:r>
        <w:t xml:space="preserve">basic ownership with the restricted stock (an additional ~2.26% fully diluted).</w:t>
      </w:r>
    </w:p>
    <w:p>
      <w:r>
        <w:pict>
          <v:rect style="width:0;height:1.5pt" o:hralign="center" o:hrstd="t" o:hr="t"/>
        </w:pict>
      </w:r>
    </w:p>
    <w:bookmarkEnd w:id="38"/>
    <w:bookmarkStart w:id="39" w:name="X3771f5a83f604c57bf3c5136b18f0e779335cae"/>
    <w:p>
      <w:pPr>
        <w:pStyle w:val="Heading4"/>
      </w:pPr>
      <w:r>
        <w:t xml:space="preserve">Moderate 7 — Ridgeline Equity Contribution Understated by $55.0 Million</w:t>
      </w:r>
    </w:p>
    <w:p>
      <w:pPr>
        <w:pStyle w:val="FirstParagraph"/>
      </w:pPr>
      <w:r>
        <w:rPr>
          <w:b/>
          <w:bCs/>
        </w:rPr>
        <w:t xml:space="preserve">Location in Memo:</w:t>
      </w:r>
      <w:r>
        <w:t xml:space="preserve"> </w:t>
      </w:r>
      <w:r>
        <w:t xml:space="preserve">Section II.C (</w:t>
      </w:r>
      <w:r>
        <w:t xml:space="preserve">“</w:t>
      </w:r>
      <w:r>
        <w:t xml:space="preserve">Financing</w:t>
      </w:r>
      <w:r>
        <w:t xml:space="preserve">”</w:t>
      </w:r>
      <w:r>
        <w:t xml:space="preserve">).</w:t>
      </w:r>
    </w:p>
    <w:p>
      <w:pPr>
        <w:pStyle w:val="BodyText"/>
      </w:pPr>
      <w:r>
        <w:rPr>
          <w:b/>
          <w:bCs/>
        </w:rPr>
        <w:t xml:space="preserve">The issue.</w:t>
      </w:r>
      <w:r>
        <w:t xml:space="preserve"> </w:t>
      </w:r>
      <w:r>
        <w:t xml:space="preserve">The Memo computes Ridgeline’s equity contribution as</w:t>
      </w:r>
      <w:r>
        <w:t xml:space="preserve"> </w:t>
      </w:r>
      <w:r>
        <w:t xml:space="preserve">“</w:t>
      </w:r>
      <w:r>
        <w:t xml:space="preserve">$370,000,000 (total equity consideration) less $37,000,000 (rollover equity from Dr. Chandra) less $190,000,000 (funded debt) = $143,000,000 in equity funded directly by Fund III.</w:t>
      </w:r>
      <w:r>
        <w:t xml:space="preserve">”</w:t>
      </w:r>
      <w:r>
        <w:t xml:space="preserve"> </w:t>
      </w:r>
      <w:r>
        <w:t xml:space="preserve">This computation is incorrect. The $190.0M figure is the new Term Loan A (not the $48.0M existing funded debt), and the computation accounts only for funding the $370.0M equity consideration — it omits the additional cash required to pay off the $48.0M existing funded debt (PA §2.6(a)) and the $7.0M seller transaction expenses (PA §2.6(b)). The correct sources-and-uses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Sources</w:t>
            </w:r>
          </w:p>
        </w:tc>
        <w:tc>
          <w:tcPr/>
          <w:p>
            <w:pPr>
              <w:pStyle w:val="Compact"/>
              <w:jc w:val="left"/>
            </w:pPr>
            <w:r>
              <w:t xml:space="preserve">Amount</w:t>
            </w:r>
          </w:p>
        </w:tc>
        <w:tc>
          <w:tcPr/>
          <w:p>
            <w:pPr>
              <w:pStyle w:val="Compact"/>
            </w:pPr>
          </w:p>
        </w:tc>
        <w:tc>
          <w:tcPr/>
          <w:p>
            <w:pPr>
              <w:pStyle w:val="Compact"/>
              <w:jc w:val="left"/>
            </w:pPr>
            <w:r>
              <w:t xml:space="preserve">Uses</w:t>
            </w:r>
          </w:p>
        </w:tc>
        <w:tc>
          <w:tcPr/>
          <w:p>
            <w:pPr>
              <w:pStyle w:val="Compact"/>
              <w:jc w:val="left"/>
            </w:pPr>
            <w:r>
              <w:t xml:space="preserve">Amount</w:t>
            </w:r>
          </w:p>
        </w:tc>
      </w:tr>
      <w:tr>
        <w:tc>
          <w:tcPr/>
          <w:p>
            <w:pPr>
              <w:pStyle w:val="Compact"/>
              <w:jc w:val="left"/>
            </w:pPr>
            <w:r>
              <w:t xml:space="preserve">Term Loan A</w:t>
            </w:r>
          </w:p>
        </w:tc>
        <w:tc>
          <w:tcPr/>
          <w:p>
            <w:pPr>
              <w:pStyle w:val="Compact"/>
              <w:jc w:val="left"/>
            </w:pPr>
            <w:r>
              <w:t xml:space="preserve">$190,000,000</w:t>
            </w:r>
          </w:p>
        </w:tc>
        <w:tc>
          <w:tcPr/>
          <w:p>
            <w:pPr>
              <w:pStyle w:val="Compact"/>
            </w:pPr>
          </w:p>
        </w:tc>
        <w:tc>
          <w:tcPr/>
          <w:p>
            <w:pPr>
              <w:pStyle w:val="Compact"/>
              <w:jc w:val="left"/>
            </w:pPr>
            <w:r>
              <w:t xml:space="preserve">Equity consideration (cash)</w:t>
            </w:r>
          </w:p>
        </w:tc>
        <w:tc>
          <w:tcPr/>
          <w:p>
            <w:pPr>
              <w:pStyle w:val="Compact"/>
              <w:jc w:val="left"/>
            </w:pPr>
            <w:r>
              <w:t xml:space="preserve">$333,000,000</w:t>
            </w:r>
          </w:p>
        </w:tc>
      </w:tr>
      <w:tr>
        <w:tc>
          <w:tcPr/>
          <w:p>
            <w:pPr>
              <w:pStyle w:val="Compact"/>
              <w:jc w:val="left"/>
            </w:pPr>
            <w:r>
              <w:t xml:space="preserve">Ridgeline equity</w:t>
            </w:r>
          </w:p>
        </w:tc>
        <w:tc>
          <w:tcPr/>
          <w:p>
            <w:pPr>
              <w:pStyle w:val="Compact"/>
              <w:jc w:val="left"/>
            </w:pPr>
            <w:r>
              <w:t xml:space="preserve">$198,000,000</w:t>
            </w:r>
          </w:p>
        </w:tc>
        <w:tc>
          <w:tcPr/>
          <w:p>
            <w:pPr>
              <w:pStyle w:val="Compact"/>
            </w:pPr>
          </w:p>
        </w:tc>
        <w:tc>
          <w:tcPr/>
          <w:p>
            <w:pPr>
              <w:pStyle w:val="Compact"/>
              <w:jc w:val="left"/>
            </w:pPr>
            <w:r>
              <w:t xml:space="preserve">Funded debt payoff</w:t>
            </w:r>
          </w:p>
        </w:tc>
        <w:tc>
          <w:tcPr/>
          <w:p>
            <w:pPr>
              <w:pStyle w:val="Compact"/>
              <w:jc w:val="left"/>
            </w:pPr>
            <w:r>
              <w:t xml:space="preserve">$48,000,000</w:t>
            </w:r>
          </w:p>
        </w:tc>
      </w:tr>
      <w:tr>
        <w:tc>
          <w:tcPr/>
          <w:p>
            <w:pPr>
              <w:pStyle w:val="Compact"/>
              <w:jc w:val="left"/>
            </w:pPr>
            <w:r>
              <w:t xml:space="preserve">Rollover equity (non-cash)</w:t>
            </w:r>
          </w:p>
        </w:tc>
        <w:tc>
          <w:tcPr/>
          <w:p>
            <w:pPr>
              <w:pStyle w:val="Compact"/>
              <w:jc w:val="left"/>
            </w:pPr>
            <w:r>
              <w:t xml:space="preserve">$37,000,000</w:t>
            </w:r>
          </w:p>
        </w:tc>
        <w:tc>
          <w:tcPr/>
          <w:p>
            <w:pPr>
              <w:pStyle w:val="Compact"/>
            </w:pPr>
          </w:p>
        </w:tc>
        <w:tc>
          <w:tcPr/>
          <w:p>
            <w:pPr>
              <w:pStyle w:val="Compact"/>
              <w:jc w:val="left"/>
            </w:pPr>
            <w:r>
              <w:t xml:space="preserve">Seller transaction expenses</w:t>
            </w:r>
          </w:p>
        </w:tc>
        <w:tc>
          <w:tcPr/>
          <w:p>
            <w:pPr>
              <w:pStyle w:val="Compact"/>
              <w:jc w:val="left"/>
            </w:pPr>
            <w:r>
              <w:t xml:space="preserve">$7,000,000</w:t>
            </w:r>
          </w:p>
        </w:tc>
      </w:tr>
      <w:tr>
        <w:tc>
          <w:tcPr/>
          <w:p>
            <w:pPr>
              <w:pStyle w:val="Compact"/>
            </w:pPr>
          </w:p>
        </w:tc>
        <w:tc>
          <w:tcPr/>
          <w:p>
            <w:pPr>
              <w:pStyle w:val="Compact"/>
            </w:pPr>
          </w:p>
        </w:tc>
        <w:tc>
          <w:tcPr/>
          <w:p>
            <w:pPr>
              <w:pStyle w:val="Compact"/>
            </w:pPr>
          </w:p>
        </w:tc>
        <w:tc>
          <w:tcPr/>
          <w:p>
            <w:pPr>
              <w:pStyle w:val="Compact"/>
              <w:jc w:val="left"/>
            </w:pPr>
            <w:r>
              <w:t xml:space="preserve">Rollover equity (non-cash)</w:t>
            </w:r>
          </w:p>
        </w:tc>
        <w:tc>
          <w:tcPr/>
          <w:p>
            <w:pPr>
              <w:pStyle w:val="Compact"/>
              <w:jc w:val="left"/>
            </w:pPr>
            <w:r>
              <w:t xml:space="preserve">$37,000,000</w:t>
            </w:r>
          </w:p>
        </w:tc>
      </w:tr>
      <w:tr>
        <w:tc>
          <w:tcPr/>
          <w:p>
            <w:pPr>
              <w:pStyle w:val="Compact"/>
              <w:jc w:val="left"/>
            </w:pPr>
            <w:r>
              <w:rPr>
                <w:b/>
                <w:bCs/>
              </w:rPr>
              <w:t xml:space="preserve">Total</w:t>
            </w:r>
          </w:p>
        </w:tc>
        <w:tc>
          <w:tcPr/>
          <w:p>
            <w:pPr>
              <w:pStyle w:val="Compact"/>
              <w:jc w:val="left"/>
            </w:pPr>
            <w:r>
              <w:rPr>
                <w:b/>
                <w:bCs/>
              </w:rPr>
              <w:t xml:space="preserve">$425,000,000</w:t>
            </w:r>
          </w:p>
        </w:tc>
        <w:tc>
          <w:tcPr/>
          <w:p>
            <w:pPr>
              <w:pStyle w:val="Compact"/>
            </w:pPr>
          </w:p>
        </w:tc>
        <w:tc>
          <w:tcPr/>
          <w:p>
            <w:pPr>
              <w:pStyle w:val="Compact"/>
              <w:jc w:val="left"/>
            </w:pPr>
            <w:r>
              <w:rPr>
                <w:b/>
                <w:bCs/>
              </w:rPr>
              <w:t xml:space="preserve">Total</w:t>
            </w:r>
          </w:p>
        </w:tc>
        <w:tc>
          <w:tcPr/>
          <w:p>
            <w:pPr>
              <w:pStyle w:val="Compact"/>
              <w:jc w:val="left"/>
            </w:pPr>
            <w:r>
              <w:rPr>
                <w:b/>
                <w:bCs/>
              </w:rPr>
              <w:t xml:space="preserve">$425,000,000</w:t>
            </w:r>
          </w:p>
        </w:tc>
      </w:tr>
    </w:tbl>
    <w:p>
      <w:pPr>
        <w:pStyle w:val="BodyText"/>
      </w:pPr>
      <w:r>
        <w:t xml:space="preserve">Ridgeline’s equity contribution is therefore approximately</w:t>
      </w:r>
      <w:r>
        <w:t xml:space="preserve"> </w:t>
      </w:r>
      <w:r>
        <w:rPr>
          <w:b/>
          <w:bCs/>
        </w:rPr>
        <w:t xml:space="preserve">$198.0M</w:t>
      </w:r>
      <w:r>
        <w:t xml:space="preserve">, not $143.0M — understated by $55.0M (= $48.0M debt payoff + $7.0M seller expenses). The Memo also labels the $190.0M Term Loan as</w:t>
      </w:r>
      <w:r>
        <w:t xml:space="preserve"> </w:t>
      </w:r>
      <w:r>
        <w:t xml:space="preserve">“</w:t>
      </w:r>
      <w:r>
        <w:t xml:space="preserve">funded debt,</w:t>
      </w:r>
      <w:r>
        <w:t xml:space="preserve">”</w:t>
      </w:r>
      <w:r>
        <w:t xml:space="preserve"> </w:t>
      </w:r>
      <w:r>
        <w:t xml:space="preserve">conflating the new financing with the existing $48.0M funded debt.</w:t>
      </w:r>
    </w:p>
    <w:p>
      <w:pPr>
        <w:pStyle w:val="BodyText"/>
      </w:pPr>
      <w:r>
        <w:rPr>
          <w:b/>
          <w:bCs/>
        </w:rPr>
        <w:t xml:space="preserve">Recommendation.</w:t>
      </w:r>
      <w:r>
        <w:t xml:space="preserve"> </w:t>
      </w:r>
      <w:r>
        <w:t xml:space="preserve">Correct the equity-contribution computation and the sources-and-uses table, and clarify the distinction between the new $190.0M Term Loan and the $48.0M existing funded debt being repaid.</w:t>
      </w:r>
    </w:p>
    <w:p>
      <w:r>
        <w:pict>
          <v:rect style="width:0;height:1.5pt" o:hralign="center" o:hrstd="t" o:hr="t"/>
        </w:pict>
      </w:r>
    </w:p>
    <w:bookmarkEnd w:id="39"/>
    <w:bookmarkStart w:id="40" w:name="Xfa6f0e3ecce1a81f31986fa3f81ef26514030e6"/>
    <w:p>
      <w:pPr>
        <w:pStyle w:val="Heading4"/>
      </w:pPr>
      <w:r>
        <w:t xml:space="preserve">Moderate 8 — Annual Depreciation &amp; Amortization Schedule Built on Incorrect Figures</w:t>
      </w:r>
    </w:p>
    <w:p>
      <w:pPr>
        <w:pStyle w:val="FirstParagraph"/>
      </w:pPr>
      <w:r>
        <w:rPr>
          <w:b/>
          <w:bCs/>
        </w:rPr>
        <w:t xml:space="preserve">Location in Memo:</w:t>
      </w:r>
      <w:r>
        <w:t xml:space="preserve"> </w:t>
      </w:r>
      <w:r>
        <w:t xml:space="preserve">Section VII.A.</w:t>
      </w:r>
    </w:p>
    <w:p>
      <w:pPr>
        <w:pStyle w:val="BodyText"/>
      </w:pPr>
      <w:r>
        <w:rPr>
          <w:b/>
          <w:bCs/>
        </w:rPr>
        <w:t xml:space="preserve">The issue.</w:t>
      </w:r>
      <w:r>
        <w:t xml:space="preserve"> </w:t>
      </w:r>
      <w:r>
        <w:t xml:space="preserve">The Memo’s annual D&amp;A estimate of</w:t>
      </w:r>
      <w:r>
        <w:t xml:space="preserve"> </w:t>
      </w:r>
      <w:r>
        <w:t xml:space="preserve">“</w:t>
      </w:r>
      <w:r>
        <w:t xml:space="preserve">approximately $24,500,000 or more</w:t>
      </w:r>
      <w:r>
        <w:t xml:space="preserve">”</w:t>
      </w:r>
      <w:r>
        <w:t xml:space="preserve"> </w:t>
      </w:r>
      <w:r>
        <w:t xml:space="preserve">is derived from the overstated goodwill ($272.8M ÷ 15 = $18.19M/year) and the Class VI intangibles ($95.0M ÷ 15 = $6.33M/year). Using the correct goodwill of $196.3M, the goodwill amortization is approximately $13.09M/year — an overstatement of ~$5.1M/year. In addition, the Memo does not capture the developed-technology amortization: the Asset Valuation (A-006) classifies the $41.8M developed technology as a §167 intangible amortizable over 5 years (~$8.36M/year), which the Memo omits entirely (it understates the developed technology at $19.0M and does not specify its recovery period). The Memo’s $24.5M figure is thus both overstated (goodwill) and incomplete (developed technology), and the resulting</w:t>
      </w:r>
      <w:r>
        <w:t xml:space="preserve"> </w:t>
      </w:r>
      <w:r>
        <w:t xml:space="preserve">“</w:t>
      </w:r>
      <w:r>
        <w:t xml:space="preserve">annual cash tax savings of approximately $6,125,000</w:t>
      </w:r>
      <w:r>
        <w:t xml:space="preserve">”</w:t>
      </w:r>
      <w:r>
        <w:t xml:space="preserve"> </w:t>
      </w:r>
      <w:r>
        <w:t xml:space="preserve">(at a 25% rate) is correspondingly unreliable.</w:t>
      </w:r>
    </w:p>
    <w:p>
      <w:pPr>
        <w:pStyle w:val="BodyText"/>
      </w:pPr>
      <w:r>
        <w:rPr>
          <w:b/>
          <w:bCs/>
        </w:rPr>
        <w:t xml:space="preserve">Recommendation.</w:t>
      </w:r>
      <w:r>
        <w:t xml:space="preserve"> </w:t>
      </w:r>
      <w:r>
        <w:t xml:space="preserve">Rebuild the D&amp;A schedule on the corrected allocation, separately stating the §197 intangibles (15-year), the §167 developed technology (5-year), and the MACRS tangible assets, and recompute the estimated annual tax savings.</w:t>
      </w:r>
    </w:p>
    <w:p>
      <w:r>
        <w:pict>
          <v:rect style="width:0;height:1.5pt" o:hralign="center" o:hrstd="t" o:hr="t"/>
        </w:pict>
      </w:r>
    </w:p>
    <w:bookmarkEnd w:id="40"/>
    <w:bookmarkStart w:id="41" w:name="X39f347eb345bd58178c99c23155b25dec8ed932"/>
    <w:p>
      <w:pPr>
        <w:pStyle w:val="Heading4"/>
      </w:pPr>
      <w:r>
        <w:t xml:space="preserve">Moderate 9 — New York Sales/Use Tax Exposure Omitted</w:t>
      </w:r>
    </w:p>
    <w:p>
      <w:pPr>
        <w:pStyle w:val="FirstParagraph"/>
      </w:pPr>
      <w:r>
        <w:rPr>
          <w:b/>
          <w:bCs/>
        </w:rPr>
        <w:t xml:space="preserve">Location in Memo:</w:t>
      </w:r>
      <w:r>
        <w:t xml:space="preserve"> </w:t>
      </w:r>
      <w:r>
        <w:t xml:space="preserve">Section VI (State Tax Analysis); compared to Thornfield Report §X.A.</w:t>
      </w:r>
    </w:p>
    <w:p>
      <w:pPr>
        <w:pStyle w:val="BodyText"/>
      </w:pPr>
      <w:r>
        <w:rPr>
          <w:b/>
          <w:bCs/>
        </w:rPr>
        <w:t xml:space="preserve">The issue.</w:t>
      </w:r>
      <w:r>
        <w:t xml:space="preserve"> </w:t>
      </w:r>
      <w:r>
        <w:t xml:space="preserve">The Thornfield Report (Section X.A) identifies $150,000–$300,000 of New York sales/use tax exposure arising from Prism’s failure to collect New York sales tax on SaaS subscription revenue sourced to New York customers (New York may treat SaaS as a taxable sale of pre-written computer software), and recommends consideration of a voluntary disclosure agreement. This is a pre-closing tax liability that would fall within the shareholders’ indemnity exposure under PA §7.6 (pre-closing tax periods). The Memo’s state tax analysis (Section VI) addresses North Carolina and California income tax and gives a generic catch-all for Virginia and New York, but does not mention the New York sales/use tax exposure.</w:t>
      </w:r>
    </w:p>
    <w:p>
      <w:pPr>
        <w:pStyle w:val="BodyText"/>
      </w:pPr>
      <w:r>
        <w:rPr>
          <w:b/>
          <w:bCs/>
        </w:rPr>
        <w:t xml:space="preserve">Recommendation.</w:t>
      </w:r>
      <w:r>
        <w:t xml:space="preserve"> </w:t>
      </w:r>
      <w:r>
        <w:t xml:space="preserve">Add the New York sales/use tax exposure to the Memo’s state tax discussion and address it in the pre-closing tax liability / indemnity framework.</w:t>
      </w:r>
    </w:p>
    <w:p>
      <w:r>
        <w:pict>
          <v:rect style="width:0;height:1.5pt" o:hralign="center" o:hrstd="t" o:hr="t"/>
        </w:pict>
      </w:r>
    </w:p>
    <w:bookmarkEnd w:id="41"/>
    <w:bookmarkEnd w:id="42"/>
    <w:bookmarkStart w:id="50" w:name="d.-low-findings"/>
    <w:p>
      <w:pPr>
        <w:pStyle w:val="Heading3"/>
      </w:pPr>
      <w:r>
        <w:t xml:space="preserve">D. Low Findings</w:t>
      </w:r>
    </w:p>
    <w:bookmarkStart w:id="43" w:name="low-1-thornfield-report-date-misstated"/>
    <w:p>
      <w:pPr>
        <w:pStyle w:val="Heading4"/>
      </w:pPr>
      <w:r>
        <w:t xml:space="preserve">Low 1 — Thornfield Report Date Misstated</w:t>
      </w:r>
    </w:p>
    <w:p>
      <w:pPr>
        <w:pStyle w:val="FirstParagraph"/>
      </w:pPr>
      <w:r>
        <w:t xml:space="preserve">The Memo (preamble) states that the analysis is based on</w:t>
      </w:r>
      <w:r>
        <w:t xml:space="preserve"> </w:t>
      </w:r>
      <w:r>
        <w:t xml:space="preserve">“</w:t>
      </w:r>
      <w:r>
        <w:t xml:space="preserve">the quality of earnings and tax due diligence report prepared by Thornfield Accounting Group, LLP dated January 10, 2025.</w:t>
      </w:r>
      <w:r>
        <w:t xml:space="preserve">”</w:t>
      </w:r>
      <w:r>
        <w:t xml:space="preserve"> </w:t>
      </w:r>
      <w:r>
        <w:t xml:space="preserve">The Thornfield Report is dated</w:t>
      </w:r>
      <w:r>
        <w:t xml:space="preserve"> </w:t>
      </w:r>
      <w:r>
        <w:rPr>
          <w:b/>
          <w:bCs/>
        </w:rPr>
        <w:t xml:space="preserve">January 15, 2025</w:t>
      </w:r>
      <w:r>
        <w:t xml:space="preserve">; January 10, 2025 is the information cutoff date stated in the Report’s Scope and Limitations, not the report date. The Memo conflates the two.</w:t>
      </w:r>
    </w:p>
    <w:bookmarkEnd w:id="43"/>
    <w:bookmarkStart w:id="44" w:name="Xfc69d771d0bbabcfe2ff0a18c6f76c2cfbbf84c"/>
    <w:p>
      <w:pPr>
        <w:pStyle w:val="Heading4"/>
      </w:pPr>
      <w:r>
        <w:t xml:space="preserve">Low 2 — Incorrect Purchase Agreement Cross-Reference</w:t>
      </w:r>
    </w:p>
    <w:p>
      <w:pPr>
        <w:pStyle w:val="FirstParagraph"/>
      </w:pPr>
      <w:r>
        <w:t xml:space="preserve">The Memo (Section IV.A) states that the shareholder-consent requirement for the §338(h)(10) election</w:t>
      </w:r>
      <w:r>
        <w:t xml:space="preserve"> </w:t>
      </w:r>
      <w:r>
        <w:t xml:space="preserve">“</w:t>
      </w:r>
      <w:r>
        <w:t xml:space="preserve">is reflected in Section 7.04 of the Stock Purchase Agreement.</w:t>
      </w:r>
      <w:r>
        <w:t xml:space="preserve">”</w:t>
      </w:r>
      <w:r>
        <w:t xml:space="preserve"> </w:t>
      </w:r>
      <w:r>
        <w:t xml:space="preserve">In the PA, §7.04 governs the Escrow and the tax treatment of escrow amounts; the shareholder-consent requirement is in §7.3(a) (</w:t>
      </w:r>
      <w:r>
        <w:t xml:space="preserve">“</w:t>
      </w:r>
      <w:r>
        <w:t xml:space="preserve">All Shareholders … shall be required to consent to the Section 338(h)(10) Election as a condition to Closing</w:t>
      </w:r>
      <w:r>
        <w:t xml:space="preserve">”</w:t>
      </w:r>
      <w:r>
        <w:t xml:space="preserve">) and the corresponding closing condition is in §8.2(d).</w:t>
      </w:r>
    </w:p>
    <w:bookmarkEnd w:id="44"/>
    <w:bookmarkStart w:id="45" w:name="Xfb42b80b4b918e89ad661c6ec905b3e392c7a59"/>
    <w:p>
      <w:pPr>
        <w:pStyle w:val="Heading4"/>
      </w:pPr>
      <w:r>
        <w:t xml:space="preserve">Low 3 — North Carolina Individual Income Tax Rate for 2025</w:t>
      </w:r>
    </w:p>
    <w:p>
      <w:pPr>
        <w:pStyle w:val="FirstParagraph"/>
      </w:pPr>
      <w:r>
        <w:t xml:space="preserve">The Memo (Section VI.A) states that</w:t>
      </w:r>
      <w:r>
        <w:t xml:space="preserve"> </w:t>
      </w:r>
      <w:r>
        <w:t xml:space="preserve">“</w:t>
      </w:r>
      <w:r>
        <w:t xml:space="preserve">[t]he current North Carolina individual income tax rate for the 2025 tax year is 4.5%.</w:t>
      </w:r>
      <w:r>
        <w:t xml:space="preserve">”</w:t>
      </w:r>
      <w:r>
        <w:t xml:space="preserve"> </w:t>
      </w:r>
      <w:r>
        <w:t xml:space="preserve">Under the phased reduction schedule enacted by the North Carolina General Assembly (Session Law 2023-134), the 2024 rate is 4.5% and the 2025 rate is scheduled to be</w:t>
      </w:r>
      <w:r>
        <w:t xml:space="preserve"> </w:t>
      </w:r>
      <w:r>
        <w:rPr>
          <w:b/>
          <w:bCs/>
        </w:rPr>
        <w:t xml:space="preserve">4.25%</w:t>
      </w:r>
      <w:r>
        <w:t xml:space="preserve">, contingent on satisfaction of revenue targets. The 2025 rate should be confirmed; if the targets were met, the Memo’s 4.5% figure overstates the 2025 NC rate by 25 basis points (affecting the NC tax estimate on the pass-through gain).</w:t>
      </w:r>
    </w:p>
    <w:bookmarkEnd w:id="45"/>
    <w:bookmarkStart w:id="46" w:name="Xd5e0dbda738b167a81f63cbfeb98407e9ad65ac"/>
    <w:p>
      <w:pPr>
        <w:pStyle w:val="Heading4"/>
      </w:pPr>
      <w:r>
        <w:t xml:space="preserve">Low 4 — Internal Reconciliation Error in the Asset Valuation (Note 2)</w:t>
      </w:r>
    </w:p>
    <w:p>
      <w:pPr>
        <w:pStyle w:val="FirstParagraph"/>
      </w:pPr>
      <w:r>
        <w:t xml:space="preserve">The Asset Valuation’s</w:t>
      </w:r>
      <w:r>
        <w:t xml:space="preserve"> </w:t>
      </w:r>
      <w:r>
        <w:t xml:space="preserve">“</w:t>
      </w:r>
      <w:r>
        <w:t xml:space="preserve">Allocation Summary</w:t>
      </w:r>
      <w:r>
        <w:t xml:space="preserve">”</w:t>
      </w:r>
      <w:r>
        <w:t xml:space="preserve"> </w:t>
      </w:r>
      <w:r>
        <w:t xml:space="preserve">Note 2 states that the Memo’s Class V</w:t>
      </w:r>
      <w:r>
        <w:t xml:space="preserve"> </w:t>
      </w:r>
      <w:r>
        <w:t xml:space="preserve">“</w:t>
      </w:r>
      <w:r>
        <w:t xml:space="preserve">does not appear to include the $28,500,000 Beacon interest.</w:t>
      </w:r>
      <w:r>
        <w:t xml:space="preserve">”</w:t>
      </w:r>
      <w:r>
        <w:t xml:space="preserve"> </w:t>
      </w:r>
      <w:r>
        <w:t xml:space="preserve">This is incorrect — the Memo does list the Beacon interest at $28.5M in its Class V table. The actual cause of the $28.5M Class V variance is the developed-technology understatement and the omitted government software licenses (see High 1). This is an error in the supporting document’s reconciliation, not in the Memo, but it should be corrected so the parties reconcile against the right figures.</w:t>
      </w:r>
    </w:p>
    <w:bookmarkEnd w:id="46"/>
    <w:bookmarkStart w:id="47" w:name="Xd8f2e7df0dacde0c59ae95541452a8daf8e0de1"/>
    <w:p>
      <w:pPr>
        <w:pStyle w:val="Heading4"/>
      </w:pPr>
      <w:r>
        <w:t xml:space="preserve">Low 5 — Section 197 Anti-Churning / Non-Compete Bona Fides</w:t>
      </w:r>
    </w:p>
    <w:p>
      <w:pPr>
        <w:pStyle w:val="FirstParagraph"/>
      </w:pPr>
      <w:r>
        <w:t xml:space="preserve">The Memo (Section VII.B) addresses the §197(f)(9) anti-churning rules and concludes they do not apply because the buyer is unrelated. The analysis is brief and does not specifically address the bona fides of the non-compete agreements with the selling shareholders who will continue as employees/consultants (Dr. Chandra, four-year employment; Ms. Stowe, two-year consulting), which the IRS may scrutinize to distinguish a genuine covenant not to compete from disguised compensation. The conclusion is reasonable but should be confirmed with a more specific analysis.</w:t>
      </w:r>
    </w:p>
    <w:bookmarkEnd w:id="47"/>
    <w:bookmarkStart w:id="48" w:name="Xab208a2693eb4ad8150e9c63b4bfb0380f69f68"/>
    <w:p>
      <w:pPr>
        <w:pStyle w:val="Heading4"/>
      </w:pPr>
      <w:r>
        <w:t xml:space="preserve">Low 6 — State Tax Analysis Thin for Virginia and New York</w:t>
      </w:r>
    </w:p>
    <w:p>
      <w:pPr>
        <w:pStyle w:val="FirstParagraph"/>
      </w:pPr>
      <w:r>
        <w:t xml:space="preserve">The Memo (Section VI.C) addresses Virginia and New York only with a generic statement that</w:t>
      </w:r>
      <w:r>
        <w:t xml:space="preserve"> </w:t>
      </w:r>
      <w:r>
        <w:t xml:space="preserve">“</w:t>
      </w:r>
      <w:r>
        <w:t xml:space="preserve">[s]hareholders should consult with their individual tax advisors regarding state-specific filing obligations.</w:t>
      </w:r>
      <w:r>
        <w:t xml:space="preserve">”</w:t>
      </w:r>
      <w:r>
        <w:t xml:space="preserve"> </w:t>
      </w:r>
      <w:r>
        <w:t xml:space="preserve">The Memo does not address (a) Virginia’s conformity to the federal S election (no entity-level tax) and the sourcing of the deemed sale gain, or (b) New York’s separate S election (Form CT-6, effective 2019 per the Thornfield Report) and the fixed-dollar minimum tax, in the same detail provided for North Carolina and California.</w:t>
      </w:r>
    </w:p>
    <w:bookmarkEnd w:id="48"/>
    <w:bookmarkStart w:id="49" w:name="X84dcb966baea713bb935d2e2f14c309d272f55f"/>
    <w:p>
      <w:pPr>
        <w:pStyle w:val="Heading4"/>
      </w:pPr>
      <w:r>
        <w:t xml:space="preserve">Low 7 — Historical EBITDA Figure Appears High</w:t>
      </w:r>
    </w:p>
    <w:p>
      <w:pPr>
        <w:pStyle w:val="FirstParagraph"/>
      </w:pPr>
      <w:r>
        <w:t xml:space="preserve">The Memo (Section VII.B) references</w:t>
      </w:r>
      <w:r>
        <w:t xml:space="preserve"> </w:t>
      </w:r>
      <w:r>
        <w:t xml:space="preserve">“</w:t>
      </w:r>
      <w:r>
        <w:t xml:space="preserve">Prism’s historical EBITDA of approximately $58,000,000 (2024 estimate)</w:t>
      </w:r>
      <w:r>
        <w:t xml:space="preserve">”</w:t>
      </w:r>
      <w:r>
        <w:t xml:space="preserve"> </w:t>
      </w:r>
      <w:r>
        <w:t xml:space="preserve">for the §163(j) interest-deductibility analysis. An EBITDA of $58.0M on approximately $87.0M of revenue implies a ~67% EBITDA margin, which is unusually high for a healthcare analytics/SaaS company and is not corroborated by any figure in the supporting documents. The figure should be verified, as it drives the conclusion that new Target will have sufficient adjusted taxable income to deduct the anticipated interest expense.</w:t>
      </w:r>
    </w:p>
    <w:p>
      <w:r>
        <w:pict>
          <v:rect style="width:0;height:1.5pt" o:hralign="center" o:hrstd="t" o:hr="t"/>
        </w:pict>
      </w:r>
    </w:p>
    <w:bookmarkEnd w:id="49"/>
    <w:bookmarkEnd w:id="50"/>
    <w:bookmarkEnd w:id="51"/>
    <w:bookmarkStart w:id="52" w:name="iii.-consolidated-issues-log"/>
    <w:p>
      <w:pPr>
        <w:pStyle w:val="Heading2"/>
      </w:pPr>
      <w:r>
        <w:t xml:space="preserve">III. Consolidated Issues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Memo Location</w:t>
            </w:r>
          </w:p>
        </w:tc>
        <w:tc>
          <w:tcPr/>
          <w:p>
            <w:pPr>
              <w:pStyle w:val="Compact"/>
              <w:jc w:val="left"/>
            </w:pPr>
            <w:r>
              <w:t xml:space="preserve">Supporting Document</w:t>
            </w:r>
          </w:p>
        </w:tc>
        <w:tc>
          <w:tcPr/>
          <w:p>
            <w:pPr>
              <w:pStyle w:val="Compact"/>
              <w:jc w:val="left"/>
            </w:pPr>
            <w:r>
              <w:t xml:space="preserve">Dollar Impact</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ADSP overstated by $48.0M (double-count of funded debt)</w:t>
            </w:r>
          </w:p>
        </w:tc>
        <w:tc>
          <w:tcPr/>
          <w:p>
            <w:pPr>
              <w:pStyle w:val="Compact"/>
              <w:jc w:val="left"/>
            </w:pPr>
            <w:r>
              <w:t xml:space="preserve">§IV.B, App. B</w:t>
            </w:r>
          </w:p>
        </w:tc>
        <w:tc>
          <w:tcPr/>
          <w:p>
            <w:pPr>
              <w:pStyle w:val="Compact"/>
              <w:jc w:val="left"/>
            </w:pPr>
            <w:r>
              <w:t xml:space="preserve">Asset Valuation (Allocation Summary)</w:t>
            </w:r>
          </w:p>
        </w:tc>
        <w:tc>
          <w:tcPr/>
          <w:p>
            <w:pPr>
              <w:pStyle w:val="Compact"/>
              <w:jc w:val="left"/>
            </w:pPr>
            <w:r>
              <w:t xml:space="preserve">$48.0M ADSP; $76.5M goodwill</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S corp shareholder eligibility contradicted and omitted</w:t>
            </w:r>
          </w:p>
        </w:tc>
        <w:tc>
          <w:tcPr/>
          <w:p>
            <w:pPr>
              <w:pStyle w:val="Compact"/>
              <w:jc w:val="left"/>
            </w:pPr>
            <w:r>
              <w:t xml:space="preserve">§III.A, §IX.C</w:t>
            </w:r>
          </w:p>
        </w:tc>
        <w:tc>
          <w:tcPr/>
          <w:p>
            <w:pPr>
              <w:pStyle w:val="Compact"/>
              <w:jc w:val="left"/>
            </w:pPr>
            <w:r>
              <w:t xml:space="preserve">Thornfield §III.B; Cap Table</w:t>
            </w:r>
          </w:p>
        </w:tc>
        <w:tc>
          <w:tcPr/>
          <w:p>
            <w:pPr>
              <w:pStyle w:val="Compact"/>
              <w:jc w:val="left"/>
            </w:pPr>
            <w:r>
              <w:t xml:space="preserve">Threshold for §338(h)(10)</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QSBS / §1202 analysis entirely omitted</w:t>
            </w:r>
          </w:p>
        </w:tc>
        <w:tc>
          <w:tcPr/>
          <w:p>
            <w:pPr>
              <w:pStyle w:val="Compact"/>
              <w:jc w:val="left"/>
            </w:pPr>
            <w:r>
              <w:t xml:space="preserve">Absent</w:t>
            </w:r>
          </w:p>
        </w:tc>
        <w:tc>
          <w:tcPr/>
          <w:p>
            <w:pPr>
              <w:pStyle w:val="Compact"/>
              <w:jc w:val="left"/>
            </w:pPr>
            <w:r>
              <w:t xml:space="preserve">QSBS Email Thread; Thornfield §VIII.B; Cap Table</w:t>
            </w:r>
          </w:p>
        </w:tc>
        <w:tc>
          <w:tcPr/>
          <w:p>
            <w:pPr>
              <w:pStyle w:val="Compact"/>
              <w:jc w:val="left"/>
            </w:pPr>
            <w:r>
              <w:t xml:space="preserve">Seven-figure, per shareholder</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Class V understated by $28.5M (developed tech + govt licenses)</w:t>
            </w:r>
          </w:p>
        </w:tc>
        <w:tc>
          <w:tcPr/>
          <w:p>
            <w:pPr>
              <w:pStyle w:val="Compact"/>
              <w:jc w:val="left"/>
            </w:pPr>
            <w:r>
              <w:t xml:space="preserve">§IV.C</w:t>
            </w:r>
          </w:p>
        </w:tc>
        <w:tc>
          <w:tcPr/>
          <w:p>
            <w:pPr>
              <w:pStyle w:val="Compact"/>
              <w:jc w:val="left"/>
            </w:pPr>
            <w:r>
              <w:t xml:space="preserve">Asset Valuation (Asset Detail)</w:t>
            </w:r>
          </w:p>
        </w:tc>
        <w:tc>
          <w:tcPr/>
          <w:p>
            <w:pPr>
              <w:pStyle w:val="Compact"/>
              <w:jc w:val="left"/>
            </w:pPr>
            <w:r>
              <w:t xml:space="preserve">$28.5M Class V</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Aggregate adjusted tax basis does not reconcile ($21.5M)</w:t>
            </w:r>
          </w:p>
        </w:tc>
        <w:tc>
          <w:tcPr/>
          <w:p>
            <w:pPr>
              <w:pStyle w:val="Compact"/>
              <w:jc w:val="left"/>
            </w:pPr>
            <w:r>
              <w:t xml:space="preserve">§III.B, §V.A</w:t>
            </w:r>
          </w:p>
        </w:tc>
        <w:tc>
          <w:tcPr/>
          <w:p>
            <w:pPr>
              <w:pStyle w:val="Compact"/>
              <w:jc w:val="left"/>
            </w:pPr>
            <w:r>
              <w:t xml:space="preserve">Asset Valuation (Asset Detail)</w:t>
            </w:r>
          </w:p>
        </w:tc>
        <w:tc>
          <w:tcPr/>
          <w:p>
            <w:pPr>
              <w:pStyle w:val="Compact"/>
              <w:jc w:val="left"/>
            </w:pPr>
            <w:r>
              <w:t xml:space="preserve">$21.5M basis; $69.5M gain</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Escrow tax treatment inconsistent with PA §7.4; wrong taxpayer level</w:t>
            </w:r>
          </w:p>
        </w:tc>
        <w:tc>
          <w:tcPr/>
          <w:p>
            <w:pPr>
              <w:pStyle w:val="Compact"/>
              <w:jc w:val="left"/>
            </w:pPr>
            <w:r>
              <w:t xml:space="preserve">§V.C</w:t>
            </w:r>
          </w:p>
        </w:tc>
        <w:tc>
          <w:tcPr/>
          <w:p>
            <w:pPr>
              <w:pStyle w:val="Compact"/>
              <w:jc w:val="left"/>
            </w:pPr>
            <w:r>
              <w:t xml:space="preserve">PA §7.4</w:t>
            </w:r>
          </w:p>
        </w:tc>
        <w:tc>
          <w:tcPr/>
          <w:p>
            <w:pPr>
              <w:pStyle w:val="Compact"/>
              <w:jc w:val="left"/>
            </w:pPr>
            <w:r>
              <w:t xml:space="preserve">$22.0M escrow timing</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Beacon IP license automatic termination on change of control not flagged</w:t>
            </w:r>
          </w:p>
        </w:tc>
        <w:tc>
          <w:tcPr/>
          <w:p>
            <w:pPr>
              <w:pStyle w:val="Compact"/>
              <w:jc w:val="left"/>
            </w:pPr>
            <w:r>
              <w:t xml:space="preserve">§VIII</w:t>
            </w:r>
          </w:p>
        </w:tc>
        <w:tc>
          <w:tcPr/>
          <w:p>
            <w:pPr>
              <w:pStyle w:val="Compact"/>
              <w:jc w:val="left"/>
            </w:pPr>
            <w:r>
              <w:t xml:space="preserve">Beacon OA §9.02</w:t>
            </w:r>
          </w:p>
        </w:tc>
        <w:tc>
          <w:tcPr/>
          <w:p>
            <w:pPr>
              <w:pStyle w:val="Compact"/>
              <w:jc w:val="left"/>
            </w:pPr>
            <w:r>
              <w:t xml:space="preserve">Up to $28.5M Beacon value</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Rollover / §338(h)(10) interaction not fully addressed</w:t>
            </w:r>
          </w:p>
        </w:tc>
        <w:tc>
          <w:tcPr/>
          <w:p>
            <w:pPr>
              <w:pStyle w:val="Compact"/>
              <w:jc w:val="left"/>
            </w:pPr>
            <w:r>
              <w:t xml:space="preserve">§II.B, §V.B</w:t>
            </w:r>
          </w:p>
        </w:tc>
        <w:tc>
          <w:tcPr/>
          <w:p>
            <w:pPr>
              <w:pStyle w:val="Compact"/>
              <w:jc w:val="left"/>
            </w:pPr>
            <w:r>
              <w:t xml:space="preserve">Cap Table (Waterfall notes)</w:t>
            </w:r>
          </w:p>
        </w:tc>
        <w:tc>
          <w:tcPr/>
          <w:p>
            <w:pPr>
              <w:pStyle w:val="Compact"/>
              <w:jc w:val="left"/>
            </w:pPr>
            <w:r>
              <w:t xml:space="preserve">Tax cash-flow on $37.0M rollover</w:t>
            </w:r>
          </w:p>
        </w:tc>
      </w:tr>
      <w:tr>
        <w:tc>
          <w:tcPr/>
          <w:p>
            <w:pPr>
              <w:pStyle w:val="Compact"/>
              <w:jc w:val="left"/>
            </w:pPr>
            <w:r>
              <w:t xml:space="preserve">9</w:t>
            </w:r>
          </w:p>
        </w:tc>
        <w:tc>
          <w:tcPr/>
          <w:p>
            <w:pPr>
              <w:pStyle w:val="Compact"/>
              <w:jc w:val="left"/>
            </w:pPr>
            <w:r>
              <w:t xml:space="preserve">Moderate</w:t>
            </w:r>
          </w:p>
        </w:tc>
        <w:tc>
          <w:tcPr/>
          <w:p>
            <w:pPr>
              <w:pStyle w:val="Compact"/>
              <w:jc w:val="left"/>
            </w:pPr>
            <w:r>
              <w:t xml:space="preserve">§482 transfer-pricing exposure omitted</w:t>
            </w:r>
          </w:p>
        </w:tc>
        <w:tc>
          <w:tcPr/>
          <w:p>
            <w:pPr>
              <w:pStyle w:val="Compact"/>
              <w:jc w:val="left"/>
            </w:pPr>
            <w:r>
              <w:t xml:space="preserve">§III.C, §VIII</w:t>
            </w:r>
          </w:p>
        </w:tc>
        <w:tc>
          <w:tcPr/>
          <w:p>
            <w:pPr>
              <w:pStyle w:val="Compact"/>
              <w:jc w:val="left"/>
            </w:pPr>
            <w:r>
              <w:t xml:space="preserve">Thornfield §VII; PA §4.9(h)</w:t>
            </w:r>
          </w:p>
        </w:tc>
        <w:tc>
          <w:tcPr/>
          <w:p>
            <w:pPr>
              <w:pStyle w:val="Compact"/>
              <w:jc w:val="left"/>
            </w:pPr>
            <w:r>
              <w:t xml:space="preserve">~$6.3M cumulative</w:t>
            </w:r>
          </w:p>
        </w:tc>
      </w:tr>
      <w:tr>
        <w:tc>
          <w:tcPr/>
          <w:p>
            <w:pPr>
              <w:pStyle w:val="Compact"/>
              <w:jc w:val="left"/>
            </w:pPr>
            <w:r>
              <w:t xml:space="preserve">10</w:t>
            </w:r>
          </w:p>
        </w:tc>
        <w:tc>
          <w:tcPr/>
          <w:p>
            <w:pPr>
              <w:pStyle w:val="Compact"/>
              <w:jc w:val="left"/>
            </w:pPr>
            <w:r>
              <w:t xml:space="preserve">Moderate</w:t>
            </w:r>
          </w:p>
        </w:tc>
        <w:tc>
          <w:tcPr/>
          <w:p>
            <w:pPr>
              <w:pStyle w:val="Compact"/>
              <w:jc w:val="left"/>
            </w:pPr>
            <w:r>
              <w:t xml:space="preserve">Suspended R&amp;D credits ($3.8M) inadequately addressed</w:t>
            </w:r>
          </w:p>
        </w:tc>
        <w:tc>
          <w:tcPr/>
          <w:p>
            <w:pPr>
              <w:pStyle w:val="Compact"/>
              <w:jc w:val="left"/>
            </w:pPr>
            <w:r>
              <w:t xml:space="preserve">§III.D, §IX.C</w:t>
            </w:r>
          </w:p>
        </w:tc>
        <w:tc>
          <w:tcPr/>
          <w:p>
            <w:pPr>
              <w:pStyle w:val="Compact"/>
              <w:jc w:val="left"/>
            </w:pPr>
            <w:r>
              <w:t xml:space="preserve">Thornfield §§IV.B, IX.A</w:t>
            </w:r>
          </w:p>
        </w:tc>
        <w:tc>
          <w:tcPr/>
          <w:p>
            <w:pPr>
              <w:pStyle w:val="Compact"/>
              <w:jc w:val="left"/>
            </w:pPr>
            <w:r>
              <w:t xml:space="preserve">$3.8M at risk</w:t>
            </w:r>
          </w:p>
        </w:tc>
      </w:tr>
      <w:tr>
        <w:tc>
          <w:tcPr/>
          <w:p>
            <w:pPr>
              <w:pStyle w:val="Compact"/>
              <w:jc w:val="left"/>
            </w:pPr>
            <w:r>
              <w:t xml:space="preserve">11</w:t>
            </w:r>
          </w:p>
        </w:tc>
        <w:tc>
          <w:tcPr/>
          <w:p>
            <w:pPr>
              <w:pStyle w:val="Compact"/>
              <w:jc w:val="left"/>
            </w:pPr>
            <w:r>
              <w:t xml:space="preserve">Moderate</w:t>
            </w:r>
          </w:p>
        </w:tc>
        <w:tc>
          <w:tcPr/>
          <w:p>
            <w:pPr>
              <w:pStyle w:val="Compact"/>
              <w:jc w:val="left"/>
            </w:pPr>
            <w:r>
              <w:t xml:space="preserve">AAA / deemed liquidation distribution characterization omitted</w:t>
            </w:r>
          </w:p>
        </w:tc>
        <w:tc>
          <w:tcPr/>
          <w:p>
            <w:pPr>
              <w:pStyle w:val="Compact"/>
              <w:jc w:val="left"/>
            </w:pPr>
            <w:r>
              <w:t xml:space="preserve">§V.A</w:t>
            </w:r>
          </w:p>
        </w:tc>
        <w:tc>
          <w:tcPr/>
          <w:p>
            <w:pPr>
              <w:pStyle w:val="Compact"/>
              <w:jc w:val="left"/>
            </w:pPr>
            <w:r>
              <w:t xml:space="preserve">Thornfield §IX.C</w:t>
            </w:r>
          </w:p>
        </w:tc>
        <w:tc>
          <w:tcPr/>
          <w:p>
            <w:pPr>
              <w:pStyle w:val="Compact"/>
              <w:jc w:val="left"/>
            </w:pPr>
            <w:r>
              <w:t xml:space="preserve">$792K AE&amp;P dividend; basis</w:t>
            </w:r>
          </w:p>
        </w:tc>
      </w:tr>
      <w:tr>
        <w:tc>
          <w:tcPr/>
          <w:p>
            <w:pPr>
              <w:pStyle w:val="Compact"/>
              <w:jc w:val="left"/>
            </w:pPr>
            <w:r>
              <w:t xml:space="preserve">12</w:t>
            </w:r>
          </w:p>
        </w:tc>
        <w:tc>
          <w:tcPr/>
          <w:p>
            <w:pPr>
              <w:pStyle w:val="Compact"/>
              <w:jc w:val="left"/>
            </w:pPr>
            <w:r>
              <w:t xml:space="preserve">Moderate</w:t>
            </w:r>
          </w:p>
        </w:tc>
        <w:tc>
          <w:tcPr/>
          <w:p>
            <w:pPr>
              <w:pStyle w:val="Compact"/>
              <w:jc w:val="left"/>
            </w:pPr>
            <w:r>
              <w:t xml:space="preserve">§751 hot assets / Beacon look-through / §754 election omitted</w:t>
            </w:r>
          </w:p>
        </w:tc>
        <w:tc>
          <w:tcPr/>
          <w:p>
            <w:pPr>
              <w:pStyle w:val="Compact"/>
              <w:jc w:val="left"/>
            </w:pPr>
            <w:r>
              <w:t xml:space="preserve">§VIII</w:t>
            </w:r>
          </w:p>
        </w:tc>
        <w:tc>
          <w:tcPr/>
          <w:p>
            <w:pPr>
              <w:pStyle w:val="Compact"/>
              <w:jc w:val="left"/>
            </w:pPr>
            <w:r>
              <w:t xml:space="preserve">Thornfield §VI.B; Asset Val. A-009</w:t>
            </w:r>
          </w:p>
        </w:tc>
        <w:tc>
          <w:tcPr/>
          <w:p>
            <w:pPr>
              <w:pStyle w:val="Compact"/>
              <w:jc w:val="left"/>
            </w:pPr>
            <w:r>
              <w:t xml:space="preserve">Character of $22.1M Beacon gain</w:t>
            </w:r>
          </w:p>
        </w:tc>
      </w:tr>
      <w:tr>
        <w:tc>
          <w:tcPr/>
          <w:p>
            <w:pPr>
              <w:pStyle w:val="Compact"/>
              <w:jc w:val="left"/>
            </w:pPr>
            <w:r>
              <w:t xml:space="preserve">13</w:t>
            </w:r>
          </w:p>
        </w:tc>
        <w:tc>
          <w:tcPr/>
          <w:p>
            <w:pPr>
              <w:pStyle w:val="Compact"/>
              <w:jc w:val="left"/>
            </w:pPr>
            <w:r>
              <w:t xml:space="preserve">Moderate</w:t>
            </w:r>
          </w:p>
        </w:tc>
        <w:tc>
          <w:tcPr/>
          <w:p>
            <w:pPr>
              <w:pStyle w:val="Compact"/>
              <w:jc w:val="left"/>
            </w:pPr>
            <w:r>
              <w:t xml:space="preserve">NC data processing license risk downplayed</w:t>
            </w:r>
          </w:p>
        </w:tc>
        <w:tc>
          <w:tcPr/>
          <w:p>
            <w:pPr>
              <w:pStyle w:val="Compact"/>
              <w:jc w:val="left"/>
            </w:pPr>
            <w:r>
              <w:t xml:space="preserve">§VI.A, §IX.A</w:t>
            </w:r>
          </w:p>
        </w:tc>
        <w:tc>
          <w:tcPr/>
          <w:p>
            <w:pPr>
              <w:pStyle w:val="Compact"/>
              <w:jc w:val="left"/>
            </w:pPr>
            <w:r>
              <w:t xml:space="preserve">Asset Val. A-008; PA §4.9(i)</w:t>
            </w:r>
          </w:p>
        </w:tc>
        <w:tc>
          <w:tcPr/>
          <w:p>
            <w:pPr>
              <w:pStyle w:val="Compact"/>
              <w:jc w:val="left"/>
            </w:pPr>
            <w:r>
              <w:t xml:space="preserve">~$19M annual revenue at risk</w:t>
            </w:r>
          </w:p>
        </w:tc>
      </w:tr>
      <w:tr>
        <w:tc>
          <w:tcPr/>
          <w:p>
            <w:pPr>
              <w:pStyle w:val="Compact"/>
              <w:jc w:val="left"/>
            </w:pPr>
            <w:r>
              <w:t xml:space="preserve">14</w:t>
            </w:r>
          </w:p>
        </w:tc>
        <w:tc>
          <w:tcPr/>
          <w:p>
            <w:pPr>
              <w:pStyle w:val="Compact"/>
              <w:jc w:val="left"/>
            </w:pPr>
            <w:r>
              <w:t xml:space="preserve">Moderate</w:t>
            </w:r>
          </w:p>
        </w:tc>
        <w:tc>
          <w:tcPr/>
          <w:p>
            <w:pPr>
              <w:pStyle w:val="Compact"/>
              <w:jc w:val="left"/>
            </w:pPr>
            <w:r>
              <w:t xml:space="preserve">Shareholder count / state residency inconsistent with Cap Table</w:t>
            </w:r>
          </w:p>
        </w:tc>
        <w:tc>
          <w:tcPr/>
          <w:p>
            <w:pPr>
              <w:pStyle w:val="Compact"/>
              <w:jc w:val="left"/>
            </w:pPr>
            <w:r>
              <w:t xml:space="preserve">§II.A</w:t>
            </w:r>
          </w:p>
        </w:tc>
        <w:tc>
          <w:tcPr/>
          <w:p>
            <w:pPr>
              <w:pStyle w:val="Compact"/>
              <w:jc w:val="left"/>
            </w:pPr>
            <w:r>
              <w:t xml:space="preserve">Cap Table</w:t>
            </w:r>
          </w:p>
        </w:tc>
        <w:tc>
          <w:tcPr/>
          <w:p>
            <w:pPr>
              <w:pStyle w:val="Compact"/>
              <w:jc w:val="left"/>
            </w:pPr>
            <w:r>
              <w:t xml:space="preserve">17 vs. 14 non-founders</w:t>
            </w:r>
          </w:p>
        </w:tc>
      </w:tr>
      <w:tr>
        <w:tc>
          <w:tcPr/>
          <w:p>
            <w:pPr>
              <w:pStyle w:val="Compact"/>
              <w:jc w:val="left"/>
            </w:pPr>
            <w:r>
              <w:t xml:space="preserve">15</w:t>
            </w:r>
          </w:p>
        </w:tc>
        <w:tc>
          <w:tcPr/>
          <w:p>
            <w:pPr>
              <w:pStyle w:val="Compact"/>
              <w:jc w:val="left"/>
            </w:pPr>
            <w:r>
              <w:t xml:space="preserve">Moderate</w:t>
            </w:r>
          </w:p>
        </w:tc>
        <w:tc>
          <w:tcPr/>
          <w:p>
            <w:pPr>
              <w:pStyle w:val="Compact"/>
              <w:jc w:val="left"/>
            </w:pPr>
            <w:r>
              <w:t xml:space="preserve">Ridgeline equity contribution understated by $55.0M</w:t>
            </w:r>
          </w:p>
        </w:tc>
        <w:tc>
          <w:tcPr/>
          <w:p>
            <w:pPr>
              <w:pStyle w:val="Compact"/>
              <w:jc w:val="left"/>
            </w:pPr>
            <w:r>
              <w:t xml:space="preserve">§II.C</w:t>
            </w:r>
          </w:p>
        </w:tc>
        <w:tc>
          <w:tcPr/>
          <w:p>
            <w:pPr>
              <w:pStyle w:val="Compact"/>
              <w:jc w:val="left"/>
            </w:pPr>
            <w:r>
              <w:t xml:space="preserve">PA §§2.6(a),(b)</w:t>
            </w:r>
          </w:p>
        </w:tc>
        <w:tc>
          <w:tcPr/>
          <w:p>
            <w:pPr>
              <w:pStyle w:val="Compact"/>
              <w:jc w:val="left"/>
            </w:pPr>
            <w:r>
              <w:t xml:space="preserve">$55.0M</w:t>
            </w:r>
          </w:p>
        </w:tc>
      </w:tr>
      <w:tr>
        <w:tc>
          <w:tcPr/>
          <w:p>
            <w:pPr>
              <w:pStyle w:val="Compact"/>
              <w:jc w:val="left"/>
            </w:pPr>
            <w:r>
              <w:t xml:space="preserve">16</w:t>
            </w:r>
          </w:p>
        </w:tc>
        <w:tc>
          <w:tcPr/>
          <w:p>
            <w:pPr>
              <w:pStyle w:val="Compact"/>
              <w:jc w:val="left"/>
            </w:pPr>
            <w:r>
              <w:t xml:space="preserve">Moderate</w:t>
            </w:r>
          </w:p>
        </w:tc>
        <w:tc>
          <w:tcPr/>
          <w:p>
            <w:pPr>
              <w:pStyle w:val="Compact"/>
              <w:jc w:val="left"/>
            </w:pPr>
            <w:r>
              <w:t xml:space="preserve">Annual D&amp;A schedule built on incorrect figures</w:t>
            </w:r>
          </w:p>
        </w:tc>
        <w:tc>
          <w:tcPr/>
          <w:p>
            <w:pPr>
              <w:pStyle w:val="Compact"/>
              <w:jc w:val="left"/>
            </w:pPr>
            <w:r>
              <w:t xml:space="preserve">§VII.A</w:t>
            </w:r>
          </w:p>
        </w:tc>
        <w:tc>
          <w:tcPr/>
          <w:p>
            <w:pPr>
              <w:pStyle w:val="Compact"/>
              <w:jc w:val="left"/>
            </w:pPr>
            <w:r>
              <w:t xml:space="preserve">Asset Val. A-006</w:t>
            </w:r>
          </w:p>
        </w:tc>
        <w:tc>
          <w:tcPr/>
          <w:p>
            <w:pPr>
              <w:pStyle w:val="Compact"/>
              <w:jc w:val="left"/>
            </w:pPr>
            <w:r>
              <w:t xml:space="preserve">~$5.1M/yr goodwill; $8.36M/yr dev. tech omitted</w:t>
            </w:r>
          </w:p>
        </w:tc>
      </w:tr>
      <w:tr>
        <w:tc>
          <w:tcPr/>
          <w:p>
            <w:pPr>
              <w:pStyle w:val="Compact"/>
              <w:jc w:val="left"/>
            </w:pPr>
            <w:r>
              <w:t xml:space="preserve">17</w:t>
            </w:r>
          </w:p>
        </w:tc>
        <w:tc>
          <w:tcPr/>
          <w:p>
            <w:pPr>
              <w:pStyle w:val="Compact"/>
              <w:jc w:val="left"/>
            </w:pPr>
            <w:r>
              <w:t xml:space="preserve">Moderate</w:t>
            </w:r>
          </w:p>
        </w:tc>
        <w:tc>
          <w:tcPr/>
          <w:p>
            <w:pPr>
              <w:pStyle w:val="Compact"/>
              <w:jc w:val="left"/>
            </w:pPr>
            <w:r>
              <w:t xml:space="preserve">New York sales/use tax exposure omitted</w:t>
            </w:r>
          </w:p>
        </w:tc>
        <w:tc>
          <w:tcPr/>
          <w:p>
            <w:pPr>
              <w:pStyle w:val="Compact"/>
              <w:jc w:val="left"/>
            </w:pPr>
            <w:r>
              <w:t xml:space="preserve">§VI</w:t>
            </w:r>
          </w:p>
        </w:tc>
        <w:tc>
          <w:tcPr/>
          <w:p>
            <w:pPr>
              <w:pStyle w:val="Compact"/>
              <w:jc w:val="left"/>
            </w:pPr>
            <w:r>
              <w:t xml:space="preserve">Thornfield §X.A</w:t>
            </w:r>
          </w:p>
        </w:tc>
        <w:tc>
          <w:tcPr/>
          <w:p>
            <w:pPr>
              <w:pStyle w:val="Compact"/>
              <w:jc w:val="left"/>
            </w:pPr>
            <w:r>
              <w:t xml:space="preserve">$150K–$300K</w:t>
            </w:r>
          </w:p>
        </w:tc>
      </w:tr>
      <w:tr>
        <w:tc>
          <w:tcPr/>
          <w:p>
            <w:pPr>
              <w:pStyle w:val="Compact"/>
              <w:jc w:val="left"/>
            </w:pPr>
            <w:r>
              <w:t xml:space="preserve">18</w:t>
            </w:r>
          </w:p>
        </w:tc>
        <w:tc>
          <w:tcPr/>
          <w:p>
            <w:pPr>
              <w:pStyle w:val="Compact"/>
              <w:jc w:val="left"/>
            </w:pPr>
            <w:r>
              <w:t xml:space="preserve">Low</w:t>
            </w:r>
          </w:p>
        </w:tc>
        <w:tc>
          <w:tcPr/>
          <w:p>
            <w:pPr>
              <w:pStyle w:val="Compact"/>
              <w:jc w:val="left"/>
            </w:pPr>
            <w:r>
              <w:t xml:space="preserve">Thornfield report date misstated (Jan 10 vs. Jan 15)</w:t>
            </w:r>
          </w:p>
        </w:tc>
        <w:tc>
          <w:tcPr/>
          <w:p>
            <w:pPr>
              <w:pStyle w:val="Compact"/>
              <w:jc w:val="left"/>
            </w:pPr>
            <w:r>
              <w:t xml:space="preserve">Preamble</w:t>
            </w:r>
          </w:p>
        </w:tc>
        <w:tc>
          <w:tcPr/>
          <w:p>
            <w:pPr>
              <w:pStyle w:val="Compact"/>
              <w:jc w:val="left"/>
            </w:pPr>
            <w:r>
              <w:t xml:space="preserve">Thornfield Report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Low</w:t>
            </w:r>
          </w:p>
        </w:tc>
        <w:tc>
          <w:tcPr/>
          <w:p>
            <w:pPr>
              <w:pStyle w:val="Compact"/>
              <w:jc w:val="left"/>
            </w:pPr>
            <w:r>
              <w:t xml:space="preserve">Incorrect PA cross-reference (§7.04 vs. §7.3(a)/§8.2(d))</w:t>
            </w:r>
          </w:p>
        </w:tc>
        <w:tc>
          <w:tcPr/>
          <w:p>
            <w:pPr>
              <w:pStyle w:val="Compact"/>
              <w:jc w:val="left"/>
            </w:pPr>
            <w:r>
              <w:t xml:space="preserve">§IV.A</w:t>
            </w:r>
          </w:p>
        </w:tc>
        <w:tc>
          <w:tcPr/>
          <w:p>
            <w:pPr>
              <w:pStyle w:val="Compact"/>
              <w:jc w:val="left"/>
            </w:pPr>
            <w:r>
              <w:t xml:space="preserve">PA</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Low</w:t>
            </w:r>
          </w:p>
        </w:tc>
        <w:tc>
          <w:tcPr/>
          <w:p>
            <w:pPr>
              <w:pStyle w:val="Compact"/>
              <w:jc w:val="left"/>
            </w:pPr>
            <w:r>
              <w:t xml:space="preserve">NC 2025 individual rate (4.5% vs. scheduled 4.25%)</w:t>
            </w:r>
          </w:p>
        </w:tc>
        <w:tc>
          <w:tcPr/>
          <w:p>
            <w:pPr>
              <w:pStyle w:val="Compact"/>
              <w:jc w:val="left"/>
            </w:pPr>
            <w:r>
              <w:t xml:space="preserve">§VI.A</w:t>
            </w:r>
          </w:p>
        </w:tc>
        <w:tc>
          <w:tcPr/>
          <w:p>
            <w:pPr>
              <w:pStyle w:val="Compact"/>
              <w:jc w:val="left"/>
            </w:pPr>
            <w:r>
              <w:t xml:space="preserve">—</w:t>
            </w:r>
          </w:p>
        </w:tc>
        <w:tc>
          <w:tcPr/>
          <w:p>
            <w:pPr>
              <w:pStyle w:val="Compact"/>
              <w:jc w:val="left"/>
            </w:pPr>
            <w:r>
              <w:t xml:space="preserve">25 bps</w:t>
            </w:r>
          </w:p>
        </w:tc>
      </w:tr>
      <w:tr>
        <w:tc>
          <w:tcPr/>
          <w:p>
            <w:pPr>
              <w:pStyle w:val="Compact"/>
              <w:jc w:val="left"/>
            </w:pPr>
            <w:r>
              <w:t xml:space="preserve">21</w:t>
            </w:r>
          </w:p>
        </w:tc>
        <w:tc>
          <w:tcPr/>
          <w:p>
            <w:pPr>
              <w:pStyle w:val="Compact"/>
              <w:jc w:val="left"/>
            </w:pPr>
            <w:r>
              <w:t xml:space="preserve">Low</w:t>
            </w:r>
          </w:p>
        </w:tc>
        <w:tc>
          <w:tcPr/>
          <w:p>
            <w:pPr>
              <w:pStyle w:val="Compact"/>
              <w:jc w:val="left"/>
            </w:pPr>
            <w:r>
              <w:t xml:space="preserve">Internal reconciliation error in Asset Valuation Note 2</w:t>
            </w:r>
          </w:p>
        </w:tc>
        <w:tc>
          <w:tcPr/>
          <w:p>
            <w:pPr>
              <w:pStyle w:val="Compact"/>
              <w:jc w:val="left"/>
            </w:pPr>
            <w:r>
              <w:t xml:space="preserve">—</w:t>
            </w:r>
          </w:p>
        </w:tc>
        <w:tc>
          <w:tcPr/>
          <w:p>
            <w:pPr>
              <w:pStyle w:val="Compact"/>
              <w:jc w:val="left"/>
            </w:pPr>
            <w:r>
              <w:t xml:space="preserve">Asset Val. (Allocation Summary)</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Low</w:t>
            </w:r>
          </w:p>
        </w:tc>
        <w:tc>
          <w:tcPr/>
          <w:p>
            <w:pPr>
              <w:pStyle w:val="Compact"/>
              <w:jc w:val="left"/>
            </w:pPr>
            <w:r>
              <w:t xml:space="preserve">§197 anti-churning / non-compete bona fides — brief analysis</w:t>
            </w:r>
          </w:p>
        </w:tc>
        <w:tc>
          <w:tcPr/>
          <w:p>
            <w:pPr>
              <w:pStyle w:val="Compact"/>
              <w:jc w:val="left"/>
            </w:pPr>
            <w:r>
              <w:t xml:space="preserve">§VII.B</w:t>
            </w:r>
          </w:p>
        </w:tc>
        <w:tc>
          <w:tcPr/>
          <w:p>
            <w:pPr>
              <w:pStyle w:val="Compact"/>
              <w:jc w:val="left"/>
            </w:pPr>
            <w:r>
              <w:t xml:space="preserve">Asset Val. A-013</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Low</w:t>
            </w:r>
          </w:p>
        </w:tc>
        <w:tc>
          <w:tcPr/>
          <w:p>
            <w:pPr>
              <w:pStyle w:val="Compact"/>
              <w:jc w:val="left"/>
            </w:pPr>
            <w:r>
              <w:t xml:space="preserve">State tax analysis thin for Virginia and New York</w:t>
            </w:r>
          </w:p>
        </w:tc>
        <w:tc>
          <w:tcPr/>
          <w:p>
            <w:pPr>
              <w:pStyle w:val="Compact"/>
              <w:jc w:val="left"/>
            </w:pPr>
            <w:r>
              <w:t xml:space="preserve">§VI.C</w:t>
            </w:r>
          </w:p>
        </w:tc>
        <w:tc>
          <w:tcPr/>
          <w:p>
            <w:pPr>
              <w:pStyle w:val="Compact"/>
              <w:jc w:val="left"/>
            </w:pPr>
            <w:r>
              <w:t xml:space="preserve">Thornfield §V</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Low</w:t>
            </w:r>
          </w:p>
        </w:tc>
        <w:tc>
          <w:tcPr/>
          <w:p>
            <w:pPr>
              <w:pStyle w:val="Compact"/>
              <w:jc w:val="left"/>
            </w:pPr>
            <w:r>
              <w:t xml:space="preserve">Historical EBITDA figure ($58M) appears high / uncorroborated</w:t>
            </w:r>
          </w:p>
        </w:tc>
        <w:tc>
          <w:tcPr/>
          <w:p>
            <w:pPr>
              <w:pStyle w:val="Compact"/>
              <w:jc w:val="left"/>
            </w:pPr>
            <w:r>
              <w:t xml:space="preserve">§VII.B</w:t>
            </w:r>
          </w:p>
        </w:tc>
        <w:tc>
          <w:tcPr/>
          <w:p>
            <w:pPr>
              <w:pStyle w:val="Compact"/>
              <w:jc w:val="left"/>
            </w:pPr>
            <w:r>
              <w:t xml:space="preserve">—</w:t>
            </w:r>
          </w:p>
        </w:tc>
        <w:tc>
          <w:tcPr/>
          <w:p>
            <w:pPr>
              <w:pStyle w:val="Compact"/>
              <w:jc w:val="left"/>
            </w:pPr>
            <w:r>
              <w:t xml:space="preserve">Drives §163(j) conclusion</w:t>
            </w:r>
          </w:p>
        </w:tc>
      </w:tr>
    </w:tbl>
    <w:p>
      <w:r>
        <w:pict>
          <v:rect style="width:0;height:1.5pt" o:hralign="center" o:hrstd="t" o:hr="t"/>
        </w:pict>
      </w:r>
    </w:p>
    <w:bookmarkEnd w:id="52"/>
    <w:bookmarkStart w:id="53" w:name="iv.-recommended-actions-prioritized"/>
    <w:p>
      <w:pPr>
        <w:pStyle w:val="Heading2"/>
      </w:pPr>
      <w:r>
        <w:t xml:space="preserve">IV. Recommended Actions (Prioritized)</w:t>
      </w:r>
    </w:p>
    <w:p>
      <w:pPr>
        <w:pStyle w:val="FirstParagraph"/>
      </w:pPr>
      <w:r>
        <w:rPr>
          <w:b/>
          <w:bCs/>
        </w:rPr>
        <w:t xml:space="preserve">Before any party relies on the Memo / before closing:</w:t>
      </w:r>
    </w:p>
    <w:p>
      <w:pPr>
        <w:pStyle w:val="Compact"/>
        <w:numPr>
          <w:ilvl w:val="0"/>
          <w:numId w:val="1005"/>
        </w:numPr>
      </w:pPr>
      <w:r>
        <w:rPr>
          <w:b/>
          <w:bCs/>
        </w:rPr>
        <w:t xml:space="preserve">Recompute the ADSP, purchase price allocation, deemed sale gain, and per-shareholder allocations</w:t>
      </w:r>
      <w:r>
        <w:t xml:space="preserve"> </w:t>
      </w:r>
      <w:r>
        <w:t xml:space="preserve">from the correct ADSP ($425.0M per the Asset Valuation) and the correct aggregate basis ($64.3M), and restate the Class V allocation to include the developed technology ($41.8M) and government software licenses ($5.7M). (Critical 1; High 1, 2)</w:t>
      </w:r>
    </w:p>
    <w:p>
      <w:pPr>
        <w:pStyle w:val="Compact"/>
        <w:numPr>
          <w:ilvl w:val="0"/>
          <w:numId w:val="1005"/>
        </w:numPr>
      </w:pPr>
      <w:r>
        <w:rPr>
          <w:b/>
          <w:bCs/>
        </w:rPr>
        <w:t xml:space="preserve">Resolve S corporation shareholder eligibility</w:t>
      </w:r>
      <w:r>
        <w:t xml:space="preserve"> </w:t>
      </w:r>
      <w:r>
        <w:t xml:space="preserve">for every shareholder (especially the restricted stock holders) for every year since January 1, 2017, before closing. Obtain immigration/residency documentation and investigate the alleged family-LLC transfer. Withdraw or qualify the Memo’s statement that there are no ineligible shareholders. (Critical 2)</w:t>
      </w:r>
    </w:p>
    <w:p>
      <w:pPr>
        <w:pStyle w:val="Compact"/>
        <w:numPr>
          <w:ilvl w:val="0"/>
          <w:numId w:val="1005"/>
        </w:numPr>
      </w:pPr>
      <w:r>
        <w:rPr>
          <w:b/>
          <w:bCs/>
        </w:rPr>
        <w:t xml:space="preserve">Prepare and deliver the QSBS / §1202 analysis</w:t>
      </w:r>
      <w:r>
        <w:t xml:space="preserve"> </w:t>
      </w:r>
      <w:r>
        <w:t xml:space="preserve">to the affected shareholders before they execute the Form 8023 consents, addressing the §338(h)(10) interaction, the C-corporation-period issuance, the $50M gross-assets test, the escrow component, and any alternative-structure consideration. (Critical 3)</w:t>
      </w:r>
    </w:p>
    <w:p>
      <w:pPr>
        <w:pStyle w:val="FirstParagraph"/>
      </w:pPr>
      <w:r>
        <w:rPr>
          <w:b/>
          <w:bCs/>
        </w:rPr>
        <w:t xml:space="preserve">Before closing / as conditions to closing:</w:t>
      </w:r>
    </w:p>
    <w:p>
      <w:pPr>
        <w:pStyle w:val="Compact"/>
        <w:numPr>
          <w:ilvl w:val="0"/>
          <w:numId w:val="1006"/>
        </w:numPr>
      </w:pPr>
      <w:r>
        <w:rPr>
          <w:b/>
          <w:bCs/>
        </w:rPr>
        <w:t xml:space="preserve">Reconcile the escrow tax treatment</w:t>
      </w:r>
      <w:r>
        <w:t xml:space="preserve"> </w:t>
      </w:r>
      <w:r>
        <w:t xml:space="preserve">between the Memo and PA §7.4, and reframe any installment analysis at the entity (old Prism) level. (High 3)</w:t>
      </w:r>
    </w:p>
    <w:p>
      <w:pPr>
        <w:pStyle w:val="Compact"/>
        <w:numPr>
          <w:ilvl w:val="0"/>
          <w:numId w:val="1006"/>
        </w:numPr>
      </w:pPr>
      <w:r>
        <w:rPr>
          <w:b/>
          <w:bCs/>
        </w:rPr>
        <w:t xml:space="preserve">Confirm the Beacon IP license</w:t>
      </w:r>
      <w:r>
        <w:t xml:space="preserve"> </w:t>
      </w:r>
      <w:r>
        <w:t xml:space="preserve">will be continued in writing at closing (Beacon OA §9.02), and analyze the ROFR trigger; assess the impact on the $28.5M Beacon-interest value if the license is not continued. (High 4)</w:t>
      </w:r>
    </w:p>
    <w:p>
      <w:pPr>
        <w:pStyle w:val="Compact"/>
        <w:numPr>
          <w:ilvl w:val="0"/>
          <w:numId w:val="1006"/>
        </w:numPr>
      </w:pPr>
      <w:r>
        <w:rPr>
          <w:b/>
          <w:bCs/>
        </w:rPr>
        <w:t xml:space="preserve">Expand the rollover analysis</w:t>
      </w:r>
      <w:r>
        <w:t xml:space="preserve"> </w:t>
      </w:r>
      <w:r>
        <w:t xml:space="preserve">to quantify Dr. Chandra’s tax cash-flow burden and evaluate mitigating structures. (High 5)</w:t>
      </w:r>
    </w:p>
    <w:p>
      <w:pPr>
        <w:pStyle w:val="Compact"/>
        <w:numPr>
          <w:ilvl w:val="0"/>
          <w:numId w:val="1006"/>
        </w:numPr>
      </w:pPr>
      <w:r>
        <w:rPr>
          <w:b/>
          <w:bCs/>
        </w:rPr>
        <w:t xml:space="preserve">Address the §482 transfer-pricing exposure</w:t>
      </w:r>
      <w:r>
        <w:t xml:space="preserve"> </w:t>
      </w:r>
      <w:r>
        <w:t xml:space="preserve">(~$6.3M), commission a transfer-pricing study, and reconcile the PA’s arm’s-length representation. (Moderate 1)</w:t>
      </w:r>
    </w:p>
    <w:p>
      <w:pPr>
        <w:pStyle w:val="Compact"/>
        <w:numPr>
          <w:ilvl w:val="0"/>
          <w:numId w:val="1006"/>
        </w:numPr>
      </w:pPr>
      <w:r>
        <w:rPr>
          <w:b/>
          <w:bCs/>
        </w:rPr>
        <w:t xml:space="preserve">Analyze the $3.8M suspended R&amp;D credits</w:t>
      </w:r>
      <w:r>
        <w:t xml:space="preserve"> </w:t>
      </w:r>
      <w:r>
        <w:t xml:space="preserve">for salvageability and list as an open item. (Moderate 2)</w:t>
      </w:r>
    </w:p>
    <w:p>
      <w:pPr>
        <w:pStyle w:val="Compact"/>
        <w:numPr>
          <w:ilvl w:val="0"/>
          <w:numId w:val="1006"/>
        </w:numPr>
      </w:pPr>
      <w:r>
        <w:rPr>
          <w:b/>
          <w:bCs/>
        </w:rPr>
        <w:t xml:space="preserve">Analyze the AAA/AE&amp;P/PTI mechanics</w:t>
      </w:r>
      <w:r>
        <w:t xml:space="preserve"> </w:t>
      </w:r>
      <w:r>
        <w:t xml:space="preserve">and restate shareholder stock bases. (Moderate 3)</w:t>
      </w:r>
    </w:p>
    <w:p>
      <w:pPr>
        <w:pStyle w:val="Compact"/>
        <w:numPr>
          <w:ilvl w:val="0"/>
          <w:numId w:val="1006"/>
        </w:numPr>
      </w:pPr>
      <w:r>
        <w:rPr>
          <w:b/>
          <w:bCs/>
        </w:rPr>
        <w:t xml:space="preserve">Analyze the §751 hot-asset characterization</w:t>
      </w:r>
      <w:r>
        <w:t xml:space="preserve"> </w:t>
      </w:r>
      <w:r>
        <w:t xml:space="preserve">of the Beacon gain and evaluate a §754 election for Beacon. (Moderate 4)</w:t>
      </w:r>
    </w:p>
    <w:p>
      <w:pPr>
        <w:pStyle w:val="Compact"/>
        <w:numPr>
          <w:ilvl w:val="0"/>
          <w:numId w:val="1006"/>
        </w:numPr>
      </w:pPr>
      <w:r>
        <w:rPr>
          <w:b/>
          <w:bCs/>
        </w:rPr>
        <w:t xml:space="preserve">Confirm the NC data processing license</w:t>
      </w:r>
      <w:r>
        <w:t xml:space="preserve"> </w:t>
      </w:r>
      <w:r>
        <w:t xml:space="preserve">survives the change of control and assess revenue/value impairment. (Moderate 5)</w:t>
      </w:r>
    </w:p>
    <w:p>
      <w:pPr>
        <w:pStyle w:val="FirstParagraph"/>
      </w:pPr>
      <w:r>
        <w:rPr>
          <w:b/>
          <w:bCs/>
        </w:rPr>
        <w:t xml:space="preserve">Prompt corrections:</w:t>
      </w:r>
    </w:p>
    <w:p>
      <w:pPr>
        <w:pStyle w:val="Compact"/>
        <w:numPr>
          <w:ilvl w:val="0"/>
          <w:numId w:val="1007"/>
        </w:numPr>
      </w:pPr>
      <w:r>
        <w:t xml:space="preserve">Correct the shareholder count and state-residency breakdown to match the Cap Table. (Moderate 6)</w:t>
      </w:r>
    </w:p>
    <w:p>
      <w:pPr>
        <w:pStyle w:val="Compact"/>
        <w:numPr>
          <w:ilvl w:val="0"/>
          <w:numId w:val="1007"/>
        </w:numPr>
      </w:pPr>
      <w:r>
        <w:t xml:space="preserve">Correct the Ridgeline equity-contribution computation ($198.0M, not $143.0M). (Moderate 7)</w:t>
      </w:r>
    </w:p>
    <w:p>
      <w:pPr>
        <w:pStyle w:val="Compact"/>
        <w:numPr>
          <w:ilvl w:val="0"/>
          <w:numId w:val="1007"/>
        </w:numPr>
      </w:pPr>
      <w:r>
        <w:t xml:space="preserve">Rebuild the annual D&amp;A schedule on the corrected allocation. (Moderate 8)</w:t>
      </w:r>
    </w:p>
    <w:p>
      <w:pPr>
        <w:pStyle w:val="Compact"/>
        <w:numPr>
          <w:ilvl w:val="0"/>
          <w:numId w:val="1007"/>
        </w:numPr>
      </w:pPr>
      <w:r>
        <w:t xml:space="preserve">Add the New York sales/use tax exposure to the state tax analysis. (Moderate 9)</w:t>
      </w:r>
    </w:p>
    <w:p>
      <w:pPr>
        <w:pStyle w:val="Compact"/>
        <w:numPr>
          <w:ilvl w:val="0"/>
          <w:numId w:val="1007"/>
        </w:numPr>
      </w:pPr>
      <w:r>
        <w:t xml:space="preserve">Correct the Low items (report date, PA cross-reference, NC rate, EBITDA verification, state tax detail). (Low 1–3, 6, 7)</w:t>
      </w:r>
    </w:p>
    <w:p>
      <w:r>
        <w:pict>
          <v:rect style="width:0;height:1.5pt" o:hralign="center" o:hrstd="t" o:hr="t"/>
        </w:pict>
      </w:r>
    </w:p>
    <w:p>
      <w:pPr>
        <w:pStyle w:val="FirstParagraph"/>
      </w:pPr>
      <w:r>
        <w:rPr>
          <w:i/>
          <w:iCs/>
        </w:rPr>
        <w:t xml:space="preserve">This report has been prepared solely to identify issues, inconsistencies, and omissions in the Tax Structure Memorandum on cross-review against the supporting deal documents. It is not a tax opinion and does not independently conclude on the correct tax treatment of any item; where a</w:t>
      </w:r>
      <w:r>
        <w:rPr>
          <w:i/>
          <w:iCs/>
        </w:rPr>
        <w:t xml:space="preserve"> </w:t>
      </w:r>
      <w:r>
        <w:rPr>
          <w:i/>
          <w:iCs/>
        </w:rPr>
        <w:t xml:space="preserve">“</w:t>
      </w:r>
      <w:r>
        <w:rPr>
          <w:i/>
          <w:iCs/>
        </w:rPr>
        <w:t xml:space="preserve">correct</w:t>
      </w:r>
      <w:r>
        <w:rPr>
          <w:i/>
          <w:iCs/>
        </w:rPr>
        <w:t xml:space="preserve">”</w:t>
      </w:r>
      <w:r>
        <w:rPr>
          <w:i/>
          <w:iCs/>
        </w:rPr>
        <w:t xml:space="preserve"> </w:t>
      </w:r>
      <w:r>
        <w:rPr>
          <w:i/>
          <w:iCs/>
        </w:rPr>
        <w:t xml:space="preserve">figure is stated, it reflects the figure derived from the supporting documents (principally the Thornfield Asset Valuation) for purposes of comparison. Legal and tax conclusions on the open items should be confirmed by tax counsel upon resolution of the underlying facts.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2026-06-29T01:00:39Z</dcterms:created>
  <dcterms:modified xsi:type="dcterms:W3CDTF">2026-06-29T01:00:39Z</dcterms:modified>
</cp:coreProperties>
</file>

<file path=docProps/custom.xml><?xml version="1.0" encoding="utf-8"?>
<Properties xmlns="http://schemas.openxmlformats.org/officeDocument/2006/custom-properties" xmlns:vt="http://schemas.openxmlformats.org/officeDocument/2006/docPropsVTypes"/>
</file>