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59"/>
        <w:jc w:val="center"/>
      </w:pPr>
      <w:r>
        <w:rPr>
          <w:b/>
          <w:i w:val="0"/>
          <w:color w:val="1F3355"/>
          <w:sz w:val="28"/>
        </w:rPr>
        <w:t>KESSLER, ODOM &amp; PRATT LLP</w:t>
      </w:r>
    </w:p>
    <w:p>
      <w:pPr>
        <w:spacing w:before="0" w:after="40" w:lineRule="auto" w:line="259"/>
        <w:jc w:val="center"/>
      </w:pPr>
      <w:r>
        <w:rPr>
          <w:b w:val="0"/>
          <w:i w:val="0"/>
          <w:color w:val="555555"/>
          <w:sz w:val="18"/>
        </w:rPr>
        <w:t>210 South Wacker Drive, Suite 2400  •  Chicago, Illinois 60606</w:t>
      </w:r>
    </w:p>
    <w:p>
      <w:pPr>
        <w:spacing w:before="40" w:after="40"/>
        <w:pBdr>
          <w:bottom w:val="single" w:sz="6" w:space="1" w:color="BBBBBB"/>
        </w:pBdr>
      </w:pPr>
    </w:p>
    <w:p>
      <w:pPr>
        <w:spacing w:before="0" w:after="200" w:lineRule="auto" w:line="259"/>
        <w:jc w:val="center"/>
      </w:pPr>
      <w:r>
        <w:rPr>
          <w:b/>
          <w:i w:val="0"/>
          <w:color w:val="8B1A1A"/>
          <w:sz w:val="17"/>
        </w:rPr>
        <w:t>PRIVILEGED AND CONFIDENTIAL  —  ATTORNEY-CLIENT COMMUNICATION / ATTORNEY WORK PRODUCT</w:t>
      </w:r>
    </w:p>
    <w:p>
      <w:pPr>
        <w:spacing w:before="0" w:after="200" w:lineRule="auto" w:line="259"/>
        <w:jc w:val="center"/>
      </w:pPr>
      <w:r>
        <w:rPr>
          <w:b/>
          <w:i w:val="0"/>
          <w:color w:val="1F3355"/>
          <w:sz w:val="32"/>
        </w:rPr>
        <w:t>MEMORANDUM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296"/>
          </w:tcPr>
          <w:p>
            <w:pPr>
              <w:spacing w:after="40"/>
            </w:pPr>
            <w:r/>
            <w:r>
              <w:rPr>
                <w:b/>
                <w:color w:val="1F3355"/>
                <w:sz w:val="22"/>
              </w:rPr>
              <w:t>TO:</w:t>
            </w:r>
          </w:p>
        </w:tc>
        <w:tc>
          <w:tcPr>
            <w:tcW w:type="dxa" w:w="8064"/>
          </w:tcPr>
          <w:p>
            <w:pPr>
              <w:spacing w:after="40"/>
            </w:pPr>
            <w:r/>
            <w:r>
              <w:rPr>
                <w:sz w:val="22"/>
              </w:rPr>
              <w:t>Catherine Odom, Partner</w:t>
            </w:r>
          </w:p>
        </w:tc>
      </w:tr>
      <w:tr>
        <w:tc>
          <w:tcPr>
            <w:tcW w:type="dxa" w:w="1296"/>
          </w:tcPr>
          <w:p>
            <w:pPr>
              <w:spacing w:after="40"/>
            </w:pPr>
            <w:r/>
            <w:r>
              <w:rPr>
                <w:b/>
                <w:color w:val="1F3355"/>
                <w:sz w:val="22"/>
              </w:rPr>
              <w:t>FROM:</w:t>
            </w:r>
          </w:p>
        </w:tc>
        <w:tc>
          <w:tcPr>
            <w:tcW w:type="dxa" w:w="8064"/>
          </w:tcPr>
          <w:p>
            <w:pPr>
              <w:spacing w:after="40"/>
            </w:pPr>
            <w:r/>
            <w:r>
              <w:rPr>
                <w:sz w:val="22"/>
              </w:rPr>
              <w:t>Alejandro Reyes, Associate</w:t>
            </w:r>
          </w:p>
        </w:tc>
      </w:tr>
      <w:tr>
        <w:tc>
          <w:tcPr>
            <w:tcW w:type="dxa" w:w="1296"/>
          </w:tcPr>
          <w:p>
            <w:pPr>
              <w:spacing w:after="40"/>
            </w:pPr>
            <w:r/>
            <w:r>
              <w:rPr>
                <w:b/>
                <w:color w:val="1F3355"/>
                <w:sz w:val="22"/>
              </w:rPr>
              <w:t>DATE:</w:t>
            </w:r>
          </w:p>
        </w:tc>
        <w:tc>
          <w:tcPr>
            <w:tcW w:type="dxa" w:w="8064"/>
          </w:tcPr>
          <w:p>
            <w:pPr>
              <w:spacing w:after="40"/>
            </w:pPr>
            <w:r/>
            <w:r>
              <w:rPr>
                <w:sz w:val="22"/>
              </w:rPr>
              <w:t>January 9, 2025</w:t>
            </w:r>
          </w:p>
        </w:tc>
      </w:tr>
      <w:tr>
        <w:tc>
          <w:tcPr>
            <w:tcW w:type="dxa" w:w="1296"/>
          </w:tcPr>
          <w:p>
            <w:pPr>
              <w:spacing w:after="40"/>
            </w:pPr>
            <w:r/>
            <w:r>
              <w:rPr>
                <w:b/>
                <w:color w:val="1F3355"/>
                <w:sz w:val="22"/>
              </w:rPr>
              <w:t>RE:</w:t>
            </w:r>
          </w:p>
        </w:tc>
        <w:tc>
          <w:tcPr>
            <w:tcW w:type="dxa" w:w="8064"/>
          </w:tcPr>
          <w:p>
            <w:pPr>
              <w:spacing w:after="40"/>
            </w:pPr>
            <w:r/>
            <w:r>
              <w:rPr>
                <w:b/>
                <w:sz w:val="22"/>
              </w:rPr>
              <w:t>Review of Husband’s Counsel’s Redlined Postnuptial Agreement — Veselka-Thornton / Thornton; Change Analysis and Negotiation Strategy for January 27, 2025 Four-Way Conference</w:t>
            </w:r>
          </w:p>
        </w:tc>
      </w:tr>
    </w:tbl>
    <w:p>
      <w:pPr>
        <w:spacing w:after="120" w:before="0"/>
      </w:pPr>
    </w:p>
    <w:p>
      <w:pPr>
        <w:spacing w:before="40" w:after="40"/>
        <w:pBdr>
          <w:bottom w:val="single" w:sz="6" w:space="1" w:color="BBBBBB"/>
        </w:pBdr>
      </w:pPr>
    </w:p>
    <w:p>
      <w:pPr>
        <w:keepNext/>
        <w:spacing w:before="280" w:after="80"/>
        <w:pBdr>
          <w:bottom w:val="single" w:sz="6" w:space="2" w:color="1F3355"/>
        </w:pBdr>
      </w:pPr>
      <w:r>
        <w:rPr>
          <w:b/>
          <w:color w:val="1F3355"/>
          <w:sz w:val="25"/>
        </w:rPr>
        <w:t>I.  EXECUTIVE SUMMARY</w:t>
      </w:r>
    </w:p>
    <w:p>
      <w:pPr>
        <w:spacing w:before="0" w:after="120" w:lineRule="auto" w:line="259"/>
      </w:pPr>
      <w:r>
        <w:rPr>
          <w:b w:val="0"/>
          <w:i w:val="0"/>
          <w:sz w:val="22"/>
        </w:rPr>
        <w:t>This memorandum analyzes the marked-up draft of the Postnuptial Agreement (the “Agreement”) returned by Thomas Baxter of Hargrove Baxter LLP on January 6, 2025 (the “Redline”), against (a) our original draft transmitted December 16, 2024 (the “Original Draft”), (b) the client intake memorandum of November 5, 2024, (c) the financial disclosure schedules prepared by Linden &amp; Fosse CPA, and (d) the Strand Valuation Services report dated November 30, 2024. It identifies the substantive changes, flags factual discrepancies that must be reconciled before execution, and recommends a negotiation strategy for the four-way conference scheduled for January 27, 2025.</w:t>
      </w:r>
    </w:p>
    <w:p>
      <w:pPr>
        <w:spacing w:before="0" w:after="40" w:lineRule="auto" w:line="259"/>
      </w:pPr>
      <w:r>
        <w:rPr>
          <w:b/>
          <w:i w:val="0"/>
          <w:sz w:val="22"/>
        </w:rPr>
        <w:t>Bottom line up front.</w:t>
      </w:r>
    </w:p>
    <w:p>
      <w:pPr>
        <w:spacing w:before="0" w:after="120" w:lineRule="auto" w:line="259"/>
      </w:pPr>
      <w:r>
        <w:rPr>
          <w:b w:val="0"/>
          <w:i w:val="0"/>
          <w:sz w:val="22"/>
        </w:rPr>
        <w:t>Mr. Baxter’s transmittal email characterizes the Redline as containing “modest clarifications” and “a few requests for balanced treatment,” and asserts that “[y]ou won’t find anything in here that moves us far from where we started.” That characterization is not accurate. The Redline contains at least six changes of first-order importance, several of which strike directly at the client’s highest-priority objectives and which, in the aggregate, transfer significant value and risk from Wife to Husband. The email flags only the benign items (severability, notarization, a spelling correction, a marital-commitment recital, the sunset term, and venue) and is silent as to the most consequential edits. This is precisely the pattern the client asked us to guard against.</w:t>
      </w:r>
    </w:p>
    <w:p>
      <w:pPr>
        <w:spacing w:before="0" w:after="120" w:lineRule="auto" w:line="259"/>
      </w:pPr>
      <w:r>
        <w:rPr>
          <w:b w:val="0"/>
          <w:i w:val="0"/>
          <w:sz w:val="22"/>
        </w:rPr>
        <w:t>The single most important change is the outright deletion of Wife’s $1,200,000 premarital savings reimbursement right — the provision the client described as “non-negotiable” and “the whole reason” she is pursuing this Agreement. Its deletion, justified in a margin comment as “duplicative,” is not duplicative in effect: it converts a first-priority, traceable reimbursement claim into an equal split of the entire commingled account, transferring approximately $600,000 from Wife to Husband. We should not accept the Redline as a baseline and must restore this provision.</w:t>
      </w:r>
    </w:p>
    <w:p>
      <w:pPr>
        <w:spacing w:before="0" w:after="120" w:lineRule="auto" w:line="259"/>
      </w:pPr>
      <w:r>
        <w:rPr>
          <w:b w:val="0"/>
          <w:i w:val="0"/>
          <w:sz w:val="22"/>
        </w:rPr>
        <w:t>At the same time, the Redline does contain two clusters of changes that are favorable to Wife — notably the active/passive appreciation framework for her Practice Interest (which the Strand report substantially supports) and a maintenance waiver that, given Husband’s current income, likely eliminates his maintenance claim entirely. These are genuine concessions by Husband’s counsel and should be preserved. The negotiation challenge is to keep Wife’s gains while restoring her core property and disclosure protections, and to reject the provisions that are dangerous or one-sided.</w:t>
      </w:r>
    </w:p>
    <w:p>
      <w:pPr>
        <w:spacing w:before="0" w:after="40" w:lineRule="auto" w:line="259"/>
      </w:pPr>
      <w:r>
        <w:rPr>
          <w:b/>
          <w:i w:val="0"/>
          <w:sz w:val="22"/>
        </w:rPr>
        <w:t>Recommended posture for January 27.</w:t>
      </w:r>
    </w:p>
    <w:p>
      <w:pPr>
        <w:spacing w:before="0" w:after="120" w:lineRule="auto" w:line="259"/>
      </w:pPr>
      <w:r>
        <w:rPr>
          <w:b w:val="0"/>
          <w:i w:val="0"/>
          <w:sz w:val="22"/>
        </w:rPr>
        <w:t>Do not treat the Redline as the new working draft. Open the four-way by identifying the items that must be resolved before we can recommend execution, present the favorable items as accepted-in-principle, and table a short list of targeted counter-proposals. A prioritized issue list and recommended counter-language appear in Sections VII and VIII below.</w:t>
      </w:r>
    </w:p>
    <w:p>
      <w:pPr>
        <w:spacing w:after="80" w:before="0"/>
      </w:pPr>
    </w:p>
    <w:p>
      <w:pPr>
        <w:keepNext/>
        <w:spacing w:before="160" w:after="40"/>
      </w:pPr>
      <w:r>
        <w:rPr>
          <w:b/>
          <w:i/>
          <w:color w:val="1F3355"/>
          <w:sz w:val="22"/>
        </w:rPr>
        <w:t>At-a-Glance: How the Redline Maps to the Client’s Stated Objectives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888"/>
            <w:shd w:val="clear" w:color="auto" w:fill="1F3355"/>
            <w:tcMar>
              <w:top w:w="40" w:type="dxa"/>
              <w:bottom w:w="40" w:type="dxa"/>
              <w:start w:w="80" w:type="dxa"/>
              <w:end w:w="80" w:type="dxa"/>
            </w:tcMar>
          </w:tcPr>
          <w:p>
            <w:pPr>
              <w:spacing w:after="0"/>
            </w:pPr>
            <w:r/>
            <w:r>
              <w:rPr>
                <w:b/>
                <w:color w:val="FFFFFF"/>
                <w:sz w:val="19"/>
              </w:rPr>
              <w:t>Client Objective (priority order)</w:t>
            </w:r>
          </w:p>
        </w:tc>
        <w:tc>
          <w:tcPr>
            <w:tcW w:type="dxa" w:w="3312"/>
            <w:shd w:val="clear" w:color="auto" w:fill="1F3355"/>
            <w:tcMar>
              <w:top w:w="40" w:type="dxa"/>
              <w:bottom w:w="40" w:type="dxa"/>
              <w:start w:w="80" w:type="dxa"/>
              <w:end w:w="80" w:type="dxa"/>
            </w:tcMar>
          </w:tcPr>
          <w:p>
            <w:pPr>
              <w:spacing w:after="0"/>
            </w:pPr>
            <w:r/>
            <w:r>
              <w:rPr>
                <w:b/>
                <w:color w:val="FFFFFF"/>
                <w:sz w:val="19"/>
              </w:rPr>
              <w:t>Status under Redline</w:t>
            </w:r>
          </w:p>
        </w:tc>
        <w:tc>
          <w:tcPr>
            <w:tcW w:type="dxa" w:w="2160"/>
            <w:shd w:val="clear" w:color="auto" w:fill="1F3355"/>
            <w:tcMar>
              <w:top w:w="40" w:type="dxa"/>
              <w:bottom w:w="40" w:type="dxa"/>
              <w:start w:w="80" w:type="dxa"/>
              <w:end w:w="80" w:type="dxa"/>
            </w:tcMar>
          </w:tcPr>
          <w:p>
            <w:pPr>
              <w:spacing w:after="0"/>
            </w:pPr>
            <w:r/>
            <w:r>
              <w:rPr>
                <w:b/>
                <w:color w:val="FFFFFF"/>
                <w:sz w:val="19"/>
              </w:rPr>
              <w:t>Disposition</w:t>
            </w:r>
          </w:p>
        </w:tc>
      </w:tr>
      <w:tr>
        <w:tc>
          <w:tcPr>
            <w:tcW w:type="dxa" w:w="3888"/>
            <w:tcMar>
              <w:top w:w="40" w:type="dxa"/>
              <w:bottom w:w="40" w:type="dxa"/>
              <w:start w:w="80" w:type="dxa"/>
              <w:end w:w="80" w:type="dxa"/>
            </w:tcMar>
          </w:tcPr>
          <w:p>
            <w:pPr>
              <w:spacing w:after="0" w:line="240" w:lineRule="auto"/>
            </w:pPr>
            <w:r/>
            <w:r>
              <w:rPr>
                <w:sz w:val="19"/>
              </w:rPr>
              <w:t>1. Protect $1.2M premarital savings reimbursement</w:t>
            </w:r>
          </w:p>
        </w:tc>
        <w:tc>
          <w:tcPr>
            <w:tcW w:type="dxa" w:w="3312"/>
            <w:tcMar>
              <w:top w:w="40" w:type="dxa"/>
              <w:bottom w:w="40" w:type="dxa"/>
              <w:start w:w="80" w:type="dxa"/>
              <w:end w:w="80" w:type="dxa"/>
            </w:tcMar>
          </w:tcPr>
          <w:p>
            <w:pPr>
              <w:spacing w:after="0" w:line="240" w:lineRule="auto"/>
            </w:pPr>
            <w:r/>
            <w:r>
              <w:rPr>
                <w:sz w:val="19"/>
              </w:rPr>
              <w:t>DELETED — directly defeated</w:t>
            </w:r>
          </w:p>
        </w:tc>
        <w:tc>
          <w:tcPr>
            <w:tcW w:type="dxa" w:w="2160"/>
            <w:tcMar>
              <w:top w:w="40" w:type="dxa"/>
              <w:bottom w:w="40" w:type="dxa"/>
              <w:start w:w="80" w:type="dxa"/>
              <w:end w:w="80" w:type="dxa"/>
            </w:tcMar>
          </w:tcPr>
          <w:p>
            <w:pPr>
              <w:spacing w:after="0" w:line="240" w:lineRule="auto"/>
            </w:pPr>
            <w:r/>
            <w:r>
              <w:rPr>
                <w:sz w:val="19"/>
              </w:rPr>
              <w:t>Reject / restore</w:t>
            </w:r>
          </w:p>
        </w:tc>
      </w:tr>
      <w:tr>
        <w:tc>
          <w:tcPr>
            <w:tcW w:type="dxa" w:w="3888"/>
            <w:tcMar>
              <w:top w:w="40" w:type="dxa"/>
              <w:bottom w:w="40" w:type="dxa"/>
              <w:start w:w="80" w:type="dxa"/>
              <w:end w:w="80" w:type="dxa"/>
            </w:tcMar>
            <w:shd w:val="clear" w:color="auto" w:fill="EEF1F5"/>
          </w:tcPr>
          <w:p>
            <w:pPr>
              <w:spacing w:after="0" w:line="240" w:lineRule="auto"/>
            </w:pPr>
            <w:r/>
            <w:r>
              <w:rPr>
                <w:sz w:val="19"/>
              </w:rPr>
              <w:t>2. Robust disclosure; low-threshold voidability; ongoing transparency</w:t>
            </w:r>
          </w:p>
        </w:tc>
        <w:tc>
          <w:tcPr>
            <w:tcW w:type="dxa" w:w="3312"/>
            <w:tcMar>
              <w:top w:w="40" w:type="dxa"/>
              <w:bottom w:w="40" w:type="dxa"/>
              <w:start w:w="80" w:type="dxa"/>
              <w:end w:w="80" w:type="dxa"/>
            </w:tcMar>
            <w:shd w:val="clear" w:color="auto" w:fill="EEF1F5"/>
          </w:tcPr>
          <w:p>
            <w:pPr>
              <w:spacing w:after="0" w:line="240" w:lineRule="auto"/>
            </w:pPr>
            <w:r/>
            <w:r>
              <w:rPr>
                <w:sz w:val="19"/>
              </w:rPr>
              <w:t>Materially weakened</w:t>
            </w:r>
          </w:p>
        </w:tc>
        <w:tc>
          <w:tcPr>
            <w:tcW w:type="dxa" w:w="2160"/>
            <w:tcMar>
              <w:top w:w="40" w:type="dxa"/>
              <w:bottom w:w="40" w:type="dxa"/>
              <w:start w:w="80" w:type="dxa"/>
              <w:end w:w="80" w:type="dxa"/>
            </w:tcMar>
            <w:shd w:val="clear" w:color="auto" w:fill="EEF1F5"/>
          </w:tcPr>
          <w:p>
            <w:pPr>
              <w:spacing w:after="0" w:line="240" w:lineRule="auto"/>
            </w:pPr>
            <w:r/>
            <w:r>
              <w:rPr>
                <w:sz w:val="19"/>
              </w:rPr>
              <w:t>Reject / restore</w:t>
            </w:r>
          </w:p>
        </w:tc>
      </w:tr>
      <w:tr>
        <w:tc>
          <w:tcPr>
            <w:tcW w:type="dxa" w:w="3888"/>
            <w:tcMar>
              <w:top w:w="40" w:type="dxa"/>
              <w:bottom w:w="40" w:type="dxa"/>
              <w:start w:w="80" w:type="dxa"/>
              <w:end w:w="80" w:type="dxa"/>
            </w:tcMar>
          </w:tcPr>
          <w:p>
            <w:pPr>
              <w:spacing w:after="0" w:line="240" w:lineRule="auto"/>
            </w:pPr>
            <w:r/>
            <w:r>
              <w:rPr>
                <w:sz w:val="19"/>
              </w:rPr>
              <w:t>3. Children’s stability; long term; home purchase right</w:t>
            </w:r>
          </w:p>
        </w:tc>
        <w:tc>
          <w:tcPr>
            <w:tcW w:type="dxa" w:w="3312"/>
            <w:tcMar>
              <w:top w:w="40" w:type="dxa"/>
              <w:bottom w:w="40" w:type="dxa"/>
              <w:start w:w="80" w:type="dxa"/>
              <w:end w:w="80" w:type="dxa"/>
            </w:tcMar>
          </w:tcPr>
          <w:p>
            <w:pPr>
              <w:spacing w:after="0" w:line="240" w:lineRule="auto"/>
            </w:pPr>
            <w:r/>
            <w:r>
              <w:rPr>
                <w:sz w:val="19"/>
              </w:rPr>
              <w:t>Sunset shortened; buyout window shortened</w:t>
            </w:r>
          </w:p>
        </w:tc>
        <w:tc>
          <w:tcPr>
            <w:tcW w:type="dxa" w:w="2160"/>
            <w:tcMar>
              <w:top w:w="40" w:type="dxa"/>
              <w:bottom w:w="40" w:type="dxa"/>
              <w:start w:w="80" w:type="dxa"/>
              <w:end w:w="80" w:type="dxa"/>
            </w:tcMar>
          </w:tcPr>
          <w:p>
            <w:pPr>
              <w:spacing w:after="0" w:line="240" w:lineRule="auto"/>
            </w:pPr>
            <w:r/>
            <w:r>
              <w:rPr>
                <w:sz w:val="19"/>
              </w:rPr>
              <w:t>Counter</w:t>
            </w:r>
          </w:p>
        </w:tc>
      </w:tr>
      <w:tr>
        <w:tc>
          <w:tcPr>
            <w:tcW w:type="dxa" w:w="3888"/>
            <w:tcMar>
              <w:top w:w="40" w:type="dxa"/>
              <w:bottom w:w="40" w:type="dxa"/>
              <w:start w:w="80" w:type="dxa"/>
              <w:end w:w="80" w:type="dxa"/>
            </w:tcMar>
            <w:shd w:val="clear" w:color="auto" w:fill="EEF1F5"/>
          </w:tcPr>
          <w:p>
            <w:pPr>
              <w:spacing w:after="0" w:line="240" w:lineRule="auto"/>
            </w:pPr>
            <w:r/>
            <w:r>
              <w:rPr>
                <w:sz w:val="19"/>
              </w:rPr>
              <w:t>4. Preserve Practice Interest as separate property</w:t>
            </w:r>
          </w:p>
        </w:tc>
        <w:tc>
          <w:tcPr>
            <w:tcW w:type="dxa" w:w="3312"/>
            <w:tcMar>
              <w:top w:w="40" w:type="dxa"/>
              <w:bottom w:w="40" w:type="dxa"/>
              <w:start w:w="80" w:type="dxa"/>
              <w:end w:w="80" w:type="dxa"/>
            </w:tcMar>
            <w:shd w:val="clear" w:color="auto" w:fill="EEF1F5"/>
          </w:tcPr>
          <w:p>
            <w:pPr>
              <w:spacing w:after="0" w:line="240" w:lineRule="auto"/>
            </w:pPr>
            <w:r/>
            <w:r>
              <w:rPr>
                <w:sz w:val="19"/>
              </w:rPr>
              <w:t>Improved (active/passive split)</w:t>
            </w:r>
          </w:p>
        </w:tc>
        <w:tc>
          <w:tcPr>
            <w:tcW w:type="dxa" w:w="2160"/>
            <w:tcMar>
              <w:top w:w="40" w:type="dxa"/>
              <w:bottom w:w="40" w:type="dxa"/>
              <w:start w:w="80" w:type="dxa"/>
              <w:end w:w="80" w:type="dxa"/>
            </w:tcMar>
            <w:shd w:val="clear" w:color="auto" w:fill="EEF1F5"/>
          </w:tcPr>
          <w:p>
            <w:pPr>
              <w:spacing w:after="0" w:line="240" w:lineRule="auto"/>
            </w:pPr>
            <w:r/>
            <w:r>
              <w:rPr>
                <w:sz w:val="19"/>
              </w:rPr>
              <w:t>Accept / refine</w:t>
            </w:r>
          </w:p>
        </w:tc>
      </w:tr>
      <w:tr>
        <w:tc>
          <w:tcPr>
            <w:tcW w:type="dxa" w:w="3888"/>
            <w:tcMar>
              <w:top w:w="40" w:type="dxa"/>
              <w:bottom w:w="40" w:type="dxa"/>
              <w:start w:w="80" w:type="dxa"/>
              <w:end w:w="80" w:type="dxa"/>
            </w:tcMar>
          </w:tcPr>
          <w:p>
            <w:pPr>
              <w:spacing w:after="0" w:line="240" w:lineRule="auto"/>
            </w:pPr>
            <w:r/>
            <w:r>
              <w:rPr>
                <w:sz w:val="19"/>
              </w:rPr>
              <w:t>5. Long-term enforceability; fees, venue, mutual modification</w:t>
            </w:r>
          </w:p>
        </w:tc>
        <w:tc>
          <w:tcPr>
            <w:tcW w:type="dxa" w:w="3312"/>
            <w:tcMar>
              <w:top w:w="40" w:type="dxa"/>
              <w:bottom w:w="40" w:type="dxa"/>
              <w:start w:w="80" w:type="dxa"/>
              <w:end w:w="80" w:type="dxa"/>
            </w:tcMar>
          </w:tcPr>
          <w:p>
            <w:pPr>
              <w:spacing w:after="0" w:line="240" w:lineRule="auto"/>
            </w:pPr>
            <w:r/>
            <w:r>
              <w:rPr>
                <w:sz w:val="19"/>
              </w:rPr>
              <w:t>Fees waived; venue moved; unilateral mod added</w:t>
            </w:r>
          </w:p>
        </w:tc>
        <w:tc>
          <w:tcPr>
            <w:tcW w:type="dxa" w:w="2160"/>
            <w:tcMar>
              <w:top w:w="40" w:type="dxa"/>
              <w:bottom w:w="40" w:type="dxa"/>
              <w:start w:w="80" w:type="dxa"/>
              <w:end w:w="80" w:type="dxa"/>
            </w:tcMar>
          </w:tcPr>
          <w:p>
            <w:pPr>
              <w:spacing w:after="0" w:line="240" w:lineRule="auto"/>
            </w:pPr>
            <w:r/>
            <w:r>
              <w:rPr>
                <w:sz w:val="19"/>
              </w:rPr>
              <w:t>Reject / counter</w:t>
            </w:r>
          </w:p>
        </w:tc>
      </w:tr>
    </w:tbl>
    <w:p>
      <w:pPr>
        <w:keepNext/>
        <w:spacing w:before="280" w:after="80"/>
        <w:pBdr>
          <w:bottom w:val="single" w:sz="6" w:space="2" w:color="1F3355"/>
        </w:pBdr>
      </w:pPr>
      <w:r>
        <w:rPr>
          <w:b/>
          <w:color w:val="1F3355"/>
          <w:sz w:val="25"/>
        </w:rPr>
        <w:t>II.  OVERVIEW OF THE REDLINE AND THE TRANSMITTAL EMAIL</w:t>
      </w:r>
    </w:p>
    <w:p>
      <w:pPr>
        <w:keepNext/>
        <w:spacing w:before="200" w:after="60"/>
      </w:pPr>
      <w:r>
        <w:rPr>
          <w:b/>
          <w:color w:val="1F3355"/>
          <w:sz w:val="23"/>
        </w:rPr>
        <w:t>A. Structural reorganization (substantively benign)</w:t>
      </w:r>
    </w:p>
    <w:p>
      <w:pPr>
        <w:spacing w:before="0" w:after="120" w:lineRule="auto" w:line="259"/>
      </w:pPr>
      <w:r>
        <w:rPr>
          <w:b w:val="0"/>
          <w:i w:val="0"/>
          <w:sz w:val="22"/>
        </w:rPr>
        <w:t>The Redline reorganizes the document substantially: the lettered recitals (A–L) are folded into a new Article I (Sections 1.1–1.6); articles are renumbered with Roman numerals; definitions are consolidated in Article II; and representations and warranties are gathered in Article III. These are organizational changes and are, for the most part, acceptable. They do, however, make side-by-side comparison harder and tend to obscure the substantive edits embedded within the reorganized text. We should insist on a clean redline against our Original Draft (rather than a reformatted document) so that no change is lost in the reshuffling.</w:t>
      </w:r>
    </w:p>
    <w:p>
      <w:pPr>
        <w:keepNext/>
        <w:spacing w:before="200" w:after="60"/>
      </w:pPr>
      <w:r>
        <w:rPr>
          <w:b/>
          <w:color w:val="1F3355"/>
          <w:sz w:val="23"/>
        </w:rPr>
        <w:t>B. The transmittal email materially understates the scope of the changes</w:t>
      </w:r>
    </w:p>
    <w:p>
      <w:pPr>
        <w:spacing w:before="0" w:after="120" w:lineRule="auto" w:line="259"/>
      </w:pPr>
      <w:r>
        <w:rPr>
          <w:b w:val="0"/>
          <w:i w:val="0"/>
          <w:sz w:val="22"/>
        </w:rPr>
        <w:t>Mr. Baxter’s cover email flags four categories of edits: (i) a severability clause; (ii) notarization and witness lines; (iii) the “Constane”-to-“Constance” spelling correction; and (iv) a marital-commitment recital, plus the sunset-term and venue requests. The email is silent as to the following significant edits, each of which is adverse to Wife:</w:t>
      </w:r>
    </w:p>
    <w:p>
      <w:pPr>
        <w:pStyle w:val="ListBullet"/>
        <w:spacing w:after="60" w:line="252" w:lineRule="auto"/>
      </w:pPr>
      <w:r>
        <w:rPr>
          <w:sz w:val="22"/>
        </w:rPr>
        <w:t>deletion of the $1.2M premarital savings reimbursement right (Section 5.2);</w:t>
      </w:r>
    </w:p>
    <w:p>
      <w:pPr>
        <w:pStyle w:val="ListBullet"/>
        <w:spacing w:after="60" w:line="252" w:lineRule="auto"/>
      </w:pPr>
      <w:r>
        <w:rPr>
          <w:sz w:val="22"/>
        </w:rPr>
        <w:t>reversal of the commingling/transmutation rule to protect Husband’s Inheritance (Section 4.3);</w:t>
      </w:r>
    </w:p>
    <w:p>
      <w:pPr>
        <w:pStyle w:val="ListBullet"/>
        <w:spacing w:after="60" w:line="252" w:lineRule="auto"/>
      </w:pPr>
      <w:r>
        <w:rPr>
          <w:sz w:val="22"/>
        </w:rPr>
        <w:t>addition of a unilateral modification-by-notice mechanism (Section 14.2);</w:t>
      </w:r>
    </w:p>
    <w:p>
      <w:pPr>
        <w:pStyle w:val="ListBullet"/>
        <w:spacing w:after="60" w:line="252" w:lineRule="auto"/>
      </w:pPr>
      <w:r>
        <w:rPr>
          <w:sz w:val="22"/>
        </w:rPr>
        <w:t>tightening of the voidability standard from “material omission” to “clear and convincing evidence of intentional concealment over $100,000,” plus a two-year limitations period (Section 12.2);</w:t>
      </w:r>
    </w:p>
    <w:p>
      <w:pPr>
        <w:pStyle w:val="ListBullet"/>
        <w:spacing w:after="60" w:line="252" w:lineRule="auto"/>
      </w:pPr>
      <w:r>
        <w:rPr>
          <w:sz w:val="22"/>
        </w:rPr>
        <w:t>introduction of a narrow “Earned Income” definition that excludes bonuses, equity, and RSUs (Section 2.1(d));</w:t>
      </w:r>
    </w:p>
    <w:p>
      <w:pPr>
        <w:pStyle w:val="ListBullet"/>
        <w:spacing w:after="60" w:line="252" w:lineRule="auto"/>
      </w:pPr>
      <w:r>
        <w:rPr>
          <w:sz w:val="22"/>
        </w:rPr>
        <w:t>replacement of the flat 50/50 RSU division with a coverture fraction (Section 7.1);</w:t>
      </w:r>
    </w:p>
    <w:p>
      <w:pPr>
        <w:pStyle w:val="ListBullet"/>
        <w:spacing w:after="60" w:line="252" w:lineRule="auto"/>
      </w:pPr>
      <w:r>
        <w:rPr>
          <w:sz w:val="22"/>
        </w:rPr>
        <w:t>replacement of prevailing-party attorney’s fees with a mutual waiver (Section 13.2); and</w:t>
      </w:r>
    </w:p>
    <w:p>
      <w:pPr>
        <w:pStyle w:val="ListBullet"/>
        <w:spacing w:after="60" w:line="252" w:lineRule="auto"/>
      </w:pPr>
      <w:r>
        <w:rPr>
          <w:sz w:val="22"/>
        </w:rPr>
        <w:t>softening of “full” disclosure to “substantially” full/complete disclosure (Sections 1.5, 12.1) and deletion of the ongoing-disclosure and future-debt-disclosure duties.</w:t>
      </w:r>
    </w:p>
    <w:p>
      <w:pPr>
        <w:spacing w:before="40" w:after="120" w:lineRule="auto" w:line="259"/>
      </w:pPr>
      <w:r>
        <w:rPr>
          <w:b w:val="0"/>
          <w:i w:val="0"/>
          <w:sz w:val="22"/>
        </w:rPr>
        <w:t>The pattern — a cordial, minimizing cover note paired with a draft that quietly reopens the client’s core protections — is consistent with the client’s description of Mr. Baxter as a “tough negotiator” who may embed terms that “undermine her core objectives.” We should proceed on the basis of the document’s actual terms, not the email’s framing.</w:t>
      </w:r>
    </w:p>
    <w:p>
      <w:pPr>
        <w:keepNext/>
        <w:spacing w:before="200" w:after="60"/>
      </w:pPr>
      <w:r>
        <w:rPr>
          <w:b/>
          <w:color w:val="1F3355"/>
          <w:sz w:val="23"/>
        </w:rPr>
        <w:t>C. Categorization of the changes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1F3355"/>
            <w:tcMar>
              <w:top w:w="40" w:type="dxa"/>
              <w:bottom w:w="40" w:type="dxa"/>
              <w:start w:w="80" w:type="dxa"/>
              <w:end w:w="80" w:type="dxa"/>
            </w:tcMar>
          </w:tcPr>
          <w:p>
            <w:pPr>
              <w:spacing w:after="0"/>
            </w:pPr>
            <w:r/>
            <w:r>
              <w:rPr>
                <w:b/>
                <w:color w:val="FFFFFF"/>
                <w:sz w:val="19"/>
              </w:rPr>
              <w:t>Category</w:t>
            </w:r>
          </w:p>
        </w:tc>
        <w:tc>
          <w:tcPr>
            <w:tcW w:type="dxa" w:w="6336"/>
            <w:shd w:val="clear" w:color="auto" w:fill="1F3355"/>
            <w:tcMar>
              <w:top w:w="40" w:type="dxa"/>
              <w:bottom w:w="40" w:type="dxa"/>
              <w:start w:w="80" w:type="dxa"/>
              <w:end w:w="80" w:type="dxa"/>
            </w:tcMar>
          </w:tcPr>
          <w:p>
            <w:pPr>
              <w:spacing w:after="0"/>
            </w:pPr>
            <w:r/>
            <w:r>
              <w:rPr>
                <w:b/>
                <w:color w:val="FFFFFF"/>
                <w:sz w:val="19"/>
              </w:rPr>
              <w:t>Representative changes</w:t>
            </w:r>
          </w:p>
        </w:tc>
      </w:tr>
      <w:tr>
        <w:tc>
          <w:tcPr>
            <w:tcW w:type="dxa" w:w="3024"/>
            <w:tcMar>
              <w:top w:w="40" w:type="dxa"/>
              <w:bottom w:w="40" w:type="dxa"/>
              <w:start w:w="80" w:type="dxa"/>
              <w:end w:w="80" w:type="dxa"/>
            </w:tcMar>
          </w:tcPr>
          <w:p>
            <w:pPr>
              <w:spacing w:after="0" w:line="240" w:lineRule="auto"/>
            </w:pPr>
            <w:r/>
            <w:r>
              <w:rPr>
                <w:b/>
                <w:sz w:val="19"/>
              </w:rPr>
              <w:t>Benign / positive — accept</w:t>
            </w:r>
            <w:r>
              <w:rPr>
                <w:sz w:val="19"/>
              </w:rPr>
              <w:t xml:space="preserve">  </w:t>
            </w:r>
          </w:p>
        </w:tc>
        <w:tc>
          <w:tcPr>
            <w:tcW w:type="dxa" w:w="6336"/>
            <w:tcMar>
              <w:top w:w="40" w:type="dxa"/>
              <w:bottom w:w="40" w:type="dxa"/>
              <w:start w:w="80" w:type="dxa"/>
              <w:end w:w="80" w:type="dxa"/>
            </w:tcMar>
          </w:tcPr>
          <w:p>
            <w:pPr>
              <w:spacing w:after="0" w:line="240" w:lineRule="auto"/>
            </w:pPr>
            <w:r/>
            <w:r>
              <w:rPr>
                <w:sz w:val="19"/>
              </w:rPr>
              <w:t>Severability; notarization &amp; witness blocks; strengthened counsel-acknowledgment blocks; 60-day review-period representation; spelling correction (“Constance”); non-operative marital-commitment recital; RSU tax treatment on a net after-tax basis.</w:t>
            </w:r>
          </w:p>
        </w:tc>
      </w:tr>
      <w:tr>
        <w:tc>
          <w:tcPr>
            <w:tcW w:type="dxa" w:w="3024"/>
            <w:tcMar>
              <w:top w:w="40" w:type="dxa"/>
              <w:bottom w:w="40" w:type="dxa"/>
              <w:start w:w="80" w:type="dxa"/>
              <w:end w:w="80" w:type="dxa"/>
            </w:tcMar>
            <w:shd w:val="clear" w:color="auto" w:fill="EEF1F5"/>
          </w:tcPr>
          <w:p>
            <w:pPr>
              <w:spacing w:after="0" w:line="240" w:lineRule="auto"/>
            </w:pPr>
            <w:r/>
            <w:r>
              <w:rPr>
                <w:b/>
                <w:sz w:val="19"/>
              </w:rPr>
              <w:t>Favorable to Wife — preserve</w:t>
            </w:r>
            <w:r>
              <w:rPr>
                <w:sz w:val="19"/>
              </w:rPr>
              <w:t xml:space="preserve">  </w:t>
            </w:r>
          </w:p>
        </w:tc>
        <w:tc>
          <w:tcPr>
            <w:tcW w:type="dxa" w:w="6336"/>
            <w:tcMar>
              <w:top w:w="40" w:type="dxa"/>
              <w:bottom w:w="40" w:type="dxa"/>
              <w:start w:w="80" w:type="dxa"/>
              <w:end w:w="80" w:type="dxa"/>
            </w:tcMar>
            <w:shd w:val="clear" w:color="auto" w:fill="EEF1F5"/>
          </w:tcPr>
          <w:p>
            <w:pPr>
              <w:spacing w:after="0" w:line="240" w:lineRule="auto"/>
            </w:pPr>
            <w:r/>
            <w:r>
              <w:rPr>
                <w:sz w:val="19"/>
              </w:rPr>
              <w:t>Active/passive appreciation framework for the Practice Interest (Section 6.1); maintenance automatic waiver at $200K income (Section 10.3); maintenance duration cap reduced to three years (Section 10.2); Earned-Income base for the maintenance calculation (Section 10.4).</w:t>
            </w:r>
          </w:p>
        </w:tc>
      </w:tr>
      <w:tr>
        <w:tc>
          <w:tcPr>
            <w:tcW w:type="dxa" w:w="3024"/>
            <w:tcMar>
              <w:top w:w="40" w:type="dxa"/>
              <w:bottom w:w="40" w:type="dxa"/>
              <w:start w:w="80" w:type="dxa"/>
              <w:end w:w="80" w:type="dxa"/>
            </w:tcMar>
          </w:tcPr>
          <w:p>
            <w:pPr>
              <w:spacing w:after="0" w:line="240" w:lineRule="auto"/>
            </w:pPr>
            <w:r/>
            <w:r>
              <w:rPr>
                <w:b/>
                <w:sz w:val="19"/>
              </w:rPr>
              <w:t>Adverse to Wife — reject or counter</w:t>
            </w:r>
            <w:r>
              <w:rPr>
                <w:sz w:val="19"/>
              </w:rPr>
              <w:t xml:space="preserve">  </w:t>
            </w:r>
          </w:p>
        </w:tc>
        <w:tc>
          <w:tcPr>
            <w:tcW w:type="dxa" w:w="6336"/>
            <w:tcMar>
              <w:top w:w="40" w:type="dxa"/>
              <w:bottom w:w="40" w:type="dxa"/>
              <w:start w:w="80" w:type="dxa"/>
              <w:end w:w="80" w:type="dxa"/>
            </w:tcMar>
          </w:tcPr>
          <w:p>
            <w:pPr>
              <w:spacing w:after="0" w:line="240" w:lineRule="auto"/>
            </w:pPr>
            <w:r/>
            <w:r>
              <w:rPr>
                <w:sz w:val="19"/>
              </w:rPr>
              <w:t>Deletion of the $1.2M reimbursement (Section 5.2); commingling reversal (Section 4.3); unilateral modification (Section 14.2); voidability tightening and disclosure weakening (Sections 12.2, 1.5, 12.1); Earned Income definition (Section 2.1(d)); coverture fraction on RSUs (Section 7.1); fee waiver (Section 13.2); venue to DuPage (Section 15.2); sunset to seven years (Section 15.5); buyout window shortened to 18 months (Section 9.2); $5,000 de minimis on the debt indemnity (Section 11.2).</w:t>
            </w:r>
          </w:p>
        </w:tc>
      </w:tr>
    </w:tbl>
    <w:p>
      <w:pPr>
        <w:keepNext/>
        <w:spacing w:before="280" w:after="80"/>
        <w:pBdr>
          <w:bottom w:val="single" w:sz="6" w:space="2" w:color="1F3355"/>
        </w:pBdr>
      </w:pPr>
      <w:r>
        <w:rPr>
          <w:b/>
          <w:color w:val="1F3355"/>
          <w:sz w:val="25"/>
        </w:rPr>
        <w:t>III.  CRITICAL ISSUES — MUST BE RESOLVED BEFORE EXECUTION</w:t>
      </w:r>
    </w:p>
    <w:p>
      <w:pPr>
        <w:spacing w:before="0" w:after="120" w:lineRule="auto" w:line="259"/>
      </w:pPr>
      <w:r>
        <w:rPr>
          <w:b w:val="0"/>
          <w:i w:val="0"/>
          <w:sz w:val="22"/>
        </w:rPr>
        <w:t>The following six items are, in our judgment, non-negotiable from the client’s perspective. Each is analyzed below in terms of the change, its effect, the governing legal consideration, and the recommended response.</w:t>
      </w:r>
    </w:p>
    <w:p>
      <w:pPr>
        <w:keepNext/>
        <w:spacing w:before="200" w:after="60"/>
      </w:pPr>
      <w:r>
        <w:rPr>
          <w:b/>
          <w:color w:val="1F3355"/>
          <w:sz w:val="23"/>
        </w:rPr>
        <w:t>A. Deletion of Wife’s $1.2M Premarital Savings Reimbursement Right (Section 5.2)</w:t>
      </w:r>
    </w:p>
    <w:p>
      <w:pPr>
        <w:keepNext/>
        <w:spacing w:before="160" w:after="40"/>
      </w:pPr>
      <w:r>
        <w:rPr>
          <w:b/>
          <w:i/>
          <w:color w:val="8B1A1A"/>
          <w:sz w:val="22"/>
        </w:rPr>
        <w:t>The change</w:t>
      </w:r>
    </w:p>
    <w:p>
      <w:pPr>
        <w:spacing w:before="0" w:after="120" w:lineRule="auto" w:line="259"/>
      </w:pPr>
      <w:r>
        <w:rPr>
          <w:b w:val="0"/>
          <w:i w:val="0"/>
          <w:sz w:val="22"/>
        </w:rPr>
        <w:t>Original Draft Section 5.2 granted Wife a first-priority reimbursement claim of $1,200,000 against the Joint Investment Account (or, if insufficient, against Wife’s share of the marital estate), to be satisfied before any equal division; the remaining appreciation (approximately $670,000) would then be split 50/50. The Redline deletes the section entirely (comment TC-22; margin comment MC-05: “Section deleted — duplicative of Section 5.1 general property division provisions”).</w:t>
      </w:r>
    </w:p>
    <w:p>
      <w:pPr>
        <w:keepNext/>
        <w:spacing w:before="160" w:after="40"/>
      </w:pPr>
      <w:r>
        <w:rPr>
          <w:b/>
          <w:i/>
          <w:color w:val="8B1A1A"/>
          <w:sz w:val="22"/>
        </w:rPr>
        <w:t>The effect</w:t>
      </w:r>
    </w:p>
    <w:p>
      <w:pPr>
        <w:spacing w:before="0" w:after="120" w:lineRule="auto" w:line="259"/>
      </w:pPr>
      <w:r>
        <w:rPr>
          <w:b w:val="0"/>
          <w:i w:val="0"/>
          <w:sz w:val="22"/>
        </w:rPr>
        <w:t>The “duplicative” justification is incorrect. A general 50/50 division of the $1,870,000 account does not replicate a first-priority reimbursement. The economic consequences are:</w:t>
      </w:r>
    </w:p>
    <w:p>
      <w:pPr>
        <w:pStyle w:val="ListBullet"/>
        <w:spacing w:after="60" w:line="252" w:lineRule="auto"/>
      </w:pPr>
      <w:r>
        <w:rPr>
          <w:sz w:val="22"/>
        </w:rPr>
        <w:t>Under the Original Draft: Wife recovers $1,200,000 first, plus 50% of the remaining $670,000 appreciation ($335,000) = $1,535,000; Husband receives $335,000.</w:t>
      </w:r>
    </w:p>
    <w:p>
      <w:pPr>
        <w:pStyle w:val="ListBullet"/>
        <w:spacing w:after="60" w:line="252" w:lineRule="auto"/>
      </w:pPr>
      <w:r>
        <w:rPr>
          <w:sz w:val="22"/>
        </w:rPr>
        <w:t>Under the Redline: the entire $1,870,000 is split 50/50 = $935,000 each.</w:t>
      </w:r>
    </w:p>
    <w:p>
      <w:pPr>
        <w:pStyle w:val="ListBullet"/>
        <w:spacing w:after="60" w:line="252" w:lineRule="auto"/>
      </w:pPr>
      <w:r>
        <w:rPr>
          <w:sz w:val="22"/>
        </w:rPr>
        <w:t>Net transfer: Wife loses approximately $600,000; Husband gains approximately $600,000. The reimbursement was also a first-priority, traceable claim — far more secure than an equalizing claim in a contested dissolution.</w:t>
      </w:r>
    </w:p>
    <w:p>
      <w:pPr>
        <w:spacing w:before="40" w:after="120" w:lineRule="auto" w:line="259"/>
      </w:pPr>
      <w:r>
        <w:rPr>
          <w:b w:val="0"/>
          <w:i w:val="0"/>
          <w:sz w:val="22"/>
        </w:rPr>
        <w:t>This is the client’s stated #1 objective, described in the intake memorandum as “non-negotiable” and “the whole reason” she is pursuing the Agreement. The tracing is well-documented: the Linden &amp; Fosse schedules (Line W-5; Joint Line J-2) confirm a $1,200,000 premarital deposit from Wife’s individual Northbridge account (ending 0184, closed 2014) into the joint account, verified by wire-transfer records and statements.</w:t>
      </w:r>
    </w:p>
    <w:p>
      <w:pPr>
        <w:keepNext/>
        <w:spacing w:before="160" w:after="40"/>
      </w:pPr>
      <w:r>
        <w:rPr>
          <w:b/>
          <w:i/>
          <w:color w:val="1F3355"/>
          <w:sz w:val="22"/>
        </w:rPr>
        <w:t>Legal consideration</w:t>
      </w:r>
    </w:p>
    <w:p>
      <w:pPr>
        <w:spacing w:before="0" w:after="120" w:lineRule="auto" w:line="259"/>
      </w:pPr>
      <w:r>
        <w:rPr>
          <w:b w:val="0"/>
          <w:i w:val="0"/>
          <w:sz w:val="22"/>
        </w:rPr>
        <w:t>A contractual first-dollar reimbursement right based on a traceable premarital contribution is enforceable under Illinois law and is stronger than an in-court equitable tracing argument under 750 ILCS 5/503(c), because commingling in a joint account creates inherent tracing risk. Deleting the contractual right leaves Wife to litigate tracing at dissolution — the precise outcome the client sought to avoid.</w:t>
      </w:r>
    </w:p>
    <w:p>
      <w:pPr>
        <w:keepNext/>
        <w:spacing w:before="160" w:after="40"/>
      </w:pPr>
      <w:r>
        <w:rPr>
          <w:b/>
          <w:i/>
          <w:color w:val="1F5C2E"/>
          <w:sz w:val="22"/>
        </w:rPr>
        <w:t>Recommended response</w:t>
      </w:r>
    </w:p>
    <w:p>
      <w:pPr>
        <w:spacing w:before="0" w:after="120" w:lineRule="auto" w:line="259"/>
      </w:pPr>
      <w:r>
        <w:rPr>
          <w:b w:val="0"/>
          <w:i w:val="0"/>
          <w:sz w:val="22"/>
        </w:rPr>
        <w:t>Reject the deletion. Restore Section 5.2 substantially as drafted in the Original Draft, with the account identifier corrected to the verified Northbridge account ending 3291 (see Section V). If Mr. Baxter resists, frame the reimbursement as the quid pro quo for Wife’s acceptance of the active/passive Practice appreciation framework and the maintenance waiver (both of which benefit Husband’s negotiating position by giving Wife separate-property/maintenance concessions). This is not a term on which we should compromise.</w:t>
      </w:r>
    </w:p>
    <w:p>
      <w:pPr>
        <w:keepNext/>
        <w:spacing w:before="200" w:after="60"/>
      </w:pPr>
      <w:r>
        <w:rPr>
          <w:b/>
          <w:color w:val="1F3355"/>
          <w:sz w:val="23"/>
        </w:rPr>
        <w:t>B. Reversal of the Commingling / Transmutation Rule (Section 4.3)</w:t>
      </w:r>
    </w:p>
    <w:p>
      <w:pPr>
        <w:keepNext/>
        <w:spacing w:before="160" w:after="40"/>
      </w:pPr>
      <w:r>
        <w:rPr>
          <w:b/>
          <w:i/>
          <w:color w:val="8B1A1A"/>
          <w:sz w:val="22"/>
        </w:rPr>
        <w:t>The change</w:t>
      </w:r>
    </w:p>
    <w:p>
      <w:pPr>
        <w:spacing w:before="0" w:after="120" w:lineRule="auto" w:line="259"/>
      </w:pPr>
      <w:r>
        <w:rPr>
          <w:b w:val="0"/>
          <w:i w:val="0"/>
          <w:sz w:val="22"/>
        </w:rPr>
        <w:t>Original Draft Section 4.3(b) provided that Separate Property used for the joint benefit of the marital household (mortgage payments, home improvements, family expenses, tuition, vacations) is “deemed a gift to the marriage and treated as Marital Property,” with a rebuttable presumption of transmutation and no requirement to prove donative intent. The Redline (Section 4.3(c), comment TC-19; MC-04) reverses this: such use is “not deemed commingled solely by reason of such use,” the property “retain[s] its classification as Separate Property,” and the contributing spouse retains only a “claim for reimbursement.”</w:t>
      </w:r>
    </w:p>
    <w:p>
      <w:pPr>
        <w:keepNext/>
        <w:spacing w:before="160" w:after="40"/>
      </w:pPr>
      <w:r>
        <w:rPr>
          <w:b/>
          <w:i/>
          <w:color w:val="8B1A1A"/>
          <w:sz w:val="22"/>
        </w:rPr>
        <w:t>The effect</w:t>
      </w:r>
    </w:p>
    <w:p>
      <w:pPr>
        <w:spacing w:before="0" w:after="120" w:lineRule="auto" w:line="259"/>
      </w:pPr>
      <w:r>
        <w:rPr>
          <w:b w:val="0"/>
          <w:i w:val="0"/>
          <w:sz w:val="22"/>
        </w:rPr>
        <w:t>This is a 180-degree reversal that primarily protects Husband’s $3,800,000 Inheritance. Under the Original Draft, if Husband deploys Inheritance funds for the mortgage, home improvements, or family expenses, those funds transmute into marital property (subject to a tracing/reimbursement nuance). Under the Redline, the funds remain Husband’s separate property and he gets a reimbursement claim against the marital estate — meaning he keeps the appreciation and the character of the asset, and is made whole for the expenditure. The client specifically flagged this concern in the intake memorandum: she “is concerned about how the funds might be deployed during the marriage and the implications for property classification.”</w:t>
      </w:r>
    </w:p>
    <w:p>
      <w:pPr>
        <w:spacing w:before="40" w:after="120" w:lineRule="auto" w:line="259"/>
      </w:pPr>
      <w:r>
        <w:rPr>
          <w:b w:val="0"/>
          <w:i w:val="0"/>
          <w:sz w:val="22"/>
        </w:rPr>
        <w:t>The risk is amplified by a factual point developed in Section V: the Inheritance brokerage account is, per the Linden &amp; Fosse schedules, held at Northbridge Wealth Advisors (account ending 8837) — the same custodian as the commingled Joint Investment Account. Co-located separate and joint assets heighten real-world commingling risk, which makes the transmutation rule more, not less, important to Wife. Husband’s counsel has simultaneously weakened the transmutation rule and left the Inheritance at the same custodian as the joint account.</w:t>
      </w:r>
    </w:p>
    <w:p>
      <w:pPr>
        <w:keepNext/>
        <w:spacing w:before="160" w:after="40"/>
      </w:pPr>
      <w:r>
        <w:rPr>
          <w:b/>
          <w:i/>
          <w:color w:val="1F3355"/>
          <w:sz w:val="22"/>
        </w:rPr>
        <w:t>Legal consideration</w:t>
      </w:r>
    </w:p>
    <w:p>
      <w:pPr>
        <w:spacing w:before="0" w:after="120" w:lineRule="auto" w:line="259"/>
      </w:pPr>
      <w:r>
        <w:rPr>
          <w:b w:val="0"/>
          <w:i w:val="0"/>
          <w:sz w:val="22"/>
        </w:rPr>
        <w:t>Illinois law (750 ILCS 5/503(c)(2)) treats property acquired in exchange for separate property as separate, but commingling and use for joint benefit can support reclassification; the case law on transmutation by gift is fact-specific. The Original Draft’s rebuttable-presumption approach is a reasonable contractual allocation that favors the non-separate-property spouse. The Redline’s approach favors the separate-property spouse. Both are permissible as contractual terms; the question is which allocation the client should accept. Given the client’s objectives and the Inheritance’s size, the Original Draft’s approach is preferable.</w:t>
      </w:r>
    </w:p>
    <w:p>
      <w:pPr>
        <w:keepNext/>
        <w:spacing w:before="160" w:after="40"/>
      </w:pPr>
      <w:r>
        <w:rPr>
          <w:b/>
          <w:i/>
          <w:color w:val="1F5C2E"/>
          <w:sz w:val="22"/>
        </w:rPr>
        <w:t>Recommended response</w:t>
      </w:r>
    </w:p>
    <w:p>
      <w:pPr>
        <w:spacing w:before="0" w:after="120" w:lineRule="auto" w:line="259"/>
      </w:pPr>
      <w:r>
        <w:rPr>
          <w:b w:val="0"/>
          <w:i w:val="0"/>
          <w:sz w:val="22"/>
        </w:rPr>
        <w:t>Reject the reversal. Restore the Original Draft’s transmutation-for-gift rule (Section 4.3(b)) as the default, applying to both parties’ separate property. If Mr. Baxter seeks protection for specific, documented separate-property expenditures, we can negotiate a narrow, itemized reimbursement carve-out for capital improvements that increase the marital residence’s equity (with the increase in equity offsetting the reimbursement) — but not a blanket rule that ordinary household use of separate property preserves its separate character.</w:t>
      </w:r>
    </w:p>
    <w:p>
      <w:pPr>
        <w:keepNext/>
        <w:spacing w:before="200" w:after="60"/>
      </w:pPr>
      <w:r>
        <w:rPr>
          <w:b/>
          <w:color w:val="1F3355"/>
          <w:sz w:val="23"/>
        </w:rPr>
        <w:t>C. Unilateral Modification by Notice (Section 14.2) — the most dangerous provision</w:t>
      </w:r>
    </w:p>
    <w:p>
      <w:pPr>
        <w:keepNext/>
        <w:spacing w:before="160" w:after="40"/>
      </w:pPr>
      <w:r>
        <w:rPr>
          <w:b/>
          <w:i/>
          <w:color w:val="8B1A1A"/>
          <w:sz w:val="22"/>
        </w:rPr>
        <w:t>The change</w:t>
      </w:r>
    </w:p>
    <w:p>
      <w:pPr>
        <w:spacing w:before="0" w:after="120" w:lineRule="auto" w:line="259"/>
      </w:pPr>
      <w:r>
        <w:rPr>
          <w:b w:val="0"/>
          <w:i w:val="0"/>
          <w:sz w:val="22"/>
        </w:rPr>
        <w:t>Original Draft Section 14.1 required any modification, amendment, or waiver to be in a written instrument signed by both Parties; oral or unilateral modifications were void. The Redline adds a new Section 14.2 (comment TC-46) under which either Party may propose a modification by written notice, and the modification “shall become effective ninety (90) days after delivery … unless the other Party delivers a written objection … within such ninety (90) day period.” Section 14.1 is rewritten to channel all modification through “this Article XIV,” thereby opening the unilateral back door.</w:t>
      </w:r>
    </w:p>
    <w:p>
      <w:pPr>
        <w:keepNext/>
        <w:spacing w:before="160" w:after="40"/>
      </w:pPr>
      <w:r>
        <w:rPr>
          <w:b/>
          <w:i/>
          <w:color w:val="8B1A1A"/>
          <w:sz w:val="22"/>
        </w:rPr>
        <w:t>The effect</w:t>
      </w:r>
    </w:p>
    <w:p>
      <w:pPr>
        <w:spacing w:before="0" w:after="120" w:lineRule="auto" w:line="259"/>
      </w:pPr>
      <w:r>
        <w:rPr>
          <w:b w:val="0"/>
          <w:i w:val="0"/>
          <w:sz w:val="22"/>
        </w:rPr>
        <w:t>This allows one spouse to alter the Agreement’s terms by default if the other fails to object in writing within 90 days. In practical terms, it converts the Agreement from a bilateral contract into a set of terms either party can unilaterally shift (e.g., reclassifying property, adjusting the maintenance framework, or amending the reimbursement right) unless the other spouse stays vigilant and objects in time. It directly contradicts the client’s Objective 5(f) — a mutual-written-consent requirement — and undermines the certainty that is the entire purpose of the Agreement. It is also the kind of “hidden, embedded term” the client asked us to scrutinize for.</w:t>
      </w:r>
    </w:p>
    <w:p>
      <w:pPr>
        <w:keepNext/>
        <w:spacing w:before="160" w:after="40"/>
      </w:pPr>
      <w:r>
        <w:rPr>
          <w:b/>
          <w:i/>
          <w:color w:val="1F3355"/>
          <w:sz w:val="22"/>
        </w:rPr>
        <w:t>Legal consideration</w:t>
      </w:r>
    </w:p>
    <w:p>
      <w:pPr>
        <w:spacing w:before="0" w:after="120" w:lineRule="auto" w:line="259"/>
      </w:pPr>
      <w:r>
        <w:rPr>
          <w:b w:val="0"/>
          <w:i w:val="0"/>
          <w:sz w:val="22"/>
        </w:rPr>
        <w:t>A unilateral modification mechanism in a postnuptial agreement is highly suspect under 750 ILCS 5/502, which (together with general contract principles and the fiduciary duty between spouses) contemplates that marital agreements and their modifications be the product of mutual, informed consent. A default-on-notice provision is likely unenforceable and, at minimum, invites litigation. Its inclusion is a serious red flag regardless of enforceability.</w:t>
      </w:r>
    </w:p>
    <w:p>
      <w:pPr>
        <w:keepNext/>
        <w:spacing w:before="160" w:after="40"/>
      </w:pPr>
      <w:r>
        <w:rPr>
          <w:b/>
          <w:i/>
          <w:color w:val="1F5C2E"/>
          <w:sz w:val="22"/>
        </w:rPr>
        <w:t>Recommended response</w:t>
      </w:r>
    </w:p>
    <w:p>
      <w:pPr>
        <w:spacing w:before="0" w:after="120" w:lineRule="auto" w:line="259"/>
      </w:pPr>
      <w:r>
        <w:rPr>
          <w:b w:val="0"/>
          <w:i w:val="0"/>
          <w:sz w:val="22"/>
        </w:rPr>
        <w:t>Reject Section 14.2 in its entirety. Restore the Original Draft’s mutual-written-consent rule (both Parties’ signatures, same formality as the Agreement). This should be a hard line; we should not negotiate a “watered-down” version of unilateral modification.</w:t>
      </w:r>
    </w:p>
    <w:p>
      <w:pPr>
        <w:keepNext/>
        <w:spacing w:before="200" w:after="60"/>
      </w:pPr>
      <w:r>
        <w:rPr>
          <w:b/>
          <w:color w:val="1F3355"/>
          <w:sz w:val="23"/>
        </w:rPr>
        <w:t>D. Voidability Tightened; Disclosure Weakened (Sections 12.2, 1.5, 12.1; deletion of ongoing duties)</w:t>
      </w:r>
    </w:p>
    <w:p>
      <w:pPr>
        <w:keepNext/>
        <w:spacing w:before="160" w:after="40"/>
      </w:pPr>
      <w:r>
        <w:rPr>
          <w:b/>
          <w:i/>
          <w:color w:val="8B1A1A"/>
          <w:sz w:val="22"/>
        </w:rPr>
        <w:t>The change</w:t>
      </w:r>
    </w:p>
    <w:p>
      <w:pPr>
        <w:spacing w:before="0" w:after="120" w:lineRule="auto" w:line="259"/>
      </w:pPr>
      <w:r>
        <w:rPr>
          <w:b w:val="0"/>
          <w:i w:val="0"/>
          <w:sz w:val="22"/>
        </w:rPr>
        <w:t>Four related edits, working in the same direction:</w:t>
      </w:r>
    </w:p>
    <w:p>
      <w:pPr>
        <w:pStyle w:val="ListBullet"/>
        <w:spacing w:after="60" w:line="252" w:lineRule="auto"/>
      </w:pPr>
      <w:r>
        <w:rPr>
          <w:sz w:val="22"/>
        </w:rPr>
        <w:t>Voidability standard. Original Section 3.3 made the Agreement voidable on a “material omission or misrepresentation,” with no heightened evidentiary standard and no dollar threshold. Redline Section 12.2 (comment TC-42) requires “clear and convincing evidence” of “intentional concealment” of assets/income/liabilities “with an aggregate value exceeding One Hundred Thousand Dollars ($100,000),” excludes “inadvertent errors or omissions,” and adds a two-year limitations period from discovery.</w:t>
      </w:r>
    </w:p>
    <w:p>
      <w:pPr>
        <w:pStyle w:val="ListBullet"/>
        <w:spacing w:after="60" w:line="252" w:lineRule="auto"/>
      </w:pPr>
      <w:r>
        <w:rPr>
          <w:sz w:val="22"/>
        </w:rPr>
        <w:t>Disclosure representation softened. “Full … financial disclosure” (Original) becomes “substantially full financial disclosure” (Redline Section 1.5, comment TC-06) and “substantially complete statement” (Section 12.1, comment TC-41).</w:t>
      </w:r>
    </w:p>
    <w:p>
      <w:pPr>
        <w:pStyle w:val="ListBullet"/>
        <w:spacing w:after="60" w:line="252" w:lineRule="auto"/>
      </w:pPr>
      <w:r>
        <w:rPr>
          <w:sz w:val="22"/>
        </w:rPr>
        <w:t>Ongoing disclosure duty deleted. Original Section 3.4 imposed a continuing duty to disclose material financial changes (new assets, new debts, income/employment changes, gifts/inheritances over $10,000) within 30 days. The Redline contains no equivalent ongoing duty.</w:t>
      </w:r>
    </w:p>
    <w:p>
      <w:pPr>
        <w:pStyle w:val="ListBullet"/>
        <w:spacing w:after="60" w:line="252" w:lineRule="auto"/>
      </w:pPr>
      <w:r>
        <w:rPr>
          <w:sz w:val="22"/>
        </w:rPr>
        <w:t>Future-debt disclosure deleted. Original Section 11.3 required disclosure of any new debt over $5,000 within 15 days, with failure constituting a material breach. The Redline’s Article XI contains no equivalent.</w:t>
      </w:r>
    </w:p>
    <w:p>
      <w:pPr>
        <w:keepNext/>
        <w:spacing w:before="160" w:after="40"/>
      </w:pPr>
      <w:r>
        <w:rPr>
          <w:b/>
          <w:i/>
          <w:color w:val="8B1A1A"/>
          <w:sz w:val="22"/>
        </w:rPr>
        <w:t>The effect</w:t>
      </w:r>
    </w:p>
    <w:p>
      <w:pPr>
        <w:spacing w:before="0" w:after="120" w:lineRule="auto" w:line="259"/>
      </w:pPr>
      <w:r>
        <w:rPr>
          <w:b w:val="0"/>
          <w:i w:val="0"/>
          <w:sz w:val="22"/>
        </w:rPr>
        <w:t>These changes directly defeat the client’s Objective #2. The client was emphatic that the voidability threshold be low: “If Marcus is hiding a $10,000 account or a $50,000 account, I want to be able to void this agreement. I don’t want a provision that only kicks in if he hides a million dollars.” The Redline does exactly what the client said she did not want: it sets a $100,000 aggregate threshold, requires proof of intent, applies a clear-and-convincing standard, and bars claims for inadvertent omissions. The concern is not abstract — Husband concealed approximately $68,000 in credit-card debt for roughly eighteen months, and the client described a “pattern” of undisclosed purchases/accounts. Tightening the voidability remedy and removing ongoing transparency obligations insulates future non-disclosure.</w:t>
      </w:r>
    </w:p>
    <w:p>
      <w:pPr>
        <w:keepNext/>
        <w:spacing w:before="160" w:after="40"/>
      </w:pPr>
      <w:r>
        <w:rPr>
          <w:b/>
          <w:i/>
          <w:color w:val="1F3355"/>
          <w:sz w:val="22"/>
        </w:rPr>
        <w:t>Legal consideration</w:t>
      </w:r>
    </w:p>
    <w:p>
      <w:pPr>
        <w:spacing w:before="0" w:after="120" w:lineRule="auto" w:line="259"/>
      </w:pPr>
      <w:r>
        <w:rPr>
          <w:b w:val="0"/>
          <w:i w:val="0"/>
          <w:sz w:val="22"/>
        </w:rPr>
        <w:t>Full and fair financial disclosure is a prerequisite to enforceability of a postnuptial agreement under 750 ILCS 5/502. A contractual voidability remedy that is more protective than the statutory baseline is permissible and, given the documented concealment history, appropriate. Conversely, a contractual remedy that requires intentional concealment of over $100,000 by clear and convincing evidence is a high bar that the client specifically rejected. The “substantially” softening of the disclosure representation, while perhaps defensible as a materiality qualifier, compounds the problem when paired with the tightened remedy.</w:t>
      </w:r>
    </w:p>
    <w:p>
      <w:pPr>
        <w:keepNext/>
        <w:spacing w:before="160" w:after="40"/>
      </w:pPr>
      <w:r>
        <w:rPr>
          <w:b/>
          <w:i/>
          <w:color w:val="1F5C2E"/>
          <w:sz w:val="22"/>
        </w:rPr>
        <w:t>Recommended response</w:t>
      </w:r>
    </w:p>
    <w:p>
      <w:pPr>
        <w:spacing w:before="0" w:after="120" w:lineRule="auto" w:line="259"/>
      </w:pPr>
      <w:r>
        <w:rPr>
          <w:b w:val="0"/>
          <w:i w:val="0"/>
          <w:sz w:val="22"/>
        </w:rPr>
        <w:t>Reject the voidability tightening. Restore the “material omission or misrepresentation” standard with no dollar threshold and no heightened evidentiary standard (Original Section 3.3). Restore the ongoing disclosure duty (Original Section 3.4) and the future-debt disclosure duty (Original Section 11.3). On the disclosure representation, push back on “substantially” — or, if Mr. Baxter insists on a materiality qualifier, confine it to “true and correct in all material respects” (which is the standard already used in the Redline’s certification blocks) rather than “substantially full/complete.” Given Husband’s concealment history, this is a core protection and a strong position for us.</w:t>
      </w:r>
    </w:p>
    <w:p>
      <w:pPr>
        <w:keepNext/>
        <w:spacing w:before="200" w:after="60"/>
      </w:pPr>
      <w:r>
        <w:rPr>
          <w:b/>
          <w:color w:val="1F3355"/>
          <w:sz w:val="23"/>
        </w:rPr>
        <w:t>E. The “Earned Income” Definition — a Trojan Horse (Section 2.1(d))</w:t>
      </w:r>
    </w:p>
    <w:p>
      <w:pPr>
        <w:keepNext/>
        <w:spacing w:before="160" w:after="40"/>
      </w:pPr>
      <w:r>
        <w:rPr>
          <w:b/>
          <w:i/>
          <w:color w:val="8B1A1A"/>
          <w:sz w:val="22"/>
        </w:rPr>
        <w:t>The change</w:t>
      </w:r>
    </w:p>
    <w:p>
      <w:pPr>
        <w:spacing w:before="0" w:after="120" w:lineRule="auto" w:line="259"/>
      </w:pPr>
      <w:r>
        <w:rPr>
          <w:b w:val="0"/>
          <w:i w:val="0"/>
          <w:sz w:val="22"/>
        </w:rPr>
        <w:t>The Redline adds a new defined term, “Earned Income” (comment TC-10; MC-02: “New definition added for clarity in calculating contribution obligations. Standard usage.”). It is defined as base salary, regular wages, and standard employment compensation, plus “regular draws or guaranteed payments” from a practice or business — and expressly excludes “discretionary bonuses, commissions, equity compensation, performance incentives, restricted stock or restricted stock units, stock options, or other forms of variable or contingent compensation.” The Original Draft used “Gross Income,” which expressly included all of those categories.</w:t>
      </w:r>
    </w:p>
    <w:p>
      <w:pPr>
        <w:keepNext/>
        <w:spacing w:before="160" w:after="40"/>
      </w:pPr>
      <w:r>
        <w:rPr>
          <w:b/>
          <w:i/>
          <w:color w:val="8B1A1A"/>
          <w:sz w:val="22"/>
        </w:rPr>
        <w:t>The effect</w:t>
      </w:r>
    </w:p>
    <w:p>
      <w:pPr>
        <w:spacing w:before="0" w:after="120" w:lineRule="auto" w:line="259"/>
      </w:pPr>
      <w:r>
        <w:rPr>
          <w:b w:val="0"/>
          <w:i w:val="0"/>
          <w:sz w:val="22"/>
        </w:rPr>
        <w:t>Read together with the Redline’s redefined Marital Property (Section 2.1(b): “all property acquired by either party during the marriage from Earned Income or joint efforts”), the narrow Earned Income definition creates a real risk that Husband’s variable compensation — specifically his approximately $90,000 annual discretionary bonus — falls outside Marital Property. The bonus is not “Earned Income” (it is a discretionary bonus), and it is not clearly “joint efforts.” The client specifically stated she “wants to ensure [the bonus] is treated as income for all purposes in the agreement.” The RSUs are likely saved by Article VII (which expressly classifies them as marital), but the bonus is not separately classified anywhere in the Redline and is at risk of being recharacterized as non-marital.</w:t>
      </w:r>
    </w:p>
    <w:p>
      <w:pPr>
        <w:spacing w:before="40" w:after="120" w:lineRule="auto" w:line="259"/>
      </w:pPr>
      <w:r>
        <w:rPr>
          <w:b w:val="0"/>
          <w:i w:val="0"/>
          <w:sz w:val="22"/>
        </w:rPr>
        <w:t>The definition also drives the maintenance calculation (Section 10.4), narrowing the income base. That narrowing happens to reduce Wife’s maintenance exposure (favorable to her as payor), but the same definitional narrowing that helps her on maintenance can hurt her on property classification. We should not accept a definition that helps in one article while quietly undermining the client’s bonus objective in another.</w:t>
      </w:r>
    </w:p>
    <w:p>
      <w:pPr>
        <w:keepNext/>
        <w:spacing w:before="160" w:after="40"/>
      </w:pPr>
      <w:r>
        <w:rPr>
          <w:b/>
          <w:i/>
          <w:color w:val="1F3355"/>
          <w:sz w:val="22"/>
        </w:rPr>
        <w:t>Legal consideration</w:t>
      </w:r>
    </w:p>
    <w:p>
      <w:pPr>
        <w:spacing w:before="0" w:after="120" w:lineRule="auto" w:line="259"/>
      </w:pPr>
      <w:r>
        <w:rPr>
          <w:b w:val="0"/>
          <w:i w:val="0"/>
          <w:sz w:val="22"/>
        </w:rPr>
        <w:t>There is no Illinois requirement to bifurcate “Earned Income” from other compensation for marital-property purposes; under 750 ILCS 5/503, compensation earned during the marriage — including bonuses and equity — is marital. Contractually carving variable compensation out of the marital estate is a substantive reclassification, not a “clarification.”</w:t>
      </w:r>
    </w:p>
    <w:p>
      <w:pPr>
        <w:keepNext/>
        <w:spacing w:before="160" w:after="40"/>
      </w:pPr>
      <w:r>
        <w:rPr>
          <w:b/>
          <w:i/>
          <w:color w:val="1F5C2E"/>
          <w:sz w:val="22"/>
        </w:rPr>
        <w:t>Recommended response</w:t>
      </w:r>
    </w:p>
    <w:p>
      <w:pPr>
        <w:spacing w:before="0" w:after="120" w:lineRule="auto" w:line="259"/>
      </w:pPr>
      <w:r>
        <w:rPr>
          <w:b w:val="0"/>
          <w:i w:val="0"/>
          <w:sz w:val="22"/>
        </w:rPr>
        <w:t>Do not accept the Earned Income definition as a driver of property classification. Two options: (i) restore the Original Draft’s “Gross Income” definition (broad, expressly including bonuses, equity, and RSUs) and use it for both property classification and the maintenance calculation; or (ii) if a narrow income definition is desired for the maintenance calculation only, add an express savings clause providing that nothing in the Earned Income definition limits the classification of any form of compensation — including bonuses, commissions, equity compensation, and RSUs — as Marital Property under Articles V and VII, and add an express provision classifying Husband’s bonus as Marital Property. Option (i) is cleaner and tracks the client’s stated objective.</w:t>
      </w:r>
    </w:p>
    <w:p>
      <w:pPr>
        <w:keepNext/>
        <w:spacing w:before="200" w:after="60"/>
      </w:pPr>
      <w:r>
        <w:rPr>
          <w:b/>
          <w:color w:val="1F3355"/>
          <w:sz w:val="23"/>
        </w:rPr>
        <w:t>F. Coverture Fraction on RSUs (Section 7.1)</w:t>
      </w:r>
    </w:p>
    <w:p>
      <w:pPr>
        <w:keepNext/>
        <w:spacing w:before="160" w:after="40"/>
      </w:pPr>
      <w:r>
        <w:rPr>
          <w:b/>
          <w:i/>
          <w:color w:val="8B1A1A"/>
          <w:sz w:val="22"/>
        </w:rPr>
        <w:t>The change</w:t>
      </w:r>
    </w:p>
    <w:p>
      <w:pPr>
        <w:spacing w:before="0" w:after="120" w:lineRule="auto" w:line="259"/>
      </w:pPr>
      <w:r>
        <w:rPr>
          <w:b w:val="0"/>
          <w:i w:val="0"/>
          <w:sz w:val="22"/>
        </w:rPr>
        <w:t>Original Draft Section 7.2 treated the 12,000 RSUs as “entirely marital” and divided them 50/50 (each Party receiving the equivalent of 6,000 shares / $228,000 at current value), with unvested RSUs at dissolution divided 50/50 by transfer, constructive trust, or cash equivalent. The Redline (Section 7.1, comment TC-27; MC-07) replaces this with a coverture fraction: the numerator is the months of marriage from the commencement of the “Relevant Service Period” through dissolution or vesting (whichever is earlier); the denominator is the total months in the Relevant Service Period; Wife receives 50% of the resulting fraction. The “Relevant Service Period” is defined as beginning on Husband’s hire date (March 15, 2018) through the final vesting date.</w:t>
      </w:r>
    </w:p>
    <w:p>
      <w:pPr>
        <w:keepNext/>
        <w:spacing w:before="160" w:after="40"/>
      </w:pPr>
      <w:r>
        <w:rPr>
          <w:b/>
          <w:i/>
          <w:color w:val="8B1A1A"/>
          <w:sz w:val="22"/>
        </w:rPr>
        <w:t>The effect</w:t>
      </w:r>
    </w:p>
    <w:p>
      <w:pPr>
        <w:spacing w:before="0" w:after="120" w:lineRule="auto" w:line="259"/>
      </w:pPr>
      <w:r>
        <w:rPr>
          <w:b w:val="0"/>
          <w:i w:val="0"/>
          <w:sz w:val="22"/>
        </w:rPr>
        <w:t>Because the marriage (June 14, 2013) predates Husband’s hire date (March 15, 2018), the entire Relevant Service Period falls within the marriage, so for tranches that vest on or before a dissolution the coverture fraction is effectively 100% and Wife’s share is ~50% — the same as the Original Draft. The change bites only where dissolution occurs before a tranche vests: for post-dissolution-vesting tranches, the numerator (months married through dissolution) is less than the denominator (months through vesting), reducing Wife’s share below 50%. The Original Draft divided even unvested-at-dissolution tranches 50/50. The Redline therefore reduces Wife’s share in any dissolution-before-full-vesting scenario. It also introduces a non-standard “Relevant Service Period from hire date” definition and a basis for future dispute.</w:t>
      </w:r>
    </w:p>
    <w:p>
      <w:pPr>
        <w:keepNext/>
        <w:spacing w:before="160" w:after="40"/>
      </w:pPr>
      <w:r>
        <w:rPr>
          <w:b/>
          <w:i/>
          <w:color w:val="1F3355"/>
          <w:sz w:val="22"/>
        </w:rPr>
        <w:t>Legal consideration</w:t>
      </w:r>
    </w:p>
    <w:p>
      <w:pPr>
        <w:spacing w:before="0" w:after="120" w:lineRule="auto" w:line="259"/>
      </w:pPr>
      <w:r>
        <w:rPr>
          <w:b w:val="0"/>
          <w:i w:val="0"/>
          <w:sz w:val="22"/>
        </w:rPr>
        <w:t>Coverture fractions are a recognized Illinois methodology for equity compensation, but they are typically anchored to the grant/vesting period, not the entire tenure from hire. Because the marriage predates the hire, the fraction yields ~100% here, making the methodology largely academic — which raises the question why it was introduced. The practical effect is to create a wedge to reduce Wife’s share of later tranches if dissolution precedes vesting, and to inject complexity.</w:t>
      </w:r>
    </w:p>
    <w:p>
      <w:pPr>
        <w:keepNext/>
        <w:spacing w:before="160" w:after="40"/>
      </w:pPr>
      <w:r>
        <w:rPr>
          <w:b/>
          <w:i/>
          <w:color w:val="1F5C2E"/>
          <w:sz w:val="22"/>
        </w:rPr>
        <w:t>Recommended response</w:t>
      </w:r>
    </w:p>
    <w:p>
      <w:pPr>
        <w:spacing w:before="0" w:after="120" w:lineRule="auto" w:line="259"/>
      </w:pPr>
      <w:r>
        <w:rPr>
          <w:b w:val="0"/>
          <w:i w:val="0"/>
          <w:sz w:val="22"/>
        </w:rPr>
        <w:t>Push to restore the Original Draft’s flat 50/50 division (the entire grant and vesting period fall within the marriage, so 50/50 is the cleaner and more predictable rule). If Mr. Baxter insists on a coverture fraction, confine the “Relevant Service Period” to the grant-to-vesting period (January 1, 2024 through the applicable vesting date) rather than the hire date, which would yield 100% marital and preserve 50/50. Do not accept a hire-date-anchored denominator that creates a dissolution-timing penalty against Wife.</w:t>
      </w:r>
    </w:p>
    <w:p>
      <w:pPr>
        <w:keepNext/>
        <w:spacing w:before="280" w:after="80"/>
        <w:pBdr>
          <w:bottom w:val="single" w:sz="6" w:space="2" w:color="1F3355"/>
        </w:pBdr>
      </w:pPr>
      <w:r>
        <w:rPr>
          <w:b/>
          <w:color w:val="1F3355"/>
          <w:sz w:val="25"/>
        </w:rPr>
        <w:t>IV.  SIGNIFICANT ISSUES — NEGOTIATE</w:t>
      </w:r>
    </w:p>
    <w:p>
      <w:pPr>
        <w:spacing w:before="0" w:after="120" w:lineRule="auto" w:line="259"/>
      </w:pPr>
      <w:r>
        <w:rPr>
          <w:b w:val="0"/>
          <w:i w:val="0"/>
          <w:sz w:val="22"/>
        </w:rPr>
        <w:t>The following items are important but present a genuine trade or are favorable to Wife; each should be negotiated rather than rejected outright.</w:t>
      </w:r>
    </w:p>
    <w:p>
      <w:pPr>
        <w:keepNext/>
        <w:spacing w:before="200" w:after="60"/>
      </w:pPr>
      <w:r>
        <w:rPr>
          <w:b/>
          <w:color w:val="1F3355"/>
          <w:sz w:val="23"/>
        </w:rPr>
        <w:t>A. Maintenance waiver, three-year cap, and Earned-Income base (Sections 10.2–10.4) — favorable; preserve</w:t>
      </w:r>
    </w:p>
    <w:p>
      <w:pPr>
        <w:spacing w:before="0" w:after="120" w:lineRule="auto" w:line="259"/>
      </w:pPr>
      <w:r>
        <w:rPr>
          <w:b w:val="0"/>
          <w:i w:val="0"/>
          <w:sz w:val="22"/>
        </w:rPr>
        <w:t>The Redline adds an automatic, irrevocable waiver of maintenance if the eligible spouse’s gross annual income exceeds $200,000 (Section 10.3, comment TC-37; MC-09), reduces the duration cap from five to three years (Section 10.2, TC-36; MC-08), and bases the maintenance calculation on Earned Income with a 40%-of-combined-income cap (Section 10.4, TC-38). Husband is the lower-earning spouse ($305,000 average total compensation vs. Wife’s $487,000 W-2 plus Practice distributions), so Husband would be the recipient and Wife the payor. Because Husband’s income ($305,000) exceeds the $200,000 threshold, the waiver likely eliminates his maintenance claim entirely.</w:t>
      </w:r>
    </w:p>
    <w:p>
      <w:pPr>
        <w:spacing w:before="40" w:after="120" w:lineRule="auto" w:line="259"/>
      </w:pPr>
      <w:r>
        <w:rPr>
          <w:b w:val="0"/>
          <w:i w:val="0"/>
          <w:sz w:val="22"/>
        </w:rPr>
        <w:t>This is a meaningful concession by Husband’s counsel and is favorable to Wife. We should preserve it, with three cautions: (i) the waiver is measured “as of the date of entry of the judgment of dissolution,” so if Husband’s income drops below $200,000 by dissolution (e.g., job loss), he could still qualify — acceptable, but note it; (ii) the seven-year sunset (Section IV.E below) could extinguish this protection before a dissolution occurs, so the sunset and the waiver should be considered together; and (iii) note the asymmetry that the waiver threshold uses broad gross income (including bonuses and distributions) while the calculation uses narrow Earned Income — an asymmetry that, on balance, helps Wife here but should be made deliberate, not accidental.</w:t>
      </w:r>
    </w:p>
    <w:p>
      <w:pPr>
        <w:spacing w:before="40" w:after="120" w:lineRule="auto" w:line="259"/>
      </w:pPr>
      <w:r>
        <w:rPr>
          <w:b w:val="0"/>
          <w:i w:val="0"/>
          <w:sz w:val="22"/>
        </w:rPr>
        <w:t>Do not let this concession be used as cover for the adverse property changes. The maintenance savings are uncertain (dependent on future income) and, on reasonable assumptions, materially smaller than the certain ~$600,000 property transfer created by the reimbursement deletion. See Section VI.</w:t>
      </w:r>
    </w:p>
    <w:p>
      <w:pPr>
        <w:keepNext/>
        <w:spacing w:before="200" w:after="60"/>
      </w:pPr>
      <w:r>
        <w:rPr>
          <w:b/>
          <w:color w:val="1F3355"/>
          <w:sz w:val="23"/>
        </w:rPr>
        <w:t>B. Active/passive appreciation of the Practice Interest (Section 6.1) — favorable; refine</w:t>
      </w:r>
    </w:p>
    <w:p>
      <w:pPr>
        <w:spacing w:before="0" w:after="120" w:lineRule="auto" w:line="259"/>
      </w:pPr>
      <w:r>
        <w:rPr>
          <w:b w:val="0"/>
          <w:i w:val="0"/>
          <w:sz w:val="22"/>
        </w:rPr>
        <w:t>Original Draft Section 6.1(b) classified all appreciation above the $1,650,000 baseline as marital, 50/50, “regardless of the source or cause.” The Redline (Section 6.1, comment TC-25; MC-06) classifies appreciation as marital only “to the extent directly attributable to the active personal efforts of Wife,” with appreciation from market forces, reimbursement-rate changes, regulatory changes, and passive investment returns remaining Wife’s separate property. This favors Wife and is strongly supported by the Strand Valuation Report.</w:t>
      </w:r>
    </w:p>
    <w:p>
      <w:pPr>
        <w:spacing w:before="40" w:after="120" w:lineRule="auto" w:line="259"/>
      </w:pPr>
      <w:r>
        <w:rPr>
          <w:b w:val="0"/>
          <w:i w:val="0"/>
          <w:sz w:val="22"/>
        </w:rPr>
        <w:t>Strand’s Section 9 attribution analysis concludes that approximately 60% of the Practice’s revenue growth over 2019–2024 is passive (insurance reimbursement-rate increases ~35%; demographic market expansion ~25%) and approximately 40% is active (physician recruitment ~25%; operational improvements ~15%). On that analysis, roughly 60% of future appreciation would remain Wife’s separate property — a substantial protection. Strand also cautions that the active component reflects collective partner effort “in which Dr. Veselka-Thornton participated as one of several physician-partners,” so the “directly attributable to Wife’s active personal efforts” standard is demanding and may yield an even smaller marital component.</w:t>
      </w:r>
    </w:p>
    <w:p>
      <w:pPr>
        <w:spacing w:before="40" w:after="120" w:lineRule="auto" w:line="259"/>
      </w:pPr>
      <w:r>
        <w:rPr>
          <w:b w:val="0"/>
          <w:i w:val="0"/>
          <w:sz w:val="22"/>
        </w:rPr>
        <w:t>Two concerns to address: (i) the Redline requires a “qualified forensic valuation expert” to apportion active vs. passive appreciation at dissolution — potentially expensive and contentious, which cuts against the client’s Objective 4 (avoid “burdensome valuation methodologies”); and (ii) the “directly attributable to Wife’s active personal efforts” standard, while favorable, is open to argument.</w:t>
      </w:r>
    </w:p>
    <w:p>
      <w:pPr>
        <w:keepNext/>
        <w:spacing w:before="160" w:after="40"/>
      </w:pPr>
      <w:r>
        <w:rPr>
          <w:b/>
          <w:i/>
          <w:color w:val="1F5C2E"/>
          <w:sz w:val="22"/>
        </w:rPr>
        <w:t>Recommended response</w:t>
      </w:r>
    </w:p>
    <w:p>
      <w:pPr>
        <w:spacing w:before="0" w:after="120" w:lineRule="auto" w:line="259"/>
      </w:pPr>
      <w:r>
        <w:rPr>
          <w:b w:val="0"/>
          <w:i w:val="0"/>
          <w:sz w:val="22"/>
        </w:rPr>
        <w:t>Accept the active/passive framework in principle. Propose a fixed allocation to avoid a future forensic battle: adopt Strand’s 60%/40% attribution as a contractual default — 60% of post-baseline appreciation is Wife’s separate property (passive) and 40% is marital (active) — with either Party entitled to commission a fresh active/passive study only upon a showing of material change in the Practice’s circumstances. This protects Wife (a large separate share), satisfies her objective to avoid expensive methodology, and gives Husband a defensible marital share. If Mr. Baxter will not accept a fixed split, accept the Redline’s framework but tighten the valuation trigger and cap the expert’s scope.</w:t>
      </w:r>
    </w:p>
    <w:p>
      <w:pPr>
        <w:keepNext/>
        <w:spacing w:before="200" w:after="60"/>
      </w:pPr>
      <w:r>
        <w:rPr>
          <w:b/>
          <w:color w:val="1F3355"/>
          <w:sz w:val="23"/>
        </w:rPr>
        <w:t>C. Attorney’s fees — mutual waiver (Section 13.2) — counter</w:t>
      </w:r>
    </w:p>
    <w:p>
      <w:pPr>
        <w:spacing w:before="0" w:after="120" w:lineRule="auto" w:line="259"/>
      </w:pPr>
      <w:r>
        <w:rPr>
          <w:b w:val="0"/>
          <w:i w:val="0"/>
          <w:sz w:val="22"/>
        </w:rPr>
        <w:t>Original Draft Section 13.2 awarded prevailing-party fees, costs, and expert fees. The Redline (comment TC-44; MC-11) replaces this with a mutual waiver: each Party bears its own fees regardless of outcome. This contradicts the client’s Objective 5(d) (a prevailing-party provision “to deter frivolous challenges”). Because Wife is the higher earner and the party more likely to enforce (the reimbursement right, the debt indemnity, the property classifications), the mutual waiver removes her enforcement leverage and the deterrent against breach. Mr. Baxter’s framing (“promotes amicable resolution”) cuts both ways. Recommend restoring prevailing-party fees, or at minimum a fee-shifting provision for willful breach or enforcement actions.</w:t>
      </w:r>
    </w:p>
    <w:p>
      <w:pPr>
        <w:keepNext/>
        <w:spacing w:before="200" w:after="60"/>
      </w:pPr>
      <w:r>
        <w:rPr>
          <w:b/>
          <w:color w:val="1F3355"/>
          <w:sz w:val="23"/>
        </w:rPr>
        <w:t>D. Venue — Cook County to DuPage County (Section 15.2) — counter</w:t>
      </w:r>
    </w:p>
    <w:p>
      <w:pPr>
        <w:spacing w:before="0" w:after="120" w:lineRule="auto" w:line="259"/>
      </w:pPr>
      <w:r>
        <w:rPr>
          <w:b w:val="0"/>
          <w:i w:val="0"/>
          <w:sz w:val="22"/>
        </w:rPr>
        <w:t>The Redline (comment TC-47; MC-12) moves exclusive venue from Cook County to DuPage County, justified by “scheduling efficiency” and Husband’s Naperville office. The marital residence is in Winnetka (Cook County); Wife and her counsel are in Cook County; and a dissolution would be venued by residence in Cook County under Illinois law. Designating DuPage for Agreement-related proceedings creates a forum mismatch with the dissolution and favors Husband. This contradicts the client’s Objective 5(e). Recommend Cook County. If Mr. Baxter presses DuPage for scheduling, we could accept Cook County as the venue with a fallback only for post-judgment enforcement ministerial matters — not as the primary forum.</w:t>
      </w:r>
    </w:p>
    <w:p>
      <w:pPr>
        <w:keepNext/>
        <w:spacing w:before="200" w:after="60"/>
      </w:pPr>
      <w:r>
        <w:rPr>
          <w:b/>
          <w:color w:val="1F3355"/>
          <w:sz w:val="23"/>
        </w:rPr>
        <w:t>E. Sunset — fifteen years to seven years (Section 15.5) — counter</w:t>
      </w:r>
    </w:p>
    <w:p>
      <w:pPr>
        <w:spacing w:before="0" w:after="120" w:lineRule="auto" w:line="259"/>
      </w:pPr>
      <w:r>
        <w:rPr>
          <w:b w:val="0"/>
          <w:i w:val="0"/>
          <w:sz w:val="22"/>
        </w:rPr>
        <w:t>Original Draft Section 15.4 set a fifteen-year sunset (through approximately June 2040) with five-year renewals. The Redline (Section 15.5) shortens this to the seventh anniversary of the Effective Date (approximately June 2032). This contradicts the client’s Objective 3: she wanted the Agreement to remain in effect at least until Julian turns 18 (approximately 2033–2034, depending on the correct birth date — see Section V) and preferably longer. A seven-year sunset expires before Julian reaches majority under either candidate birth date. The shorter sunset also extinguishes the maintenance waiver (Section IV.A) and the property classifications before the children are grown, after which default Illinois law governs — reintroducing uncertainty the client sought to eliminate. Recommend restoring the fifteen-year term (or, at minimum, a term that runs through Julian’s eighteenth birthday plus a buffer, with mutual renewal).</w:t>
      </w:r>
    </w:p>
    <w:p>
      <w:pPr>
        <w:keepNext/>
        <w:spacing w:before="200" w:after="60"/>
      </w:pPr>
      <w:r>
        <w:rPr>
          <w:b/>
          <w:color w:val="1F3355"/>
          <w:sz w:val="23"/>
        </w:rPr>
        <w:t>F. Marital residence buyout — 24 months to 18 months (Section 9.2) — counter</w:t>
      </w:r>
    </w:p>
    <w:p>
      <w:pPr>
        <w:spacing w:before="0" w:after="120" w:lineRule="auto" w:line="259"/>
      </w:pPr>
      <w:r>
        <w:rPr>
          <w:b w:val="0"/>
          <w:i w:val="0"/>
          <w:sz w:val="22"/>
        </w:rPr>
        <w:t>The Redline (comments TC-33, TC-34) shortens the buyout payment window from 24 to 18 months, secures Husband’s interest with a lien, compounds interest monthly at the AFR, moves appraisal to the commencement of proceedings, gives Wife 30 days to exercise after receiving the appraisal, and gives Husband the same purchase right if Wife declines. The lien and AFR interest are reasonable. The 18-month window (down from 24) gives Wife less time to refinance or raise funds, which could jeopardize her ability to retain the home — a core Objective 3 concern (children’s stability and school district). Recommend restoring 24 months (or 18–24 months tied to a refinance feasibility showing). The “Husband gets the same right if Wife declines” addition is acceptable in principle but should be conditioned on Wife’s affirmative declination in writing.</w:t>
      </w:r>
    </w:p>
    <w:p>
      <w:pPr>
        <w:keepNext/>
        <w:spacing w:before="200" w:after="60"/>
      </w:pPr>
      <w:r>
        <w:rPr>
          <w:b/>
          <w:color w:val="1F3355"/>
          <w:sz w:val="23"/>
        </w:rPr>
        <w:t>G. Identified Debt — $5,000 de minimis and 24-month payoff (Section 11.2) — mixed</w:t>
      </w:r>
    </w:p>
    <w:p>
      <w:pPr>
        <w:spacing w:before="0" w:after="120" w:lineRule="auto" w:line="259"/>
      </w:pPr>
      <w:r>
        <w:rPr>
          <w:b w:val="0"/>
          <w:i w:val="0"/>
          <w:sz w:val="22"/>
        </w:rPr>
        <w:t>The Redline (comment TC-40; MC-10) keeps Husband’s sole responsibility for the $68,000 Identified Debt and his indemnity of Wife, but adds a $5,000 de minimis threshold (indemnity does not extend to individual claims under $5,000), a 24-month satisfaction timeline, and quarterly written statements. The 24-month payoff and quarterly reporting are favorable to Wife and should be kept. The $5,000 de minimis, however, contradicts the client’s Objective 2 — she wanted “no loopholes or materiality thresholds” on the indemnity. The Identified Debt is a single $68,000 obligation on a Hollcroft One Mastercard (account ending 6673, per the Linden &amp; Fosse schedules), so a per-claim de minimis is largely academic — but we should remove it to honor the client’s instruction and avoid any argument that collection actions on individual sub-balances fall below the threshold. Recommend: delete the $5,000 de minimis; retain the 24-month payoff, quarterly statements, and Wife’s optional right to satisfy and seek reimbursement on default.</w:t>
      </w:r>
    </w:p>
    <w:p>
      <w:pPr>
        <w:keepNext/>
        <w:spacing w:before="280" w:after="80"/>
        <w:pBdr>
          <w:bottom w:val="single" w:sz="6" w:space="2" w:color="1F3355"/>
        </w:pBdr>
      </w:pPr>
      <w:r>
        <w:rPr>
          <w:b/>
          <w:color w:val="1F3355"/>
          <w:sz w:val="25"/>
        </w:rPr>
        <w:t>V.  FACTUAL DISCREPANCIES REQUIRING RECONCILIATION</w:t>
      </w:r>
    </w:p>
    <w:p>
      <w:pPr>
        <w:spacing w:before="0" w:after="120" w:lineRule="auto" w:line="259"/>
      </w:pPr>
      <w:r>
        <w:rPr>
          <w:b w:val="0"/>
          <w:i w:val="0"/>
          <w:sz w:val="22"/>
        </w:rPr>
        <w:t>The Redline introduces or carries forward a number of factual identifiers that do not match the verified Linden &amp; Fosse financial disclosure schedules, the client intake memorandum, or the Strand valuation report. Because accurate identification of accounts and assets is essential to tracing, classification, and enforceability, these must be reconciled against source documentation (death certificate, birth certificates, account statements, appraisal reports) before execution. The most significant are set out below.</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44"/>
            <w:shd w:val="clear" w:color="auto" w:fill="1F3355"/>
            <w:tcMar>
              <w:top w:w="40" w:type="dxa"/>
              <w:bottom w:w="40" w:type="dxa"/>
              <w:start w:w="80" w:type="dxa"/>
              <w:end w:w="80" w:type="dxa"/>
            </w:tcMar>
          </w:tcPr>
          <w:p>
            <w:pPr>
              <w:spacing w:after="0"/>
            </w:pPr>
            <w:r/>
            <w:r>
              <w:rPr>
                <w:b/>
                <w:color w:val="FFFFFF"/>
                <w:sz w:val="17"/>
              </w:rPr>
              <w:t>Item</w:t>
            </w:r>
          </w:p>
        </w:tc>
        <w:tc>
          <w:tcPr>
            <w:tcW w:type="dxa" w:w="1656"/>
            <w:shd w:val="clear" w:color="auto" w:fill="1F3355"/>
            <w:tcMar>
              <w:top w:w="40" w:type="dxa"/>
              <w:bottom w:w="40" w:type="dxa"/>
              <w:start w:w="80" w:type="dxa"/>
              <w:end w:w="80" w:type="dxa"/>
            </w:tcMar>
          </w:tcPr>
          <w:p>
            <w:pPr>
              <w:spacing w:after="0"/>
            </w:pPr>
            <w:r/>
            <w:r>
              <w:rPr>
                <w:b/>
                <w:color w:val="FFFFFF"/>
                <w:sz w:val="17"/>
              </w:rPr>
              <w:t>Original Draft</w:t>
            </w:r>
          </w:p>
        </w:tc>
        <w:tc>
          <w:tcPr>
            <w:tcW w:type="dxa" w:w="1944"/>
            <w:shd w:val="clear" w:color="auto" w:fill="1F3355"/>
            <w:tcMar>
              <w:top w:w="40" w:type="dxa"/>
              <w:bottom w:w="40" w:type="dxa"/>
              <w:start w:w="80" w:type="dxa"/>
              <w:end w:w="80" w:type="dxa"/>
            </w:tcMar>
          </w:tcPr>
          <w:p>
            <w:pPr>
              <w:spacing w:after="0"/>
            </w:pPr>
            <w:r/>
            <w:r>
              <w:rPr>
                <w:b/>
                <w:color w:val="FFFFFF"/>
                <w:sz w:val="17"/>
              </w:rPr>
              <w:t>Redline</w:t>
            </w:r>
          </w:p>
        </w:tc>
        <w:tc>
          <w:tcPr>
            <w:tcW w:type="dxa" w:w="2160"/>
            <w:shd w:val="clear" w:color="auto" w:fill="1F3355"/>
            <w:tcMar>
              <w:top w:w="40" w:type="dxa"/>
              <w:bottom w:w="40" w:type="dxa"/>
              <w:start w:w="80" w:type="dxa"/>
              <w:end w:w="80" w:type="dxa"/>
            </w:tcMar>
          </w:tcPr>
          <w:p>
            <w:pPr>
              <w:spacing w:after="0"/>
            </w:pPr>
            <w:r/>
            <w:r>
              <w:rPr>
                <w:b/>
                <w:color w:val="FFFFFF"/>
                <w:sz w:val="17"/>
              </w:rPr>
              <w:t>Verified record</w:t>
            </w:r>
          </w:p>
        </w:tc>
        <w:tc>
          <w:tcPr>
            <w:tcW w:type="dxa" w:w="2232"/>
            <w:shd w:val="clear" w:color="auto" w:fill="1F3355"/>
            <w:tcMar>
              <w:top w:w="40" w:type="dxa"/>
              <w:bottom w:w="40" w:type="dxa"/>
              <w:start w:w="80" w:type="dxa"/>
              <w:end w:w="80" w:type="dxa"/>
            </w:tcMar>
          </w:tcPr>
          <w:p>
            <w:pPr>
              <w:spacing w:after="0"/>
            </w:pPr>
            <w:r/>
            <w:r>
              <w:rPr>
                <w:b/>
                <w:color w:val="FFFFFF"/>
                <w:sz w:val="17"/>
              </w:rPr>
              <w:t>Action</w:t>
            </w:r>
          </w:p>
        </w:tc>
      </w:tr>
      <w:tr>
        <w:tc>
          <w:tcPr>
            <w:tcW w:type="dxa" w:w="1944"/>
            <w:tcMar>
              <w:top w:w="40" w:type="dxa"/>
              <w:bottom w:w="40" w:type="dxa"/>
              <w:start w:w="80" w:type="dxa"/>
              <w:end w:w="80" w:type="dxa"/>
            </w:tcMar>
          </w:tcPr>
          <w:p>
            <w:pPr>
              <w:spacing w:after="0" w:line="240" w:lineRule="auto"/>
            </w:pPr>
            <w:r/>
            <w:r>
              <w:rPr>
                <w:sz w:val="17"/>
              </w:rPr>
              <w:t>Mother’s name</w:t>
            </w:r>
          </w:p>
        </w:tc>
        <w:tc>
          <w:tcPr>
            <w:tcW w:type="dxa" w:w="1656"/>
            <w:tcMar>
              <w:top w:w="40" w:type="dxa"/>
              <w:bottom w:w="40" w:type="dxa"/>
              <w:start w:w="80" w:type="dxa"/>
              <w:end w:w="80" w:type="dxa"/>
            </w:tcMar>
          </w:tcPr>
          <w:p>
            <w:pPr>
              <w:spacing w:after="0" w:line="240" w:lineRule="auto"/>
            </w:pPr>
            <w:r/>
            <w:r>
              <w:rPr>
                <w:sz w:val="17"/>
              </w:rPr>
              <w:t>Constane Thornton</w:t>
            </w:r>
          </w:p>
        </w:tc>
        <w:tc>
          <w:tcPr>
            <w:tcW w:type="dxa" w:w="1944"/>
            <w:tcMar>
              <w:top w:w="40" w:type="dxa"/>
              <w:bottom w:w="40" w:type="dxa"/>
              <w:start w:w="80" w:type="dxa"/>
              <w:end w:w="80" w:type="dxa"/>
            </w:tcMar>
          </w:tcPr>
          <w:p>
            <w:pPr>
              <w:spacing w:after="0" w:line="240" w:lineRule="auto"/>
            </w:pPr>
            <w:r/>
            <w:r>
              <w:rPr>
                <w:sz w:val="17"/>
              </w:rPr>
              <w:t>Constance Thornton (née Albrecht)</w:t>
            </w:r>
          </w:p>
        </w:tc>
        <w:tc>
          <w:tcPr>
            <w:tcW w:type="dxa" w:w="2160"/>
            <w:tcMar>
              <w:top w:w="40" w:type="dxa"/>
              <w:bottom w:w="40" w:type="dxa"/>
              <w:start w:w="80" w:type="dxa"/>
              <w:end w:w="80" w:type="dxa"/>
            </w:tcMar>
          </w:tcPr>
          <w:p>
            <w:pPr>
              <w:spacing w:after="0" w:line="240" w:lineRule="auto"/>
            </w:pPr>
            <w:r/>
            <w:r>
              <w:rPr>
                <w:sz w:val="17"/>
              </w:rPr>
              <w:t>Constance Thornton (intake; L&amp;F schedules)</w:t>
            </w:r>
          </w:p>
        </w:tc>
        <w:tc>
          <w:tcPr>
            <w:tcW w:type="dxa" w:w="2232"/>
            <w:tcMar>
              <w:top w:w="40" w:type="dxa"/>
              <w:bottom w:w="40" w:type="dxa"/>
              <w:start w:w="80" w:type="dxa"/>
              <w:end w:w="80" w:type="dxa"/>
            </w:tcMar>
          </w:tcPr>
          <w:p>
            <w:pPr>
              <w:spacing w:after="0" w:line="240" w:lineRule="auto"/>
            </w:pPr>
            <w:r/>
            <w:r>
              <w:rPr>
                <w:sz w:val="17"/>
              </w:rPr>
              <w:t>Accept “Constance”; verify née Albrecht</w:t>
            </w:r>
          </w:p>
        </w:tc>
      </w:tr>
      <w:tr>
        <w:tc>
          <w:tcPr>
            <w:tcW w:type="dxa" w:w="1944"/>
            <w:tcMar>
              <w:top w:w="40" w:type="dxa"/>
              <w:bottom w:w="40" w:type="dxa"/>
              <w:start w:w="80" w:type="dxa"/>
              <w:end w:w="80" w:type="dxa"/>
            </w:tcMar>
            <w:shd w:val="clear" w:color="auto" w:fill="EEF1F5"/>
          </w:tcPr>
          <w:p>
            <w:pPr>
              <w:spacing w:after="0" w:line="240" w:lineRule="auto"/>
            </w:pPr>
            <w:r/>
            <w:r>
              <w:rPr>
                <w:sz w:val="17"/>
              </w:rPr>
              <w:t>Mother’s death date</w:t>
            </w:r>
          </w:p>
        </w:tc>
        <w:tc>
          <w:tcPr>
            <w:tcW w:type="dxa" w:w="1656"/>
            <w:tcMar>
              <w:top w:w="40" w:type="dxa"/>
              <w:bottom w:w="40" w:type="dxa"/>
              <w:start w:w="80" w:type="dxa"/>
              <w:end w:w="80" w:type="dxa"/>
            </w:tcMar>
            <w:shd w:val="clear" w:color="auto" w:fill="EEF1F5"/>
          </w:tcPr>
          <w:p>
            <w:pPr>
              <w:spacing w:after="0" w:line="240" w:lineRule="auto"/>
            </w:pPr>
            <w:r/>
            <w:r>
              <w:rPr>
                <w:sz w:val="17"/>
              </w:rPr>
              <w:t>Aug. 12, 2024</w:t>
            </w:r>
          </w:p>
        </w:tc>
        <w:tc>
          <w:tcPr>
            <w:tcW w:type="dxa" w:w="1944"/>
            <w:tcMar>
              <w:top w:w="40" w:type="dxa"/>
              <w:bottom w:w="40" w:type="dxa"/>
              <w:start w:w="80" w:type="dxa"/>
              <w:end w:w="80" w:type="dxa"/>
            </w:tcMar>
            <w:shd w:val="clear" w:color="auto" w:fill="EEF1F5"/>
          </w:tcPr>
          <w:p>
            <w:pPr>
              <w:spacing w:after="0" w:line="240" w:lineRule="auto"/>
            </w:pPr>
            <w:r/>
            <w:r>
              <w:rPr>
                <w:sz w:val="17"/>
              </w:rPr>
              <w:t>Sept. 3, 2024</w:t>
            </w:r>
          </w:p>
        </w:tc>
        <w:tc>
          <w:tcPr>
            <w:tcW w:type="dxa" w:w="2160"/>
            <w:tcMar>
              <w:top w:w="40" w:type="dxa"/>
              <w:bottom w:w="40" w:type="dxa"/>
              <w:start w:w="80" w:type="dxa"/>
              <w:end w:w="80" w:type="dxa"/>
            </w:tcMar>
            <w:shd w:val="clear" w:color="auto" w:fill="EEF1F5"/>
          </w:tcPr>
          <w:p>
            <w:pPr>
              <w:spacing w:after="0" w:line="240" w:lineRule="auto"/>
            </w:pPr>
            <w:r/>
            <w:r>
              <w:rPr>
                <w:sz w:val="17"/>
              </w:rPr>
              <w:t>“October 2024” (intake; L&amp;F H-7/H-8/H-9)</w:t>
            </w:r>
          </w:p>
        </w:tc>
        <w:tc>
          <w:tcPr>
            <w:tcW w:type="dxa" w:w="2232"/>
            <w:tcMar>
              <w:top w:w="40" w:type="dxa"/>
              <w:bottom w:w="40" w:type="dxa"/>
              <w:start w:w="80" w:type="dxa"/>
              <w:end w:w="80" w:type="dxa"/>
            </w:tcMar>
            <w:shd w:val="clear" w:color="auto" w:fill="EEF1F5"/>
          </w:tcPr>
          <w:p>
            <w:pPr>
              <w:spacing w:after="0" w:line="240" w:lineRule="auto"/>
            </w:pPr>
            <w:r/>
            <w:r>
              <w:rPr>
                <w:sz w:val="17"/>
              </w:rPr>
              <w:t>All three conflict — verify death certificate / probate</w:t>
            </w:r>
          </w:p>
        </w:tc>
      </w:tr>
      <w:tr>
        <w:tc>
          <w:tcPr>
            <w:tcW w:type="dxa" w:w="1944"/>
            <w:tcMar>
              <w:top w:w="40" w:type="dxa"/>
              <w:bottom w:w="40" w:type="dxa"/>
              <w:start w:w="80" w:type="dxa"/>
              <w:end w:w="80" w:type="dxa"/>
            </w:tcMar>
          </w:tcPr>
          <w:p>
            <w:pPr>
              <w:spacing w:after="0" w:line="240" w:lineRule="auto"/>
            </w:pPr>
            <w:r/>
            <w:r>
              <w:rPr>
                <w:sz w:val="17"/>
              </w:rPr>
              <w:t>Elena — birth date</w:t>
            </w:r>
          </w:p>
        </w:tc>
        <w:tc>
          <w:tcPr>
            <w:tcW w:type="dxa" w:w="1656"/>
            <w:tcMar>
              <w:top w:w="40" w:type="dxa"/>
              <w:bottom w:w="40" w:type="dxa"/>
              <w:start w:w="80" w:type="dxa"/>
              <w:end w:w="80" w:type="dxa"/>
            </w:tcMar>
          </w:tcPr>
          <w:p>
            <w:pPr>
              <w:spacing w:after="0" w:line="240" w:lineRule="auto"/>
            </w:pPr>
            <w:r/>
            <w:r>
              <w:rPr>
                <w:sz w:val="17"/>
              </w:rPr>
              <w:t>Oct. 3, 2012</w:t>
            </w:r>
          </w:p>
        </w:tc>
        <w:tc>
          <w:tcPr>
            <w:tcW w:type="dxa" w:w="1944"/>
            <w:tcMar>
              <w:top w:w="40" w:type="dxa"/>
              <w:bottom w:w="40" w:type="dxa"/>
              <w:start w:w="80" w:type="dxa"/>
              <w:end w:w="80" w:type="dxa"/>
            </w:tcMar>
          </w:tcPr>
          <w:p>
            <w:pPr>
              <w:spacing w:after="0" w:line="240" w:lineRule="auto"/>
            </w:pPr>
            <w:r/>
            <w:r>
              <w:rPr>
                <w:sz w:val="17"/>
              </w:rPr>
              <w:t>Aug. 22, 2012</w:t>
            </w:r>
          </w:p>
        </w:tc>
        <w:tc>
          <w:tcPr>
            <w:tcW w:type="dxa" w:w="2160"/>
            <w:tcMar>
              <w:top w:w="40" w:type="dxa"/>
              <w:bottom w:w="40" w:type="dxa"/>
              <w:start w:w="80" w:type="dxa"/>
              <w:end w:w="80" w:type="dxa"/>
            </w:tcMar>
          </w:tcPr>
          <w:p>
            <w:pPr>
              <w:spacing w:after="0" w:line="240" w:lineRule="auto"/>
            </w:pPr>
            <w:r/>
            <w:r>
              <w:rPr>
                <w:sz w:val="17"/>
              </w:rPr>
              <w:t>Age 12 (intake)</w:t>
            </w:r>
          </w:p>
        </w:tc>
        <w:tc>
          <w:tcPr>
            <w:tcW w:type="dxa" w:w="2232"/>
            <w:tcMar>
              <w:top w:w="40" w:type="dxa"/>
              <w:bottom w:w="40" w:type="dxa"/>
              <w:start w:w="80" w:type="dxa"/>
              <w:end w:w="80" w:type="dxa"/>
            </w:tcMar>
          </w:tcPr>
          <w:p>
            <w:pPr>
              <w:spacing w:after="0" w:line="240" w:lineRule="auto"/>
            </w:pPr>
            <w:r/>
            <w:r>
              <w:rPr>
                <w:sz w:val="17"/>
              </w:rPr>
              <w:t>Verify birth certificate</w:t>
            </w:r>
          </w:p>
        </w:tc>
      </w:tr>
      <w:tr>
        <w:tc>
          <w:tcPr>
            <w:tcW w:type="dxa" w:w="1944"/>
            <w:tcMar>
              <w:top w:w="40" w:type="dxa"/>
              <w:bottom w:w="40" w:type="dxa"/>
              <w:start w:w="80" w:type="dxa"/>
              <w:end w:w="80" w:type="dxa"/>
            </w:tcMar>
            <w:shd w:val="clear" w:color="auto" w:fill="EEF1F5"/>
          </w:tcPr>
          <w:p>
            <w:pPr>
              <w:spacing w:after="0" w:line="240" w:lineRule="auto"/>
            </w:pPr>
            <w:r/>
            <w:r>
              <w:rPr>
                <w:sz w:val="17"/>
              </w:rPr>
              <w:t>Julian — birth date</w:t>
            </w:r>
          </w:p>
        </w:tc>
        <w:tc>
          <w:tcPr>
            <w:tcW w:type="dxa" w:w="1656"/>
            <w:tcMar>
              <w:top w:w="40" w:type="dxa"/>
              <w:bottom w:w="40" w:type="dxa"/>
              <w:start w:w="80" w:type="dxa"/>
              <w:end w:w="80" w:type="dxa"/>
            </w:tcMar>
            <w:shd w:val="clear" w:color="auto" w:fill="EEF1F5"/>
          </w:tcPr>
          <w:p>
            <w:pPr>
              <w:spacing w:after="0" w:line="240" w:lineRule="auto"/>
            </w:pPr>
            <w:r/>
            <w:r>
              <w:rPr>
                <w:sz w:val="17"/>
              </w:rPr>
              <w:t>Mar. 22, 2016</w:t>
            </w:r>
          </w:p>
        </w:tc>
        <w:tc>
          <w:tcPr>
            <w:tcW w:type="dxa" w:w="1944"/>
            <w:tcMar>
              <w:top w:w="40" w:type="dxa"/>
              <w:bottom w:w="40" w:type="dxa"/>
              <w:start w:w="80" w:type="dxa"/>
              <w:end w:w="80" w:type="dxa"/>
            </w:tcMar>
            <w:shd w:val="clear" w:color="auto" w:fill="EEF1F5"/>
          </w:tcPr>
          <w:p>
            <w:pPr>
              <w:spacing w:after="0" w:line="240" w:lineRule="auto"/>
            </w:pPr>
            <w:r/>
            <w:r>
              <w:rPr>
                <w:sz w:val="17"/>
              </w:rPr>
              <w:t>Nov. 9, 2015</w:t>
            </w:r>
          </w:p>
        </w:tc>
        <w:tc>
          <w:tcPr>
            <w:tcW w:type="dxa" w:w="2160"/>
            <w:tcMar>
              <w:top w:w="40" w:type="dxa"/>
              <w:bottom w:w="40" w:type="dxa"/>
              <w:start w:w="80" w:type="dxa"/>
              <w:end w:w="80" w:type="dxa"/>
            </w:tcMar>
            <w:shd w:val="clear" w:color="auto" w:fill="EEF1F5"/>
          </w:tcPr>
          <w:p>
            <w:pPr>
              <w:spacing w:after="0" w:line="240" w:lineRule="auto"/>
            </w:pPr>
            <w:r/>
            <w:r>
              <w:rPr>
                <w:sz w:val="17"/>
              </w:rPr>
              <w:t>Age 9 (intake)</w:t>
            </w:r>
          </w:p>
        </w:tc>
        <w:tc>
          <w:tcPr>
            <w:tcW w:type="dxa" w:w="2232"/>
            <w:tcMar>
              <w:top w:w="40" w:type="dxa"/>
              <w:bottom w:w="40" w:type="dxa"/>
              <w:start w:w="80" w:type="dxa"/>
              <w:end w:w="80" w:type="dxa"/>
            </w:tcMar>
            <w:shd w:val="clear" w:color="auto" w:fill="EEF1F5"/>
          </w:tcPr>
          <w:p>
            <w:pPr>
              <w:spacing w:after="0" w:line="240" w:lineRule="auto"/>
            </w:pPr>
            <w:r/>
            <w:r>
              <w:rPr>
                <w:sz w:val="17"/>
              </w:rPr>
              <w:t>Redline likely correct (2016 → age 8); verify</w:t>
            </w:r>
          </w:p>
        </w:tc>
      </w:tr>
      <w:tr>
        <w:tc>
          <w:tcPr>
            <w:tcW w:type="dxa" w:w="1944"/>
            <w:tcMar>
              <w:top w:w="40" w:type="dxa"/>
              <w:bottom w:w="40" w:type="dxa"/>
              <w:start w:w="80" w:type="dxa"/>
              <w:end w:w="80" w:type="dxa"/>
            </w:tcMar>
          </w:tcPr>
          <w:p>
            <w:pPr>
              <w:spacing w:after="0" w:line="240" w:lineRule="auto"/>
            </w:pPr>
            <w:r/>
            <w:r>
              <w:rPr>
                <w:sz w:val="17"/>
              </w:rPr>
              <w:t>Inheritance brokerage custodian / acct.</w:t>
            </w:r>
          </w:p>
        </w:tc>
        <w:tc>
          <w:tcPr>
            <w:tcW w:type="dxa" w:w="1656"/>
            <w:tcMar>
              <w:top w:w="40" w:type="dxa"/>
              <w:bottom w:w="40" w:type="dxa"/>
              <w:start w:w="80" w:type="dxa"/>
              <w:end w:w="80" w:type="dxa"/>
            </w:tcMar>
          </w:tcPr>
          <w:p>
            <w:pPr>
              <w:spacing w:after="0" w:line="240" w:lineRule="auto"/>
            </w:pPr>
            <w:r/>
            <w:r>
              <w:rPr>
                <w:sz w:val="17"/>
              </w:rPr>
              <w:t>Hartleigh Investments</w:t>
            </w:r>
          </w:p>
        </w:tc>
        <w:tc>
          <w:tcPr>
            <w:tcW w:type="dxa" w:w="1944"/>
            <w:tcMar>
              <w:top w:w="40" w:type="dxa"/>
              <w:bottom w:w="40" w:type="dxa"/>
              <w:start w:w="80" w:type="dxa"/>
              <w:end w:w="80" w:type="dxa"/>
            </w:tcMar>
          </w:tcPr>
          <w:p>
            <w:pPr>
              <w:spacing w:after="0" w:line="240" w:lineRule="auto"/>
            </w:pPr>
            <w:r/>
            <w:r>
              <w:rPr>
                <w:sz w:val="17"/>
              </w:rPr>
              <w:t>Tidewater Securities (-7724)</w:t>
            </w:r>
          </w:p>
        </w:tc>
        <w:tc>
          <w:tcPr>
            <w:tcW w:type="dxa" w:w="2160"/>
            <w:tcMar>
              <w:top w:w="40" w:type="dxa"/>
              <w:bottom w:w="40" w:type="dxa"/>
              <w:start w:w="80" w:type="dxa"/>
              <w:end w:w="80" w:type="dxa"/>
            </w:tcMar>
          </w:tcPr>
          <w:p>
            <w:pPr>
              <w:spacing w:after="0" w:line="240" w:lineRule="auto"/>
            </w:pPr>
            <w:r/>
            <w:r>
              <w:rPr>
                <w:sz w:val="17"/>
              </w:rPr>
              <w:t>Northbridge Wealth Advisors (8837)</w:t>
            </w:r>
          </w:p>
        </w:tc>
        <w:tc>
          <w:tcPr>
            <w:tcW w:type="dxa" w:w="2232"/>
            <w:tcMar>
              <w:top w:w="40" w:type="dxa"/>
              <w:bottom w:w="40" w:type="dxa"/>
              <w:start w:w="80" w:type="dxa"/>
              <w:end w:w="80" w:type="dxa"/>
            </w:tcMar>
          </w:tcPr>
          <w:p>
            <w:pPr>
              <w:spacing w:after="0" w:line="240" w:lineRule="auto"/>
            </w:pPr>
            <w:r/>
            <w:r>
              <w:rPr>
                <w:sz w:val="17"/>
              </w:rPr>
              <w:t>Both drafts wrong; correct to Northbridge; flag same-custodian commingling risk</w:t>
            </w:r>
          </w:p>
        </w:tc>
      </w:tr>
      <w:tr>
        <w:tc>
          <w:tcPr>
            <w:tcW w:type="dxa" w:w="1944"/>
            <w:tcMar>
              <w:top w:w="40" w:type="dxa"/>
              <w:bottom w:w="40" w:type="dxa"/>
              <w:start w:w="80" w:type="dxa"/>
              <w:end w:w="80" w:type="dxa"/>
            </w:tcMar>
            <w:shd w:val="clear" w:color="auto" w:fill="EEF1F5"/>
          </w:tcPr>
          <w:p>
            <w:pPr>
              <w:spacing w:after="0" w:line="240" w:lineRule="auto"/>
            </w:pPr>
            <w:r/>
            <w:r>
              <w:rPr>
                <w:sz w:val="17"/>
              </w:rPr>
              <w:t>Wife 403(b) custodian / value</w:t>
            </w:r>
          </w:p>
        </w:tc>
        <w:tc>
          <w:tcPr>
            <w:tcW w:type="dxa" w:w="1656"/>
            <w:tcMar>
              <w:top w:w="40" w:type="dxa"/>
              <w:bottom w:w="40" w:type="dxa"/>
              <w:start w:w="80" w:type="dxa"/>
              <w:end w:w="80" w:type="dxa"/>
            </w:tcMar>
            <w:shd w:val="clear" w:color="auto" w:fill="EEF1F5"/>
          </w:tcPr>
          <w:p>
            <w:pPr>
              <w:spacing w:after="0" w:line="240" w:lineRule="auto"/>
            </w:pPr>
            <w:r/>
            <w:r>
              <w:rPr>
                <w:sz w:val="17"/>
              </w:rPr>
              <w:t>(combined $2.34M)</w:t>
            </w:r>
          </w:p>
        </w:tc>
        <w:tc>
          <w:tcPr>
            <w:tcW w:type="dxa" w:w="1944"/>
            <w:tcMar>
              <w:top w:w="40" w:type="dxa"/>
              <w:bottom w:w="40" w:type="dxa"/>
              <w:start w:w="80" w:type="dxa"/>
              <w:end w:w="80" w:type="dxa"/>
            </w:tcMar>
            <w:shd w:val="clear" w:color="auto" w:fill="EEF1F5"/>
          </w:tcPr>
          <w:p>
            <w:pPr>
              <w:spacing w:after="0" w:line="240" w:lineRule="auto"/>
            </w:pPr>
            <w:r/>
            <w:r>
              <w:rPr>
                <w:sz w:val="17"/>
              </w:rPr>
              <w:t>TIAA-CREF / $1,440,000</w:t>
            </w:r>
          </w:p>
        </w:tc>
        <w:tc>
          <w:tcPr>
            <w:tcW w:type="dxa" w:w="2160"/>
            <w:tcMar>
              <w:top w:w="40" w:type="dxa"/>
              <w:bottom w:w="40" w:type="dxa"/>
              <w:start w:w="80" w:type="dxa"/>
              <w:end w:w="80" w:type="dxa"/>
            </w:tcMar>
            <w:shd w:val="clear" w:color="auto" w:fill="EEF1F5"/>
          </w:tcPr>
          <w:p>
            <w:pPr>
              <w:spacing w:after="0" w:line="240" w:lineRule="auto"/>
            </w:pPr>
            <w:r/>
            <w:r>
              <w:rPr>
                <w:sz w:val="17"/>
              </w:rPr>
              <w:t>Northbridge (7842) / $1,415,000</w:t>
            </w:r>
          </w:p>
        </w:tc>
        <w:tc>
          <w:tcPr>
            <w:tcW w:type="dxa" w:w="2232"/>
            <w:tcMar>
              <w:top w:w="40" w:type="dxa"/>
              <w:bottom w:w="40" w:type="dxa"/>
              <w:start w:w="80" w:type="dxa"/>
              <w:end w:w="80" w:type="dxa"/>
            </w:tcMar>
            <w:shd w:val="clear" w:color="auto" w:fill="EEF1F5"/>
          </w:tcPr>
          <w:p>
            <w:pPr>
              <w:spacing w:after="0" w:line="240" w:lineRule="auto"/>
            </w:pPr>
            <w:r/>
            <w:r>
              <w:rPr>
                <w:sz w:val="17"/>
              </w:rPr>
              <w:t>Correct custodian and value</w:t>
            </w:r>
          </w:p>
        </w:tc>
      </w:tr>
      <w:tr>
        <w:tc>
          <w:tcPr>
            <w:tcW w:type="dxa" w:w="1944"/>
            <w:tcMar>
              <w:top w:w="40" w:type="dxa"/>
              <w:bottom w:w="40" w:type="dxa"/>
              <w:start w:w="80" w:type="dxa"/>
              <w:end w:w="80" w:type="dxa"/>
            </w:tcMar>
          </w:tcPr>
          <w:p>
            <w:pPr>
              <w:spacing w:after="0" w:line="240" w:lineRule="auto"/>
            </w:pPr>
            <w:r/>
            <w:r>
              <w:rPr>
                <w:sz w:val="17"/>
              </w:rPr>
              <w:t>Wife defined-benefit pension value</w:t>
            </w:r>
          </w:p>
        </w:tc>
        <w:tc>
          <w:tcPr>
            <w:tcW w:type="dxa" w:w="1656"/>
            <w:tcMar>
              <w:top w:w="40" w:type="dxa"/>
              <w:bottom w:w="40" w:type="dxa"/>
              <w:start w:w="80" w:type="dxa"/>
              <w:end w:w="80" w:type="dxa"/>
            </w:tcMar>
          </w:tcPr>
          <w:p>
            <w:pPr>
              <w:spacing w:after="0" w:line="240" w:lineRule="auto"/>
            </w:pPr>
            <w:r/>
            <w:r>
              <w:rPr>
                <w:sz w:val="17"/>
              </w:rPr>
              <w:t>(combined)</w:t>
            </w:r>
          </w:p>
        </w:tc>
        <w:tc>
          <w:tcPr>
            <w:tcW w:type="dxa" w:w="1944"/>
            <w:tcMar>
              <w:top w:w="40" w:type="dxa"/>
              <w:bottom w:w="40" w:type="dxa"/>
              <w:start w:w="80" w:type="dxa"/>
              <w:end w:w="80" w:type="dxa"/>
            </w:tcMar>
          </w:tcPr>
          <w:p>
            <w:pPr>
              <w:spacing w:after="0" w:line="240" w:lineRule="auto"/>
            </w:pPr>
            <w:r/>
            <w:r>
              <w:rPr>
                <w:sz w:val="17"/>
              </w:rPr>
              <w:t>$900,000</w:t>
            </w:r>
          </w:p>
        </w:tc>
        <w:tc>
          <w:tcPr>
            <w:tcW w:type="dxa" w:w="2160"/>
            <w:tcMar>
              <w:top w:w="40" w:type="dxa"/>
              <w:bottom w:w="40" w:type="dxa"/>
              <w:start w:w="80" w:type="dxa"/>
              <w:end w:w="80" w:type="dxa"/>
            </w:tcMar>
          </w:tcPr>
          <w:p>
            <w:pPr>
              <w:spacing w:after="0" w:line="240" w:lineRule="auto"/>
            </w:pPr>
            <w:r/>
            <w:r>
              <w:rPr>
                <w:sz w:val="17"/>
              </w:rPr>
              <w:t>$925,000 (L&amp;F W-3)</w:t>
            </w:r>
          </w:p>
        </w:tc>
        <w:tc>
          <w:tcPr>
            <w:tcW w:type="dxa" w:w="2232"/>
            <w:tcMar>
              <w:top w:w="40" w:type="dxa"/>
              <w:bottom w:w="40" w:type="dxa"/>
              <w:start w:w="80" w:type="dxa"/>
              <w:end w:w="80" w:type="dxa"/>
            </w:tcMar>
          </w:tcPr>
          <w:p>
            <w:pPr>
              <w:spacing w:after="0" w:line="240" w:lineRule="auto"/>
            </w:pPr>
            <w:r/>
            <w:r>
              <w:rPr>
                <w:sz w:val="17"/>
              </w:rPr>
              <w:t>Correct to $925,000</w:t>
            </w:r>
          </w:p>
        </w:tc>
      </w:tr>
      <w:tr>
        <w:tc>
          <w:tcPr>
            <w:tcW w:type="dxa" w:w="1944"/>
            <w:tcMar>
              <w:top w:w="40" w:type="dxa"/>
              <w:bottom w:w="40" w:type="dxa"/>
              <w:start w:w="80" w:type="dxa"/>
              <w:end w:w="80" w:type="dxa"/>
            </w:tcMar>
            <w:shd w:val="clear" w:color="auto" w:fill="EEF1F5"/>
          </w:tcPr>
          <w:p>
            <w:pPr>
              <w:spacing w:after="0" w:line="240" w:lineRule="auto"/>
            </w:pPr>
            <w:r/>
            <w:r>
              <w:rPr>
                <w:sz w:val="17"/>
              </w:rPr>
              <w:t>Husband 401(k) custodian</w:t>
            </w:r>
          </w:p>
        </w:tc>
        <w:tc>
          <w:tcPr>
            <w:tcW w:type="dxa" w:w="1656"/>
            <w:tcMar>
              <w:top w:w="40" w:type="dxa"/>
              <w:bottom w:w="40" w:type="dxa"/>
              <w:start w:w="80" w:type="dxa"/>
              <w:end w:w="80" w:type="dxa"/>
            </w:tcMar>
            <w:shd w:val="clear" w:color="auto" w:fill="EEF1F5"/>
          </w:tcPr>
          <w:p>
            <w:pPr>
              <w:spacing w:after="0" w:line="240" w:lineRule="auto"/>
            </w:pPr>
            <w:r/>
            <w:r>
              <w:rPr>
                <w:sz w:val="17"/>
              </w:rPr>
              <w:t>(not specified)</w:t>
            </w:r>
          </w:p>
        </w:tc>
        <w:tc>
          <w:tcPr>
            <w:tcW w:type="dxa" w:w="1944"/>
            <w:tcMar>
              <w:top w:w="40" w:type="dxa"/>
              <w:bottom w:w="40" w:type="dxa"/>
              <w:start w:w="80" w:type="dxa"/>
              <w:end w:w="80" w:type="dxa"/>
            </w:tcMar>
            <w:shd w:val="clear" w:color="auto" w:fill="EEF1F5"/>
          </w:tcPr>
          <w:p>
            <w:pPr>
              <w:spacing w:after="0" w:line="240" w:lineRule="auto"/>
            </w:pPr>
            <w:r/>
            <w:r>
              <w:rPr>
                <w:sz w:val="17"/>
              </w:rPr>
              <w:t>Hartleigh Investments</w:t>
            </w:r>
          </w:p>
        </w:tc>
        <w:tc>
          <w:tcPr>
            <w:tcW w:type="dxa" w:w="2160"/>
            <w:tcMar>
              <w:top w:w="40" w:type="dxa"/>
              <w:bottom w:w="40" w:type="dxa"/>
              <w:start w:w="80" w:type="dxa"/>
              <w:end w:w="80" w:type="dxa"/>
            </w:tcMar>
            <w:shd w:val="clear" w:color="auto" w:fill="EEF1F5"/>
          </w:tcPr>
          <w:p>
            <w:pPr>
              <w:spacing w:after="0" w:line="240" w:lineRule="auto"/>
            </w:pPr>
            <w:r/>
            <w:r>
              <w:rPr>
                <w:sz w:val="17"/>
              </w:rPr>
              <w:t>Northbridge Wealth Advisors (5518)</w:t>
            </w:r>
          </w:p>
        </w:tc>
        <w:tc>
          <w:tcPr>
            <w:tcW w:type="dxa" w:w="2232"/>
            <w:tcMar>
              <w:top w:w="40" w:type="dxa"/>
              <w:bottom w:w="40" w:type="dxa"/>
              <w:start w:w="80" w:type="dxa"/>
              <w:end w:w="80" w:type="dxa"/>
            </w:tcMar>
            <w:shd w:val="clear" w:color="auto" w:fill="EEF1F5"/>
          </w:tcPr>
          <w:p>
            <w:pPr>
              <w:spacing w:after="0" w:line="240" w:lineRule="auto"/>
            </w:pPr>
            <w:r/>
            <w:r>
              <w:rPr>
                <w:sz w:val="17"/>
              </w:rPr>
              <w:t>Correct to Northbridge</w:t>
            </w:r>
          </w:p>
        </w:tc>
      </w:tr>
      <w:tr>
        <w:tc>
          <w:tcPr>
            <w:tcW w:type="dxa" w:w="1944"/>
            <w:tcMar>
              <w:top w:w="40" w:type="dxa"/>
              <w:bottom w:w="40" w:type="dxa"/>
              <w:start w:w="80" w:type="dxa"/>
              <w:end w:w="80" w:type="dxa"/>
            </w:tcMar>
          </w:tcPr>
          <w:p>
            <w:pPr>
              <w:spacing w:after="0" w:line="240" w:lineRule="auto"/>
            </w:pPr>
            <w:r/>
            <w:r>
              <w:rPr>
                <w:sz w:val="17"/>
              </w:rPr>
              <w:t>Joint checking/savings banks</w:t>
            </w:r>
          </w:p>
        </w:tc>
        <w:tc>
          <w:tcPr>
            <w:tcW w:type="dxa" w:w="1656"/>
            <w:tcMar>
              <w:top w:w="40" w:type="dxa"/>
              <w:bottom w:w="40" w:type="dxa"/>
              <w:start w:w="80" w:type="dxa"/>
              <w:end w:w="80" w:type="dxa"/>
            </w:tcMar>
          </w:tcPr>
          <w:p>
            <w:pPr>
              <w:spacing w:after="0" w:line="240" w:lineRule="auto"/>
            </w:pPr>
            <w:r/>
            <w:r>
              <w:rPr>
                <w:sz w:val="17"/>
              </w:rPr>
              <w:t>“joint savings and checking”</w:t>
            </w:r>
          </w:p>
        </w:tc>
        <w:tc>
          <w:tcPr>
            <w:tcW w:type="dxa" w:w="1944"/>
            <w:tcMar>
              <w:top w:w="40" w:type="dxa"/>
              <w:bottom w:w="40" w:type="dxa"/>
              <w:start w:w="80" w:type="dxa"/>
              <w:end w:w="80" w:type="dxa"/>
            </w:tcMar>
          </w:tcPr>
          <w:p>
            <w:pPr>
              <w:spacing w:after="0" w:line="240" w:lineRule="auto"/>
            </w:pPr>
            <w:r/>
            <w:r>
              <w:rPr>
                <w:sz w:val="17"/>
              </w:rPr>
              <w:t>First Saxonbrook + Hollcroft Fiduciary</w:t>
            </w:r>
          </w:p>
        </w:tc>
        <w:tc>
          <w:tcPr>
            <w:tcW w:type="dxa" w:w="2160"/>
            <w:tcMar>
              <w:top w:w="40" w:type="dxa"/>
              <w:bottom w:w="40" w:type="dxa"/>
              <w:start w:w="80" w:type="dxa"/>
              <w:end w:w="80" w:type="dxa"/>
            </w:tcMar>
          </w:tcPr>
          <w:p>
            <w:pPr>
              <w:spacing w:after="0" w:line="240" w:lineRule="auto"/>
            </w:pPr>
            <w:r/>
            <w:r>
              <w:rPr>
                <w:sz w:val="17"/>
              </w:rPr>
              <w:t>First Saxonbrook (both: 4410, 4417)</w:t>
            </w:r>
          </w:p>
        </w:tc>
        <w:tc>
          <w:tcPr>
            <w:tcW w:type="dxa" w:w="2232"/>
            <w:tcMar>
              <w:top w:w="40" w:type="dxa"/>
              <w:bottom w:w="40" w:type="dxa"/>
              <w:start w:w="80" w:type="dxa"/>
              <w:end w:w="80" w:type="dxa"/>
            </w:tcMar>
          </w:tcPr>
          <w:p>
            <w:pPr>
              <w:spacing w:after="0" w:line="240" w:lineRule="auto"/>
            </w:pPr>
            <w:r/>
            <w:r>
              <w:rPr>
                <w:sz w:val="17"/>
              </w:rPr>
              <w:t>“Hollcroft Fiduciary” is erroneous (Hollcroft is the credit-card issuer); correct</w:t>
            </w:r>
          </w:p>
        </w:tc>
      </w:tr>
      <w:tr>
        <w:tc>
          <w:tcPr>
            <w:tcW w:type="dxa" w:w="1944"/>
            <w:tcMar>
              <w:top w:w="40" w:type="dxa"/>
              <w:bottom w:w="40" w:type="dxa"/>
              <w:start w:w="80" w:type="dxa"/>
              <w:end w:w="80" w:type="dxa"/>
            </w:tcMar>
            <w:shd w:val="clear" w:color="auto" w:fill="EEF1F5"/>
          </w:tcPr>
          <w:p>
            <w:pPr>
              <w:spacing w:after="0" w:line="240" w:lineRule="auto"/>
            </w:pPr>
            <w:r/>
            <w:r>
              <w:rPr>
                <w:sz w:val="17"/>
              </w:rPr>
              <w:t>Door County property appraiser</w:t>
            </w:r>
          </w:p>
        </w:tc>
        <w:tc>
          <w:tcPr>
            <w:tcW w:type="dxa" w:w="1656"/>
            <w:tcMar>
              <w:top w:w="40" w:type="dxa"/>
              <w:bottom w:w="40" w:type="dxa"/>
              <w:start w:w="80" w:type="dxa"/>
              <w:end w:w="80" w:type="dxa"/>
            </w:tcMar>
            <w:shd w:val="clear" w:color="auto" w:fill="EEF1F5"/>
          </w:tcPr>
          <w:p>
            <w:pPr>
              <w:spacing w:after="0" w:line="240" w:lineRule="auto"/>
            </w:pPr>
            <w:r/>
            <w:r>
              <w:rPr>
                <w:sz w:val="17"/>
              </w:rPr>
              <w:t>(not specified)</w:t>
            </w:r>
          </w:p>
        </w:tc>
        <w:tc>
          <w:tcPr>
            <w:tcW w:type="dxa" w:w="1944"/>
            <w:tcMar>
              <w:top w:w="40" w:type="dxa"/>
              <w:bottom w:w="40" w:type="dxa"/>
              <w:start w:w="80" w:type="dxa"/>
              <w:end w:w="80" w:type="dxa"/>
            </w:tcMar>
            <w:shd w:val="clear" w:color="auto" w:fill="EEF1F5"/>
          </w:tcPr>
          <w:p>
            <w:pPr>
              <w:spacing w:after="0" w:line="240" w:lineRule="auto"/>
            </w:pPr>
            <w:r/>
            <w:r>
              <w:rPr>
                <w:sz w:val="17"/>
              </w:rPr>
              <w:t>Midwest Appraisal Associates (Oct. 15, 2024)</w:t>
            </w:r>
          </w:p>
        </w:tc>
        <w:tc>
          <w:tcPr>
            <w:tcW w:type="dxa" w:w="2160"/>
            <w:tcMar>
              <w:top w:w="40" w:type="dxa"/>
              <w:bottom w:w="40" w:type="dxa"/>
              <w:start w:w="80" w:type="dxa"/>
              <w:end w:w="80" w:type="dxa"/>
            </w:tcMar>
            <w:shd w:val="clear" w:color="auto" w:fill="EEF1F5"/>
          </w:tcPr>
          <w:p>
            <w:pPr>
              <w:spacing w:after="0" w:line="240" w:lineRule="auto"/>
            </w:pPr>
            <w:r/>
            <w:r>
              <w:rPr>
                <w:sz w:val="17"/>
              </w:rPr>
              <w:t>Pendleton Appraisal Group (L&amp;F H-7)</w:t>
            </w:r>
          </w:p>
        </w:tc>
        <w:tc>
          <w:tcPr>
            <w:tcW w:type="dxa" w:w="2232"/>
            <w:tcMar>
              <w:top w:w="40" w:type="dxa"/>
              <w:bottom w:w="40" w:type="dxa"/>
              <w:start w:w="80" w:type="dxa"/>
              <w:end w:w="80" w:type="dxa"/>
            </w:tcMar>
            <w:shd w:val="clear" w:color="auto" w:fill="EEF1F5"/>
          </w:tcPr>
          <w:p>
            <w:pPr>
              <w:spacing w:after="0" w:line="240" w:lineRule="auto"/>
            </w:pPr>
            <w:r/>
            <w:r>
              <w:rPr>
                <w:sz w:val="17"/>
              </w:rPr>
              <w:t>Correct to Pendleton</w:t>
            </w:r>
          </w:p>
        </w:tc>
      </w:tr>
      <w:tr>
        <w:tc>
          <w:tcPr>
            <w:tcW w:type="dxa" w:w="1944"/>
            <w:tcMar>
              <w:top w:w="40" w:type="dxa"/>
              <w:bottom w:w="40" w:type="dxa"/>
              <w:start w:w="80" w:type="dxa"/>
              <w:end w:w="80" w:type="dxa"/>
            </w:tcMar>
          </w:tcPr>
          <w:p>
            <w:pPr>
              <w:spacing w:after="0" w:line="240" w:lineRule="auto"/>
            </w:pPr>
            <w:r/>
            <w:r>
              <w:rPr>
                <w:sz w:val="17"/>
              </w:rPr>
              <w:t>Wife individual credit-card balance</w:t>
            </w:r>
          </w:p>
        </w:tc>
        <w:tc>
          <w:tcPr>
            <w:tcW w:type="dxa" w:w="1656"/>
            <w:tcMar>
              <w:top w:w="40" w:type="dxa"/>
              <w:bottom w:w="40" w:type="dxa"/>
              <w:start w:w="80" w:type="dxa"/>
              <w:end w:w="80" w:type="dxa"/>
            </w:tcMar>
          </w:tcPr>
          <w:p>
            <w:pPr>
              <w:spacing w:after="0" w:line="240" w:lineRule="auto"/>
            </w:pPr>
            <w:r/>
            <w:r>
              <w:rPr>
                <w:sz w:val="17"/>
              </w:rPr>
              <w:t>(not listed)</w:t>
            </w:r>
          </w:p>
        </w:tc>
        <w:tc>
          <w:tcPr>
            <w:tcW w:type="dxa" w:w="1944"/>
            <w:tcMar>
              <w:top w:w="40" w:type="dxa"/>
              <w:bottom w:w="40" w:type="dxa"/>
              <w:start w:w="80" w:type="dxa"/>
              <w:end w:w="80" w:type="dxa"/>
            </w:tcMar>
          </w:tcPr>
          <w:p>
            <w:pPr>
              <w:spacing w:after="0" w:line="240" w:lineRule="auto"/>
            </w:pPr>
            <w:r/>
            <w:r>
              <w:rPr>
                <w:sz w:val="17"/>
              </w:rPr>
              <w:t>$4,200</w:t>
            </w:r>
          </w:p>
        </w:tc>
        <w:tc>
          <w:tcPr>
            <w:tcW w:type="dxa" w:w="2160"/>
            <w:tcMar>
              <w:top w:w="40" w:type="dxa"/>
              <w:bottom w:w="40" w:type="dxa"/>
              <w:start w:w="80" w:type="dxa"/>
              <w:end w:w="80" w:type="dxa"/>
            </w:tcMar>
          </w:tcPr>
          <w:p>
            <w:pPr>
              <w:spacing w:after="0" w:line="240" w:lineRule="auto"/>
            </w:pPr>
            <w:r/>
            <w:r>
              <w:rPr>
                <w:sz w:val="17"/>
              </w:rPr>
              <w:t>$3,200 (Valemont Visa 4412)</w:t>
            </w:r>
          </w:p>
        </w:tc>
        <w:tc>
          <w:tcPr>
            <w:tcW w:type="dxa" w:w="2232"/>
            <w:tcMar>
              <w:top w:w="40" w:type="dxa"/>
              <w:bottom w:w="40" w:type="dxa"/>
              <w:start w:w="80" w:type="dxa"/>
              <w:end w:w="80" w:type="dxa"/>
            </w:tcMar>
          </w:tcPr>
          <w:p>
            <w:pPr>
              <w:spacing w:after="0" w:line="240" w:lineRule="auto"/>
            </w:pPr>
            <w:r/>
            <w:r>
              <w:rPr>
                <w:sz w:val="17"/>
              </w:rPr>
              <w:t>Correct to $3,200</w:t>
            </w:r>
          </w:p>
        </w:tc>
      </w:tr>
      <w:tr>
        <w:tc>
          <w:tcPr>
            <w:tcW w:type="dxa" w:w="1944"/>
            <w:tcMar>
              <w:top w:w="40" w:type="dxa"/>
              <w:bottom w:w="40" w:type="dxa"/>
              <w:start w:w="80" w:type="dxa"/>
              <w:end w:w="80" w:type="dxa"/>
            </w:tcMar>
            <w:shd w:val="clear" w:color="auto" w:fill="EEF1F5"/>
          </w:tcPr>
          <w:p>
            <w:pPr>
              <w:spacing w:after="0" w:line="240" w:lineRule="auto"/>
            </w:pPr>
            <w:r/>
            <w:r>
              <w:rPr>
                <w:sz w:val="17"/>
              </w:rPr>
              <w:t>Joint investment account number</w:t>
            </w:r>
          </w:p>
        </w:tc>
        <w:tc>
          <w:tcPr>
            <w:tcW w:type="dxa" w:w="1656"/>
            <w:tcMar>
              <w:top w:w="40" w:type="dxa"/>
              <w:bottom w:w="40" w:type="dxa"/>
              <w:start w:w="80" w:type="dxa"/>
              <w:end w:w="80" w:type="dxa"/>
            </w:tcMar>
            <w:shd w:val="clear" w:color="auto" w:fill="EEF1F5"/>
          </w:tcPr>
          <w:p>
            <w:pPr>
              <w:spacing w:after="0" w:line="240" w:lineRule="auto"/>
            </w:pPr>
            <w:r/>
            <w:r>
              <w:rPr>
                <w:sz w:val="17"/>
              </w:rPr>
              <w:t>(not specified)</w:t>
            </w:r>
          </w:p>
        </w:tc>
        <w:tc>
          <w:tcPr>
            <w:tcW w:type="dxa" w:w="1944"/>
            <w:tcMar>
              <w:top w:w="40" w:type="dxa"/>
              <w:bottom w:w="40" w:type="dxa"/>
              <w:start w:w="80" w:type="dxa"/>
              <w:end w:w="80" w:type="dxa"/>
            </w:tcMar>
            <w:shd w:val="clear" w:color="auto" w:fill="EEF1F5"/>
          </w:tcPr>
          <w:p>
            <w:pPr>
              <w:spacing w:after="0" w:line="240" w:lineRule="auto"/>
            </w:pPr>
            <w:r/>
            <w:r>
              <w:rPr>
                <w:sz w:val="17"/>
              </w:rPr>
              <w:t>-3961</w:t>
            </w:r>
          </w:p>
        </w:tc>
        <w:tc>
          <w:tcPr>
            <w:tcW w:type="dxa" w:w="2160"/>
            <w:tcMar>
              <w:top w:w="40" w:type="dxa"/>
              <w:bottom w:w="40" w:type="dxa"/>
              <w:start w:w="80" w:type="dxa"/>
              <w:end w:w="80" w:type="dxa"/>
            </w:tcMar>
            <w:shd w:val="clear" w:color="auto" w:fill="EEF1F5"/>
          </w:tcPr>
          <w:p>
            <w:pPr>
              <w:spacing w:after="0" w:line="240" w:lineRule="auto"/>
            </w:pPr>
            <w:r/>
            <w:r>
              <w:rPr>
                <w:sz w:val="17"/>
              </w:rPr>
              <w:t>3291 (L&amp;F J-2)</w:t>
            </w:r>
          </w:p>
        </w:tc>
        <w:tc>
          <w:tcPr>
            <w:tcW w:type="dxa" w:w="2232"/>
            <w:tcMar>
              <w:top w:w="40" w:type="dxa"/>
              <w:bottom w:w="40" w:type="dxa"/>
              <w:start w:w="80" w:type="dxa"/>
              <w:end w:w="80" w:type="dxa"/>
            </w:tcMar>
            <w:shd w:val="clear" w:color="auto" w:fill="EEF1F5"/>
          </w:tcPr>
          <w:p>
            <w:pPr>
              <w:spacing w:after="0" w:line="240" w:lineRule="auto"/>
            </w:pPr>
            <w:r/>
            <w:r>
              <w:rPr>
                <w:sz w:val="17"/>
              </w:rPr>
              <w:t>Correct to 3291</w:t>
            </w:r>
          </w:p>
        </w:tc>
      </w:tr>
      <w:tr>
        <w:tc>
          <w:tcPr>
            <w:tcW w:type="dxa" w:w="1944"/>
            <w:tcMar>
              <w:top w:w="40" w:type="dxa"/>
              <w:bottom w:w="40" w:type="dxa"/>
              <w:start w:w="80" w:type="dxa"/>
              <w:end w:w="80" w:type="dxa"/>
            </w:tcMar>
          </w:tcPr>
          <w:p>
            <w:pPr>
              <w:spacing w:after="0" w:line="240" w:lineRule="auto"/>
            </w:pPr>
            <w:r/>
            <w:r>
              <w:rPr>
                <w:sz w:val="17"/>
              </w:rPr>
              <w:t>Wife’s hospital practice start</w:t>
            </w:r>
          </w:p>
        </w:tc>
        <w:tc>
          <w:tcPr>
            <w:tcW w:type="dxa" w:w="1656"/>
            <w:tcMar>
              <w:top w:w="40" w:type="dxa"/>
              <w:bottom w:w="40" w:type="dxa"/>
              <w:start w:w="80" w:type="dxa"/>
              <w:end w:w="80" w:type="dxa"/>
            </w:tcMar>
          </w:tcPr>
          <w:p>
            <w:pPr>
              <w:spacing w:after="0" w:line="240" w:lineRule="auto"/>
            </w:pPr>
            <w:r/>
            <w:r>
              <w:rPr>
                <w:sz w:val="17"/>
              </w:rPr>
              <w:t>“since fellowship”</w:t>
            </w:r>
          </w:p>
        </w:tc>
        <w:tc>
          <w:tcPr>
            <w:tcW w:type="dxa" w:w="1944"/>
            <w:tcMar>
              <w:top w:w="40" w:type="dxa"/>
              <w:bottom w:w="40" w:type="dxa"/>
              <w:start w:w="80" w:type="dxa"/>
              <w:end w:w="80" w:type="dxa"/>
            </w:tcMar>
          </w:tcPr>
          <w:p>
            <w:pPr>
              <w:spacing w:after="0" w:line="240" w:lineRule="auto"/>
            </w:pPr>
            <w:r/>
            <w:r>
              <w:rPr>
                <w:sz w:val="17"/>
              </w:rPr>
              <w:t>since 2011</w:t>
            </w:r>
          </w:p>
        </w:tc>
        <w:tc>
          <w:tcPr>
            <w:tcW w:type="dxa" w:w="2160"/>
            <w:tcMar>
              <w:top w:w="40" w:type="dxa"/>
              <w:bottom w:w="40" w:type="dxa"/>
              <w:start w:w="80" w:type="dxa"/>
              <w:end w:w="80" w:type="dxa"/>
            </w:tcMar>
          </w:tcPr>
          <w:p>
            <w:pPr>
              <w:spacing w:after="0" w:line="240" w:lineRule="auto"/>
            </w:pPr>
            <w:r/>
            <w:r>
              <w:rPr>
                <w:sz w:val="17"/>
              </w:rPr>
              <w:t>“over 15 years” (~2009; intake)</w:t>
            </w:r>
          </w:p>
        </w:tc>
        <w:tc>
          <w:tcPr>
            <w:tcW w:type="dxa" w:w="2232"/>
            <w:tcMar>
              <w:top w:w="40" w:type="dxa"/>
              <w:bottom w:w="40" w:type="dxa"/>
              <w:start w:w="80" w:type="dxa"/>
              <w:end w:w="80" w:type="dxa"/>
            </w:tcMar>
          </w:tcPr>
          <w:p>
            <w:pPr>
              <w:spacing w:after="0" w:line="240" w:lineRule="auto"/>
            </w:pPr>
            <w:r/>
            <w:r>
              <w:rPr>
                <w:sz w:val="17"/>
              </w:rPr>
              <w:t>Verify employment records</w:t>
            </w:r>
          </w:p>
        </w:tc>
      </w:tr>
    </w:tbl>
    <w:p>
      <w:pPr>
        <w:spacing w:before="80" w:after="120" w:lineRule="auto" w:line="259"/>
      </w:pPr>
      <w:r>
        <w:rPr>
          <w:b w:val="0"/>
          <w:i w:val="0"/>
          <w:sz w:val="22"/>
        </w:rPr>
        <w:t>Two points warrant emphasis. First, the Inheritance brokerage account is, per the verified schedules, held at Northbridge Wealth Advisors — the same custodian as the commingled Joint Investment Account and both parties’ retirement accounts. Both drafts misidentify the custodian (the Original Draft says Hartleigh; the Redline says Tidewater). Correcting this is not merely cosmetic: co-located separate and joint assets heighten tracing and commingling risk, which is directly relevant to the commingling-rule dispute in Section III.B. We should obtain current statements confirming the account is titled solely in Husband’s name and is not funded with or commingled by marital contributions.</w:t>
      </w:r>
    </w:p>
    <w:p>
      <w:pPr>
        <w:spacing w:before="80" w:after="120" w:lineRule="auto" w:line="259"/>
      </w:pPr>
      <w:r>
        <w:rPr>
          <w:b w:val="0"/>
          <w:i w:val="0"/>
          <w:sz w:val="22"/>
        </w:rPr>
        <w:t>Second, the mother’s death date is inconsistent across all three sources (August 12, September 3, and “October 2024”). The Inheritance is described in all sources as received in October 2024, and the intake memorandum and financial schedules describe the mother as “deceased October 2024,” which suggests both the Original Draft (August 12) and the Redline (September 3) may be wrong. We should obtain the death certificate and the probate/estate inventory and conform the Recital (Section 1.6) accordingly. The children’s birth dates should be conformed to their birth certificates; the Redline’s Julian date (November 9, 2015) appears consistent with his stated age (9), whereas the Original Draft’s date (March 22, 2016) would make him 8.</w:t>
      </w:r>
    </w:p>
    <w:p>
      <w:pPr>
        <w:keepNext/>
        <w:spacing w:before="280" w:after="80"/>
        <w:pBdr>
          <w:bottom w:val="single" w:sz="6" w:space="2" w:color="1F3355"/>
        </w:pBdr>
      </w:pPr>
      <w:r>
        <w:rPr>
          <w:b/>
          <w:color w:val="1F3355"/>
          <w:sz w:val="25"/>
        </w:rPr>
        <w:t>VI.  NET EFFECT AND DOLLAR-IMPACT ANALYSIS</w:t>
      </w:r>
    </w:p>
    <w:p>
      <w:pPr>
        <w:spacing w:before="0" w:after="120" w:lineRule="auto" w:line="259"/>
      </w:pPr>
      <w:r>
        <w:rPr>
          <w:b w:val="0"/>
          <w:i w:val="0"/>
          <w:sz w:val="22"/>
        </w:rPr>
        <w:t>The Redline is best understood as a package trade: Husband’s counsel concedes ground on maintenance and on the Practice Interest appreciation framework (both favorable to Wife) while taking significant ground on the commingled premarital savings, the commingling/transmutation rule, the RSU division, the disclosure/voidability regime, and the modification mechanism. The following table summarizes the principal economic moving parts. Figures are estimates for negotiation purposes; the maintenance figures in particular are sensitive to future-income assumptions.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952"/>
            <w:shd w:val="clear" w:color="auto" w:fill="1F3355"/>
            <w:tcMar>
              <w:top w:w="40" w:type="dxa"/>
              <w:bottom w:w="40" w:type="dxa"/>
              <w:start w:w="80" w:type="dxa"/>
              <w:end w:w="80" w:type="dxa"/>
            </w:tcMar>
          </w:tcPr>
          <w:p>
            <w:pPr>
              <w:spacing w:after="0"/>
            </w:pPr>
            <w:r/>
            <w:r>
              <w:rPr>
                <w:b/>
                <w:color w:val="FFFFFF"/>
                <w:sz w:val="17"/>
              </w:rPr>
              <w:t>Change</w:t>
            </w:r>
          </w:p>
        </w:tc>
        <w:tc>
          <w:tcPr>
            <w:tcW w:type="dxa" w:w="1440"/>
            <w:shd w:val="clear" w:color="auto" w:fill="1F3355"/>
            <w:tcMar>
              <w:top w:w="40" w:type="dxa"/>
              <w:bottom w:w="40" w:type="dxa"/>
              <w:start w:w="80" w:type="dxa"/>
              <w:end w:w="80" w:type="dxa"/>
            </w:tcMar>
          </w:tcPr>
          <w:p>
            <w:pPr>
              <w:spacing w:after="0"/>
            </w:pPr>
            <w:r/>
            <w:r>
              <w:rPr>
                <w:b/>
                <w:color w:val="FFFFFF"/>
                <w:sz w:val="17"/>
              </w:rPr>
              <w:t>Direction</w:t>
            </w:r>
          </w:p>
        </w:tc>
        <w:tc>
          <w:tcPr>
            <w:tcW w:type="dxa" w:w="3672"/>
            <w:shd w:val="clear" w:color="auto" w:fill="1F3355"/>
            <w:tcMar>
              <w:top w:w="40" w:type="dxa"/>
              <w:bottom w:w="40" w:type="dxa"/>
              <w:start w:w="80" w:type="dxa"/>
              <w:end w:w="80" w:type="dxa"/>
            </w:tcMar>
          </w:tcPr>
          <w:p>
            <w:pPr>
              <w:spacing w:after="0"/>
            </w:pPr>
            <w:r/>
            <w:r>
              <w:rPr>
                <w:b/>
                <w:color w:val="FFFFFF"/>
                <w:sz w:val="17"/>
              </w:rPr>
              <w:t>Estimated impact</w:t>
            </w:r>
          </w:p>
        </w:tc>
        <w:tc>
          <w:tcPr>
            <w:tcW w:type="dxa" w:w="1296"/>
            <w:shd w:val="clear" w:color="auto" w:fill="1F3355"/>
            <w:tcMar>
              <w:top w:w="40" w:type="dxa"/>
              <w:bottom w:w="40" w:type="dxa"/>
              <w:start w:w="80" w:type="dxa"/>
              <w:end w:w="80" w:type="dxa"/>
            </w:tcMar>
          </w:tcPr>
          <w:p>
            <w:pPr>
              <w:spacing w:after="0"/>
            </w:pPr>
            <w:r/>
            <w:r>
              <w:rPr>
                <w:b/>
                <w:color w:val="FFFFFF"/>
                <w:sz w:val="17"/>
              </w:rPr>
              <w:t>Certainty</w:t>
            </w:r>
          </w:p>
        </w:tc>
      </w:tr>
      <w:tr>
        <w:tc>
          <w:tcPr>
            <w:tcW w:type="dxa" w:w="2952"/>
            <w:tcMar>
              <w:top w:w="40" w:type="dxa"/>
              <w:bottom w:w="40" w:type="dxa"/>
              <w:start w:w="80" w:type="dxa"/>
              <w:end w:w="80" w:type="dxa"/>
            </w:tcMar>
          </w:tcPr>
          <w:p>
            <w:pPr>
              <w:spacing w:after="0" w:line="240" w:lineRule="auto"/>
            </w:pPr>
            <w:r/>
            <w:r>
              <w:rPr>
                <w:sz w:val="17"/>
              </w:rPr>
              <w:t>Deletion of $1.2M premarital savings reimbursement (Section 5.2)</w:t>
            </w:r>
          </w:p>
        </w:tc>
        <w:tc>
          <w:tcPr>
            <w:tcW w:type="dxa" w:w="1440"/>
            <w:tcMar>
              <w:top w:w="40" w:type="dxa"/>
              <w:bottom w:w="40" w:type="dxa"/>
              <w:start w:w="80" w:type="dxa"/>
              <w:end w:w="80" w:type="dxa"/>
            </w:tcMar>
          </w:tcPr>
          <w:p>
            <w:pPr>
              <w:spacing w:after="0" w:line="240" w:lineRule="auto"/>
            </w:pPr>
            <w:r/>
            <w:r>
              <w:rPr>
                <w:sz w:val="17"/>
              </w:rPr>
              <w:t>Favors Husband</w:t>
            </w:r>
          </w:p>
        </w:tc>
        <w:tc>
          <w:tcPr>
            <w:tcW w:type="dxa" w:w="3672"/>
            <w:tcMar>
              <w:top w:w="40" w:type="dxa"/>
              <w:bottom w:w="40" w:type="dxa"/>
              <w:start w:w="80" w:type="dxa"/>
              <w:end w:w="80" w:type="dxa"/>
            </w:tcMar>
          </w:tcPr>
          <w:p>
            <w:pPr>
              <w:spacing w:after="0" w:line="240" w:lineRule="auto"/>
            </w:pPr>
            <w:r/>
            <w:r>
              <w:rPr>
                <w:sz w:val="17"/>
              </w:rPr>
              <w:t>~$600,000 transfer from Wife to Husband (Wife $935K vs. $1,535K from the $1.87M account)</w:t>
            </w:r>
          </w:p>
        </w:tc>
        <w:tc>
          <w:tcPr>
            <w:tcW w:type="dxa" w:w="1296"/>
            <w:tcMar>
              <w:top w:w="40" w:type="dxa"/>
              <w:bottom w:w="40" w:type="dxa"/>
              <w:start w:w="80" w:type="dxa"/>
              <w:end w:w="80" w:type="dxa"/>
            </w:tcMar>
          </w:tcPr>
          <w:p>
            <w:pPr>
              <w:spacing w:after="0" w:line="240" w:lineRule="auto"/>
            </w:pPr>
            <w:r/>
            <w:r>
              <w:rPr>
                <w:sz w:val="17"/>
              </w:rPr>
              <w:t>High / certain</w:t>
            </w:r>
          </w:p>
        </w:tc>
      </w:tr>
      <w:tr>
        <w:tc>
          <w:tcPr>
            <w:tcW w:type="dxa" w:w="2952"/>
            <w:tcMar>
              <w:top w:w="40" w:type="dxa"/>
              <w:bottom w:w="40" w:type="dxa"/>
              <w:start w:w="80" w:type="dxa"/>
              <w:end w:w="80" w:type="dxa"/>
            </w:tcMar>
            <w:shd w:val="clear" w:color="auto" w:fill="EEF1F5"/>
          </w:tcPr>
          <w:p>
            <w:pPr>
              <w:spacing w:after="0" w:line="240" w:lineRule="auto"/>
            </w:pPr>
            <w:r/>
            <w:r>
              <w:rPr>
                <w:sz w:val="17"/>
              </w:rPr>
              <w:t>Commingling/transmutation reversal (Section 4.3)</w:t>
            </w:r>
          </w:p>
        </w:tc>
        <w:tc>
          <w:tcPr>
            <w:tcW w:type="dxa" w:w="1440"/>
            <w:tcMar>
              <w:top w:w="40" w:type="dxa"/>
              <w:bottom w:w="40" w:type="dxa"/>
              <w:start w:w="80" w:type="dxa"/>
              <w:end w:w="80" w:type="dxa"/>
            </w:tcMar>
            <w:shd w:val="clear" w:color="auto" w:fill="EEF1F5"/>
          </w:tcPr>
          <w:p>
            <w:pPr>
              <w:spacing w:after="0" w:line="240" w:lineRule="auto"/>
            </w:pPr>
            <w:r/>
            <w:r>
              <w:rPr>
                <w:sz w:val="17"/>
              </w:rPr>
              <w:t>Favors Husband</w:t>
            </w:r>
          </w:p>
        </w:tc>
        <w:tc>
          <w:tcPr>
            <w:tcW w:type="dxa" w:w="3672"/>
            <w:tcMar>
              <w:top w:w="40" w:type="dxa"/>
              <w:bottom w:w="40" w:type="dxa"/>
              <w:start w:w="80" w:type="dxa"/>
              <w:end w:w="80" w:type="dxa"/>
            </w:tcMar>
            <w:shd w:val="clear" w:color="auto" w:fill="EEF1F5"/>
          </w:tcPr>
          <w:p>
            <w:pPr>
              <w:spacing w:after="0" w:line="240" w:lineRule="auto"/>
            </w:pPr>
            <w:r/>
            <w:r>
              <w:rPr>
                <w:sz w:val="17"/>
              </w:rPr>
              <w:t>Protects up to $3.8M Inheritance from transmutation if deployed for household; unquantified, potentially large</w:t>
            </w:r>
          </w:p>
        </w:tc>
        <w:tc>
          <w:tcPr>
            <w:tcW w:type="dxa" w:w="1296"/>
            <w:tcMar>
              <w:top w:w="40" w:type="dxa"/>
              <w:bottom w:w="40" w:type="dxa"/>
              <w:start w:w="80" w:type="dxa"/>
              <w:end w:w="80" w:type="dxa"/>
            </w:tcMar>
            <w:shd w:val="clear" w:color="auto" w:fill="EEF1F5"/>
          </w:tcPr>
          <w:p>
            <w:pPr>
              <w:spacing w:after="0" w:line="240" w:lineRule="auto"/>
            </w:pPr>
            <w:r/>
            <w:r>
              <w:rPr>
                <w:sz w:val="17"/>
              </w:rPr>
              <w:t>Contingent on use</w:t>
            </w:r>
          </w:p>
        </w:tc>
      </w:tr>
      <w:tr>
        <w:tc>
          <w:tcPr>
            <w:tcW w:type="dxa" w:w="2952"/>
            <w:tcMar>
              <w:top w:w="40" w:type="dxa"/>
              <w:bottom w:w="40" w:type="dxa"/>
              <w:start w:w="80" w:type="dxa"/>
              <w:end w:w="80" w:type="dxa"/>
            </w:tcMar>
          </w:tcPr>
          <w:p>
            <w:pPr>
              <w:spacing w:after="0" w:line="240" w:lineRule="auto"/>
            </w:pPr>
            <w:r/>
            <w:r>
              <w:rPr>
                <w:sz w:val="17"/>
              </w:rPr>
              <w:t>Coverture fraction on RSUs (Section 7.1)</w:t>
            </w:r>
          </w:p>
        </w:tc>
        <w:tc>
          <w:tcPr>
            <w:tcW w:type="dxa" w:w="1440"/>
            <w:tcMar>
              <w:top w:w="40" w:type="dxa"/>
              <w:bottom w:w="40" w:type="dxa"/>
              <w:start w:w="80" w:type="dxa"/>
              <w:end w:w="80" w:type="dxa"/>
            </w:tcMar>
          </w:tcPr>
          <w:p>
            <w:pPr>
              <w:spacing w:after="0" w:line="240" w:lineRule="auto"/>
            </w:pPr>
            <w:r/>
            <w:r>
              <w:rPr>
                <w:sz w:val="17"/>
              </w:rPr>
              <w:t>Favors Husband</w:t>
            </w:r>
          </w:p>
        </w:tc>
        <w:tc>
          <w:tcPr>
            <w:tcW w:type="dxa" w:w="3672"/>
            <w:tcMar>
              <w:top w:w="40" w:type="dxa"/>
              <w:bottom w:w="40" w:type="dxa"/>
              <w:start w:w="80" w:type="dxa"/>
              <w:end w:w="80" w:type="dxa"/>
            </w:tcMar>
          </w:tcPr>
          <w:p>
            <w:pPr>
              <w:spacing w:after="0" w:line="240" w:lineRule="auto"/>
            </w:pPr>
            <w:r/>
            <w:r>
              <w:rPr>
                <w:sz w:val="17"/>
              </w:rPr>
              <w:t>Reduces Wife’s share of post-dissolution-vesting tranches; ~$50K–$150K+ depending on timing/price</w:t>
            </w:r>
          </w:p>
        </w:tc>
        <w:tc>
          <w:tcPr>
            <w:tcW w:type="dxa" w:w="1296"/>
            <w:tcMar>
              <w:top w:w="40" w:type="dxa"/>
              <w:bottom w:w="40" w:type="dxa"/>
              <w:start w:w="80" w:type="dxa"/>
              <w:end w:w="80" w:type="dxa"/>
            </w:tcMar>
          </w:tcPr>
          <w:p>
            <w:pPr>
              <w:spacing w:after="0" w:line="240" w:lineRule="auto"/>
            </w:pPr>
            <w:r/>
            <w:r>
              <w:rPr>
                <w:sz w:val="17"/>
              </w:rPr>
              <w:t>Contingent on timing</w:t>
            </w:r>
          </w:p>
        </w:tc>
      </w:tr>
      <w:tr>
        <w:tc>
          <w:tcPr>
            <w:tcW w:type="dxa" w:w="2952"/>
            <w:tcMar>
              <w:top w:w="40" w:type="dxa"/>
              <w:bottom w:w="40" w:type="dxa"/>
              <w:start w:w="80" w:type="dxa"/>
              <w:end w:w="80" w:type="dxa"/>
            </w:tcMar>
            <w:shd w:val="clear" w:color="auto" w:fill="EEF1F5"/>
          </w:tcPr>
          <w:p>
            <w:pPr>
              <w:spacing w:after="0" w:line="240" w:lineRule="auto"/>
            </w:pPr>
            <w:r/>
            <w:r>
              <w:rPr>
                <w:sz w:val="17"/>
              </w:rPr>
              <w:t>Earned Income definition (Section 2.1(d))</w:t>
            </w:r>
          </w:p>
        </w:tc>
        <w:tc>
          <w:tcPr>
            <w:tcW w:type="dxa" w:w="1440"/>
            <w:tcMar>
              <w:top w:w="40" w:type="dxa"/>
              <w:bottom w:w="40" w:type="dxa"/>
              <w:start w:w="80" w:type="dxa"/>
              <w:end w:w="80" w:type="dxa"/>
            </w:tcMar>
            <w:shd w:val="clear" w:color="auto" w:fill="EEF1F5"/>
          </w:tcPr>
          <w:p>
            <w:pPr>
              <w:spacing w:after="0" w:line="240" w:lineRule="auto"/>
            </w:pPr>
            <w:r/>
            <w:r>
              <w:rPr>
                <w:sz w:val="17"/>
              </w:rPr>
              <w:t>Favors Husband (risk)</w:t>
            </w:r>
          </w:p>
        </w:tc>
        <w:tc>
          <w:tcPr>
            <w:tcW w:type="dxa" w:w="3672"/>
            <w:tcMar>
              <w:top w:w="40" w:type="dxa"/>
              <w:bottom w:w="40" w:type="dxa"/>
              <w:start w:w="80" w:type="dxa"/>
              <w:end w:w="80" w:type="dxa"/>
            </w:tcMar>
            <w:shd w:val="clear" w:color="auto" w:fill="EEF1F5"/>
          </w:tcPr>
          <w:p>
            <w:pPr>
              <w:spacing w:after="0" w:line="240" w:lineRule="auto"/>
            </w:pPr>
            <w:r/>
            <w:r>
              <w:rPr>
                <w:sz w:val="17"/>
              </w:rPr>
              <w:t>Potential reclassification of ~$90K/yr bonus (and possibly other variable comp) outside marital property</w:t>
            </w:r>
          </w:p>
        </w:tc>
        <w:tc>
          <w:tcPr>
            <w:tcW w:type="dxa" w:w="1296"/>
            <w:tcMar>
              <w:top w:w="40" w:type="dxa"/>
              <w:bottom w:w="40" w:type="dxa"/>
              <w:start w:w="80" w:type="dxa"/>
              <w:end w:w="80" w:type="dxa"/>
            </w:tcMar>
            <w:shd w:val="clear" w:color="auto" w:fill="EEF1F5"/>
          </w:tcPr>
          <w:p>
            <w:pPr>
              <w:spacing w:after="0" w:line="240" w:lineRule="auto"/>
            </w:pPr>
            <w:r/>
            <w:r>
              <w:rPr>
                <w:sz w:val="17"/>
              </w:rPr>
              <w:t>Contingent / arguable</w:t>
            </w:r>
          </w:p>
        </w:tc>
      </w:tr>
      <w:tr>
        <w:tc>
          <w:tcPr>
            <w:tcW w:type="dxa" w:w="2952"/>
            <w:tcMar>
              <w:top w:w="40" w:type="dxa"/>
              <w:bottom w:w="40" w:type="dxa"/>
              <w:start w:w="80" w:type="dxa"/>
              <w:end w:w="80" w:type="dxa"/>
            </w:tcMar>
          </w:tcPr>
          <w:p>
            <w:pPr>
              <w:spacing w:after="0" w:line="240" w:lineRule="auto"/>
            </w:pPr>
            <w:r/>
            <w:r>
              <w:rPr>
                <w:sz w:val="17"/>
              </w:rPr>
              <w:t>Voidability tightening + disclosure weakening (Sections 12.2, 1.5, 12.1)</w:t>
            </w:r>
          </w:p>
        </w:tc>
        <w:tc>
          <w:tcPr>
            <w:tcW w:type="dxa" w:w="1440"/>
            <w:tcMar>
              <w:top w:w="40" w:type="dxa"/>
              <w:bottom w:w="40" w:type="dxa"/>
              <w:start w:w="80" w:type="dxa"/>
              <w:end w:w="80" w:type="dxa"/>
            </w:tcMar>
          </w:tcPr>
          <w:p>
            <w:pPr>
              <w:spacing w:after="0" w:line="240" w:lineRule="auto"/>
            </w:pPr>
            <w:r/>
            <w:r>
              <w:rPr>
                <w:sz w:val="17"/>
              </w:rPr>
              <w:t>Favors Husband</w:t>
            </w:r>
          </w:p>
        </w:tc>
        <w:tc>
          <w:tcPr>
            <w:tcW w:type="dxa" w:w="3672"/>
            <w:tcMar>
              <w:top w:w="40" w:type="dxa"/>
              <w:bottom w:w="40" w:type="dxa"/>
              <w:start w:w="80" w:type="dxa"/>
              <w:end w:w="80" w:type="dxa"/>
            </w:tcMar>
          </w:tcPr>
          <w:p>
            <w:pPr>
              <w:spacing w:after="0" w:line="240" w:lineRule="auto"/>
            </w:pPr>
            <w:r/>
            <w:r>
              <w:rPr>
                <w:sz w:val="17"/>
              </w:rPr>
              <w:t>Insulates future non-disclosure; value depends on what (if anything) is later concealed</w:t>
            </w:r>
          </w:p>
        </w:tc>
        <w:tc>
          <w:tcPr>
            <w:tcW w:type="dxa" w:w="1296"/>
            <w:tcMar>
              <w:top w:w="40" w:type="dxa"/>
              <w:bottom w:w="40" w:type="dxa"/>
              <w:start w:w="80" w:type="dxa"/>
              <w:end w:w="80" w:type="dxa"/>
            </w:tcMar>
          </w:tcPr>
          <w:p>
            <w:pPr>
              <w:spacing w:after="0" w:line="240" w:lineRule="auto"/>
            </w:pPr>
            <w:r/>
            <w:r>
              <w:rPr>
                <w:sz w:val="17"/>
              </w:rPr>
              <w:t>Contingent</w:t>
            </w:r>
          </w:p>
        </w:tc>
      </w:tr>
      <w:tr>
        <w:tc>
          <w:tcPr>
            <w:tcW w:type="dxa" w:w="2952"/>
            <w:tcMar>
              <w:top w:w="40" w:type="dxa"/>
              <w:bottom w:w="40" w:type="dxa"/>
              <w:start w:w="80" w:type="dxa"/>
              <w:end w:w="80" w:type="dxa"/>
            </w:tcMar>
            <w:shd w:val="clear" w:color="auto" w:fill="EEF1F5"/>
          </w:tcPr>
          <w:p>
            <w:pPr>
              <w:spacing w:after="0" w:line="240" w:lineRule="auto"/>
            </w:pPr>
            <w:r/>
            <w:r>
              <w:rPr>
                <w:sz w:val="17"/>
              </w:rPr>
              <w:t>Maintenance waiver + 3-yr cap + Earned-Income base (Sections 10.2–10.4)</w:t>
            </w:r>
          </w:p>
        </w:tc>
        <w:tc>
          <w:tcPr>
            <w:tcW w:type="dxa" w:w="1440"/>
            <w:tcMar>
              <w:top w:w="40" w:type="dxa"/>
              <w:bottom w:w="40" w:type="dxa"/>
              <w:start w:w="80" w:type="dxa"/>
              <w:end w:w="80" w:type="dxa"/>
            </w:tcMar>
            <w:shd w:val="clear" w:color="auto" w:fill="EEF1F5"/>
          </w:tcPr>
          <w:p>
            <w:pPr>
              <w:spacing w:after="0" w:line="240" w:lineRule="auto"/>
            </w:pPr>
            <w:r/>
            <w:r>
              <w:rPr>
                <w:sz w:val="17"/>
              </w:rPr>
              <w:t>Favors Wife</w:t>
            </w:r>
          </w:p>
        </w:tc>
        <w:tc>
          <w:tcPr>
            <w:tcW w:type="dxa" w:w="3672"/>
            <w:tcMar>
              <w:top w:w="40" w:type="dxa"/>
              <w:bottom w:w="40" w:type="dxa"/>
              <w:start w:w="80" w:type="dxa"/>
              <w:end w:w="80" w:type="dxa"/>
            </w:tcMar>
            <w:shd w:val="clear" w:color="auto" w:fill="EEF1F5"/>
          </w:tcPr>
          <w:p>
            <w:pPr>
              <w:spacing w:after="0" w:line="240" w:lineRule="auto"/>
            </w:pPr>
            <w:r/>
            <w:r>
              <w:rPr>
                <w:sz w:val="17"/>
              </w:rPr>
              <w:t>Likely eliminates Husband’s maintenance ($0 vs. an estimated ~$60K–$360K over 5 yrs under the Original Draft, highly assumption-sensitive)</w:t>
            </w:r>
          </w:p>
        </w:tc>
        <w:tc>
          <w:tcPr>
            <w:tcW w:type="dxa" w:w="1296"/>
            <w:tcMar>
              <w:top w:w="40" w:type="dxa"/>
              <w:bottom w:w="40" w:type="dxa"/>
              <w:start w:w="80" w:type="dxa"/>
              <w:end w:w="80" w:type="dxa"/>
            </w:tcMar>
            <w:shd w:val="clear" w:color="auto" w:fill="EEF1F5"/>
          </w:tcPr>
          <w:p>
            <w:pPr>
              <w:spacing w:after="0" w:line="240" w:lineRule="auto"/>
            </w:pPr>
            <w:r/>
            <w:r>
              <w:rPr>
                <w:sz w:val="17"/>
              </w:rPr>
              <w:t>Moderate / income-dependent</w:t>
            </w:r>
          </w:p>
        </w:tc>
      </w:tr>
      <w:tr>
        <w:tc>
          <w:tcPr>
            <w:tcW w:type="dxa" w:w="2952"/>
            <w:tcMar>
              <w:top w:w="40" w:type="dxa"/>
              <w:bottom w:w="40" w:type="dxa"/>
              <w:start w:w="80" w:type="dxa"/>
              <w:end w:w="80" w:type="dxa"/>
            </w:tcMar>
          </w:tcPr>
          <w:p>
            <w:pPr>
              <w:spacing w:after="0" w:line="240" w:lineRule="auto"/>
            </w:pPr>
            <w:r/>
            <w:r>
              <w:rPr>
                <w:sz w:val="17"/>
              </w:rPr>
              <w:t>Active/passive Practice appreciation (Section 6.1)</w:t>
            </w:r>
          </w:p>
        </w:tc>
        <w:tc>
          <w:tcPr>
            <w:tcW w:type="dxa" w:w="1440"/>
            <w:tcMar>
              <w:top w:w="40" w:type="dxa"/>
              <w:bottom w:w="40" w:type="dxa"/>
              <w:start w:w="80" w:type="dxa"/>
              <w:end w:w="80" w:type="dxa"/>
            </w:tcMar>
          </w:tcPr>
          <w:p>
            <w:pPr>
              <w:spacing w:after="0" w:line="240" w:lineRule="auto"/>
            </w:pPr>
            <w:r/>
            <w:r>
              <w:rPr>
                <w:sz w:val="17"/>
              </w:rPr>
              <w:t>Favors Wife</w:t>
            </w:r>
          </w:p>
        </w:tc>
        <w:tc>
          <w:tcPr>
            <w:tcW w:type="dxa" w:w="3672"/>
            <w:tcMar>
              <w:top w:w="40" w:type="dxa"/>
              <w:bottom w:w="40" w:type="dxa"/>
              <w:start w:w="80" w:type="dxa"/>
              <w:end w:w="80" w:type="dxa"/>
            </w:tcMar>
          </w:tcPr>
          <w:p>
            <w:pPr>
              <w:spacing w:after="0" w:line="240" w:lineRule="auto"/>
            </w:pPr>
            <w:r/>
            <w:r>
              <w:rPr>
                <w:sz w:val="17"/>
              </w:rPr>
              <w:t>~60% of post-baseline appreciation remains Wife’s separate property (per Strand); potentially large if Practice appreciates</w:t>
            </w:r>
          </w:p>
        </w:tc>
        <w:tc>
          <w:tcPr>
            <w:tcW w:type="dxa" w:w="1296"/>
            <w:tcMar>
              <w:top w:w="40" w:type="dxa"/>
              <w:bottom w:w="40" w:type="dxa"/>
              <w:start w:w="80" w:type="dxa"/>
              <w:end w:w="80" w:type="dxa"/>
            </w:tcMar>
          </w:tcPr>
          <w:p>
            <w:pPr>
              <w:spacing w:after="0" w:line="240" w:lineRule="auto"/>
            </w:pPr>
            <w:r/>
            <w:r>
              <w:rPr>
                <w:sz w:val="17"/>
              </w:rPr>
              <w:t>Contingent on appreciation</w:t>
            </w:r>
          </w:p>
        </w:tc>
      </w:tr>
      <w:tr>
        <w:tc>
          <w:tcPr>
            <w:tcW w:type="dxa" w:w="2952"/>
            <w:tcMar>
              <w:top w:w="40" w:type="dxa"/>
              <w:bottom w:w="40" w:type="dxa"/>
              <w:start w:w="80" w:type="dxa"/>
              <w:end w:w="80" w:type="dxa"/>
            </w:tcMar>
            <w:shd w:val="clear" w:color="auto" w:fill="EEF1F5"/>
          </w:tcPr>
          <w:p>
            <w:pPr>
              <w:spacing w:after="0" w:line="240" w:lineRule="auto"/>
            </w:pPr>
            <w:r/>
            <w:r>
              <w:rPr>
                <w:sz w:val="17"/>
              </w:rPr>
              <w:t>Attorney’s fees mutual waiver (Section 13.2)</w:t>
            </w:r>
          </w:p>
        </w:tc>
        <w:tc>
          <w:tcPr>
            <w:tcW w:type="dxa" w:w="1440"/>
            <w:tcMar>
              <w:top w:w="40" w:type="dxa"/>
              <w:bottom w:w="40" w:type="dxa"/>
              <w:start w:w="80" w:type="dxa"/>
              <w:end w:w="80" w:type="dxa"/>
            </w:tcMar>
            <w:shd w:val="clear" w:color="auto" w:fill="EEF1F5"/>
          </w:tcPr>
          <w:p>
            <w:pPr>
              <w:spacing w:after="0" w:line="240" w:lineRule="auto"/>
            </w:pPr>
            <w:r/>
            <w:r>
              <w:rPr>
                <w:sz w:val="17"/>
              </w:rPr>
              <w:t>Favors Husband (enforcement)</w:t>
            </w:r>
          </w:p>
        </w:tc>
        <w:tc>
          <w:tcPr>
            <w:tcW w:type="dxa" w:w="3672"/>
            <w:tcMar>
              <w:top w:w="40" w:type="dxa"/>
              <w:bottom w:w="40" w:type="dxa"/>
              <w:start w:w="80" w:type="dxa"/>
              <w:end w:w="80" w:type="dxa"/>
            </w:tcMar>
            <w:shd w:val="clear" w:color="auto" w:fill="EEF1F5"/>
          </w:tcPr>
          <w:p>
            <w:pPr>
              <w:spacing w:after="0" w:line="240" w:lineRule="auto"/>
            </w:pPr>
            <w:r/>
            <w:r>
              <w:rPr>
                <w:sz w:val="17"/>
              </w:rPr>
              <w:t>Removes Wife’s fee-shifting leverage; non-dollar but material to enforcement</w:t>
            </w:r>
          </w:p>
        </w:tc>
        <w:tc>
          <w:tcPr>
            <w:tcW w:type="dxa" w:w="1296"/>
            <w:tcMar>
              <w:top w:w="40" w:type="dxa"/>
              <w:bottom w:w="40" w:type="dxa"/>
              <w:start w:w="80" w:type="dxa"/>
              <w:end w:w="80" w:type="dxa"/>
            </w:tcMar>
            <w:shd w:val="clear" w:color="auto" w:fill="EEF1F5"/>
          </w:tcPr>
          <w:p>
            <w:pPr>
              <w:spacing w:after="0" w:line="240" w:lineRule="auto"/>
            </w:pPr>
            <w:r/>
            <w:r>
              <w:rPr>
                <w:sz w:val="17"/>
              </w:rPr>
              <w:t>Contingent</w:t>
            </w:r>
          </w:p>
        </w:tc>
      </w:tr>
      <w:tr>
        <w:tc>
          <w:tcPr>
            <w:tcW w:type="dxa" w:w="2952"/>
            <w:tcMar>
              <w:top w:w="40" w:type="dxa"/>
              <w:bottom w:w="40" w:type="dxa"/>
              <w:start w:w="80" w:type="dxa"/>
              <w:end w:w="80" w:type="dxa"/>
            </w:tcMar>
          </w:tcPr>
          <w:p>
            <w:pPr>
              <w:spacing w:after="0" w:line="240" w:lineRule="auto"/>
            </w:pPr>
            <w:r/>
            <w:r>
              <w:rPr>
                <w:sz w:val="17"/>
              </w:rPr>
              <w:t>Venue to DuPage (Section 15.2); sunset to 7 yrs (Section 15.5)</w:t>
            </w:r>
          </w:p>
        </w:tc>
        <w:tc>
          <w:tcPr>
            <w:tcW w:type="dxa" w:w="1440"/>
            <w:tcMar>
              <w:top w:w="40" w:type="dxa"/>
              <w:bottom w:w="40" w:type="dxa"/>
              <w:start w:w="80" w:type="dxa"/>
              <w:end w:w="80" w:type="dxa"/>
            </w:tcMar>
          </w:tcPr>
          <w:p>
            <w:pPr>
              <w:spacing w:after="0" w:line="240" w:lineRule="auto"/>
            </w:pPr>
            <w:r/>
            <w:r>
              <w:rPr>
                <w:sz w:val="17"/>
              </w:rPr>
              <w:t>Favors Husband / mixed</w:t>
            </w:r>
          </w:p>
        </w:tc>
        <w:tc>
          <w:tcPr>
            <w:tcW w:type="dxa" w:w="3672"/>
            <w:tcMar>
              <w:top w:w="40" w:type="dxa"/>
              <w:bottom w:w="40" w:type="dxa"/>
              <w:start w:w="80" w:type="dxa"/>
              <w:end w:w="80" w:type="dxa"/>
            </w:tcMar>
          </w:tcPr>
          <w:p>
            <w:pPr>
              <w:spacing w:after="0" w:line="240" w:lineRule="auto"/>
            </w:pPr>
            <w:r/>
            <w:r>
              <w:rPr>
                <w:sz w:val="17"/>
              </w:rPr>
              <w:t>Non-dollar; sunset may extinguish favorable protections before children’s majority</w:t>
            </w:r>
          </w:p>
        </w:tc>
        <w:tc>
          <w:tcPr>
            <w:tcW w:type="dxa" w:w="1296"/>
            <w:tcMar>
              <w:top w:w="40" w:type="dxa"/>
              <w:bottom w:w="40" w:type="dxa"/>
              <w:start w:w="80" w:type="dxa"/>
              <w:end w:w="80" w:type="dxa"/>
            </w:tcMar>
          </w:tcPr>
          <w:p>
            <w:pPr>
              <w:spacing w:after="0" w:line="240" w:lineRule="auto"/>
            </w:pPr>
            <w:r/>
            <w:r>
              <w:rPr>
                <w:sz w:val="17"/>
              </w:rPr>
              <w:t>Contingent</w:t>
            </w:r>
          </w:p>
        </w:tc>
      </w:tr>
    </w:tbl>
    <w:p>
      <w:pPr>
        <w:spacing w:before="80" w:after="120" w:lineRule="auto" w:line="259"/>
      </w:pPr>
      <w:r>
        <w:rPr>
          <w:b w:val="0"/>
          <w:i w:val="0"/>
          <w:sz w:val="22"/>
        </w:rPr>
        <w:t>The trade is lopsided on the client’s priorities. The certain, large, and immediate loss — approximately $600,000 from the reimbursement deletion — plus the open-ended commingling protection for a $3.8M Inheritance, plus the RSU and bonus reclassification risks, are weighed against maintenance savings that are uncertain (and, on reasonable assumptions, smaller) and a Practice-appreciation protection that is favorable but speculative. The client’s #1 objective is eliminated outright. On an expected-value basis, and certainly on a priority-weighted basis, the Redline as written is not acceptable. The favorable items should be preserved, but the core property and disclosure protections must be restored for the package to be one the client can sign.</w:t>
      </w:r>
    </w:p>
    <w:p>
      <w:pPr>
        <w:keepNext/>
        <w:spacing w:before="280" w:after="80"/>
        <w:pBdr>
          <w:bottom w:val="single" w:sz="6" w:space="2" w:color="1F3355"/>
        </w:pBdr>
      </w:pPr>
      <w:r>
        <w:rPr>
          <w:b/>
          <w:color w:val="1F3355"/>
          <w:sz w:val="25"/>
        </w:rPr>
        <w:t>VII.  RECOMMENDED NEGOTIATION STRATEGY — JANUARY 27, 2025 FOUR-WAY</w:t>
      </w:r>
    </w:p>
    <w:p>
      <w:pPr>
        <w:keepNext/>
        <w:spacing w:before="200" w:after="60"/>
      </w:pPr>
      <w:r>
        <w:rPr>
          <w:b/>
          <w:color w:val="1F3355"/>
          <w:sz w:val="23"/>
        </w:rPr>
        <w:t>A. Framing and posture</w:t>
      </w:r>
    </w:p>
    <w:p>
      <w:pPr>
        <w:spacing w:before="0" w:after="120" w:lineRule="auto" w:line="259"/>
      </w:pPr>
      <w:r>
        <w:rPr>
          <w:b w:val="0"/>
          <w:i w:val="0"/>
          <w:sz w:val="22"/>
        </w:rPr>
        <w:t>Open by acknowledging the favorable items (severability, notarization, the active/passive Practice framework, the maintenance waiver) as accepted-in-principle, which signals good faith and keeps them on the table. Then identify the items that must be resolved before we can recommend execution, grouped as “must-fix,” “negotiate,” and “accept.” Do not accept the Redline as the new baseline; insist on a clean redline against our Original Draft so that no change is buried in the reorganization. Keep the transmittal email’s minimization in reserve as a credibility point if Mr. Baxter characterizes the must-fix items as minor.</w:t>
      </w:r>
    </w:p>
    <w:p>
      <w:pPr>
        <w:keepNext/>
        <w:spacing w:before="200" w:after="60"/>
      </w:pPr>
      <w:r>
        <w:rPr>
          <w:b/>
          <w:color w:val="1F3355"/>
          <w:sz w:val="23"/>
        </w:rPr>
        <w:t>B. Issue disposition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600"/>
            <w:shd w:val="clear" w:color="auto" w:fill="1F3355"/>
            <w:tcMar>
              <w:top w:w="40" w:type="dxa"/>
              <w:bottom w:w="40" w:type="dxa"/>
              <w:start w:w="80" w:type="dxa"/>
              <w:end w:w="80" w:type="dxa"/>
            </w:tcMar>
          </w:tcPr>
          <w:p>
            <w:pPr>
              <w:spacing w:after="0"/>
            </w:pPr>
            <w:r/>
            <w:r>
              <w:rPr>
                <w:b/>
                <w:color w:val="FFFFFF"/>
                <w:sz w:val="17"/>
              </w:rPr>
              <w:t>Issue</w:t>
            </w:r>
          </w:p>
        </w:tc>
        <w:tc>
          <w:tcPr>
            <w:tcW w:type="dxa" w:w="2448"/>
            <w:shd w:val="clear" w:color="auto" w:fill="1F3355"/>
            <w:tcMar>
              <w:top w:w="40" w:type="dxa"/>
              <w:bottom w:w="40" w:type="dxa"/>
              <w:start w:w="80" w:type="dxa"/>
              <w:end w:w="80" w:type="dxa"/>
            </w:tcMar>
          </w:tcPr>
          <w:p>
            <w:pPr>
              <w:spacing w:after="0"/>
            </w:pPr>
            <w:r/>
            <w:r>
              <w:rPr>
                <w:b/>
                <w:color w:val="FFFFFF"/>
                <w:sz w:val="17"/>
              </w:rPr>
              <w:t>Disposition</w:t>
            </w:r>
          </w:p>
        </w:tc>
        <w:tc>
          <w:tcPr>
            <w:tcW w:type="dxa" w:w="1440"/>
            <w:shd w:val="clear" w:color="auto" w:fill="1F3355"/>
            <w:tcMar>
              <w:top w:w="40" w:type="dxa"/>
              <w:bottom w:w="40" w:type="dxa"/>
              <w:start w:w="80" w:type="dxa"/>
              <w:end w:w="80" w:type="dxa"/>
            </w:tcMar>
          </w:tcPr>
          <w:p>
            <w:pPr>
              <w:spacing w:after="0"/>
            </w:pPr>
            <w:r/>
            <w:r>
              <w:rPr>
                <w:b/>
                <w:color w:val="FFFFFF"/>
                <w:sz w:val="17"/>
              </w:rPr>
              <w:t>Priority</w:t>
            </w:r>
          </w:p>
        </w:tc>
        <w:tc>
          <w:tcPr>
            <w:tcW w:type="dxa" w:w="1440"/>
            <w:shd w:val="clear" w:color="auto" w:fill="1F3355"/>
            <w:tcMar>
              <w:top w:w="40" w:type="dxa"/>
              <w:bottom w:w="40" w:type="dxa"/>
              <w:start w:w="80" w:type="dxa"/>
              <w:end w:w="80" w:type="dxa"/>
            </w:tcMar>
          </w:tcPr>
          <w:p>
            <w:pPr>
              <w:spacing w:after="0"/>
            </w:pPr>
            <w:r/>
            <w:r>
              <w:rPr>
                <w:b/>
                <w:color w:val="FFFFFF"/>
                <w:sz w:val="17"/>
              </w:rPr>
              <w:t>Client objective</w:t>
            </w:r>
          </w:p>
        </w:tc>
      </w:tr>
      <w:tr>
        <w:tc>
          <w:tcPr>
            <w:tcW w:type="dxa" w:w="3600"/>
            <w:tcMar>
              <w:top w:w="40" w:type="dxa"/>
              <w:bottom w:w="40" w:type="dxa"/>
              <w:start w:w="80" w:type="dxa"/>
              <w:end w:w="80" w:type="dxa"/>
            </w:tcMar>
          </w:tcPr>
          <w:p>
            <w:pPr>
              <w:spacing w:after="0" w:line="240" w:lineRule="auto"/>
            </w:pPr>
            <w:r/>
            <w:r>
              <w:rPr>
                <w:sz w:val="17"/>
              </w:rPr>
              <w:t>$1.2M premarital savings reimbursement (Section 5.2)</w:t>
            </w:r>
          </w:p>
        </w:tc>
        <w:tc>
          <w:tcPr>
            <w:tcW w:type="dxa" w:w="2448"/>
            <w:tcMar>
              <w:top w:w="40" w:type="dxa"/>
              <w:bottom w:w="40" w:type="dxa"/>
              <w:start w:w="80" w:type="dxa"/>
              <w:end w:w="80" w:type="dxa"/>
            </w:tcMar>
          </w:tcPr>
          <w:p>
            <w:pPr>
              <w:spacing w:after="0" w:line="240" w:lineRule="auto"/>
            </w:pPr>
            <w:r/>
            <w:r>
              <w:rPr>
                <w:sz w:val="17"/>
              </w:rPr>
              <w:t>Reject / restore</w:t>
            </w:r>
          </w:p>
        </w:tc>
        <w:tc>
          <w:tcPr>
            <w:tcW w:type="dxa" w:w="1440"/>
            <w:tcMar>
              <w:top w:w="40" w:type="dxa"/>
              <w:bottom w:w="40" w:type="dxa"/>
              <w:start w:w="80" w:type="dxa"/>
              <w:end w:w="80" w:type="dxa"/>
            </w:tcMar>
          </w:tcPr>
          <w:p>
            <w:pPr>
              <w:spacing w:after="0" w:line="240" w:lineRule="auto"/>
            </w:pPr>
            <w:r/>
            <w:r>
              <w:rPr>
                <w:sz w:val="17"/>
              </w:rPr>
              <w:t>1 — non-negotiable</w:t>
            </w:r>
          </w:p>
        </w:tc>
        <w:tc>
          <w:tcPr>
            <w:tcW w:type="dxa" w:w="1440"/>
            <w:tcMar>
              <w:top w:w="40" w:type="dxa"/>
              <w:bottom w:w="40" w:type="dxa"/>
              <w:start w:w="80" w:type="dxa"/>
              <w:end w:w="80" w:type="dxa"/>
            </w:tcMar>
          </w:tcPr>
          <w:p>
            <w:pPr>
              <w:spacing w:after="0" w:line="240" w:lineRule="auto"/>
            </w:pPr>
            <w:r/>
            <w:r>
              <w:rPr>
                <w:sz w:val="17"/>
              </w:rPr>
              <w:t>Objective 1</w:t>
            </w:r>
          </w:p>
        </w:tc>
      </w:tr>
      <w:tr>
        <w:tc>
          <w:tcPr>
            <w:tcW w:type="dxa" w:w="3600"/>
            <w:tcMar>
              <w:top w:w="40" w:type="dxa"/>
              <w:bottom w:w="40" w:type="dxa"/>
              <w:start w:w="80" w:type="dxa"/>
              <w:end w:w="80" w:type="dxa"/>
            </w:tcMar>
            <w:shd w:val="clear" w:color="auto" w:fill="EEF1F5"/>
          </w:tcPr>
          <w:p>
            <w:pPr>
              <w:spacing w:after="0" w:line="240" w:lineRule="auto"/>
            </w:pPr>
            <w:r/>
            <w:r>
              <w:rPr>
                <w:sz w:val="17"/>
              </w:rPr>
              <w:t>Unilateral modification by notice (Section 14.2)</w:t>
            </w:r>
          </w:p>
        </w:tc>
        <w:tc>
          <w:tcPr>
            <w:tcW w:type="dxa" w:w="2448"/>
            <w:tcMar>
              <w:top w:w="40" w:type="dxa"/>
              <w:bottom w:w="40" w:type="dxa"/>
              <w:start w:w="80" w:type="dxa"/>
              <w:end w:w="80" w:type="dxa"/>
            </w:tcMar>
            <w:shd w:val="clear" w:color="auto" w:fill="EEF1F5"/>
          </w:tcPr>
          <w:p>
            <w:pPr>
              <w:spacing w:after="0" w:line="240" w:lineRule="auto"/>
            </w:pPr>
            <w:r/>
            <w:r>
              <w:rPr>
                <w:sz w:val="17"/>
              </w:rPr>
              <w:t>Reject / delete</w:t>
            </w:r>
          </w:p>
        </w:tc>
        <w:tc>
          <w:tcPr>
            <w:tcW w:type="dxa" w:w="1440"/>
            <w:tcMar>
              <w:top w:w="40" w:type="dxa"/>
              <w:bottom w:w="40" w:type="dxa"/>
              <w:start w:w="80" w:type="dxa"/>
              <w:end w:w="80" w:type="dxa"/>
            </w:tcMar>
            <w:shd w:val="clear" w:color="auto" w:fill="EEF1F5"/>
          </w:tcPr>
          <w:p>
            <w:pPr>
              <w:spacing w:after="0" w:line="240" w:lineRule="auto"/>
            </w:pPr>
            <w:r/>
            <w:r>
              <w:rPr>
                <w:sz w:val="17"/>
              </w:rPr>
              <w:t>1 — non-negotiable</w:t>
            </w:r>
          </w:p>
        </w:tc>
        <w:tc>
          <w:tcPr>
            <w:tcW w:type="dxa" w:w="1440"/>
            <w:tcMar>
              <w:top w:w="40" w:type="dxa"/>
              <w:bottom w:w="40" w:type="dxa"/>
              <w:start w:w="80" w:type="dxa"/>
              <w:end w:w="80" w:type="dxa"/>
            </w:tcMar>
            <w:shd w:val="clear" w:color="auto" w:fill="EEF1F5"/>
          </w:tcPr>
          <w:p>
            <w:pPr>
              <w:spacing w:after="0" w:line="240" w:lineRule="auto"/>
            </w:pPr>
            <w:r/>
            <w:r>
              <w:rPr>
                <w:sz w:val="17"/>
              </w:rPr>
              <w:t>Objective 5(f)</w:t>
            </w:r>
          </w:p>
        </w:tc>
      </w:tr>
      <w:tr>
        <w:tc>
          <w:tcPr>
            <w:tcW w:type="dxa" w:w="3600"/>
            <w:tcMar>
              <w:top w:w="40" w:type="dxa"/>
              <w:bottom w:w="40" w:type="dxa"/>
              <w:start w:w="80" w:type="dxa"/>
              <w:end w:w="80" w:type="dxa"/>
            </w:tcMar>
          </w:tcPr>
          <w:p>
            <w:pPr>
              <w:spacing w:after="0" w:line="240" w:lineRule="auto"/>
            </w:pPr>
            <w:r/>
            <w:r>
              <w:rPr>
                <w:sz w:val="17"/>
              </w:rPr>
              <w:t>Voidability standard + ongoing disclosure (Sections 12.2, 3.4, 11.3)</w:t>
            </w:r>
          </w:p>
        </w:tc>
        <w:tc>
          <w:tcPr>
            <w:tcW w:type="dxa" w:w="2448"/>
            <w:tcMar>
              <w:top w:w="40" w:type="dxa"/>
              <w:bottom w:w="40" w:type="dxa"/>
              <w:start w:w="80" w:type="dxa"/>
              <w:end w:w="80" w:type="dxa"/>
            </w:tcMar>
          </w:tcPr>
          <w:p>
            <w:pPr>
              <w:spacing w:after="0" w:line="240" w:lineRule="auto"/>
            </w:pPr>
            <w:r/>
            <w:r>
              <w:rPr>
                <w:sz w:val="17"/>
              </w:rPr>
              <w:t>Reject / restore</w:t>
            </w:r>
          </w:p>
        </w:tc>
        <w:tc>
          <w:tcPr>
            <w:tcW w:type="dxa" w:w="1440"/>
            <w:tcMar>
              <w:top w:w="40" w:type="dxa"/>
              <w:bottom w:w="40" w:type="dxa"/>
              <w:start w:w="80" w:type="dxa"/>
              <w:end w:w="80" w:type="dxa"/>
            </w:tcMar>
          </w:tcPr>
          <w:p>
            <w:pPr>
              <w:spacing w:after="0" w:line="240" w:lineRule="auto"/>
            </w:pPr>
            <w:r/>
            <w:r>
              <w:rPr>
                <w:sz w:val="17"/>
              </w:rPr>
              <w:t>1 — non-negotiable</w:t>
            </w:r>
          </w:p>
        </w:tc>
        <w:tc>
          <w:tcPr>
            <w:tcW w:type="dxa" w:w="1440"/>
            <w:tcMar>
              <w:top w:w="40" w:type="dxa"/>
              <w:bottom w:w="40" w:type="dxa"/>
              <w:start w:w="80" w:type="dxa"/>
              <w:end w:w="80" w:type="dxa"/>
            </w:tcMar>
          </w:tcPr>
          <w:p>
            <w:pPr>
              <w:spacing w:after="0" w:line="240" w:lineRule="auto"/>
            </w:pPr>
            <w:r/>
            <w:r>
              <w:rPr>
                <w:sz w:val="17"/>
              </w:rPr>
              <w:t>Objective 2</w:t>
            </w:r>
          </w:p>
        </w:tc>
      </w:tr>
      <w:tr>
        <w:tc>
          <w:tcPr>
            <w:tcW w:type="dxa" w:w="3600"/>
            <w:tcMar>
              <w:top w:w="40" w:type="dxa"/>
              <w:bottom w:w="40" w:type="dxa"/>
              <w:start w:w="80" w:type="dxa"/>
              <w:end w:w="80" w:type="dxa"/>
            </w:tcMar>
            <w:shd w:val="clear" w:color="auto" w:fill="EEF1F5"/>
          </w:tcPr>
          <w:p>
            <w:pPr>
              <w:spacing w:after="0" w:line="240" w:lineRule="auto"/>
            </w:pPr>
            <w:r/>
            <w:r>
              <w:rPr>
                <w:sz w:val="17"/>
              </w:rPr>
              <w:t>Earned Income definition / bonus classification (Section 2.1(d))</w:t>
            </w:r>
          </w:p>
        </w:tc>
        <w:tc>
          <w:tcPr>
            <w:tcW w:type="dxa" w:w="2448"/>
            <w:tcMar>
              <w:top w:w="40" w:type="dxa"/>
              <w:bottom w:w="40" w:type="dxa"/>
              <w:start w:w="80" w:type="dxa"/>
              <w:end w:w="80" w:type="dxa"/>
            </w:tcMar>
            <w:shd w:val="clear" w:color="auto" w:fill="EEF1F5"/>
          </w:tcPr>
          <w:p>
            <w:pPr>
              <w:spacing w:after="0" w:line="240" w:lineRule="auto"/>
            </w:pPr>
            <w:r/>
            <w:r>
              <w:rPr>
                <w:sz w:val="17"/>
              </w:rPr>
              <w:t>Reject / restore Gross Income or add savings clause</w:t>
            </w:r>
          </w:p>
        </w:tc>
        <w:tc>
          <w:tcPr>
            <w:tcW w:type="dxa" w:w="1440"/>
            <w:tcMar>
              <w:top w:w="40" w:type="dxa"/>
              <w:bottom w:w="40" w:type="dxa"/>
              <w:start w:w="80" w:type="dxa"/>
              <w:end w:w="80" w:type="dxa"/>
            </w:tcMar>
            <w:shd w:val="clear" w:color="auto" w:fill="EEF1F5"/>
          </w:tcPr>
          <w:p>
            <w:pPr>
              <w:spacing w:after="0" w:line="240" w:lineRule="auto"/>
            </w:pPr>
            <w:r/>
            <w:r>
              <w:rPr>
                <w:sz w:val="17"/>
              </w:rPr>
              <w:t>1 — non-negotiable</w:t>
            </w:r>
          </w:p>
        </w:tc>
        <w:tc>
          <w:tcPr>
            <w:tcW w:type="dxa" w:w="1440"/>
            <w:tcMar>
              <w:top w:w="40" w:type="dxa"/>
              <w:bottom w:w="40" w:type="dxa"/>
              <w:start w:w="80" w:type="dxa"/>
              <w:end w:w="80" w:type="dxa"/>
            </w:tcMar>
            <w:shd w:val="clear" w:color="auto" w:fill="EEF1F5"/>
          </w:tcPr>
          <w:p>
            <w:pPr>
              <w:spacing w:after="0" w:line="240" w:lineRule="auto"/>
            </w:pPr>
            <w:r/>
            <w:r>
              <w:rPr>
                <w:sz w:val="17"/>
              </w:rPr>
              <w:t>Objective (bonus)</w:t>
            </w:r>
          </w:p>
        </w:tc>
      </w:tr>
      <w:tr>
        <w:tc>
          <w:tcPr>
            <w:tcW w:type="dxa" w:w="3600"/>
            <w:tcMar>
              <w:top w:w="40" w:type="dxa"/>
              <w:bottom w:w="40" w:type="dxa"/>
              <w:start w:w="80" w:type="dxa"/>
              <w:end w:w="80" w:type="dxa"/>
            </w:tcMar>
          </w:tcPr>
          <w:p>
            <w:pPr>
              <w:spacing w:after="0" w:line="240" w:lineRule="auto"/>
            </w:pPr>
            <w:r/>
            <w:r>
              <w:rPr>
                <w:sz w:val="17"/>
              </w:rPr>
              <w:t>Commingling / transmutation reversal (Section 4.3)</w:t>
            </w:r>
          </w:p>
        </w:tc>
        <w:tc>
          <w:tcPr>
            <w:tcW w:type="dxa" w:w="2448"/>
            <w:tcMar>
              <w:top w:w="40" w:type="dxa"/>
              <w:bottom w:w="40" w:type="dxa"/>
              <w:start w:w="80" w:type="dxa"/>
              <w:end w:w="80" w:type="dxa"/>
            </w:tcMar>
          </w:tcPr>
          <w:p>
            <w:pPr>
              <w:spacing w:after="0" w:line="240" w:lineRule="auto"/>
            </w:pPr>
            <w:r/>
            <w:r>
              <w:rPr>
                <w:sz w:val="17"/>
              </w:rPr>
              <w:t>Reject / restore; narrow carve-out only</w:t>
            </w:r>
          </w:p>
        </w:tc>
        <w:tc>
          <w:tcPr>
            <w:tcW w:type="dxa" w:w="1440"/>
            <w:tcMar>
              <w:top w:w="40" w:type="dxa"/>
              <w:bottom w:w="40" w:type="dxa"/>
              <w:start w:w="80" w:type="dxa"/>
              <w:end w:w="80" w:type="dxa"/>
            </w:tcMar>
          </w:tcPr>
          <w:p>
            <w:pPr>
              <w:spacing w:after="0" w:line="240" w:lineRule="auto"/>
            </w:pPr>
            <w:r/>
            <w:r>
              <w:rPr>
                <w:sz w:val="17"/>
              </w:rPr>
              <w:t>1 — high</w:t>
            </w:r>
          </w:p>
        </w:tc>
        <w:tc>
          <w:tcPr>
            <w:tcW w:type="dxa" w:w="1440"/>
            <w:tcMar>
              <w:top w:w="40" w:type="dxa"/>
              <w:bottom w:w="40" w:type="dxa"/>
              <w:start w:w="80" w:type="dxa"/>
              <w:end w:w="80" w:type="dxa"/>
            </w:tcMar>
          </w:tcPr>
          <w:p>
            <w:pPr>
              <w:spacing w:after="0" w:line="240" w:lineRule="auto"/>
            </w:pPr>
            <w:r/>
            <w:r>
              <w:rPr>
                <w:sz w:val="17"/>
              </w:rPr>
              <w:t>Objective (Inheritance)</w:t>
            </w:r>
          </w:p>
        </w:tc>
      </w:tr>
      <w:tr>
        <w:tc>
          <w:tcPr>
            <w:tcW w:type="dxa" w:w="3600"/>
            <w:tcMar>
              <w:top w:w="40" w:type="dxa"/>
              <w:bottom w:w="40" w:type="dxa"/>
              <w:start w:w="80" w:type="dxa"/>
              <w:end w:w="80" w:type="dxa"/>
            </w:tcMar>
            <w:shd w:val="clear" w:color="auto" w:fill="EEF1F5"/>
          </w:tcPr>
          <w:p>
            <w:pPr>
              <w:spacing w:after="0" w:line="240" w:lineRule="auto"/>
            </w:pPr>
            <w:r/>
            <w:r>
              <w:rPr>
                <w:sz w:val="17"/>
              </w:rPr>
              <w:t>Coverture fraction on RSUs (Section 7.1)</w:t>
            </w:r>
          </w:p>
        </w:tc>
        <w:tc>
          <w:tcPr>
            <w:tcW w:type="dxa" w:w="2448"/>
            <w:tcMar>
              <w:top w:w="40" w:type="dxa"/>
              <w:bottom w:w="40" w:type="dxa"/>
              <w:start w:w="80" w:type="dxa"/>
              <w:end w:w="80" w:type="dxa"/>
            </w:tcMar>
            <w:shd w:val="clear" w:color="auto" w:fill="EEF1F5"/>
          </w:tcPr>
          <w:p>
            <w:pPr>
              <w:spacing w:after="0" w:line="240" w:lineRule="auto"/>
            </w:pPr>
            <w:r/>
            <w:r>
              <w:rPr>
                <w:sz w:val="17"/>
              </w:rPr>
              <w:t>Counter — restore 50/50 or fix service period</w:t>
            </w:r>
          </w:p>
        </w:tc>
        <w:tc>
          <w:tcPr>
            <w:tcW w:type="dxa" w:w="1440"/>
            <w:tcMar>
              <w:top w:w="40" w:type="dxa"/>
              <w:bottom w:w="40" w:type="dxa"/>
              <w:start w:w="80" w:type="dxa"/>
              <w:end w:w="80" w:type="dxa"/>
            </w:tcMar>
            <w:shd w:val="clear" w:color="auto" w:fill="EEF1F5"/>
          </w:tcPr>
          <w:p>
            <w:pPr>
              <w:spacing w:after="0" w:line="240" w:lineRule="auto"/>
            </w:pPr>
            <w:r/>
            <w:r>
              <w:rPr>
                <w:sz w:val="17"/>
              </w:rPr>
              <w:t>2</w:t>
            </w:r>
          </w:p>
        </w:tc>
        <w:tc>
          <w:tcPr>
            <w:tcW w:type="dxa" w:w="1440"/>
            <w:tcMar>
              <w:top w:w="40" w:type="dxa"/>
              <w:bottom w:w="40" w:type="dxa"/>
              <w:start w:w="80" w:type="dxa"/>
              <w:end w:w="80" w:type="dxa"/>
            </w:tcMar>
            <w:shd w:val="clear" w:color="auto" w:fill="EEF1F5"/>
          </w:tcPr>
          <w:p>
            <w:pPr>
              <w:spacing w:after="0" w:line="240" w:lineRule="auto"/>
            </w:pPr>
            <w:r/>
            <w:r>
              <w:rPr>
                <w:sz w:val="17"/>
              </w:rPr>
              <w:t>Objective (RSUs)</w:t>
            </w:r>
          </w:p>
        </w:tc>
      </w:tr>
      <w:tr>
        <w:tc>
          <w:tcPr>
            <w:tcW w:type="dxa" w:w="3600"/>
            <w:tcMar>
              <w:top w:w="40" w:type="dxa"/>
              <w:bottom w:w="40" w:type="dxa"/>
              <w:start w:w="80" w:type="dxa"/>
              <w:end w:w="80" w:type="dxa"/>
            </w:tcMar>
          </w:tcPr>
          <w:p>
            <w:pPr>
              <w:spacing w:after="0" w:line="240" w:lineRule="auto"/>
            </w:pPr>
            <w:r/>
            <w:r>
              <w:rPr>
                <w:sz w:val="17"/>
              </w:rPr>
              <w:t>Attorney’s fees mutual waiver (Section 13.2)</w:t>
            </w:r>
          </w:p>
        </w:tc>
        <w:tc>
          <w:tcPr>
            <w:tcW w:type="dxa" w:w="2448"/>
            <w:tcMar>
              <w:top w:w="40" w:type="dxa"/>
              <w:bottom w:w="40" w:type="dxa"/>
              <w:start w:w="80" w:type="dxa"/>
              <w:end w:w="80" w:type="dxa"/>
            </w:tcMar>
          </w:tcPr>
          <w:p>
            <w:pPr>
              <w:spacing w:after="0" w:line="240" w:lineRule="auto"/>
            </w:pPr>
            <w:r/>
            <w:r>
              <w:rPr>
                <w:sz w:val="17"/>
              </w:rPr>
              <w:t>Counter — restore prevailing-party</w:t>
            </w:r>
          </w:p>
        </w:tc>
        <w:tc>
          <w:tcPr>
            <w:tcW w:type="dxa" w:w="1440"/>
            <w:tcMar>
              <w:top w:w="40" w:type="dxa"/>
              <w:bottom w:w="40" w:type="dxa"/>
              <w:start w:w="80" w:type="dxa"/>
              <w:end w:w="80" w:type="dxa"/>
            </w:tcMar>
          </w:tcPr>
          <w:p>
            <w:pPr>
              <w:spacing w:after="0" w:line="240" w:lineRule="auto"/>
            </w:pPr>
            <w:r/>
            <w:r>
              <w:rPr>
                <w:sz w:val="17"/>
              </w:rPr>
              <w:t>2</w:t>
            </w:r>
          </w:p>
        </w:tc>
        <w:tc>
          <w:tcPr>
            <w:tcW w:type="dxa" w:w="1440"/>
            <w:tcMar>
              <w:top w:w="40" w:type="dxa"/>
              <w:bottom w:w="40" w:type="dxa"/>
              <w:start w:w="80" w:type="dxa"/>
              <w:end w:w="80" w:type="dxa"/>
            </w:tcMar>
          </w:tcPr>
          <w:p>
            <w:pPr>
              <w:spacing w:after="0" w:line="240" w:lineRule="auto"/>
            </w:pPr>
            <w:r/>
            <w:r>
              <w:rPr>
                <w:sz w:val="17"/>
              </w:rPr>
              <w:t>Objective 5(d)</w:t>
            </w:r>
          </w:p>
        </w:tc>
      </w:tr>
      <w:tr>
        <w:tc>
          <w:tcPr>
            <w:tcW w:type="dxa" w:w="3600"/>
            <w:tcMar>
              <w:top w:w="40" w:type="dxa"/>
              <w:bottom w:w="40" w:type="dxa"/>
              <w:start w:w="80" w:type="dxa"/>
              <w:end w:w="80" w:type="dxa"/>
            </w:tcMar>
            <w:shd w:val="clear" w:color="auto" w:fill="EEF1F5"/>
          </w:tcPr>
          <w:p>
            <w:pPr>
              <w:spacing w:after="0" w:line="240" w:lineRule="auto"/>
            </w:pPr>
            <w:r/>
            <w:r>
              <w:rPr>
                <w:sz w:val="17"/>
              </w:rPr>
              <w:t>Venue Cook → DuPage (Section 15.2)</w:t>
            </w:r>
          </w:p>
        </w:tc>
        <w:tc>
          <w:tcPr>
            <w:tcW w:type="dxa" w:w="2448"/>
            <w:tcMar>
              <w:top w:w="40" w:type="dxa"/>
              <w:bottom w:w="40" w:type="dxa"/>
              <w:start w:w="80" w:type="dxa"/>
              <w:end w:w="80" w:type="dxa"/>
            </w:tcMar>
            <w:shd w:val="clear" w:color="auto" w:fill="EEF1F5"/>
          </w:tcPr>
          <w:p>
            <w:pPr>
              <w:spacing w:after="0" w:line="240" w:lineRule="auto"/>
            </w:pPr>
            <w:r/>
            <w:r>
              <w:rPr>
                <w:sz w:val="17"/>
              </w:rPr>
              <w:t>Counter — Cook County</w:t>
            </w:r>
          </w:p>
        </w:tc>
        <w:tc>
          <w:tcPr>
            <w:tcW w:type="dxa" w:w="1440"/>
            <w:tcMar>
              <w:top w:w="40" w:type="dxa"/>
              <w:bottom w:w="40" w:type="dxa"/>
              <w:start w:w="80" w:type="dxa"/>
              <w:end w:w="80" w:type="dxa"/>
            </w:tcMar>
            <w:shd w:val="clear" w:color="auto" w:fill="EEF1F5"/>
          </w:tcPr>
          <w:p>
            <w:pPr>
              <w:spacing w:after="0" w:line="240" w:lineRule="auto"/>
            </w:pPr>
            <w:r/>
            <w:r>
              <w:rPr>
                <w:sz w:val="17"/>
              </w:rPr>
              <w:t>2</w:t>
            </w:r>
          </w:p>
        </w:tc>
        <w:tc>
          <w:tcPr>
            <w:tcW w:type="dxa" w:w="1440"/>
            <w:tcMar>
              <w:top w:w="40" w:type="dxa"/>
              <w:bottom w:w="40" w:type="dxa"/>
              <w:start w:w="80" w:type="dxa"/>
              <w:end w:w="80" w:type="dxa"/>
            </w:tcMar>
            <w:shd w:val="clear" w:color="auto" w:fill="EEF1F5"/>
          </w:tcPr>
          <w:p>
            <w:pPr>
              <w:spacing w:after="0" w:line="240" w:lineRule="auto"/>
            </w:pPr>
            <w:r/>
            <w:r>
              <w:rPr>
                <w:sz w:val="17"/>
              </w:rPr>
              <w:t>Objective 5(e)</w:t>
            </w:r>
          </w:p>
        </w:tc>
      </w:tr>
      <w:tr>
        <w:tc>
          <w:tcPr>
            <w:tcW w:type="dxa" w:w="3600"/>
            <w:tcMar>
              <w:top w:w="40" w:type="dxa"/>
              <w:bottom w:w="40" w:type="dxa"/>
              <w:start w:w="80" w:type="dxa"/>
              <w:end w:w="80" w:type="dxa"/>
            </w:tcMar>
          </w:tcPr>
          <w:p>
            <w:pPr>
              <w:spacing w:after="0" w:line="240" w:lineRule="auto"/>
            </w:pPr>
            <w:r/>
            <w:r>
              <w:rPr>
                <w:sz w:val="17"/>
              </w:rPr>
              <w:t>Sunset 15 → 7 years (Section 15.5)</w:t>
            </w:r>
          </w:p>
        </w:tc>
        <w:tc>
          <w:tcPr>
            <w:tcW w:type="dxa" w:w="2448"/>
            <w:tcMar>
              <w:top w:w="40" w:type="dxa"/>
              <w:bottom w:w="40" w:type="dxa"/>
              <w:start w:w="80" w:type="dxa"/>
              <w:end w:w="80" w:type="dxa"/>
            </w:tcMar>
          </w:tcPr>
          <w:p>
            <w:pPr>
              <w:spacing w:after="0" w:line="240" w:lineRule="auto"/>
            </w:pPr>
            <w:r/>
            <w:r>
              <w:rPr>
                <w:sz w:val="17"/>
              </w:rPr>
              <w:t>Counter — 15 yrs / through Julian’s majority</w:t>
            </w:r>
          </w:p>
        </w:tc>
        <w:tc>
          <w:tcPr>
            <w:tcW w:type="dxa" w:w="1440"/>
            <w:tcMar>
              <w:top w:w="40" w:type="dxa"/>
              <w:bottom w:w="40" w:type="dxa"/>
              <w:start w:w="80" w:type="dxa"/>
              <w:end w:w="80" w:type="dxa"/>
            </w:tcMar>
          </w:tcPr>
          <w:p>
            <w:pPr>
              <w:spacing w:after="0" w:line="240" w:lineRule="auto"/>
            </w:pPr>
            <w:r/>
            <w:r>
              <w:rPr>
                <w:sz w:val="17"/>
              </w:rPr>
              <w:t>2</w:t>
            </w:r>
          </w:p>
        </w:tc>
        <w:tc>
          <w:tcPr>
            <w:tcW w:type="dxa" w:w="1440"/>
            <w:tcMar>
              <w:top w:w="40" w:type="dxa"/>
              <w:bottom w:w="40" w:type="dxa"/>
              <w:start w:w="80" w:type="dxa"/>
              <w:end w:w="80" w:type="dxa"/>
            </w:tcMar>
          </w:tcPr>
          <w:p>
            <w:pPr>
              <w:spacing w:after="0" w:line="240" w:lineRule="auto"/>
            </w:pPr>
            <w:r/>
            <w:r>
              <w:rPr>
                <w:sz w:val="17"/>
              </w:rPr>
              <w:t>Objective 3</w:t>
            </w:r>
          </w:p>
        </w:tc>
      </w:tr>
      <w:tr>
        <w:tc>
          <w:tcPr>
            <w:tcW w:type="dxa" w:w="3600"/>
            <w:tcMar>
              <w:top w:w="40" w:type="dxa"/>
              <w:bottom w:w="40" w:type="dxa"/>
              <w:start w:w="80" w:type="dxa"/>
              <w:end w:w="80" w:type="dxa"/>
            </w:tcMar>
            <w:shd w:val="clear" w:color="auto" w:fill="EEF1F5"/>
          </w:tcPr>
          <w:p>
            <w:pPr>
              <w:spacing w:after="0" w:line="240" w:lineRule="auto"/>
            </w:pPr>
            <w:r/>
            <w:r>
              <w:rPr>
                <w:sz w:val="17"/>
              </w:rPr>
              <w:t>Buyout window 24 → 18 months (Section 9.2)</w:t>
            </w:r>
          </w:p>
        </w:tc>
        <w:tc>
          <w:tcPr>
            <w:tcW w:type="dxa" w:w="2448"/>
            <w:tcMar>
              <w:top w:w="40" w:type="dxa"/>
              <w:bottom w:w="40" w:type="dxa"/>
              <w:start w:w="80" w:type="dxa"/>
              <w:end w:w="80" w:type="dxa"/>
            </w:tcMar>
            <w:shd w:val="clear" w:color="auto" w:fill="EEF1F5"/>
          </w:tcPr>
          <w:p>
            <w:pPr>
              <w:spacing w:after="0" w:line="240" w:lineRule="auto"/>
            </w:pPr>
            <w:r/>
            <w:r>
              <w:rPr>
                <w:sz w:val="17"/>
              </w:rPr>
              <w:t>Counter — restore 24 months</w:t>
            </w:r>
          </w:p>
        </w:tc>
        <w:tc>
          <w:tcPr>
            <w:tcW w:type="dxa" w:w="1440"/>
            <w:tcMar>
              <w:top w:w="40" w:type="dxa"/>
              <w:bottom w:w="40" w:type="dxa"/>
              <w:start w:w="80" w:type="dxa"/>
              <w:end w:w="80" w:type="dxa"/>
            </w:tcMar>
            <w:shd w:val="clear" w:color="auto" w:fill="EEF1F5"/>
          </w:tcPr>
          <w:p>
            <w:pPr>
              <w:spacing w:after="0" w:line="240" w:lineRule="auto"/>
            </w:pPr>
            <w:r/>
            <w:r>
              <w:rPr>
                <w:sz w:val="17"/>
              </w:rPr>
              <w:t>3</w:t>
            </w:r>
          </w:p>
        </w:tc>
        <w:tc>
          <w:tcPr>
            <w:tcW w:type="dxa" w:w="1440"/>
            <w:tcMar>
              <w:top w:w="40" w:type="dxa"/>
              <w:bottom w:w="40" w:type="dxa"/>
              <w:start w:w="80" w:type="dxa"/>
              <w:end w:w="80" w:type="dxa"/>
            </w:tcMar>
            <w:shd w:val="clear" w:color="auto" w:fill="EEF1F5"/>
          </w:tcPr>
          <w:p>
            <w:pPr>
              <w:spacing w:after="0" w:line="240" w:lineRule="auto"/>
            </w:pPr>
            <w:r/>
            <w:r>
              <w:rPr>
                <w:sz w:val="17"/>
              </w:rPr>
              <w:t>Objective 3</w:t>
            </w:r>
          </w:p>
        </w:tc>
      </w:tr>
      <w:tr>
        <w:tc>
          <w:tcPr>
            <w:tcW w:type="dxa" w:w="3600"/>
            <w:tcMar>
              <w:top w:w="40" w:type="dxa"/>
              <w:bottom w:w="40" w:type="dxa"/>
              <w:start w:w="80" w:type="dxa"/>
              <w:end w:w="80" w:type="dxa"/>
            </w:tcMar>
          </w:tcPr>
          <w:p>
            <w:pPr>
              <w:spacing w:after="0" w:line="240" w:lineRule="auto"/>
            </w:pPr>
            <w:r/>
            <w:r>
              <w:rPr>
                <w:sz w:val="17"/>
              </w:rPr>
              <w:t>Identified Debt $5K de minimis (Section 11.2)</w:t>
            </w:r>
          </w:p>
        </w:tc>
        <w:tc>
          <w:tcPr>
            <w:tcW w:type="dxa" w:w="2448"/>
            <w:tcMar>
              <w:top w:w="40" w:type="dxa"/>
              <w:bottom w:w="40" w:type="dxa"/>
              <w:start w:w="80" w:type="dxa"/>
              <w:end w:w="80" w:type="dxa"/>
            </w:tcMar>
          </w:tcPr>
          <w:p>
            <w:pPr>
              <w:spacing w:after="0" w:line="240" w:lineRule="auto"/>
            </w:pPr>
            <w:r/>
            <w:r>
              <w:rPr>
                <w:sz w:val="17"/>
              </w:rPr>
              <w:t>Counter — delete de minimis; keep payoff/reporting</w:t>
            </w:r>
          </w:p>
        </w:tc>
        <w:tc>
          <w:tcPr>
            <w:tcW w:type="dxa" w:w="1440"/>
            <w:tcMar>
              <w:top w:w="40" w:type="dxa"/>
              <w:bottom w:w="40" w:type="dxa"/>
              <w:start w:w="80" w:type="dxa"/>
              <w:end w:w="80" w:type="dxa"/>
            </w:tcMar>
          </w:tcPr>
          <w:p>
            <w:pPr>
              <w:spacing w:after="0" w:line="240" w:lineRule="auto"/>
            </w:pPr>
            <w:r/>
            <w:r>
              <w:rPr>
                <w:sz w:val="17"/>
              </w:rPr>
              <w:t>3</w:t>
            </w:r>
          </w:p>
        </w:tc>
        <w:tc>
          <w:tcPr>
            <w:tcW w:type="dxa" w:w="1440"/>
            <w:tcMar>
              <w:top w:w="40" w:type="dxa"/>
              <w:bottom w:w="40" w:type="dxa"/>
              <w:start w:w="80" w:type="dxa"/>
              <w:end w:w="80" w:type="dxa"/>
            </w:tcMar>
          </w:tcPr>
          <w:p>
            <w:pPr>
              <w:spacing w:after="0" w:line="240" w:lineRule="auto"/>
            </w:pPr>
            <w:r/>
            <w:r>
              <w:rPr>
                <w:sz w:val="17"/>
              </w:rPr>
              <w:t>Objective 2</w:t>
            </w:r>
          </w:p>
        </w:tc>
      </w:tr>
      <w:tr>
        <w:tc>
          <w:tcPr>
            <w:tcW w:type="dxa" w:w="3600"/>
            <w:tcMar>
              <w:top w:w="40" w:type="dxa"/>
              <w:bottom w:w="40" w:type="dxa"/>
              <w:start w:w="80" w:type="dxa"/>
              <w:end w:w="80" w:type="dxa"/>
            </w:tcMar>
            <w:shd w:val="clear" w:color="auto" w:fill="EEF1F5"/>
          </w:tcPr>
          <w:p>
            <w:pPr>
              <w:spacing w:after="0" w:line="240" w:lineRule="auto"/>
            </w:pPr>
            <w:r/>
            <w:r>
              <w:rPr>
                <w:sz w:val="17"/>
              </w:rPr>
              <w:t>Active/passive Practice appreciation (Section 6.1)</w:t>
            </w:r>
          </w:p>
        </w:tc>
        <w:tc>
          <w:tcPr>
            <w:tcW w:type="dxa" w:w="2448"/>
            <w:tcMar>
              <w:top w:w="40" w:type="dxa"/>
              <w:bottom w:w="40" w:type="dxa"/>
              <w:start w:w="80" w:type="dxa"/>
              <w:end w:w="80" w:type="dxa"/>
            </w:tcMar>
            <w:shd w:val="clear" w:color="auto" w:fill="EEF1F5"/>
          </w:tcPr>
          <w:p>
            <w:pPr>
              <w:spacing w:after="0" w:line="240" w:lineRule="auto"/>
            </w:pPr>
            <w:r/>
            <w:r>
              <w:rPr>
                <w:sz w:val="17"/>
              </w:rPr>
              <w:t>Accept / refine — propose fixed 60/40</w:t>
            </w:r>
          </w:p>
        </w:tc>
        <w:tc>
          <w:tcPr>
            <w:tcW w:type="dxa" w:w="1440"/>
            <w:tcMar>
              <w:top w:w="40" w:type="dxa"/>
              <w:bottom w:w="40" w:type="dxa"/>
              <w:start w:w="80" w:type="dxa"/>
              <w:end w:w="80" w:type="dxa"/>
            </w:tcMar>
            <w:shd w:val="clear" w:color="auto" w:fill="EEF1F5"/>
          </w:tcPr>
          <w:p>
            <w:pPr>
              <w:spacing w:after="0" w:line="240" w:lineRule="auto"/>
            </w:pPr>
            <w:r/>
            <w:r>
              <w:rPr>
                <w:sz w:val="17"/>
              </w:rPr>
              <w:t>Accept</w:t>
            </w:r>
          </w:p>
        </w:tc>
        <w:tc>
          <w:tcPr>
            <w:tcW w:type="dxa" w:w="1440"/>
            <w:tcMar>
              <w:top w:w="40" w:type="dxa"/>
              <w:bottom w:w="40" w:type="dxa"/>
              <w:start w:w="80" w:type="dxa"/>
              <w:end w:w="80" w:type="dxa"/>
            </w:tcMar>
            <w:shd w:val="clear" w:color="auto" w:fill="EEF1F5"/>
          </w:tcPr>
          <w:p>
            <w:pPr>
              <w:spacing w:after="0" w:line="240" w:lineRule="auto"/>
            </w:pPr>
            <w:r/>
            <w:r>
              <w:rPr>
                <w:sz w:val="17"/>
              </w:rPr>
              <w:t>Objective 4</w:t>
            </w:r>
          </w:p>
        </w:tc>
      </w:tr>
      <w:tr>
        <w:tc>
          <w:tcPr>
            <w:tcW w:type="dxa" w:w="3600"/>
            <w:tcMar>
              <w:top w:w="40" w:type="dxa"/>
              <w:bottom w:w="40" w:type="dxa"/>
              <w:start w:w="80" w:type="dxa"/>
              <w:end w:w="80" w:type="dxa"/>
            </w:tcMar>
          </w:tcPr>
          <w:p>
            <w:pPr>
              <w:spacing w:after="0" w:line="240" w:lineRule="auto"/>
            </w:pPr>
            <w:r/>
            <w:r>
              <w:rPr>
                <w:sz w:val="17"/>
              </w:rPr>
              <w:t>Maintenance waiver + 3-yr cap (Sections 10.2–10.4)</w:t>
            </w:r>
          </w:p>
        </w:tc>
        <w:tc>
          <w:tcPr>
            <w:tcW w:type="dxa" w:w="2448"/>
            <w:tcMar>
              <w:top w:w="40" w:type="dxa"/>
              <w:bottom w:w="40" w:type="dxa"/>
              <w:start w:w="80" w:type="dxa"/>
              <w:end w:w="80" w:type="dxa"/>
            </w:tcMar>
          </w:tcPr>
          <w:p>
            <w:pPr>
              <w:spacing w:after="0" w:line="240" w:lineRule="auto"/>
            </w:pPr>
            <w:r/>
            <w:r>
              <w:rPr>
                <w:sz w:val="17"/>
              </w:rPr>
              <w:t>Accept / preserve (mind sunset)</w:t>
            </w:r>
          </w:p>
        </w:tc>
        <w:tc>
          <w:tcPr>
            <w:tcW w:type="dxa" w:w="1440"/>
            <w:tcMar>
              <w:top w:w="40" w:type="dxa"/>
              <w:bottom w:w="40" w:type="dxa"/>
              <w:start w:w="80" w:type="dxa"/>
              <w:end w:w="80" w:type="dxa"/>
            </w:tcMar>
          </w:tcPr>
          <w:p>
            <w:pPr>
              <w:spacing w:after="0" w:line="240" w:lineRule="auto"/>
            </w:pPr>
            <w:r/>
            <w:r>
              <w:rPr>
                <w:sz w:val="17"/>
              </w:rPr>
              <w:t>Accept</w:t>
            </w:r>
          </w:p>
        </w:tc>
        <w:tc>
          <w:tcPr>
            <w:tcW w:type="dxa" w:w="1440"/>
            <w:tcMar>
              <w:top w:w="40" w:type="dxa"/>
              <w:bottom w:w="40" w:type="dxa"/>
              <w:start w:w="80" w:type="dxa"/>
              <w:end w:w="80" w:type="dxa"/>
            </w:tcMar>
          </w:tcPr>
          <w:p>
            <w:pPr>
              <w:spacing w:after="0" w:line="240" w:lineRule="auto"/>
            </w:pPr>
            <w:r/>
            <w:r>
              <w:rPr>
                <w:sz w:val="17"/>
              </w:rPr>
              <w:t>—</w:t>
            </w:r>
          </w:p>
        </w:tc>
      </w:tr>
      <w:tr>
        <w:tc>
          <w:tcPr>
            <w:tcW w:type="dxa" w:w="3600"/>
            <w:tcMar>
              <w:top w:w="40" w:type="dxa"/>
              <w:bottom w:w="40" w:type="dxa"/>
              <w:start w:w="80" w:type="dxa"/>
              <w:end w:w="80" w:type="dxa"/>
            </w:tcMar>
            <w:shd w:val="clear" w:color="auto" w:fill="EEF1F5"/>
          </w:tcPr>
          <w:p>
            <w:pPr>
              <w:spacing w:after="0" w:line="240" w:lineRule="auto"/>
            </w:pPr>
            <w:r/>
            <w:r>
              <w:rPr>
                <w:sz w:val="17"/>
              </w:rPr>
              <w:t>Severability; notarization; witnesses; counsel blocks; 60-day review</w:t>
            </w:r>
          </w:p>
        </w:tc>
        <w:tc>
          <w:tcPr>
            <w:tcW w:type="dxa" w:w="2448"/>
            <w:tcMar>
              <w:top w:w="40" w:type="dxa"/>
              <w:bottom w:w="40" w:type="dxa"/>
              <w:start w:w="80" w:type="dxa"/>
              <w:end w:w="80" w:type="dxa"/>
            </w:tcMar>
            <w:shd w:val="clear" w:color="auto" w:fill="EEF1F5"/>
          </w:tcPr>
          <w:p>
            <w:pPr>
              <w:spacing w:after="0" w:line="240" w:lineRule="auto"/>
            </w:pPr>
            <w:r/>
            <w:r>
              <w:rPr>
                <w:sz w:val="17"/>
              </w:rPr>
              <w:t>Accept</w:t>
            </w:r>
          </w:p>
        </w:tc>
        <w:tc>
          <w:tcPr>
            <w:tcW w:type="dxa" w:w="1440"/>
            <w:tcMar>
              <w:top w:w="40" w:type="dxa"/>
              <w:bottom w:w="40" w:type="dxa"/>
              <w:start w:w="80" w:type="dxa"/>
              <w:end w:w="80" w:type="dxa"/>
            </w:tcMar>
            <w:shd w:val="clear" w:color="auto" w:fill="EEF1F5"/>
          </w:tcPr>
          <w:p>
            <w:pPr>
              <w:spacing w:after="0" w:line="240" w:lineRule="auto"/>
            </w:pPr>
            <w:r/>
            <w:r>
              <w:rPr>
                <w:sz w:val="17"/>
              </w:rPr>
              <w:t>Accept</w:t>
            </w:r>
          </w:p>
        </w:tc>
        <w:tc>
          <w:tcPr>
            <w:tcW w:type="dxa" w:w="1440"/>
            <w:tcMar>
              <w:top w:w="40" w:type="dxa"/>
              <w:bottom w:w="40" w:type="dxa"/>
              <w:start w:w="80" w:type="dxa"/>
              <w:end w:w="80" w:type="dxa"/>
            </w:tcMar>
            <w:shd w:val="clear" w:color="auto" w:fill="EEF1F5"/>
          </w:tcPr>
          <w:p>
            <w:pPr>
              <w:spacing w:after="0" w:line="240" w:lineRule="auto"/>
            </w:pPr>
            <w:r/>
            <w:r>
              <w:rPr>
                <w:sz w:val="17"/>
              </w:rPr>
              <w:t>Objective 5</w:t>
            </w:r>
          </w:p>
        </w:tc>
      </w:tr>
      <w:tr>
        <w:tc>
          <w:tcPr>
            <w:tcW w:type="dxa" w:w="3600"/>
            <w:tcMar>
              <w:top w:w="40" w:type="dxa"/>
              <w:bottom w:w="40" w:type="dxa"/>
              <w:start w:w="80" w:type="dxa"/>
              <w:end w:w="80" w:type="dxa"/>
            </w:tcMar>
          </w:tcPr>
          <w:p>
            <w:pPr>
              <w:spacing w:after="0" w:line="240" w:lineRule="auto"/>
            </w:pPr>
            <w:r/>
            <w:r>
              <w:rPr>
                <w:sz w:val="17"/>
              </w:rPr>
              <w:t>Factual discrepancies (Section V)</w:t>
            </w:r>
          </w:p>
        </w:tc>
        <w:tc>
          <w:tcPr>
            <w:tcW w:type="dxa" w:w="2448"/>
            <w:tcMar>
              <w:top w:w="40" w:type="dxa"/>
              <w:bottom w:w="40" w:type="dxa"/>
              <w:start w:w="80" w:type="dxa"/>
              <w:end w:w="80" w:type="dxa"/>
            </w:tcMar>
          </w:tcPr>
          <w:p>
            <w:pPr>
              <w:spacing w:after="0" w:line="240" w:lineRule="auto"/>
            </w:pPr>
            <w:r/>
            <w:r>
              <w:rPr>
                <w:sz w:val="17"/>
              </w:rPr>
              <w:t>Resolve — conform to source documents</w:t>
            </w:r>
          </w:p>
        </w:tc>
        <w:tc>
          <w:tcPr>
            <w:tcW w:type="dxa" w:w="1440"/>
            <w:tcMar>
              <w:top w:w="40" w:type="dxa"/>
              <w:bottom w:w="40" w:type="dxa"/>
              <w:start w:w="80" w:type="dxa"/>
              <w:end w:w="80" w:type="dxa"/>
            </w:tcMar>
          </w:tcPr>
          <w:p>
            <w:pPr>
              <w:spacing w:after="0" w:line="240" w:lineRule="auto"/>
            </w:pPr>
            <w:r/>
            <w:r>
              <w:rPr>
                <w:sz w:val="17"/>
              </w:rPr>
              <w:t>Must resolve pre-execution</w:t>
            </w:r>
          </w:p>
        </w:tc>
        <w:tc>
          <w:tcPr>
            <w:tcW w:type="dxa" w:w="1440"/>
            <w:tcMar>
              <w:top w:w="40" w:type="dxa"/>
              <w:bottom w:w="40" w:type="dxa"/>
              <w:start w:w="80" w:type="dxa"/>
              <w:end w:w="80" w:type="dxa"/>
            </w:tcMar>
          </w:tcPr>
          <w:p>
            <w:pPr>
              <w:spacing w:after="0" w:line="240" w:lineRule="auto"/>
            </w:pPr>
            <w:r/>
            <w:r>
              <w:rPr>
                <w:sz w:val="17"/>
              </w:rPr>
              <w:t>Enforceability</w:t>
            </w:r>
          </w:p>
        </w:tc>
      </w:tr>
    </w:tbl>
    <w:p>
      <w:pPr>
        <w:keepNext/>
        <w:spacing w:before="200" w:after="60"/>
      </w:pPr>
      <w:r>
        <w:rPr>
          <w:b/>
          <w:color w:val="1F3355"/>
          <w:sz w:val="23"/>
        </w:rPr>
        <w:t>C. Leverage points</w:t>
      </w:r>
    </w:p>
    <w:p>
      <w:pPr>
        <w:pStyle w:val="ListBullet"/>
        <w:spacing w:after="60" w:line="252" w:lineRule="auto"/>
      </w:pPr>
      <w:r>
        <w:rPr>
          <w:sz w:val="22"/>
        </w:rPr>
        <w:t xml:space="preserve">Strand report supports the active/passive framework.  </w:t>
      </w:r>
    </w:p>
    <w:p>
      <w:pPr>
        <w:spacing w:before="0" w:after="80" w:lineRule="auto" w:line="259"/>
        <w:ind w:left="360"/>
      </w:pPr>
      <w:r>
        <w:rPr>
          <w:b w:val="0"/>
          <w:i w:val="0"/>
          <w:sz w:val="22"/>
        </w:rPr>
        <w:t>Strand’s 60%/40% attribution is an independent, professional analysis that supports a fixed split favoring Wife. Use it to justify accepting the framework while proposing a fixed 60/40 allocation that also serves Husband’s interest in certainty and avoids a future forensic battle.</w:t>
      </w:r>
    </w:p>
    <w:p>
      <w:pPr>
        <w:pStyle w:val="ListBullet"/>
        <w:spacing w:after="60" w:line="252" w:lineRule="auto"/>
      </w:pPr>
      <w:r>
        <w:rPr>
          <w:sz w:val="22"/>
        </w:rPr>
        <w:t xml:space="preserve">Husband’s documented concealment history supports robust disclosure.  </w:t>
      </w:r>
    </w:p>
    <w:p>
      <w:pPr>
        <w:spacing w:before="0" w:after="80" w:lineRule="auto" w:line="259"/>
        <w:ind w:left="360"/>
      </w:pPr>
      <w:r>
        <w:rPr>
          <w:b w:val="0"/>
          <w:i w:val="0"/>
          <w:sz w:val="22"/>
        </w:rPr>
        <w:t>The $68,000 hidden for ~18 months, and the client’s description of a pattern, give us a strong factual basis to resist the voidability tightening and the deletion of ongoing disclosure duties. Frame the restoration of the material-omission standard and ongoing duties as proportionate given that history.</w:t>
      </w:r>
    </w:p>
    <w:p>
      <w:pPr>
        <w:pStyle w:val="ListBullet"/>
        <w:spacing w:after="60" w:line="252" w:lineRule="auto"/>
      </w:pPr>
      <w:r>
        <w:rPr>
          <w:sz w:val="22"/>
        </w:rPr>
        <w:t xml:space="preserve">The lopsided trade supports a firm stance on the must-fix items.  </w:t>
      </w:r>
    </w:p>
    <w:p>
      <w:pPr>
        <w:spacing w:before="0" w:after="80" w:lineRule="auto" w:line="259"/>
        <w:ind w:left="360"/>
      </w:pPr>
      <w:r>
        <w:rPr>
          <w:b w:val="0"/>
          <w:i w:val="0"/>
          <w:sz w:val="22"/>
        </w:rPr>
        <w:t>The ~$600,000 certain transfer to Husband, plus the open-ended Inheritance protection, dwarfs the uncertain maintenance concession. We are not asking Mr. Baxter to “give back” a balanced deal; we are asking him to restore terms he quietly removed.</w:t>
      </w:r>
    </w:p>
    <w:p>
      <w:pPr>
        <w:pStyle w:val="ListBullet"/>
        <w:spacing w:after="60" w:line="252" w:lineRule="auto"/>
      </w:pPr>
      <w:r>
        <w:rPr>
          <w:sz w:val="22"/>
        </w:rPr>
        <w:t xml:space="preserve">The transmittal email’s minimization is a credibility point.  </w:t>
      </w:r>
    </w:p>
    <w:p>
      <w:pPr>
        <w:spacing w:before="0" w:after="80" w:lineRule="auto" w:line="259"/>
        <w:ind w:left="360"/>
      </w:pPr>
      <w:r>
        <w:rPr>
          <w:b w:val="0"/>
          <w:i w:val="0"/>
          <w:sz w:val="22"/>
        </w:rPr>
        <w:t>If Mr. Baxter characterizes the must-fix items as minor or as already “balanced,” we can point out that his cover email did not flag the deletion of the $1.2M reimbursement, the commingling reversal, the unilateral modification mechanism, the voidability tightening, or the Earned Income definition. The items he did flag (severability, notarization, spelling, the recital) are the benign ones.</w:t>
      </w:r>
    </w:p>
    <w:p>
      <w:pPr>
        <w:pStyle w:val="ListBullet"/>
        <w:spacing w:after="60" w:line="252" w:lineRule="auto"/>
      </w:pPr>
      <w:r>
        <w:rPr>
          <w:sz w:val="22"/>
        </w:rPr>
        <w:t xml:space="preserve">Wife’s acceptance of the favorable items is conditional.  </w:t>
      </w:r>
    </w:p>
    <w:p>
      <w:pPr>
        <w:spacing w:before="0" w:after="80" w:lineRule="auto" w:line="259"/>
        <w:ind w:left="360"/>
      </w:pPr>
      <w:r>
        <w:rPr>
          <w:b w:val="0"/>
          <w:i w:val="0"/>
          <w:sz w:val="22"/>
        </w:rPr>
        <w:t>The maintenance waiver and the active/passive framework are genuine value to Husband in negotiation terms (they are concessions he offered). We should make clear that Wife’s acceptance of them is part of a package that includes restoration of her core protections — not a standalone concession she grants regardless.</w:t>
      </w:r>
    </w:p>
    <w:p>
      <w:pPr>
        <w:keepNext/>
        <w:spacing w:before="200" w:after="60"/>
      </w:pPr>
      <w:r>
        <w:rPr>
          <w:b/>
          <w:color w:val="1F3355"/>
          <w:sz w:val="23"/>
        </w:rPr>
        <w:t>D. Suggested sequencing for the four-way</w:t>
      </w:r>
    </w:p>
    <w:p>
      <w:pPr>
        <w:spacing w:after="60" w:line="252" w:lineRule="auto"/>
        <w:ind w:left="432" w:hanging="432"/>
      </w:pPr>
      <w:r>
        <w:rPr>
          <w:b/>
          <w:sz w:val="22"/>
        </w:rPr>
        <w:t xml:space="preserve">1.  </w:t>
      </w:r>
      <w:r>
        <w:rPr>
          <w:sz w:val="22"/>
        </w:rPr>
        <w:t>Lead with the must-fix items (reimbursement, unilateral modification, voidability/disclosure, Earned Income/bonus, commingling). State them as conditions to our recommending execution.</w:t>
      </w:r>
    </w:p>
    <w:p>
      <w:pPr>
        <w:spacing w:after="60" w:line="252" w:lineRule="auto"/>
        <w:ind w:left="432" w:hanging="432"/>
      </w:pPr>
      <w:r>
        <w:rPr>
          <w:b/>
          <w:sz w:val="22"/>
        </w:rPr>
        <w:t xml:space="preserve">2.  </w:t>
      </w:r>
      <w:r>
        <w:rPr>
          <w:sz w:val="22"/>
        </w:rPr>
        <w:t>Present the favorable items (active/passive, maintenance waiver) as accepted-in-principle, with the refinements in Section IV.A–IV.B.</w:t>
      </w:r>
    </w:p>
    <w:p>
      <w:pPr>
        <w:spacing w:after="60" w:line="252" w:lineRule="auto"/>
        <w:ind w:left="432" w:hanging="432"/>
      </w:pPr>
      <w:r>
        <w:rPr>
          <w:b/>
          <w:sz w:val="22"/>
        </w:rPr>
        <w:t xml:space="preserve">3.  </w:t>
      </w:r>
      <w:r>
        <w:rPr>
          <w:sz w:val="22"/>
        </w:rPr>
        <w:t>Negotiate the second-tier items (RSU coverture, fees, venue, sunset, buyout window, debt de minimis) as a group; several can be traded against each other.</w:t>
      </w:r>
    </w:p>
    <w:p>
      <w:pPr>
        <w:spacing w:after="60" w:line="252" w:lineRule="auto"/>
        <w:ind w:left="432" w:hanging="432"/>
      </w:pPr>
      <w:r>
        <w:rPr>
          <w:b/>
          <w:sz w:val="22"/>
        </w:rPr>
        <w:t xml:space="preserve">4.  </w:t>
      </w:r>
      <w:r>
        <w:rPr>
          <w:sz w:val="22"/>
        </w:rPr>
        <w:t>Table the factual-discrepancy clean-up as a neutral, joint task (conforming schedules to source documents) — not a contested item.</w:t>
      </w:r>
    </w:p>
    <w:p>
      <w:pPr>
        <w:spacing w:after="60" w:line="252" w:lineRule="auto"/>
        <w:ind w:left="432" w:hanging="432"/>
      </w:pPr>
      <w:r>
        <w:rPr>
          <w:b/>
          <w:sz w:val="22"/>
        </w:rPr>
        <w:t xml:space="preserve">5.  </w:t>
      </w:r>
      <w:r>
        <w:rPr>
          <w:sz w:val="22"/>
        </w:rPr>
        <w:t>Aim to leave the four-way with a short, written open-items list and an agreed path to a clean redline, targeting execution in the first quarter of 2025 as the client directed.</w:t>
      </w:r>
    </w:p>
    <w:p>
      <w:pPr>
        <w:keepNext/>
        <w:spacing w:before="280" w:after="80"/>
        <w:pBdr>
          <w:bottom w:val="single" w:sz="6" w:space="2" w:color="1F3355"/>
        </w:pBdr>
      </w:pPr>
      <w:r>
        <w:rPr>
          <w:b/>
          <w:color w:val="1F3355"/>
          <w:sz w:val="25"/>
        </w:rPr>
        <w:t>VIII.  RECOMMENDED COUNTER-DRAFTING INSTRUCTIONS</w:t>
      </w:r>
    </w:p>
    <w:p>
      <w:pPr>
        <w:spacing w:before="0" w:after="120" w:lineRule="auto" w:line="259"/>
      </w:pPr>
      <w:r>
        <w:rPr>
          <w:b w:val="0"/>
          <w:i w:val="0"/>
          <w:sz w:val="22"/>
        </w:rPr>
        <w:t>If the four-way does not resolve the must-fix items, or in parallel, we should prepare a counter-draft that adopts the Redline’s acceptable structure and favorable provisions while restoring the following from the Original Draft (with corrections per Section V):</w:t>
      </w:r>
    </w:p>
    <w:p>
      <w:pPr>
        <w:pStyle w:val="ListBullet"/>
        <w:spacing w:after="60" w:line="252" w:lineRule="auto"/>
      </w:pPr>
      <w:r>
        <w:rPr>
          <w:sz w:val="22"/>
        </w:rPr>
        <w:t>Section 5.2 — restore the $1,200,000 first-priority premarital savings reimbursement right, with the Joint Investment Account identified as Northbridge account ending 3291.</w:t>
      </w:r>
    </w:p>
    <w:p>
      <w:pPr>
        <w:pStyle w:val="ListBullet"/>
        <w:spacing w:after="60" w:line="252" w:lineRule="auto"/>
      </w:pPr>
      <w:r>
        <w:rPr>
          <w:sz w:val="22"/>
        </w:rPr>
        <w:t>Section 4.3 — restore the transmutation-for-gift rule for separate property used for joint benefit, applicable to both Parties; allow only a narrow, itemized reimbursement carve-out for documented capital improvements offset by the resulting equity increase.</w:t>
      </w:r>
    </w:p>
    <w:p>
      <w:pPr>
        <w:pStyle w:val="ListBullet"/>
        <w:spacing w:after="60" w:line="252" w:lineRule="auto"/>
      </w:pPr>
      <w:r>
        <w:rPr>
          <w:sz w:val="22"/>
        </w:rPr>
        <w:t>Article XIV — delete Section 14.2; restore mutual-written-consent modification (both Parties’ signatures, same formality).</w:t>
      </w:r>
    </w:p>
    <w:p>
      <w:pPr>
        <w:pStyle w:val="ListBullet"/>
        <w:spacing w:after="60" w:line="252" w:lineRule="auto"/>
      </w:pPr>
      <w:r>
        <w:rPr>
          <w:sz w:val="22"/>
        </w:rPr>
        <w:t>Section 12.2 / 3.3 — restore the “material omission or misrepresentation” voidability standard with no dollar threshold and no heightened evidentiary standard; delete the two-year limitations period.</w:t>
      </w:r>
    </w:p>
    <w:p>
      <w:pPr>
        <w:pStyle w:val="ListBullet"/>
        <w:spacing w:after="60" w:line="252" w:lineRule="auto"/>
      </w:pPr>
      <w:r>
        <w:rPr>
          <w:sz w:val="22"/>
        </w:rPr>
        <w:t>Sections 3.4 and 11.3 — restore the ongoing disclosure duty (30-day, $10,000 threshold) and the future-debt disclosure duty (15-day, $5,000 threshold, material breach).</w:t>
      </w:r>
    </w:p>
    <w:p>
      <w:pPr>
        <w:pStyle w:val="ListBullet"/>
        <w:spacing w:after="60" w:line="252" w:lineRule="auto"/>
      </w:pPr>
      <w:r>
        <w:rPr>
          <w:sz w:val="22"/>
        </w:rPr>
        <w:t>Section 2.1 — restore the “Gross Income” definition (broad, including bonuses, equity, and RSUs) for property-classification purposes; if a narrow income definition is retained for the maintenance calculation only, add an express savings clause preserving all variable compensation as Marital Property under Articles V and VII and expressly classifying Husband’s bonus as Marital Property.</w:t>
      </w:r>
    </w:p>
    <w:p>
      <w:pPr>
        <w:pStyle w:val="ListBullet"/>
        <w:spacing w:after="60" w:line="252" w:lineRule="auto"/>
      </w:pPr>
      <w:r>
        <w:rPr>
          <w:sz w:val="22"/>
        </w:rPr>
        <w:t>Section 7.1 — restore the flat 50/50 RSU division; or, if a coverture fraction is retained, anchor the Relevant Service Period to the grant-to-vesting period (January 1, 2024 – vesting date), not the hire date.</w:t>
      </w:r>
    </w:p>
    <w:p>
      <w:pPr>
        <w:pStyle w:val="ListBullet"/>
        <w:spacing w:after="60" w:line="252" w:lineRule="auto"/>
      </w:pPr>
      <w:r>
        <w:rPr>
          <w:sz w:val="22"/>
        </w:rPr>
        <w:t>Section 13.2 — restore prevailing-party attorney’s fees (or fee-shifting for willful breach/enforcement).</w:t>
      </w:r>
    </w:p>
    <w:p>
      <w:pPr>
        <w:pStyle w:val="ListBullet"/>
        <w:spacing w:after="60" w:line="252" w:lineRule="auto"/>
      </w:pPr>
      <w:r>
        <w:rPr>
          <w:sz w:val="22"/>
        </w:rPr>
        <w:t>Section 15.2 — restore Cook County as exclusive venue.</w:t>
      </w:r>
    </w:p>
    <w:p>
      <w:pPr>
        <w:pStyle w:val="ListBullet"/>
        <w:spacing w:after="60" w:line="252" w:lineRule="auto"/>
      </w:pPr>
      <w:r>
        <w:rPr>
          <w:sz w:val="22"/>
        </w:rPr>
        <w:t>Section 15.5 — restore a fifteen-year sunset (or a term through Julian’s eighteenth birthday plus a buffer) with mutual renewal.</w:t>
      </w:r>
    </w:p>
    <w:p>
      <w:pPr>
        <w:pStyle w:val="ListBullet"/>
        <w:spacing w:after="60" w:line="252" w:lineRule="auto"/>
      </w:pPr>
      <w:r>
        <w:rPr>
          <w:sz w:val="22"/>
        </w:rPr>
        <w:t>Section 9.2 — restore a 24-month buyout window (or 18–24 months tied to refinance feasibility); retain the lien and AFR interest.</w:t>
      </w:r>
    </w:p>
    <w:p>
      <w:pPr>
        <w:pStyle w:val="ListBullet"/>
        <w:spacing w:after="60" w:line="252" w:lineRule="auto"/>
      </w:pPr>
      <w:r>
        <w:rPr>
          <w:sz w:val="22"/>
        </w:rPr>
        <w:t>Section 11.2 — delete the $5,000 de minimis; retain the 24-month payoff, quarterly statements, and Wife’s optional satisfaction-and-reimbursement right.</w:t>
      </w:r>
    </w:p>
    <w:p>
      <w:pPr>
        <w:pStyle w:val="ListBullet"/>
        <w:spacing w:after="60" w:line="252" w:lineRule="auto"/>
      </w:pPr>
      <w:r>
        <w:rPr>
          <w:sz w:val="22"/>
        </w:rPr>
        <w:t>Section 6.1 — accept the active/passive framework; propose a fixed 60%/40% allocation (60% separate / 40% marital) per Strand, with a fresh-study trigger only on material change.</w:t>
      </w:r>
    </w:p>
    <w:p>
      <w:pPr>
        <w:pStyle w:val="ListBullet"/>
        <w:spacing w:after="60" w:line="252" w:lineRule="auto"/>
      </w:pPr>
      <w:r>
        <w:rPr>
          <w:sz w:val="22"/>
        </w:rPr>
        <w:t>Sections 10.2–10.4 — accept the maintenance waiver, three-year cap, and Earned-Income base, subject to coordinating the sunset so the waiver is not extinguished prematurely.</w:t>
      </w:r>
    </w:p>
    <w:p>
      <w:pPr>
        <w:pStyle w:val="ListBullet"/>
        <w:spacing w:after="60" w:line="252" w:lineRule="auto"/>
      </w:pPr>
      <w:r>
        <w:rPr>
          <w:sz w:val="22"/>
        </w:rPr>
        <w:t>Schedules A and B and Recital 1.6 — conform all custodians, account numbers, balances, appraisers, and dates to the verified Linden &amp; Fosse schedules, the death certificate, the birth certificates, and the Pendleton/Strand reports.</w:t>
      </w:r>
    </w:p>
    <w:p>
      <w:pPr>
        <w:keepNext/>
        <w:spacing w:before="280" w:after="80"/>
        <w:pBdr>
          <w:bottom w:val="single" w:sz="6" w:space="2" w:color="1F3355"/>
        </w:pBdr>
      </w:pPr>
      <w:r>
        <w:rPr>
          <w:b/>
          <w:color w:val="1F3355"/>
          <w:sz w:val="25"/>
        </w:rPr>
        <w:t>IX.  OPEN ITEMS AND NEXT STEPS</w:t>
      </w:r>
    </w:p>
    <w:p>
      <w:pPr>
        <w:spacing w:after="60" w:line="252" w:lineRule="auto"/>
        <w:ind w:left="432" w:hanging="432"/>
      </w:pPr>
      <w:r>
        <w:rPr>
          <w:b/>
          <w:sz w:val="22"/>
        </w:rPr>
        <w:t xml:space="preserve">1.  </w:t>
      </w:r>
      <w:r>
        <w:rPr>
          <w:sz w:val="22"/>
        </w:rPr>
        <w:t>Obtain and review: death certificate and probate/estate inventory for Constance Thornton; birth certificates for Elena and Julian; current statements for the Inheritance brokerage (Northbridge 8837), the Joint Investment Account (Northbridge 3291), Wife’s 403(b) (Northbridge 7842), and Husband’s 401(k) (Northbridge 5518); the Door County appraisal (Pendleton); and Husband’s RSU award documentation and employment agreement.</w:t>
      </w:r>
    </w:p>
    <w:p>
      <w:pPr>
        <w:spacing w:after="60" w:line="252" w:lineRule="auto"/>
        <w:ind w:left="432" w:hanging="432"/>
      </w:pPr>
      <w:r>
        <w:rPr>
          <w:b/>
          <w:sz w:val="22"/>
        </w:rPr>
        <w:t xml:space="preserve">2.  </w:t>
      </w:r>
      <w:r>
        <w:rPr>
          <w:sz w:val="22"/>
        </w:rPr>
        <w:t>Prepare a marked counter-draft per Section VIII for internal review and, on your approval, transmission to Mr. Baxter in advance of the four-way.</w:t>
      </w:r>
    </w:p>
    <w:p>
      <w:pPr>
        <w:spacing w:after="60" w:line="252" w:lineRule="auto"/>
        <w:ind w:left="432" w:hanging="432"/>
      </w:pPr>
      <w:r>
        <w:rPr>
          <w:b/>
          <w:sz w:val="22"/>
        </w:rPr>
        <w:t xml:space="preserve">3.  </w:t>
      </w:r>
      <w:r>
        <w:rPr>
          <w:sz w:val="22"/>
        </w:rPr>
        <w:t>Confirm with the client her positions on the two genuine trade-offs: (i) accepting the active/passive Practice framework (favorable to her) and the maintenance waiver (favorable to her) in exchange for restoring the $1.2M reimbursement, the disclosure regime, and the mutual-modification rule; and (ii) whether a fixed 60/40 Practice allocation is preferable to a forensic-expert apportionment at dissolution.</w:t>
      </w:r>
    </w:p>
    <w:p>
      <w:pPr>
        <w:spacing w:after="60" w:line="252" w:lineRule="auto"/>
        <w:ind w:left="432" w:hanging="432"/>
      </w:pPr>
      <w:r>
        <w:rPr>
          <w:b/>
          <w:sz w:val="22"/>
        </w:rPr>
        <w:t xml:space="preserve">4.  </w:t>
      </w:r>
      <w:r>
        <w:rPr>
          <w:sz w:val="22"/>
        </w:rPr>
        <w:t>Calendar the January 27 four-way and prepare a one-page issue list for the clients’ use at the conference.</w:t>
      </w:r>
    </w:p>
    <w:p>
      <w:pPr>
        <w:spacing w:after="60" w:line="252" w:lineRule="auto"/>
        <w:ind w:left="432" w:hanging="432"/>
      </w:pPr>
      <w:r>
        <w:rPr>
          <w:b/>
          <w:sz w:val="22"/>
        </w:rPr>
        <w:t xml:space="preserve">5.  </w:t>
      </w:r>
      <w:r>
        <w:rPr>
          <w:sz w:val="22"/>
        </w:rPr>
        <w:t>Reconfirm the target execution window (first quarter of 2025) and the execution formalities (notarization and two witnesses per Party, as the Redline helpfully adds).</w:t>
      </w:r>
    </w:p>
    <w:p>
      <w:pPr>
        <w:spacing w:after="160" w:before="0"/>
      </w:pPr>
    </w:p>
    <w:p>
      <w:pPr>
        <w:spacing w:before="40" w:after="40"/>
        <w:pBdr>
          <w:bottom w:val="single" w:sz="6" w:space="1" w:color="BBBBBB"/>
        </w:pBdr>
      </w:pPr>
    </w:p>
    <w:p>
      <w:pPr>
        <w:spacing w:before="80" w:after="120" w:lineRule="auto" w:line="259"/>
      </w:pPr>
      <w:r>
        <w:rPr>
          <w:b w:val="0"/>
          <w:i/>
          <w:color w:val="555555"/>
          <w:sz w:val="18"/>
        </w:rPr>
        <w:t>This memorandum is prepared for the internal use of Kessler, Odom &amp; Pratt LLP and is protected by the attorney-client privilege and the attorney work product doctrine. It should not be disclosed to any person outside the firm without prior authorization from the supervising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59"/>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