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81e55b44c0e0d56b1643971a9648e95cffc8ab0"/>
    <w:p>
      <w:pPr>
        <w:pStyle w:val="Heading1"/>
      </w:pPr>
      <w:r>
        <w:t xml:space="preserve">PRIVILEGED AND CONFIDENTIAL — ATTORNEY-CLIENT COMMUNICATION / ATTORNEY WORK PRODUCT</w:t>
      </w:r>
    </w:p>
    <w:p>
      <w:pPr>
        <w:pStyle w:val="FirstParagraph"/>
      </w:pPr>
      <w:r>
        <w:rPr>
          <w:b/>
          <w:bCs/>
        </w:rPr>
        <w:t xml:space="preserve">KESSLER, ODOM &amp; PRATT LLP</w:t>
      </w:r>
      <w:r>
        <w:t xml:space="preserve"> </w:t>
      </w:r>
      <w:r>
        <w:t xml:space="preserve">210 South Wacker Drive, Suite 2400</w:t>
      </w:r>
      <w:r>
        <w:t xml:space="preserve"> </w:t>
      </w:r>
      <w:r>
        <w:t xml:space="preserve">Chicago, Illinois 60606</w:t>
      </w:r>
    </w:p>
    <w:bookmarkStart w:id="20" w:name="memorandum"/>
    <w:p>
      <w:pPr>
        <w:pStyle w:val="Heading2"/>
      </w:pPr>
      <w:r>
        <w:t xml:space="preserve">MEMORANDUM</w: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Review of Husband’s Counsel’s Redline of Postnuptial Agreement (Veselka-Thornton / Thornton) — Change Analysis and Negotiation Strategy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January 6, 2025, we received from Thomas Baxter of Hargrove Baxter LLP a marked-up draft of the postnuptial agreement (the</w:t>
      </w:r>
      <w:r>
        <w:t xml:space="preserve"> </w:t>
      </w:r>
      <w:r>
        <w:t xml:space="preserve">“</w:t>
      </w:r>
      <w:r>
        <w:t xml:space="preserve">Redline</w:t>
      </w:r>
      <w:r>
        <w:t xml:space="preserve">”</w:t>
      </w:r>
      <w:r>
        <w:t xml:space="preserve">) together with a transmittal email characterizing the revisions as</w:t>
      </w:r>
      <w:r>
        <w:t xml:space="preserve"> </w:t>
      </w:r>
      <w:r>
        <w:t xml:space="preserve">“</w:t>
      </w:r>
      <w:r>
        <w:t xml:space="preserve">modest clarifications and a few requests for balanced treatment</w:t>
      </w:r>
      <w:r>
        <w:t xml:space="preserve">”</w:t>
      </w:r>
      <w:r>
        <w:t xml:space="preserve"> </w:t>
      </w:r>
      <w:r>
        <w:t xml:space="preserve">that do not</w:t>
      </w:r>
      <w:r>
        <w:t xml:space="preserve"> </w:t>
      </w:r>
      <w:r>
        <w:t xml:space="preserve">“</w:t>
      </w:r>
      <w:r>
        <w:t xml:space="preserve">move us far from where we started.</w:t>
      </w:r>
      <w:r>
        <w:t xml:space="preserve">”</w:t>
      </w:r>
      <w:r>
        <w:t xml:space="preserve"> </w:t>
      </w:r>
      <w:r>
        <w:t xml:space="preserve">Having now reviewed the Redline against our December 16, 2024 draft (the</w:t>
      </w:r>
      <w:r>
        <w:t xml:space="preserve"> </w:t>
      </w:r>
      <w:r>
        <w:t xml:space="preserve">“</w:t>
      </w:r>
      <w:r>
        <w:t xml:space="preserve">Original Draft</w:t>
      </w:r>
      <w:r>
        <w:t xml:space="preserve">”</w:t>
      </w:r>
      <w:r>
        <w:t xml:space="preserve">), the client intake memorandum of November 5, 2024, the Linden &amp; Fosse financial disclosure summary, and the Strand Valuation Services report, I must advise that the transmittal email materially understates the scope and effect of the Redline. The Redline is not a light markup; it is a wholesale restructuring of the agreement that, beneath a layer of benign housekeeping edits, contains several substantive changes that would transfer significant value and risk from Diane to Marcus and that directly contradict four of Diane’s five stated objectives.</w:t>
      </w:r>
    </w:p>
    <w:p>
      <w:pPr>
        <w:pStyle w:val="BodyText"/>
      </w:pPr>
      <w:r>
        <w:t xml:space="preserve">The single most consequential change is the</w:t>
      </w:r>
      <w:r>
        <w:t xml:space="preserve"> </w:t>
      </w:r>
      <w:r>
        <w:rPr>
          <w:b/>
          <w:bCs/>
        </w:rPr>
        <w:t xml:space="preserve">deletion of Section 5.2 — Wife’s Premarital Savings Reimbursement Right</w:t>
      </w:r>
      <w:r>
        <w:t xml:space="preserve">. That provision, which gives Diane a first-priority $1,200,000 reimbursement from the joint investment account before any equal division, is the provision Diane identified as the</w:t>
      </w:r>
      <w:r>
        <w:t xml:space="preserve"> </w:t>
      </w:r>
      <w:r>
        <w:t xml:space="preserve">“</w:t>
      </w:r>
      <w:r>
        <w:t xml:space="preserve">whole reason</w:t>
      </w:r>
      <w:r>
        <w:t xml:space="preserve">”</w:t>
      </w:r>
      <w:r>
        <w:t xml:space="preserve"> </w:t>
      </w:r>
      <w:r>
        <w:t xml:space="preserve">she is pursuing this agreement and a</w:t>
      </w:r>
      <w:r>
        <w:t xml:space="preserve"> </w:t>
      </w:r>
      <w:r>
        <w:t xml:space="preserve">“</w:t>
      </w:r>
      <w:r>
        <w:t xml:space="preserve">non-negotiable</w:t>
      </w:r>
      <w:r>
        <w:t xml:space="preserve">”</w:t>
      </w:r>
      <w:r>
        <w:t xml:space="preserve"> </w:t>
      </w:r>
      <w:r>
        <w:t xml:space="preserve">item. Its deletion would convert the $1,870,000 joint investment account from a $1,535,000 (Wife) / $335,000 (Husband) split into a flat $935,000 / $935,000 split — a</w:t>
      </w:r>
      <w:r>
        <w:t xml:space="preserve"> </w:t>
      </w:r>
      <w:r>
        <w:rPr>
          <w:b/>
          <w:bCs/>
        </w:rPr>
        <w:t xml:space="preserve">$600,000 transfer from Diane to Marcus</w:t>
      </w:r>
      <w:r>
        <w:t xml:space="preserve">. The margin comment (MC-05) dismisses the provision as</w:t>
      </w:r>
      <w:r>
        <w:t xml:space="preserve"> </w:t>
      </w:r>
      <w:r>
        <w:t xml:space="preserve">“</w:t>
      </w:r>
      <w:r>
        <w:t xml:space="preserve">duplicative,</w:t>
      </w:r>
      <w:r>
        <w:t xml:space="preserve">”</w:t>
      </w:r>
      <w:r>
        <w:t xml:space="preserve"> </w:t>
      </w:r>
      <w:r>
        <w:t xml:space="preserve">which is incorrect: it is a priority, first-dollar tracing claim that is legally and economically distinct from the general equitable-division language of Section 5.1.</w:t>
      </w:r>
    </w:p>
    <w:p>
      <w:pPr>
        <w:pStyle w:val="BodyText"/>
      </w:pPr>
      <w:r>
        <w:t xml:space="preserve">A second pattern of concern is the</w:t>
      </w:r>
      <w:r>
        <w:t xml:space="preserve"> </w:t>
      </w:r>
      <w:r>
        <w:rPr>
          <w:b/>
          <w:bCs/>
        </w:rPr>
        <w:t xml:space="preserve">systematic weakening of the financial-disclosure and voidability protections</w:t>
      </w:r>
      <w:r>
        <w:t xml:space="preserve">. The Redline (i) downgrades the disclosure warranty from</w:t>
      </w:r>
      <w:r>
        <w:t xml:space="preserve"> </w:t>
      </w:r>
      <w:r>
        <w:t xml:space="preserve">“</w:t>
      </w:r>
      <w:r>
        <w:t xml:space="preserve">full, fair, and complete</w:t>
      </w:r>
      <w:r>
        <w:t xml:space="preserve">”</w:t>
      </w:r>
      <w:r>
        <w:t xml:space="preserve"> </w:t>
      </w:r>
      <w:r>
        <w:t xml:space="preserve">to</w:t>
      </w:r>
      <w:r>
        <w:t xml:space="preserve"> </w:t>
      </w:r>
      <w:r>
        <w:t xml:space="preserve">“</w:t>
      </w:r>
      <w:r>
        <w:t xml:space="preserve">substantially</w:t>
      </w:r>
      <w:r>
        <w:t xml:space="preserve">”</w:t>
      </w:r>
      <w:r>
        <w:t xml:space="preserve"> </w:t>
      </w:r>
      <w:r>
        <w:t xml:space="preserve">complete; (ii) replaces our broad</w:t>
      </w:r>
      <w:r>
        <w:t xml:space="preserve"> </w:t>
      </w:r>
      <w:r>
        <w:t xml:space="preserve">“</w:t>
      </w:r>
      <w:r>
        <w:t xml:space="preserve">material omission</w:t>
      </w:r>
      <w:r>
        <w:t xml:space="preserve">”</w:t>
      </w:r>
      <w:r>
        <w:t xml:space="preserve"> </w:t>
      </w:r>
      <w:r>
        <w:t xml:space="preserve">voidability standard with a standard requiring</w:t>
      </w:r>
      <w:r>
        <w:t xml:space="preserve"> </w:t>
      </w:r>
      <w:r>
        <w:rPr>
          <w:b/>
          <w:bCs/>
        </w:rPr>
        <w:t xml:space="preserve">intentional</w:t>
      </w:r>
      <w:r>
        <w:t xml:space="preserve"> </w:t>
      </w:r>
      <w:r>
        <w:t xml:space="preserve">concealment, proved by</w:t>
      </w:r>
      <w:r>
        <w:t xml:space="preserve"> </w:t>
      </w:r>
      <w:r>
        <w:rPr>
          <w:b/>
          <w:bCs/>
        </w:rPr>
        <w:t xml:space="preserve">clear and convincing evidence</w:t>
      </w:r>
      <w:r>
        <w:t xml:space="preserve">, of assets exceeding</w:t>
      </w:r>
      <w:r>
        <w:t xml:space="preserve"> </w:t>
      </w:r>
      <w:r>
        <w:rPr>
          <w:b/>
          <w:bCs/>
        </w:rPr>
        <w:t xml:space="preserve">$100,000</w:t>
      </w:r>
      <w:r>
        <w:t xml:space="preserve">, asserted within</w:t>
      </w:r>
      <w:r>
        <w:t xml:space="preserve"> </w:t>
      </w:r>
      <w:r>
        <w:rPr>
          <w:b/>
          <w:bCs/>
        </w:rPr>
        <w:t xml:space="preserve">two years</w:t>
      </w:r>
      <w:r>
        <w:t xml:space="preserve"> </w:t>
      </w:r>
      <w:r>
        <w:t xml:space="preserve">of discovery; and (iii) eliminates the Original Draft’s ongoing duty-of-disclosure and future-debt-consent provisions entirely. These changes are particularly dangerous given Marcus’s documented history of concealed debt (the $68,000 that precipitated this matter) and Diane’s express instruction that she</w:t>
      </w:r>
      <w:r>
        <w:t xml:space="preserve"> </w:t>
      </w:r>
      <w:r>
        <w:t xml:space="preserve">“</w:t>
      </w:r>
      <w:r>
        <w:t xml:space="preserve">want[s] to be able to void this agreement</w:t>
      </w:r>
      <w:r>
        <w:t xml:space="preserve">”</w:t>
      </w:r>
      <w:r>
        <w:t xml:space="preserve"> </w:t>
      </w:r>
      <w:r>
        <w:t xml:space="preserve">if Marcus hides</w:t>
      </w:r>
      <w:r>
        <w:t xml:space="preserve"> </w:t>
      </w:r>
      <w:r>
        <w:t xml:space="preserve">“</w:t>
      </w:r>
      <w:r>
        <w:t xml:space="preserve">a $10,000 account or a $50,000 account.</w:t>
      </w:r>
      <w:r>
        <w:t xml:space="preserve">”</w:t>
      </w:r>
      <w:r>
        <w:t xml:space="preserve"> </w:t>
      </w:r>
      <w:r>
        <w:t xml:space="preserve">Under the Redline, the very $68,000 concealment that brought us here would fall below the $100,000 threshold and could not support avoidance.</w:t>
      </w:r>
    </w:p>
    <w:p>
      <w:pPr>
        <w:pStyle w:val="BodyText"/>
      </w:pPr>
      <w:r>
        <w:t xml:space="preserve">Other significant adverse changes include: reversal of the commingling/transmutation provision to protect Marcus’s $3.8 million inheritance from being treated as a gift to the marriage when used for joint benefit; insertion of a unilateral modification-by-90-day-notice mechanism; reduction of the sunset term from fifteen years to seven; replacement of the prevailing-party fee provision with a mutual waiver; and addition of a de minimis threshold to Marcus’s indemnification for the Identified Debt.</w:t>
      </w:r>
    </w:p>
    <w:p>
      <w:pPr>
        <w:pStyle w:val="BodyText"/>
      </w:pPr>
      <w:r>
        <w:t xml:space="preserve">The Redline is not without provisions that benefit Diane. Most notably, the change to</w:t>
      </w:r>
      <w:r>
        <w:t xml:space="preserve"> </w:t>
      </w:r>
      <w:r>
        <w:rPr>
          <w:b/>
          <w:bCs/>
        </w:rPr>
        <w:t xml:space="preserve">active/passive appreciation</w:t>
      </w:r>
      <w:r>
        <w:t xml:space="preserve"> </w:t>
      </w:r>
      <w:r>
        <w:t xml:space="preserve">for her practice interest (Section 6.1) is legally sound, is supported by the Strand report’s 60%/40% passive/active attribution, and protects her separate property. The removal of Husband’s consent veto over transfers of her practice interest also benefits Diane. A new automatic maintenance waiver, on its face, eliminates Marcus’s maintenance claim. These items, however, are either contingent, legally compelled, or low-cost concessions that do not offset the $600,000 premarital-savings transfer and the disclosure rollback.</w:t>
      </w:r>
    </w:p>
    <w:p>
      <w:pPr>
        <w:pStyle w:val="BodyText"/>
      </w:pPr>
      <w:r>
        <w:rPr>
          <w:b/>
          <w:bCs/>
        </w:rPr>
        <w:t xml:space="preserve">Bottom line:</w:t>
      </w:r>
      <w:r>
        <w:t xml:space="preserve"> </w:t>
      </w:r>
      <w:r>
        <w:t xml:space="preserve">The Redline, if accepted as written, would leave Diane materially worse off — conservatively, a net adverse swing of approximately $390,000 to $600,000 in a dissolution at current values, plus a substantial increase in enforcement and disclosure risk — while the email frames it as a modest, balanced revision. We should not be lulled by the framing. I recommend that we (1) accept the genuinely benign and Wife-favorable changes, (2) firmly reject the changes that defeat Diane’s core objectives, (3) negotiate the middle-ground items from a position anchored to the client’s priorities and the supporting documentation, and (4) require reconciliation of several factual discrepancies before any execution. A recommended issue-by-issue disposition and a strategy for the January 27 four-way conference are set forth in Parts V and VI below.</w:t>
      </w:r>
    </w:p>
    <w:p>
      <w:r>
        <w:pict>
          <v:rect style="width:0;height:1.5pt" o:hralign="center" o:hrstd="t" o:hr="t"/>
        </w:pict>
      </w:r>
    </w:p>
    <w:bookmarkEnd w:id="21"/>
    <w:bookmarkStart w:id="22" w:name="X9b387455516a3f37fb36b3160fa213d48f26170"/>
    <w:p>
      <w:pPr>
        <w:pStyle w:val="Heading2"/>
      </w:pPr>
      <w:r>
        <w:t xml:space="preserve">II. Procedural Posture and the Transmittal Email</w:t>
      </w:r>
    </w:p>
    <w:p>
      <w:pPr>
        <w:pStyle w:val="FirstParagraph"/>
      </w:pPr>
      <w:r>
        <w:t xml:space="preserve">Mr. Baxter’s email of January 6, 2025 expressly flags only a handful of items: (a) a severability clause; (b) notarization and witness-attestation signature blocks; (c) correction of</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r>
        <w:t xml:space="preserve"> </w:t>
      </w:r>
      <w:r>
        <w:t xml:space="preserve">Thornton; (d) a recital expressing the parties’ desire to preserve the marriage; (e) a shorter initial term (sunset); and (f) designation of DuPage County as venue. Notably, the email is silent as to the Redline’s most consequential edits — the deletion of the premarital-savings reimbursement, the commingling reversal, the voidability rollback, the unilateral-modification mechanism, the fee-waiver, the debt de minimis threshold, the RSU coverture reformulation, and the maintenance waiver. The email’s assurance that</w:t>
      </w:r>
      <w:r>
        <w:t xml:space="preserve"> </w:t>
      </w:r>
      <w:r>
        <w:t xml:space="preserve">“</w:t>
      </w:r>
      <w:r>
        <w:t xml:space="preserve">you’ll see a number of additional clarifications and refinements throughout the draft</w:t>
      </w:r>
      <w:r>
        <w:t xml:space="preserve">”</w:t>
      </w:r>
      <w:r>
        <w:t xml:space="preserve"> </w:t>
      </w:r>
      <w:r>
        <w:t xml:space="preserve">and that</w:t>
      </w:r>
      <w:r>
        <w:t xml:space="preserve"> </w:t>
      </w:r>
      <w:r>
        <w:t xml:space="preserve">“</w:t>
      </w:r>
      <w:r>
        <w:t xml:space="preserve">most of these are definitional in nature</w:t>
      </w:r>
      <w:r>
        <w:t xml:space="preserve">”</w:t>
      </w:r>
      <w:r>
        <w:t xml:space="preserve"> </w:t>
      </w:r>
      <w:r>
        <w:t xml:space="preserve">does not fairly describe provisions that reallocate hundreds of thousands of dollars and rewrite the agreement’s enforcement architecture.</w:t>
      </w:r>
    </w:p>
    <w:p>
      <w:pPr>
        <w:pStyle w:val="BodyText"/>
      </w:pPr>
      <w:r>
        <w:t xml:space="preserve">This selective framing is itself a negotiation signal. The items Mr. Baxter chose to highlight are, with one exception (the sunset term), either standard protective provisions we would likely have added ourselves or cosmetic. The items he omitted are the ones that matter. We should approach the January 27 four-way conference with a clear-eyed understanding that the</w:t>
      </w:r>
      <w:r>
        <w:t xml:space="preserve"> </w:t>
      </w:r>
      <w:r>
        <w:t xml:space="preserve">“</w:t>
      </w:r>
      <w:r>
        <w:t xml:space="preserve">short list</w:t>
      </w:r>
      <w:r>
        <w:t xml:space="preserve">”</w:t>
      </w:r>
      <w:r>
        <w:t xml:space="preserve"> </w:t>
      </w:r>
      <w:r>
        <w:t xml:space="preserve">Mr. Baxter envisions will, from our side, be a substantial list, and that several of our positions are non-negotiable.</w:t>
      </w:r>
    </w:p>
    <w:p>
      <w:pPr>
        <w:pStyle w:val="BodyText"/>
      </w:pPr>
      <w:r>
        <w:t xml:space="preserve">A four-way conference is currently scheduled for January 27, 2025. Mr. Baxter has invited a preliminary telephone call to</w:t>
      </w:r>
      <w:r>
        <w:t xml:space="preserve"> </w:t>
      </w:r>
      <w:r>
        <w:t xml:space="preserve">“</w:t>
      </w:r>
      <w:r>
        <w:t xml:space="preserve">narrow the issues.</w:t>
      </w:r>
      <w:r>
        <w:t xml:space="preserve">”</w:t>
      </w:r>
      <w:r>
        <w:t xml:space="preserve"> </w:t>
      </w:r>
      <w:r>
        <w:t xml:space="preserve">I recommend we accept that call, but only after we have internally aligned on our accept/reject/negotiate categories so that we do not inadvertently concede ground on the premarital-savings or disclosure issues in the interest of</w:t>
      </w:r>
      <w:r>
        <w:t xml:space="preserve"> </w:t>
      </w:r>
      <w:r>
        <w:t xml:space="preserve">“</w:t>
      </w:r>
      <w:r>
        <w:t xml:space="preserve">narrowing.</w:t>
      </w:r>
      <w:r>
        <w:t xml:space="preserve">”</w:t>
      </w:r>
    </w:p>
    <w:p>
      <w:r>
        <w:pict>
          <v:rect style="width:0;height:1.5pt" o:hralign="center" o:hrstd="t" o:hr="t"/>
        </w:pict>
      </w:r>
    </w:p>
    <w:bookmarkEnd w:id="22"/>
    <w:bookmarkStart w:id="23" w:name="X87848d5dd922fc4514e7d1d81887a18aa41fcfc"/>
    <w:p>
      <w:pPr>
        <w:pStyle w:val="Heading2"/>
      </w:pPr>
      <w:r>
        <w:t xml:space="preserve">III. Factual Discrepancies Requiring Verification Before Execution</w:t>
      </w:r>
    </w:p>
    <w:p>
      <w:pPr>
        <w:pStyle w:val="FirstParagraph"/>
      </w:pPr>
      <w:r>
        <w:t xml:space="preserve">The Redline introduces or carries forward a number of factual particulars that conflict with our Original Draft and/or with the verified Linden &amp; Fosse financial disclosure summary. Because postnuptial agreements receive heightened scrutiny under 750 ILCS 5/502 and because accurate identification of separate property depends on correct account and asset identifiers, these must be reconciled against source documents (birth certificates, death certificate/probate file, and custodian account statements) before execution. Incorrect identifiers in a finalized agreement could undermine tracing and create avoidable enforceability risk.</w:t>
      </w:r>
    </w:p>
    <w:tbl>
      <w:tblPr>
        <w:tblStyle w:val="Table"/>
        <w:tblW w:type="pct" w:w="5000"/>
        <w:jc w:val="left"/>
        <w:tblLayout w:type="fixed"/>
        <w:tblLook w:firstRow="1" w:lastRow="0" w:firstColumn="0" w:lastColumn="0" w:noHBand="0" w:noVBand="0" w:val="0020"/>
      </w:tblPr>
      <w:tblGrid>
        <w:gridCol w:w="264"/>
        <w:gridCol w:w="528"/>
        <w:gridCol w:w="1408"/>
        <w:gridCol w:w="792"/>
        <w:gridCol w:w="3784"/>
        <w:gridCol w:w="114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Verified Source (Linden &amp; Fosse / Intake)</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Children’s birth dates</w:t>
            </w:r>
          </w:p>
        </w:tc>
        <w:tc>
          <w:tcPr/>
          <w:p>
            <w:pPr>
              <w:pStyle w:val="Compact"/>
              <w:jc w:val="left"/>
            </w:pPr>
            <w:r>
              <w:t xml:space="preserve">Elena: Oct. 3, 2012; Julian: Mar. 22, 2016</w:t>
            </w:r>
          </w:p>
        </w:tc>
        <w:tc>
          <w:tcPr/>
          <w:p>
            <w:pPr>
              <w:pStyle w:val="Compact"/>
              <w:jc w:val="left"/>
            </w:pPr>
            <w:r>
              <w:t xml:space="preserve">Elena: Aug. 22, 2012; Julian: Nov. 9, 2015</w:t>
            </w:r>
          </w:p>
        </w:tc>
        <w:tc>
          <w:tcPr/>
          <w:p>
            <w:pPr>
              <w:pStyle w:val="Compact"/>
              <w:jc w:val="left"/>
            </w:pPr>
            <w:r>
              <w:t xml:space="preserve">Intake memo states ages only (Elena 12, Julian 9); no dates confirmed</w:t>
            </w:r>
          </w:p>
        </w:tc>
        <w:tc>
          <w:tcPr/>
          <w:p>
            <w:pPr>
              <w:pStyle w:val="Compact"/>
              <w:jc w:val="left"/>
            </w:pPr>
            <w:r>
              <w:rPr>
                <w:b/>
                <w:bCs/>
              </w:rPr>
              <w:t xml:space="preserve">Verify against birth certificates.</w:t>
            </w:r>
            <w:r>
              <w:t xml:space="preserve"> </w:t>
            </w:r>
            <w:r>
              <w:t xml:space="preserve">The two drafts disagree on both dates with no comment. Julian’s birth year (2015 vs. 2016) also affects the sunset analysis (see Part IV.K).</w:t>
            </w:r>
          </w:p>
        </w:tc>
      </w:tr>
      <w:tr>
        <w:tc>
          <w:tcPr/>
          <w:p>
            <w:pPr>
              <w:pStyle w:val="Compact"/>
              <w:jc w:val="left"/>
            </w:pPr>
            <w:r>
              <w:t xml:space="preserve">2</w:t>
            </w:r>
          </w:p>
        </w:tc>
        <w:tc>
          <w:tcPr/>
          <w:p>
            <w:pPr>
              <w:pStyle w:val="Compact"/>
              <w:jc w:val="left"/>
            </w:pPr>
            <w:r>
              <w:t xml:space="preserve">Constance Thornton’s date of death</w:t>
            </w:r>
          </w:p>
        </w:tc>
        <w:tc>
          <w:tcPr/>
          <w:p>
            <w:pPr>
              <w:pStyle w:val="Compact"/>
              <w:jc w:val="left"/>
            </w:pPr>
            <w:r>
              <w:t xml:space="preserve">Aug. 12, 2024</w:t>
            </w:r>
          </w:p>
        </w:tc>
        <w:tc>
          <w:tcPr/>
          <w:p>
            <w:pPr>
              <w:pStyle w:val="Compact"/>
              <w:jc w:val="left"/>
            </w:pPr>
            <w:r>
              <w:t xml:space="preserve">Sept. 3, 2024</w:t>
            </w:r>
          </w:p>
        </w:tc>
        <w:tc>
          <w:tcPr/>
          <w:p>
            <w:pPr>
              <w:pStyle w:val="Compact"/>
              <w:jc w:val="left"/>
            </w:pPr>
            <w:r>
              <w:t xml:space="preserve">Intake memo and financial disclosure state</w:t>
            </w:r>
            <w:r>
              <w:t xml:space="preserve"> </w:t>
            </w:r>
            <w:r>
              <w:t xml:space="preserve">“</w:t>
            </w:r>
            <w:r>
              <w:t xml:space="preserve">deceased October 2024</w:t>
            </w:r>
            <w:r>
              <w:t xml:space="preserve">”</w:t>
            </w:r>
          </w:p>
        </w:tc>
        <w:tc>
          <w:tcPr/>
          <w:p>
            <w:pPr>
              <w:pStyle w:val="Compact"/>
              <w:jc w:val="left"/>
            </w:pPr>
            <w:r>
              <w:rPr>
                <w:b/>
                <w:bCs/>
              </w:rPr>
              <w:t xml:space="preserve">Verify against death certificate / Door County probate file.</w:t>
            </w:r>
            <w:r>
              <w:t xml:space="preserve"> </w:t>
            </w:r>
            <w:r>
              <w:t xml:space="preserve">All three sources disagree. The inheritance was received in October 2024, so death necessarily preceded distribution; the precise date must be fixed.</w:t>
            </w:r>
          </w:p>
        </w:tc>
      </w:tr>
      <w:tr>
        <w:tc>
          <w:tcPr/>
          <w:p>
            <w:pPr>
              <w:pStyle w:val="Compact"/>
              <w:jc w:val="left"/>
            </w:pPr>
            <w:r>
              <w:t xml:space="preserve">3</w:t>
            </w:r>
          </w:p>
        </w:tc>
        <w:tc>
          <w:tcPr/>
          <w:p>
            <w:pPr>
              <w:pStyle w:val="Compact"/>
              <w:jc w:val="left"/>
            </w:pPr>
            <w:r>
              <w:t xml:space="preserve">Inherited brokerage account — institution &amp; account no.</w:t>
            </w:r>
          </w:p>
        </w:tc>
        <w:tc>
          <w:tcPr/>
          <w:p>
            <w:pPr>
              <w:pStyle w:val="Compact"/>
              <w:jc w:val="left"/>
            </w:pPr>
            <w:r>
              <w:t xml:space="preserve">“</w:t>
            </w:r>
            <w:r>
              <w:t xml:space="preserve">Hartleigh Investments</w:t>
            </w:r>
            <w:r>
              <w:t xml:space="preserve">”</w:t>
            </w:r>
            <w:r>
              <w:t xml:space="preserve"> </w:t>
            </w:r>
            <w:r>
              <w:t xml:space="preserve">(no acct. no.)</w:t>
            </w:r>
          </w:p>
        </w:tc>
        <w:tc>
          <w:tcPr/>
          <w:p>
            <w:pPr>
              <w:pStyle w:val="Compact"/>
              <w:jc w:val="left"/>
            </w:pPr>
            <w:r>
              <w:t xml:space="preserve">“</w:t>
            </w:r>
            <w:r>
              <w:t xml:space="preserve">Tidewater Securities (acct. ending -7724)</w:t>
            </w:r>
            <w:r>
              <w:t xml:space="preserve">”</w:t>
            </w:r>
          </w:p>
        </w:tc>
        <w:tc>
          <w:tcPr/>
          <w:p>
            <w:pPr>
              <w:pStyle w:val="Compact"/>
              <w:jc w:val="left"/>
            </w:pPr>
            <w:r>
              <w:t xml:space="preserve">Northbridge Wealth Advisors, acct. **8837 (Line H-8)</w:t>
            </w:r>
          </w:p>
        </w:tc>
        <w:tc>
          <w:tcPr/>
          <w:p>
            <w:pPr>
              <w:pStyle w:val="Compact"/>
              <w:jc w:val="left"/>
            </w:pPr>
            <w:r>
              <w:rPr>
                <w:b/>
                <w:bCs/>
              </w:rPr>
              <w:t xml:space="preserve">Reconcile to the financial disclosure.</w:t>
            </w:r>
            <w:r>
              <w:t xml:space="preserve"> </w:t>
            </w:r>
            <w:r>
              <w:t xml:space="preserve">Three different institutions appear across the three documents. The verified disclosure identifies Northbridge Wealth Advisors, acct. 8837.</w:t>
            </w:r>
          </w:p>
        </w:tc>
      </w:tr>
      <w:tr>
        <w:tc>
          <w:tcPr/>
          <w:p>
            <w:pPr>
              <w:pStyle w:val="Compact"/>
              <w:jc w:val="left"/>
            </w:pPr>
            <w:r>
              <w:t xml:space="preserve">4</w:t>
            </w:r>
          </w:p>
        </w:tc>
        <w:tc>
          <w:tcPr/>
          <w:p>
            <w:pPr>
              <w:pStyle w:val="Compact"/>
              <w:jc w:val="left"/>
            </w:pPr>
            <w:r>
              <w:t xml:space="preserve">Joint investment account — account no.</w:t>
            </w:r>
          </w:p>
        </w:tc>
        <w:tc>
          <w:tcPr/>
          <w:p>
            <w:pPr>
              <w:pStyle w:val="Compact"/>
              <w:jc w:val="left"/>
            </w:pPr>
            <w:r>
              <w:t xml:space="preserve">Not specified</w:t>
            </w:r>
          </w:p>
        </w:tc>
        <w:tc>
          <w:tcPr/>
          <w:p>
            <w:pPr>
              <w:pStyle w:val="Compact"/>
              <w:jc w:val="left"/>
            </w:pPr>
            <w:r>
              <w:t xml:space="preserve">“</w:t>
            </w:r>
            <w:r>
              <w:t xml:space="preserve">acct. ending -3961</w:t>
            </w:r>
            <w:r>
              <w:t xml:space="preserve">”</w:t>
            </w:r>
          </w:p>
        </w:tc>
        <w:tc>
          <w:tcPr/>
          <w:p>
            <w:pPr>
              <w:pStyle w:val="Compact"/>
              <w:jc w:val="left"/>
            </w:pPr>
            <w:r>
              <w:t xml:space="preserve">Northbridge Wealth Advisors, acct. **3291 (Line J-2)</w:t>
            </w:r>
          </w:p>
        </w:tc>
        <w:tc>
          <w:tcPr/>
          <w:p>
            <w:pPr>
              <w:pStyle w:val="Compact"/>
              <w:jc w:val="left"/>
            </w:pPr>
            <w:r>
              <w:rPr>
                <w:b/>
                <w:bCs/>
              </w:rPr>
              <w:t xml:space="preserve">Correct to 3291.</w:t>
            </w:r>
            <w:r>
              <w:t xml:space="preserve"> </w:t>
            </w:r>
            <w:r>
              <w:t xml:space="preserve">The Redline’s</w:t>
            </w:r>
            <w:r>
              <w:t xml:space="preserve"> </w:t>
            </w:r>
            <w:r>
              <w:t xml:space="preserve">“</w:t>
            </w:r>
            <w:r>
              <w:t xml:space="preserve">-3961</w:t>
            </w:r>
            <w:r>
              <w:t xml:space="preserve">”</w:t>
            </w:r>
            <w:r>
              <w:t xml:space="preserve"> </w:t>
            </w:r>
            <w:r>
              <w:t xml:space="preserve">does not match the verified disclosure. This account holds Diane’s traced $1.2M premarital contribution; the identifier must be exact.</w:t>
            </w:r>
          </w:p>
        </w:tc>
      </w:tr>
      <w:tr>
        <w:tc>
          <w:tcPr/>
          <w:p>
            <w:pPr>
              <w:pStyle w:val="Compact"/>
              <w:jc w:val="left"/>
            </w:pPr>
            <w:r>
              <w:t xml:space="preserve">5</w:t>
            </w:r>
          </w:p>
        </w:tc>
        <w:tc>
          <w:tcPr/>
          <w:p>
            <w:pPr>
              <w:pStyle w:val="Compact"/>
              <w:jc w:val="left"/>
            </w:pPr>
            <w:r>
              <w:t xml:space="preserve">Wife’s 403(b) — custodian &amp; value</w:t>
            </w:r>
          </w:p>
        </w:tc>
        <w:tc>
          <w:tcPr/>
          <w:p>
            <w:pPr>
              <w:pStyle w:val="Compact"/>
              <w:jc w:val="left"/>
            </w:pPr>
            <w:r>
              <w:t xml:space="preserve">Not specified (combined $2,340,000)</w:t>
            </w:r>
          </w:p>
        </w:tc>
        <w:tc>
          <w:tcPr/>
          <w:p>
            <w:pPr>
              <w:pStyle w:val="Compact"/>
              <w:jc w:val="left"/>
            </w:pPr>
            <w:r>
              <w:t xml:space="preserve">“</w:t>
            </w:r>
            <w:r>
              <w:t xml:space="preserve">TIAA-CREF,</w:t>
            </w:r>
            <w:r>
              <w:t xml:space="preserve">”</w:t>
            </w:r>
            <w:r>
              <w:t xml:space="preserve"> </w:t>
            </w:r>
            <w:r>
              <w:t xml:space="preserve">$1,440,000</w:t>
            </w:r>
          </w:p>
        </w:tc>
        <w:tc>
          <w:tcPr/>
          <w:p>
            <w:pPr>
              <w:pStyle w:val="Compact"/>
              <w:jc w:val="left"/>
            </w:pPr>
            <w:r>
              <w:t xml:space="preserve">Northbridge Wealth Advisors (custodian), acct. **7842, $1,415,000 (Line W-2)</w:t>
            </w:r>
          </w:p>
        </w:tc>
        <w:tc>
          <w:tcPr/>
          <w:p>
            <w:pPr>
              <w:pStyle w:val="Compact"/>
              <w:jc w:val="left"/>
            </w:pPr>
            <w:r>
              <w:rPr>
                <w:b/>
                <w:bCs/>
              </w:rPr>
              <w:t xml:space="preserve">Reconcile.</w:t>
            </w:r>
            <w:r>
              <w:t xml:space="preserve"> </w:t>
            </w:r>
            <w:r>
              <w:t xml:space="preserve">Different custodian and a $25,000 value difference. The combined retirement total ($2,340,000) is consistent, but the 403(b)/pension split differs ($1,440K/$900K in Redline vs. $1,415K/$925K in disclosure).</w:t>
            </w:r>
          </w:p>
        </w:tc>
      </w:tr>
      <w:tr>
        <w:tc>
          <w:tcPr/>
          <w:p>
            <w:pPr>
              <w:pStyle w:val="Compact"/>
              <w:jc w:val="left"/>
            </w:pPr>
            <w:r>
              <w:t xml:space="preserve">6</w:t>
            </w:r>
          </w:p>
        </w:tc>
        <w:tc>
          <w:tcPr/>
          <w:p>
            <w:pPr>
              <w:pStyle w:val="Compact"/>
              <w:jc w:val="left"/>
            </w:pPr>
            <w:r>
              <w:t xml:space="preserve">Husband’s 401(k) — custodian</w:t>
            </w:r>
          </w:p>
        </w:tc>
        <w:tc>
          <w:tcPr/>
          <w:p>
            <w:pPr>
              <w:pStyle w:val="Compact"/>
              <w:jc w:val="left"/>
            </w:pPr>
            <w:r>
              <w:t xml:space="preserve">“</w:t>
            </w:r>
            <w:r>
              <w:t xml:space="preserve">through Grayfield Industries</w:t>
            </w:r>
            <w:r>
              <w:t xml:space="preserve">”</w:t>
            </w:r>
          </w:p>
        </w:tc>
        <w:tc>
          <w:tcPr/>
          <w:p>
            <w:pPr>
              <w:pStyle w:val="Compact"/>
              <w:jc w:val="left"/>
            </w:pPr>
            <w:r>
              <w:t xml:space="preserve">“</w:t>
            </w:r>
            <w:r>
              <w:t xml:space="preserve">administered by Hartleigh Investments</w:t>
            </w:r>
            <w:r>
              <w:t xml:space="preserve">”</w:t>
            </w:r>
          </w:p>
        </w:tc>
        <w:tc>
          <w:tcPr/>
          <w:p>
            <w:pPr>
              <w:pStyle w:val="Compact"/>
              <w:jc w:val="left"/>
            </w:pPr>
            <w:r>
              <w:t xml:space="preserve">Northbridge Wealth Advisors (custodian), acct. **5518 (Line H-3)</w:t>
            </w:r>
          </w:p>
        </w:tc>
        <w:tc>
          <w:tcPr/>
          <w:p>
            <w:pPr>
              <w:pStyle w:val="Compact"/>
              <w:jc w:val="left"/>
            </w:pPr>
            <w:r>
              <w:rPr>
                <w:b/>
                <w:bCs/>
              </w:rPr>
              <w:t xml:space="preserve">Reconcile to Northbridge.</w:t>
            </w:r>
            <w:r>
              <w:t xml:space="preserve"> </w:t>
            </w:r>
            <w:r>
              <w:t xml:space="preserve">“</w:t>
            </w:r>
            <w:r>
              <w:t xml:space="preserve">Hartleigh Investments</w:t>
            </w:r>
            <w:r>
              <w:t xml:space="preserve">”</w:t>
            </w:r>
            <w:r>
              <w:t xml:space="preserve"> </w:t>
            </w:r>
            <w:r>
              <w:t xml:space="preserve">appears to be a misattribution; the verified custodian is Northbridge Wealth Advisors.</w:t>
            </w:r>
          </w:p>
        </w:tc>
      </w:tr>
      <w:tr>
        <w:tc>
          <w:tcPr/>
          <w:p>
            <w:pPr>
              <w:pStyle w:val="Compact"/>
              <w:jc w:val="left"/>
            </w:pPr>
            <w:r>
              <w:t xml:space="preserve">7</w:t>
            </w:r>
          </w:p>
        </w:tc>
        <w:tc>
          <w:tcPr/>
          <w:p>
            <w:pPr>
              <w:pStyle w:val="Compact"/>
              <w:jc w:val="left"/>
            </w:pPr>
            <w:r>
              <w:t xml:space="preserve">Wife’s hospital address</w:t>
            </w:r>
          </w:p>
        </w:tc>
        <w:tc>
          <w:tcPr/>
          <w:p>
            <w:pPr>
              <w:pStyle w:val="Compact"/>
              <w:jc w:val="left"/>
            </w:pPr>
            <w:r>
              <w:t xml:space="preserve">“</w:t>
            </w:r>
            <w:r>
              <w:t xml:space="preserve">suburban Chicago</w:t>
            </w:r>
            <w:r>
              <w:t xml:space="preserve">”</w:t>
            </w:r>
            <w:r>
              <w:t xml:space="preserve"> </w:t>
            </w:r>
            <w:r>
              <w:t xml:space="preserve">(no address)</w:t>
            </w:r>
          </w:p>
        </w:tc>
        <w:tc>
          <w:tcPr/>
          <w:p>
            <w:pPr>
              <w:pStyle w:val="Compact"/>
              <w:jc w:val="left"/>
            </w:pPr>
            <w:r>
              <w:t xml:space="preserve">“</w:t>
            </w:r>
            <w:r>
              <w:t xml:space="preserve">680 North Lake Shore Drive, Chicago, IL 60611</w:t>
            </w:r>
            <w:r>
              <w:t xml:space="preserve">”</w:t>
            </w:r>
          </w:p>
        </w:tc>
        <w:tc>
          <w:tcPr/>
          <w:p>
            <w:pPr>
              <w:pStyle w:val="Compact"/>
              <w:jc w:val="left"/>
            </w:pPr>
            <w:r>
              <w:t xml:space="preserve">Intake memo and Strand report describe Lakeshore Children’s Hospital as in</w:t>
            </w:r>
            <w:r>
              <w:t xml:space="preserve"> </w:t>
            </w:r>
            <w:r>
              <w:t xml:space="preserve">“</w:t>
            </w:r>
            <w:r>
              <w:t xml:space="preserve">suburban Chicago</w:t>
            </w:r>
            <w:r>
              <w:t xml:space="preserve">”</w:t>
            </w:r>
          </w:p>
        </w:tc>
        <w:tc>
          <w:tcPr/>
          <w:p>
            <w:pPr>
              <w:pStyle w:val="Compact"/>
              <w:jc w:val="left"/>
            </w:pPr>
            <w:r>
              <w:rPr>
                <w:b/>
                <w:bCs/>
              </w:rPr>
              <w:t xml:space="preserve">Verify.</w:t>
            </w:r>
            <w:r>
              <w:t xml:space="preserve"> </w:t>
            </w:r>
            <w:r>
              <w:t xml:space="preserve">680 N. Lake Shore Drive is downtown Chicago (Streeterville), which is in tension with the</w:t>
            </w:r>
            <w:r>
              <w:t xml:space="preserve"> </w:t>
            </w:r>
            <w:r>
              <w:t xml:space="preserve">“</w:t>
            </w:r>
            <w:r>
              <w:t xml:space="preserve">suburban Chicago</w:t>
            </w:r>
            <w:r>
              <w:t xml:space="preserve">”</w:t>
            </w:r>
            <w:r>
              <w:t xml:space="preserve"> </w:t>
            </w:r>
            <w:r>
              <w:t xml:space="preserve">description in our other files. Confirm the correct address.</w:t>
            </w:r>
          </w:p>
        </w:tc>
      </w:tr>
      <w:tr>
        <w:tc>
          <w:tcPr/>
          <w:p>
            <w:pPr>
              <w:pStyle w:val="Compact"/>
              <w:jc w:val="left"/>
            </w:pPr>
            <w:r>
              <w:t xml:space="preserve">8</w:t>
            </w:r>
          </w:p>
        </w:tc>
        <w:tc>
          <w:tcPr/>
          <w:p>
            <w:pPr>
              <w:pStyle w:val="Compact"/>
              <w:jc w:val="left"/>
            </w:pPr>
            <w:r>
              <w:t xml:space="preserve">Marriage duration</w:t>
            </w:r>
          </w:p>
        </w:tc>
        <w:tc>
          <w:tcPr/>
          <w:p>
            <w:pPr>
              <w:pStyle w:val="Compact"/>
              <w:jc w:val="left"/>
            </w:pPr>
            <w:r>
              <w:t xml:space="preserve">“</w:t>
            </w:r>
            <w:r>
              <w:t xml:space="preserve">approximately eleven and one-half (11.5) years</w:t>
            </w:r>
            <w:r>
              <w:t xml:space="preserve">”</w:t>
            </w:r>
          </w:p>
        </w:tc>
        <w:tc>
          <w:tcPr/>
          <w:p>
            <w:pPr>
              <w:pStyle w:val="Compact"/>
              <w:jc w:val="left"/>
            </w:pPr>
            <w:r>
              <w:t xml:space="preserve">“</w:t>
            </w:r>
            <w:r>
              <w:t xml:space="preserve">approximately eleven (11) years</w:t>
            </w:r>
            <w:r>
              <w:t xml:space="preserve">”</w:t>
            </w:r>
          </w:p>
        </w:tc>
        <w:tc>
          <w:tcPr/>
          <w:p>
            <w:pPr>
              <w:pStyle w:val="Compact"/>
              <w:jc w:val="left"/>
            </w:pPr>
            <w:r>
              <w:t xml:space="preserve">Intake memo:</w:t>
            </w:r>
            <w:r>
              <w:t xml:space="preserve"> </w:t>
            </w:r>
            <w:r>
              <w:t xml:space="preserve">“</w:t>
            </w:r>
            <w:r>
              <w:t xml:space="preserve">approximately eleven and one-half years</w:t>
            </w:r>
            <w:r>
              <w:t xml:space="preserve">”</w:t>
            </w:r>
          </w:p>
        </w:tc>
        <w:tc>
          <w:tcPr/>
          <w:p>
            <w:pPr>
              <w:pStyle w:val="Compact"/>
              <w:jc w:val="left"/>
            </w:pPr>
            <w:r>
              <w:rPr>
                <w:b/>
                <w:bCs/>
              </w:rPr>
              <w:t xml:space="preserve">Restore 11.5 years.</w:t>
            </w:r>
            <w:r>
              <w:t xml:space="preserve"> </w:t>
            </w:r>
            <w:r>
              <w:t xml:space="preserve">Minor, but the Original Draft’s figure is accurate as of the anticipated Effective Date.</w:t>
            </w:r>
          </w:p>
        </w:tc>
      </w:tr>
      <w:tr>
        <w:tc>
          <w:tcPr/>
          <w:p>
            <w:pPr>
              <w:pStyle w:val="Compact"/>
              <w:jc w:val="left"/>
            </w:pPr>
            <w:r>
              <w:t xml:space="preserve">9</w:t>
            </w:r>
          </w:p>
        </w:tc>
        <w:tc>
          <w:tcPr/>
          <w:p>
            <w:pPr>
              <w:pStyle w:val="Compact"/>
              <w:jc w:val="left"/>
            </w:pPr>
            <w:r>
              <w:t xml:space="preserve">Wife’s practice</w:t>
            </w:r>
            <w:r>
              <w:t xml:space="preserve"> </w:t>
            </w:r>
            <w:r>
              <w:t xml:space="preserve">“</w:t>
            </w:r>
            <w:r>
              <w:t xml:space="preserve">since</w:t>
            </w:r>
            <w:r>
              <w:t xml:space="preserve">”</w:t>
            </w:r>
            <w:r>
              <w:t xml:space="preserve"> </w:t>
            </w:r>
            <w:r>
              <w:t xml:space="preserve">date</w:t>
            </w:r>
          </w:p>
        </w:tc>
        <w:tc>
          <w:tcPr/>
          <w:p>
            <w:pPr>
              <w:pStyle w:val="Compact"/>
              <w:jc w:val="left"/>
            </w:pPr>
            <w:r>
              <w:t xml:space="preserve">“</w:t>
            </w:r>
            <w:r>
              <w:t xml:space="preserve">since completing her fellowship training</w:t>
            </w:r>
            <w:r>
              <w:t xml:space="preserve">”</w:t>
            </w:r>
          </w:p>
        </w:tc>
        <w:tc>
          <w:tcPr/>
          <w:p>
            <w:pPr>
              <w:pStyle w:val="Compact"/>
              <w:jc w:val="left"/>
            </w:pPr>
            <w:r>
              <w:t xml:space="preserve">“</w:t>
            </w:r>
            <w:r>
              <w:t xml:space="preserve">since 2011</w:t>
            </w:r>
            <w:r>
              <w:t xml:space="preserve">”</w:t>
            </w:r>
          </w:p>
        </w:tc>
        <w:tc>
          <w:tcPr/>
          <w:p>
            <w:pPr>
              <w:pStyle w:val="Compact"/>
              <w:jc w:val="left"/>
            </w:pPr>
            <w:r>
              <w:t xml:space="preserve">Intake memo:</w:t>
            </w:r>
            <w:r>
              <w:t xml:space="preserve"> </w:t>
            </w:r>
            <w:r>
              <w:t xml:space="preserve">“</w:t>
            </w:r>
            <w:r>
              <w:t xml:space="preserve">practiced for over fifteen years</w:t>
            </w:r>
            <w:r>
              <w:t xml:space="preserve">”</w:t>
            </w:r>
            <w:r>
              <w:t xml:space="preserve"> </w:t>
            </w:r>
            <w:r>
              <w:t xml:space="preserve">(i.e., since before 2009)</w:t>
            </w:r>
          </w:p>
        </w:tc>
        <w:tc>
          <w:tcPr/>
          <w:p>
            <w:pPr>
              <w:pStyle w:val="Compact"/>
              <w:jc w:val="left"/>
            </w:pPr>
            <w:r>
              <w:rPr>
                <w:b/>
                <w:bCs/>
              </w:rPr>
              <w:t xml:space="preserve">Verify.</w:t>
            </w:r>
            <w:r>
              <w:t xml:space="preserve"> </w:t>
            </w:r>
            <w:r>
              <w:t xml:space="preserve">“</w:t>
            </w:r>
            <w:r>
              <w:t xml:space="preserve">Since 2011</w:t>
            </w:r>
            <w:r>
              <w:t xml:space="preserve">”</w:t>
            </w:r>
            <w:r>
              <w:t xml:space="preserve"> </w:t>
            </w:r>
            <w:r>
              <w:t xml:space="preserve">(~13 years) is in tension with</w:t>
            </w:r>
            <w:r>
              <w:t xml:space="preserve"> </w:t>
            </w:r>
            <w:r>
              <w:t xml:space="preserve">“</w:t>
            </w:r>
            <w:r>
              <w:t xml:space="preserve">over fifteen years.</w:t>
            </w:r>
            <w:r>
              <w:t xml:space="preserve">”</w:t>
            </w:r>
            <w:r>
              <w:t xml:space="preserve"> </w:t>
            </w:r>
            <w:r>
              <w:t xml:space="preserve">Minor, but worth confirming.</w:t>
            </w:r>
          </w:p>
        </w:tc>
      </w:tr>
      <w:tr>
        <w:tc>
          <w:tcPr/>
          <w:p>
            <w:pPr>
              <w:pStyle w:val="Compact"/>
              <w:jc w:val="left"/>
            </w:pPr>
            <w:r>
              <w:t xml:space="preserve">10</w:t>
            </w:r>
          </w:p>
        </w:tc>
        <w:tc>
          <w:tcPr/>
          <w:p>
            <w:pPr>
              <w:pStyle w:val="Compact"/>
              <w:jc w:val="left"/>
            </w:pPr>
            <w:r>
              <w:t xml:space="preserve">Grayfield address / Husband’s hire date</w:t>
            </w:r>
          </w:p>
        </w:tc>
        <w:tc>
          <w:tcPr/>
          <w:p>
            <w:pPr>
              <w:pStyle w:val="Compact"/>
              <w:jc w:val="left"/>
            </w:pPr>
            <w:r>
              <w:t xml:space="preserve">“</w:t>
            </w:r>
            <w:r>
              <w:t xml:space="preserve">headquartered in Naperville</w:t>
            </w:r>
            <w:r>
              <w:t xml:space="preserve">”</w:t>
            </w:r>
          </w:p>
        </w:tc>
        <w:tc>
          <w:tcPr/>
          <w:p>
            <w:pPr>
              <w:pStyle w:val="Compact"/>
              <w:jc w:val="left"/>
            </w:pPr>
            <w:r>
              <w:t xml:space="preserve">“</w:t>
            </w:r>
            <w:r>
              <w:t xml:space="preserve">500 Commerce Parkway, Naperville, IL 60563</w:t>
            </w:r>
            <w:r>
              <w:t xml:space="preserve">”</w:t>
            </w:r>
            <w:r>
              <w:t xml:space="preserve">; hired</w:t>
            </w:r>
            <w:r>
              <w:t xml:space="preserve"> </w:t>
            </w:r>
            <w:r>
              <w:t xml:space="preserve">“</w:t>
            </w:r>
            <w:r>
              <w:t xml:space="preserve">March 15, 2018</w:t>
            </w:r>
            <w:r>
              <w:t xml:space="preserve">”</w:t>
            </w:r>
          </w:p>
        </w:tc>
        <w:tc>
          <w:tcPr/>
          <w:p>
            <w:pPr>
              <w:pStyle w:val="Compact"/>
              <w:jc w:val="left"/>
            </w:pPr>
            <w:r>
              <w:t xml:space="preserve">Intake memo and disclosure confirm both</w:t>
            </w:r>
          </w:p>
        </w:tc>
        <w:tc>
          <w:tcPr/>
          <w:p>
            <w:pPr>
              <w:pStyle w:val="Compact"/>
              <w:jc w:val="left"/>
            </w:pPr>
            <w:r>
              <w:rPr>
                <w:b/>
                <w:bCs/>
              </w:rPr>
              <w:t xml:space="preserve">Accept.</w:t>
            </w:r>
            <w:r>
              <w:t xml:space="preserve"> </w:t>
            </w:r>
            <w:r>
              <w:t xml:space="preserve">These particulars are confirmed by the intake memo and the financial disclosure (Line H-1).</w:t>
            </w:r>
          </w:p>
        </w:tc>
      </w:tr>
    </w:tbl>
    <w:p>
      <w:pPr>
        <w:pStyle w:val="BodyText"/>
      </w:pPr>
      <w:r>
        <w:rPr>
          <w:b/>
          <w:bCs/>
        </w:rPr>
        <w:t xml:space="preserve">Recommendation:</w:t>
      </w:r>
      <w:r>
        <w:t xml:space="preserve"> </w:t>
      </w:r>
      <w:r>
        <w:t xml:space="preserve">Prepare a short</w:t>
      </w:r>
      <w:r>
        <w:t xml:space="preserve"> </w:t>
      </w:r>
      <w:r>
        <w:t xml:space="preserve">“</w:t>
      </w:r>
      <w:r>
        <w:t xml:space="preserve">facts to be verified</w:t>
      </w:r>
      <w:r>
        <w:t xml:space="preserve">”</w:t>
      </w:r>
      <w:r>
        <w:t xml:space="preserve"> </w:t>
      </w:r>
      <w:r>
        <w:t xml:space="preserve">checklist for Diane to confirm against her records (birth certificates, the probate/estate file for Constance Thornton, and the most recent statements for each Northbridge account). We should not finalize any recital or schedule that contains an unverified identifier.</w:t>
      </w:r>
    </w:p>
    <w:p>
      <w:r>
        <w:pict>
          <v:rect style="width:0;height:1.5pt" o:hralign="center" o:hrstd="t" o:hr="t"/>
        </w:pict>
      </w:r>
    </w:p>
    <w:bookmarkEnd w:id="23"/>
    <w:bookmarkStart w:id="39" w:name="iv.-substantive-change-analysis"/>
    <w:p>
      <w:pPr>
        <w:pStyle w:val="Heading2"/>
      </w:pPr>
      <w:r>
        <w:t xml:space="preserve">IV. Substantive Change Analysis</w:t>
      </w:r>
    </w:p>
    <w:p>
      <w:pPr>
        <w:pStyle w:val="FirstParagraph"/>
      </w:pPr>
      <w:r>
        <w:t xml:space="preserve">The following analysis tracks the Redline article-by-article, identifies the legal and economic effect of each material change, and assesses it against Diane’s stated objectives and the supporting documentation. Each item closes with a recommended disposition:</w:t>
      </w:r>
      <w:r>
        <w:t xml:space="preserve"> </w:t>
      </w:r>
      <w:r>
        <w:rPr>
          <w:b/>
          <w:bCs/>
        </w:rPr>
        <w:t xml:space="preserve">Accept</w:t>
      </w:r>
      <w:r>
        <w:t xml:space="preserve">,</w:t>
      </w:r>
      <w:r>
        <w:t xml:space="preserve"> </w:t>
      </w:r>
      <w:r>
        <w:rPr>
          <w:b/>
          <w:bCs/>
        </w:rPr>
        <w:t xml:space="preserve">Reject</w:t>
      </w:r>
      <w:r>
        <w:t xml:space="preserve">, or</w:t>
      </w:r>
      <w:r>
        <w:t xml:space="preserve"> </w:t>
      </w:r>
      <w:r>
        <w:rPr>
          <w:b/>
          <w:bCs/>
        </w:rPr>
        <w:t xml:space="preserve">Negotiate</w:t>
      </w:r>
      <w:r>
        <w:t xml:space="preserve">. Margin comments authored by Mr. Baxter are cited as</w:t>
      </w:r>
      <w:r>
        <w:t xml:space="preserve"> </w:t>
      </w:r>
      <w:r>
        <w:t xml:space="preserve">“</w:t>
      </w:r>
      <w:r>
        <w:t xml:space="preserve">MC-##.</w:t>
      </w:r>
      <w:r>
        <w:t xml:space="preserve">”</w:t>
      </w:r>
    </w:p>
    <w:bookmarkStart w:id="24" w:name="X8372c1bc27392d85728218c404a52f6b99baa97"/>
    <w:p>
      <w:pPr>
        <w:pStyle w:val="Heading3"/>
      </w:pPr>
      <w:r>
        <w:t xml:space="preserve">A. Wife’s Premarital Savings Reimbursement Right (Original §5.2; Redline §5.2 [DELETED]) —</w:t>
      </w:r>
      <w:r>
        <w:t xml:space="preserve"> </w:t>
      </w:r>
      <w:r>
        <w:rPr>
          <w:b/>
          <w:bCs/>
        </w:rPr>
        <w:t xml:space="preserve">REJECT</w:t>
      </w:r>
    </w:p>
    <w:p>
      <w:pPr>
        <w:pStyle w:val="FirstParagraph"/>
      </w:pPr>
      <w:r>
        <w:rPr>
          <w:b/>
          <w:bCs/>
        </w:rPr>
        <w:t xml:space="preserve">The change.</w:t>
      </w:r>
      <w:r>
        <w:t xml:space="preserve"> </w:t>
      </w:r>
      <w:r>
        <w:t xml:space="preserve">The Redline deletes Section 5.2 in its entirety and renumbers the subsequent sections. Mr. Baxter’s comment (MC-05) states the section was</w:t>
      </w:r>
      <w:r>
        <w:t xml:space="preserve"> </w:t>
      </w:r>
      <w:r>
        <w:t xml:space="preserve">“</w:t>
      </w:r>
      <w:r>
        <w:t xml:space="preserve">duplicative of Section 5.1 general property division provisions.</w:t>
      </w:r>
      <w:r>
        <w:t xml:space="preserve">”</w:t>
      </w:r>
    </w:p>
    <w:p>
      <w:pPr>
        <w:pStyle w:val="BodyText"/>
      </w:pPr>
      <w:r>
        <w:rPr>
          <w:b/>
          <w:bCs/>
        </w:rPr>
        <w:t xml:space="preserve">Why the comment is wrong.</w:t>
      </w:r>
      <w:r>
        <w:t xml:space="preserve"> </w:t>
      </w:r>
      <w:r>
        <w:t xml:space="preserve">Section 5.2 is not duplicative; it is a</w:t>
      </w:r>
      <w:r>
        <w:t xml:space="preserve"> </w:t>
      </w:r>
      <w:r>
        <w:rPr>
          <w:b/>
          <w:bCs/>
        </w:rPr>
        <w:t xml:space="preserve">priority, first-dollar tracing claim</w:t>
      </w:r>
      <w:r>
        <w:t xml:space="preserve">. Section 5.1 establishes the general rule of equitable (presumptively equal) division of marital property. Section 5.2 carves out,</w:t>
      </w:r>
      <w:r>
        <w:t xml:space="preserve"> </w:t>
      </w:r>
      <w:r>
        <w:rPr>
          <w:i/>
          <w:iCs/>
        </w:rPr>
        <w:t xml:space="preserve">before</w:t>
      </w:r>
      <w:r>
        <w:t xml:space="preserve"> </w:t>
      </w:r>
      <w:r>
        <w:t xml:space="preserve">that equal division occurs, Diane’s traced $1,200,000 premarital contribution to the joint investment account. Without Section 5.2, the entire $1,870,000 account — which consists predominantly of Diane’s premarital savings plus $670,000 of marital appreciation — is divided 50/50.</w:t>
      </w:r>
    </w:p>
    <w:p>
      <w:pPr>
        <w:pStyle w:val="BodyText"/>
      </w:pPr>
      <w:r>
        <w:rPr>
          <w:b/>
          <w:bCs/>
        </w:rPr>
        <w:t xml:space="preserve">Economic effect (quantified).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 (with §5.2)</w:t>
            </w:r>
          </w:p>
        </w:tc>
        <w:tc>
          <w:tcPr/>
          <w:p>
            <w:pPr>
              <w:pStyle w:val="Compact"/>
              <w:jc w:val="left"/>
            </w:pPr>
            <w:r>
              <w:t xml:space="preserve">Redline (§5.2 deleted)</w:t>
            </w:r>
          </w:p>
        </w:tc>
        <w:tc>
          <w:tcPr/>
          <w:p>
            <w:pPr>
              <w:pStyle w:val="Compact"/>
              <w:jc w:val="left"/>
            </w:pPr>
            <w:r>
              <w:t xml:space="preserve">Swing</w:t>
            </w:r>
          </w:p>
        </w:tc>
      </w:tr>
      <w:tr>
        <w:tc>
          <w:tcPr/>
          <w:p>
            <w:pPr>
              <w:pStyle w:val="Compact"/>
              <w:jc w:val="left"/>
            </w:pPr>
            <w:r>
              <w:t xml:space="preserve">Diane’s share of $1,870,000 joint investment account</w:t>
            </w:r>
          </w:p>
        </w:tc>
        <w:tc>
          <w:tcPr/>
          <w:p>
            <w:pPr>
              <w:pStyle w:val="Compact"/>
              <w:jc w:val="left"/>
            </w:pPr>
            <w:r>
              <w:t xml:space="preserve">$1,535,000 ($1,200,000 reimbursement + $335,000 half of $670,000 appreciation)</w:t>
            </w:r>
          </w:p>
        </w:tc>
        <w:tc>
          <w:tcPr/>
          <w:p>
            <w:pPr>
              <w:pStyle w:val="Compact"/>
              <w:jc w:val="left"/>
            </w:pPr>
            <w:r>
              <w:t xml:space="preserve">$935,000 (50% of $1,870,000)</w:t>
            </w:r>
          </w:p>
        </w:tc>
        <w:tc>
          <w:tcPr/>
          <w:p>
            <w:pPr>
              <w:pStyle w:val="Compact"/>
              <w:jc w:val="left"/>
            </w:pPr>
            <w:r>
              <w:rPr>
                <w:b/>
                <w:bCs/>
              </w:rPr>
              <w:t xml:space="preserve">−$600,000</w:t>
            </w:r>
          </w:p>
        </w:tc>
      </w:tr>
      <w:tr>
        <w:tc>
          <w:tcPr/>
          <w:p>
            <w:pPr>
              <w:pStyle w:val="Compact"/>
              <w:jc w:val="left"/>
            </w:pPr>
            <w:r>
              <w:t xml:space="preserve">Marcus’s share</w:t>
            </w:r>
          </w:p>
        </w:tc>
        <w:tc>
          <w:tcPr/>
          <w:p>
            <w:pPr>
              <w:pStyle w:val="Compact"/>
              <w:jc w:val="left"/>
            </w:pPr>
            <w:r>
              <w:t xml:space="preserve">$335,000</w:t>
            </w:r>
          </w:p>
        </w:tc>
        <w:tc>
          <w:tcPr/>
          <w:p>
            <w:pPr>
              <w:pStyle w:val="Compact"/>
              <w:jc w:val="left"/>
            </w:pPr>
            <w:r>
              <w:t xml:space="preserve">$935,000</w:t>
            </w:r>
          </w:p>
        </w:tc>
        <w:tc>
          <w:tcPr/>
          <w:p>
            <w:pPr>
              <w:pStyle w:val="Compact"/>
              <w:jc w:val="left"/>
            </w:pPr>
            <w:r>
              <w:rPr>
                <w:b/>
                <w:bCs/>
              </w:rPr>
              <w:t xml:space="preserve">+$600,000</w:t>
            </w:r>
          </w:p>
        </w:tc>
      </w:tr>
    </w:tbl>
    <w:p>
      <w:pPr>
        <w:pStyle w:val="BodyText"/>
      </w:pPr>
      <w:r>
        <w:t xml:space="preserve">This is a</w:t>
      </w:r>
      <w:r>
        <w:t xml:space="preserve"> </w:t>
      </w:r>
      <w:r>
        <w:rPr>
          <w:b/>
          <w:bCs/>
        </w:rPr>
        <w:t xml:space="preserve">$600,000 transfer from Diane to Marcus</w:t>
      </w:r>
      <w:r>
        <w:t xml:space="preserve">, and it strikes the single provision Diane identified as her</w:t>
      </w:r>
      <w:r>
        <w:t xml:space="preserve"> </w:t>
      </w:r>
      <w:r>
        <w:t xml:space="preserve">“</w:t>
      </w:r>
      <w:r>
        <w:t xml:space="preserve">whole reason</w:t>
      </w:r>
      <w:r>
        <w:t xml:space="preserve">”</w:t>
      </w:r>
      <w:r>
        <w:t xml:space="preserve"> </w:t>
      </w:r>
      <w:r>
        <w:t xml:space="preserve">for pursuing the agreement and a</w:t>
      </w:r>
      <w:r>
        <w:t xml:space="preserve"> </w:t>
      </w:r>
      <w:r>
        <w:t xml:space="preserve">“</w:t>
      </w:r>
      <w:r>
        <w:t xml:space="preserve">non-negotiable</w:t>
      </w:r>
      <w:r>
        <w:t xml:space="preserve">”</w:t>
      </w:r>
      <w:r>
        <w:t xml:space="preserve"> </w:t>
      </w:r>
      <w:r>
        <w:t xml:space="preserve">item (Intake Memo, Objective 1). The Linden &amp; Fosse disclosure independently documents the tracing: Line W-5 and Line J-2 confirm that Diane deposited $1,200,000 in premarital savings (from individual Northbridge account **0184, closed 2014) into joint account **3291, with wire-transfer records and statements on file. The factual predicate for the reimbursement is well-supported.</w:t>
      </w:r>
    </w:p>
    <w:p>
      <w:pPr>
        <w:pStyle w:val="BodyText"/>
      </w:pPr>
      <w:r>
        <w:rPr>
          <w:b/>
          <w:bCs/>
        </w:rPr>
        <w:t xml:space="preserve">Legal support.</w:t>
      </w:r>
      <w:r>
        <w:t xml:space="preserve"> </w:t>
      </w:r>
      <w:r>
        <w:t xml:space="preserve">The reimbursement right is supported by Illinois tracing principles under 750 ILCS 5/503(c) and is enforceable as a contractual first-dollar claim when, as here, the original contribution is documented and traceable. The Intake Memo (Part VI) specifically recommended memorializing the tracing and establishing a contractual reimbursement right</w:t>
      </w:r>
      <w:r>
        <w:t xml:space="preserve"> </w:t>
      </w:r>
      <w:r>
        <w:t xml:space="preserve">“</w:t>
      </w:r>
      <w:r>
        <w:t xml:space="preserve">independent of and in addition to any equitable tracing argument.</w:t>
      </w:r>
      <w:r>
        <w:t xml:space="preserve">”</w:t>
      </w:r>
    </w:p>
    <w:p>
      <w:pPr>
        <w:pStyle w:val="BodyText"/>
      </w:pPr>
      <w:r>
        <w:rPr>
          <w:b/>
          <w:bCs/>
        </w:rPr>
        <w:t xml:space="preserve">Recommendation.</w:t>
      </w:r>
      <w:r>
        <w:t xml:space="preserve"> </w:t>
      </w:r>
      <w:r>
        <w:t xml:space="preserve">Reject the deletion. Restore Section 5.2 in full, with the account identifier corrected to **3291 per the financial disclosure. This is a non-negotiable, top-priority item. We should be prepared to explain, at the four-way, that the provision is a tracing-based priority claim — not a duplicative general-division clause — and that its deletion is the single largest economic move in the Redline and is unacceptable.</w:t>
      </w:r>
    </w:p>
    <w:bookmarkEnd w:id="24"/>
    <w:bookmarkStart w:id="25" w:name="Xf6b25890a89db3ea78cc2bdba2c8b54b26ad7b7"/>
    <w:p>
      <w:pPr>
        <w:pStyle w:val="Heading3"/>
      </w:pPr>
      <w:r>
        <w:t xml:space="preserve">B. Financial Disclosure, Voidability, and Ongoing Disclosure (Original §§3.1–3.4, 12.1–12.3; Redline §§1.5, 3.1, 12.1–12.2) —</w:t>
      </w:r>
      <w:r>
        <w:t xml:space="preserve"> </w:t>
      </w:r>
      <w:r>
        <w:rPr>
          <w:b/>
          <w:bCs/>
        </w:rPr>
        <w:t xml:space="preserve">REJECT</w:t>
      </w:r>
    </w:p>
    <w:p>
      <w:pPr>
        <w:pStyle w:val="FirstParagraph"/>
      </w:pPr>
      <w:r>
        <w:t xml:space="preserve">This is a cluster of related changes that, taken together, dismantle the disclosure protections Diane specifically requested. The pattern is more important than any single edit.</w:t>
      </w:r>
    </w:p>
    <w:p>
      <w:pPr>
        <w:numPr>
          <w:ilvl w:val="0"/>
          <w:numId w:val="1001"/>
        </w:numPr>
      </w:pPr>
      <w:r>
        <w:rPr>
          <w:b/>
          <w:bCs/>
        </w:rPr>
        <w:t xml:space="preserve">Disclosure warranty downgraded.</w:t>
      </w:r>
      <w:r>
        <w:t xml:space="preserve"> </w:t>
      </w:r>
      <w:r>
        <w:t xml:space="preserve">The Original Draft warrants</w:t>
      </w:r>
      <w:r>
        <w:t xml:space="preserve"> </w:t>
      </w:r>
      <w:r>
        <w:t xml:space="preserve">“</w:t>
      </w:r>
      <w:r>
        <w:t xml:space="preserve">full, fair, and complete disclosure.</w:t>
      </w:r>
      <w:r>
        <w:t xml:space="preserve">”</w:t>
      </w:r>
      <w:r>
        <w:t xml:space="preserve"> </w:t>
      </w:r>
      <w:r>
        <w:t xml:space="preserve">The Redline repeatedly softens this to</w:t>
      </w:r>
      <w:r>
        <w:t xml:space="preserve"> </w:t>
      </w:r>
      <w:r>
        <w:t xml:space="preserve">“</w:t>
      </w:r>
      <w:r>
        <w:t xml:space="preserve">substantially full financial disclosure</w:t>
      </w:r>
      <w:r>
        <w:t xml:space="preserve">”</w:t>
      </w:r>
      <w:r>
        <w:t xml:space="preserve"> </w:t>
      </w:r>
      <w:r>
        <w:t xml:space="preserve">(§1.5), a</w:t>
      </w:r>
      <w:r>
        <w:t xml:space="preserve"> </w:t>
      </w:r>
      <w:r>
        <w:t xml:space="preserve">“</w:t>
      </w:r>
      <w:r>
        <w:t xml:space="preserve">substantially complete statement</w:t>
      </w:r>
      <w:r>
        <w:t xml:space="preserve">”</w:t>
      </w:r>
      <w:r>
        <w:t xml:space="preserve"> </w:t>
      </w:r>
      <w:r>
        <w:t xml:space="preserve">(§12.1), and a representation that each party</w:t>
      </w:r>
      <w:r>
        <w:t xml:space="preserve"> </w:t>
      </w:r>
      <w:r>
        <w:t xml:space="preserve">“</w:t>
      </w:r>
      <w:r>
        <w:t xml:space="preserve">is generally satisfied with such disclosure</w:t>
      </w:r>
      <w:r>
        <w:t xml:space="preserve">”</w:t>
      </w:r>
      <w:r>
        <w:t xml:space="preserve"> </w:t>
      </w:r>
      <w:r>
        <w:t xml:space="preserve">(§3.1(d)). The word</w:t>
      </w:r>
      <w:r>
        <w:t xml:space="preserve"> </w:t>
      </w:r>
      <w:r>
        <w:t xml:space="preserve">“</w:t>
      </w:r>
      <w:r>
        <w:t xml:space="preserve">substantially</w:t>
      </w:r>
      <w:r>
        <w:t xml:space="preserve">”</w:t>
      </w:r>
      <w:r>
        <w:t xml:space="preserve"> </w:t>
      </w:r>
      <w:r>
        <w:t xml:space="preserve">imports a materiality qualifier into what should be an absolute warranty and gives the non-disclosing party room to argue that an omission was immaterial.</w:t>
      </w:r>
    </w:p>
    <w:p>
      <w:pPr>
        <w:numPr>
          <w:ilvl w:val="0"/>
          <w:numId w:val="1001"/>
        </w:numPr>
      </w:pPr>
      <w:r>
        <w:rPr>
          <w:b/>
          <w:bCs/>
        </w:rPr>
        <w:t xml:space="preserve">Voidability standard narrowed (§12.2).</w:t>
      </w:r>
      <w:r>
        <w:t xml:space="preserve"> </w:t>
      </w:r>
      <w:r>
        <w:t xml:space="preserve">The Original Draft (§3.3) made the agreement voidable for</w:t>
      </w:r>
      <w:r>
        <w:t xml:space="preserve"> </w:t>
      </w:r>
      <w:r>
        <w:rPr>
          <w:b/>
          <w:bCs/>
        </w:rPr>
        <w:t xml:space="preserve">any</w:t>
      </w:r>
      <w:r>
        <w:t xml:space="preserve"> </w:t>
      </w:r>
      <w:r>
        <w:t xml:space="preserve">material omission or misrepresentation,</w:t>
      </w:r>
      <w:r>
        <w:t xml:space="preserve"> </w:t>
      </w:r>
      <w:r>
        <w:rPr>
          <w:b/>
          <w:bCs/>
        </w:rPr>
        <w:t xml:space="preserve">without</w:t>
      </w:r>
      <w:r>
        <w:t xml:space="preserve"> </w:t>
      </w:r>
      <w:r>
        <w:t xml:space="preserve">a heightened evidentiary standard,</w:t>
      </w:r>
      <w:r>
        <w:t xml:space="preserve"> </w:t>
      </w:r>
      <w:r>
        <w:rPr>
          <w:b/>
          <w:bCs/>
        </w:rPr>
        <w:t xml:space="preserve">without</w:t>
      </w:r>
      <w:r>
        <w:t xml:space="preserve"> </w:t>
      </w:r>
      <w:r>
        <w:t xml:space="preserve">a dollar threshold, and</w:t>
      </w:r>
      <w:r>
        <w:t xml:space="preserve"> </w:t>
      </w:r>
      <w:r>
        <w:rPr>
          <w:b/>
          <w:bCs/>
        </w:rPr>
        <w:t xml:space="preserve">without</w:t>
      </w:r>
      <w:r>
        <w:t xml:space="preserve"> </w:t>
      </w:r>
      <w:r>
        <w:t xml:space="preserve">regard to intent. The Redline requires all of the following before the agreement may be avoided: (i)</w:t>
      </w:r>
      <w:r>
        <w:t xml:space="preserve"> </w:t>
      </w:r>
      <w:r>
        <w:rPr>
          <w:b/>
          <w:bCs/>
        </w:rPr>
        <w:t xml:space="preserve">intentional</w:t>
      </w:r>
      <w:r>
        <w:t xml:space="preserve"> </w:t>
      </w:r>
      <w:r>
        <w:t xml:space="preserve">concealment; (ii) proved by</w:t>
      </w:r>
      <w:r>
        <w:t xml:space="preserve"> </w:t>
      </w:r>
      <w:r>
        <w:rPr>
          <w:b/>
          <w:bCs/>
        </w:rPr>
        <w:t xml:space="preserve">clear and convincing evidence</w:t>
      </w:r>
      <w:r>
        <w:t xml:space="preserve">; (iii) of assets/liabilities with an aggregate value</w:t>
      </w:r>
      <w:r>
        <w:t xml:space="preserve"> </w:t>
      </w:r>
      <w:r>
        <w:rPr>
          <w:b/>
          <w:bCs/>
        </w:rPr>
        <w:t xml:space="preserve">exceeding $100,000</w:t>
      </w:r>
      <w:r>
        <w:t xml:space="preserve">; and (iv) asserted within</w:t>
      </w:r>
      <w:r>
        <w:t xml:space="preserve"> </w:t>
      </w:r>
      <w:r>
        <w:rPr>
          <w:b/>
          <w:bCs/>
        </w:rPr>
        <w:t xml:space="preserve">two years</w:t>
      </w:r>
      <w:r>
        <w:t xml:space="preserve"> </w:t>
      </w:r>
      <w:r>
        <w:t xml:space="preserve">of discovery. This is a dramatic narrowing.</w:t>
      </w:r>
    </w:p>
    <w:p>
      <w:pPr>
        <w:numPr>
          <w:ilvl w:val="0"/>
          <w:numId w:val="1000"/>
        </w:numPr>
      </w:pPr>
      <w:r>
        <w:t xml:space="preserve">The practical consequence is severe and directly contradicts Diane’s instruction. Diane stated:</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r>
        <w:t xml:space="preserve"> </w:t>
      </w:r>
      <w:r>
        <w:t xml:space="preserve">(Intake Memo, Objective 2). Under the Redline, the</w:t>
      </w:r>
      <w:r>
        <w:t xml:space="preserve"> </w:t>
      </w:r>
      <w:r>
        <w:rPr>
          <w:b/>
          <w:bCs/>
        </w:rPr>
        <w:t xml:space="preserve">$68,000 concealed credit-card debt that precipitated this entire matter would fall below the $100,000 threshold and could not support avoidance</w:t>
      </w:r>
      <w:r>
        <w:t xml:space="preserve"> </w:t>
      </w:r>
      <w:r>
        <w:t xml:space="preserve">— even though it is the paradigm case Diane was worried about. The</w:t>
      </w:r>
      <w:r>
        <w:t xml:space="preserve"> </w:t>
      </w:r>
      <w:r>
        <w:t xml:space="preserve">“</w:t>
      </w:r>
      <w:r>
        <w:t xml:space="preserve">clear and convincing</w:t>
      </w:r>
      <w:r>
        <w:t xml:space="preserve">”</w:t>
      </w:r>
      <w:r>
        <w:t xml:space="preserve"> </w:t>
      </w:r>
      <w:r>
        <w:t xml:space="preserve">/</w:t>
      </w:r>
      <w:r>
        <w:t xml:space="preserve"> </w:t>
      </w:r>
      <w:r>
        <w:t xml:space="preserve">“</w:t>
      </w:r>
      <w:r>
        <w:t xml:space="preserve">intentional</w:t>
      </w:r>
      <w:r>
        <w:t xml:space="preserve">”</w:t>
      </w:r>
      <w:r>
        <w:t xml:space="preserve"> </w:t>
      </w:r>
      <w:r>
        <w:t xml:space="preserve">standard further raises the bar, and the two-year limitations period cuts off later-discovered claims.</w:t>
      </w:r>
    </w:p>
    <w:p>
      <w:pPr>
        <w:numPr>
          <w:ilvl w:val="0"/>
          <w:numId w:val="1001"/>
        </w:numPr>
      </w:pPr>
      <w:r>
        <w:rPr>
          <w:b/>
          <w:bCs/>
        </w:rPr>
        <w:t xml:space="preserve">Ongoing disclosure obligations eliminated.</w:t>
      </w:r>
      <w:r>
        <w:t xml:space="preserve"> </w:t>
      </w:r>
      <w:r>
        <w:t xml:space="preserve">The Original Draft (§3.4) imposed a continuing duty to disclose material post-Effective-Date changes (new assets, new debts, income/employment changes, gifts/inheritances over $10,000) within 30 days. The Original Draft (§11.2–11.3) also required consent for individual debt over $10,000 and disclosure of new debt over $5,000 within 15 days.</w:t>
      </w:r>
      <w:r>
        <w:t xml:space="preserve"> </w:t>
      </w:r>
      <w:r>
        <w:rPr>
          <w:b/>
          <w:bCs/>
        </w:rPr>
        <w:t xml:space="preserve">The Redline contains no equivalent ongoing-disclosure or debt-consent mechanism.</w:t>
      </w:r>
      <w:r>
        <w:t xml:space="preserve"> </w:t>
      </w:r>
      <w:r>
        <w:t xml:space="preserve">Diane expressly requested</w:t>
      </w:r>
      <w:r>
        <w:t xml:space="preserve"> </w:t>
      </w:r>
      <w:r>
        <w:t xml:space="preserve">“</w:t>
      </w:r>
      <w:r>
        <w:t xml:space="preserve">ongoing annual disclosure obligations during the marriage</w:t>
      </w:r>
      <w:r>
        <w:t xml:space="preserve">”</w:t>
      </w:r>
      <w:r>
        <w:t xml:space="preserve"> </w:t>
      </w:r>
      <w:r>
        <w:t xml:space="preserve">(Intake Memo, Objective 2). Their removal is especially dangerous given Marcus’s documented pattern of concealment (the Intake Memo notes at least two prior occasions of undisclosed purchases/accounts in addition to the $68,000).</w:t>
      </w:r>
    </w:p>
    <w:p>
      <w:pPr>
        <w:pStyle w:val="FirstParagraph"/>
      </w:pPr>
      <w:r>
        <w:rPr>
          <w:b/>
          <w:bCs/>
        </w:rPr>
        <w:t xml:space="preserve">Recommendation.</w:t>
      </w:r>
      <w:r>
        <w:t xml:space="preserve"> </w:t>
      </w:r>
      <w:r>
        <w:t xml:space="preserve">Reject the cluster. Restore (i) the</w:t>
      </w:r>
      <w:r>
        <w:t xml:space="preserve"> </w:t>
      </w:r>
      <w:r>
        <w:t xml:space="preserve">“</w:t>
      </w:r>
      <w:r>
        <w:t xml:space="preserve">full, fair, and complete</w:t>
      </w:r>
      <w:r>
        <w:t xml:space="preserve">”</w:t>
      </w:r>
      <w:r>
        <w:t xml:space="preserve"> </w:t>
      </w:r>
      <w:r>
        <w:t xml:space="preserve">warranty; (ii) the broad material-omission voidability standard without intent, dollar-threshold, or heightened-evidentiary requirements (or, at most, a modest threshold well below $100,000 and no intent requirement); and (iii) the ongoing duty of disclosure and the debt-consent/disclosure thresholds. We should be prepared to frame this as the disclosure counterpart to the premarital-savings issue: both go to the core of why Diane engaged us. The Intake Memo (Part VI) specifically directed us to</w:t>
      </w:r>
      <w:r>
        <w:t xml:space="preserve"> </w:t>
      </w:r>
      <w:r>
        <w:t xml:space="preserve">“</w:t>
      </w:r>
      <w:r>
        <w:t xml:space="preserve">resist any effort by opposing counsel to impose a heightened</w:t>
      </w:r>
      <w:r>
        <w:t xml:space="preserve"> </w:t>
      </w:r>
      <w:r>
        <w:t xml:space="preserve">‘</w:t>
      </w:r>
      <w:r>
        <w:t xml:space="preserve">intentional concealment</w:t>
      </w:r>
      <w:r>
        <w:t xml:space="preserve">’</w:t>
      </w:r>
      <w:r>
        <w:t xml:space="preserve"> </w:t>
      </w:r>
      <w:r>
        <w:t xml:space="preserve">standard or a dollar-amount threshold</w:t>
      </w:r>
      <w:r>
        <w:t xml:space="preserve">”</w:t>
      </w:r>
      <w:r>
        <w:t xml:space="preserve"> </w:t>
      </w:r>
      <w:r>
        <w:t xml:space="preserve">— Mr. Baxter has done exactly what we were told to expect.</w:t>
      </w:r>
    </w:p>
    <w:bookmarkEnd w:id="25"/>
    <w:bookmarkStart w:id="26" w:name="X2afb831012368187fba0cc84d40dae0e995cd1f"/>
    <w:p>
      <w:pPr>
        <w:pStyle w:val="Heading3"/>
      </w:pPr>
      <w:r>
        <w:t xml:space="preserve">C. Commingling and Transmutation (Original §4.3; Redline §4.3) —</w:t>
      </w:r>
      <w:r>
        <w:t xml:space="preserve"> </w:t>
      </w:r>
      <w:r>
        <w:rPr>
          <w:b/>
          <w:bCs/>
        </w:rPr>
        <w:t xml:space="preserve">REJECT / NEGOTIATE</w:t>
      </w:r>
    </w:p>
    <w:p>
      <w:pPr>
        <w:pStyle w:val="FirstParagraph"/>
      </w:pPr>
      <w:r>
        <w:rPr>
          <w:b/>
          <w:bCs/>
        </w:rPr>
        <w:t xml:space="preserve">The change.</w:t>
      </w:r>
      <w:r>
        <w:t xml:space="preserve"> </w:t>
      </w:r>
      <w:r>
        <w:t xml:space="preserve">The Original Draft (§4.3(b)) provided that separate property used for the joint benefit of the marital household (mortgage payments, home improvements, family expenses, tuition, vacations)</w:t>
      </w:r>
      <w:r>
        <w:t xml:space="preserve"> </w:t>
      </w:r>
      <w:r>
        <w:t xml:space="preserve">“</w:t>
      </w:r>
      <w:r>
        <w:t xml:space="preserve">shall be deemed a gift to the marriage and shall be treated as Marital Property,</w:t>
      </w:r>
      <w:r>
        <w:t xml:space="preserve">”</w:t>
      </w:r>
      <w:r>
        <w:t xml:space="preserve"> </w:t>
      </w:r>
      <w:r>
        <w:t xml:space="preserve">with a rebuttable presumption of transmutation and</w:t>
      </w:r>
      <w:r>
        <w:t xml:space="preserve"> </w:t>
      </w:r>
      <w:r>
        <w:rPr>
          <w:b/>
          <w:bCs/>
        </w:rPr>
        <w:t xml:space="preserve">no</w:t>
      </w:r>
      <w:r>
        <w:t xml:space="preserve"> </w:t>
      </w:r>
      <w:r>
        <w:t xml:space="preserve">requirement to prove donative intent. The Redline (§4.3(c))</w:t>
      </w:r>
      <w:r>
        <w:t xml:space="preserve"> </w:t>
      </w:r>
      <w:r>
        <w:rPr>
          <w:b/>
          <w:bCs/>
        </w:rPr>
        <w:t xml:space="preserve">reverses</w:t>
      </w:r>
      <w:r>
        <w:t xml:space="preserve"> </w:t>
      </w:r>
      <w:r>
        <w:t xml:space="preserve">this: separate property used for joint benefit</w:t>
      </w:r>
      <w:r>
        <w:t xml:space="preserve"> </w:t>
      </w:r>
      <w:r>
        <w:t xml:space="preserve">“</w:t>
      </w:r>
      <w:r>
        <w:t xml:space="preserve">shall not be deemed commingled solely by reason of such use,</w:t>
      </w:r>
      <w:r>
        <w:t xml:space="preserve">”</w:t>
      </w:r>
      <w:r>
        <w:t xml:space="preserve"> </w:t>
      </w:r>
      <w:r>
        <w:t xml:space="preserve">the contributing party</w:t>
      </w:r>
      <w:r>
        <w:t xml:space="preserve"> </w:t>
      </w:r>
      <w:r>
        <w:t xml:space="preserve">“</w:t>
      </w:r>
      <w:r>
        <w:t xml:space="preserve">shall retain a claim for reimbursement,</w:t>
      </w:r>
      <w:r>
        <w:t xml:space="preserve">”</w:t>
      </w:r>
      <w:r>
        <w:t xml:space="preserve"> </w:t>
      </w:r>
      <w:r>
        <w:t xml:space="preserve">and the property</w:t>
      </w:r>
      <w:r>
        <w:t xml:space="preserve"> </w:t>
      </w:r>
      <w:r>
        <w:t xml:space="preserve">“</w:t>
      </w:r>
      <w:r>
        <w:t xml:space="preserve">retain[s] its classification as Separate Property.</w:t>
      </w:r>
      <w:r>
        <w:t xml:space="preserve">”</w:t>
      </w:r>
      <w:r>
        <w:t xml:space="preserve"> </w:t>
      </w:r>
      <w:r>
        <w:t xml:space="preserve">Mr. Baxter’s comments (MC-03, MC-04) frame the change as aligning with Illinois tracing principles and protecting both parties from</w:t>
      </w:r>
      <w:r>
        <w:t xml:space="preserve"> </w:t>
      </w:r>
      <w:r>
        <w:t xml:space="preserve">“</w:t>
      </w:r>
      <w:r>
        <w:t xml:space="preserve">inadvertent commingling through ordinary family expenditures.</w:t>
      </w:r>
      <w:r>
        <w:t xml:space="preserve">”</w:t>
      </w:r>
    </w:p>
    <w:p>
      <w:pPr>
        <w:pStyle w:val="BodyText"/>
      </w:pPr>
      <w:r>
        <w:rPr>
          <w:b/>
          <w:bCs/>
        </w:rPr>
        <w:t xml:space="preserve">Who benefits.</w:t>
      </w:r>
      <w:r>
        <w:t xml:space="preserve"> </w:t>
      </w:r>
      <w:r>
        <w:t xml:space="preserve">This change overwhelmingly benefits</w:t>
      </w:r>
      <w:r>
        <w:t xml:space="preserve"> </w:t>
      </w:r>
      <w:r>
        <w:rPr>
          <w:b/>
          <w:bCs/>
        </w:rPr>
        <w:t xml:space="preserve">Marcus</w:t>
      </w:r>
      <w:r>
        <w:t xml:space="preserve">, who holds the large separate-property pool (the $3.8 million inheritance). Under the Original Draft, if Marcus deploys inheritance funds to pay down the mortgage, fund improvements, or cover family expenses, those funds transmute to marital property and Diane shares in them. Under the Redline, those funds remain Marcus’s separate property, with only a reimbursement claim against the marital estate — meaning Diane gets, at most, repayment of the principal spent, with no share of the appreciation or the transmuted character. Diane flagged exactly this concern at intake: she</w:t>
      </w:r>
      <w:r>
        <w:t xml:space="preserve"> </w:t>
      </w:r>
      <w:r>
        <w:t xml:space="preserve">“</w:t>
      </w:r>
      <w:r>
        <w:t xml:space="preserve">is concerned about how the funds might be deployed during the marriage … and whether such use could affect property classification</w:t>
      </w:r>
      <w:r>
        <w:t xml:space="preserve">”</w:t>
      </w:r>
      <w:r>
        <w:t xml:space="preserve"> </w:t>
      </w:r>
      <w:r>
        <w:t xml:space="preserve">(Intake Memo, Part II.H).</w:t>
      </w:r>
    </w:p>
    <w:p>
      <w:pPr>
        <w:pStyle w:val="BodyText"/>
      </w:pPr>
      <w:r>
        <w:rPr>
          <w:b/>
          <w:bCs/>
        </w:rPr>
        <w:t xml:space="preserve">Legal nuance.</w:t>
      </w:r>
      <w:r>
        <w:t xml:space="preserve"> </w:t>
      </w:r>
      <w:r>
        <w:t xml:space="preserve">Mr. Baxter’s invocation of 750 ILCS 5/503(c) is half-right but overstated. Section 503(c) addresses commingling and tracing; it does not compel the Redline’s outcome. Illinois courts recognize that the use of non-marital property for marital purposes can constitute a gift to the marital estate, and the parties are free to contract around the default by adopting either a transmutation presumption or a reimbursement-only model. The Original Draft’s transmutation presumption is a permissible contractual allocation that favors Diane; the Redline’s reimbursement-only model is a permissible allocation that favors Marcus. This is a negotiated term, not a matter of legal compulsion, and Mr. Baxter’s comment obscures that.</w:t>
      </w:r>
    </w:p>
    <w:p>
      <w:pPr>
        <w:pStyle w:val="BodyText"/>
      </w:pPr>
      <w:r>
        <w:rPr>
          <w:b/>
          <w:bCs/>
        </w:rPr>
        <w:t xml:space="preserve">Recommendation.</w:t>
      </w:r>
      <w:r>
        <w:t xml:space="preserve"> </w:t>
      </w:r>
      <w:r>
        <w:t xml:space="preserve">Reject the reversal. Restore the Original Draft’s transmutation presumption for separate property used for joint marital benefit. If Mr. Baxter resists, a fallback middle position would preserve separate-property character but grant the marital estate a</w:t>
      </w:r>
      <w:r>
        <w:t xml:space="preserve"> </w:t>
      </w:r>
      <w:r>
        <w:rPr>
          <w:b/>
          <w:bCs/>
        </w:rPr>
        <w:t xml:space="preserve">share of appreciation</w:t>
      </w:r>
      <w:r>
        <w:t xml:space="preserve"> </w:t>
      </w:r>
      <w:r>
        <w:t xml:space="preserve">attributable to the deployed funds (not merely principal reimbursement), and require Marcus to maintain inheritance funds in separately titled accounts and to give advance notice of any deployment of inheritance funds exceeding a stated threshold (e.g., $25,000) for joint purposes. At minimum, we should not accept a regime in which Marcus can fund the household from his inheritance while retaining 100% of those funds as separate property.</w:t>
      </w:r>
    </w:p>
    <w:bookmarkEnd w:id="26"/>
    <w:bookmarkStart w:id="27" w:name="X8bfbcf1daa57ed5b2e99a48e129f13ab5a33e0b"/>
    <w:p>
      <w:pPr>
        <w:pStyle w:val="Heading3"/>
      </w:pPr>
      <w:r>
        <w:t xml:space="preserve">D. Spousal Maintenance (Original Article 10; Redline Article X) —</w:t>
      </w:r>
      <w:r>
        <w:t xml:space="preserve"> </w:t>
      </w:r>
      <w:r>
        <w:rPr>
          <w:b/>
          <w:bCs/>
        </w:rPr>
        <w:t xml:space="preserve">MIXED — NEGOTIATE CAREFULLY</w:t>
      </w:r>
    </w:p>
    <w:p>
      <w:pPr>
        <w:pStyle w:val="FirstParagraph"/>
      </w:pPr>
      <w:r>
        <w:t xml:space="preserve">The Redline makes three maintenance changes. Their net effect is less favorable to Diane than it first appears, and one of them contradicts a specific client instruction.</w:t>
      </w:r>
    </w:p>
    <w:p>
      <w:pPr>
        <w:numPr>
          <w:ilvl w:val="0"/>
          <w:numId w:val="1002"/>
        </w:numPr>
      </w:pPr>
      <w:r>
        <w:rPr>
          <w:b/>
          <w:bCs/>
        </w:rPr>
        <w:t xml:space="preserve">Duration cap reduced from five years to three (§10.2; MC-08).</w:t>
      </w:r>
      <w:r>
        <w:t xml:space="preserve"> </w:t>
      </w:r>
      <w:r>
        <w:t xml:space="preserve">Shorter duration favors the payor. Because Diane is the higher earner and would be the payor, a shorter cap favors her. This change is acceptable in principle, though we should confirm Diane is comfortable with a three-year cap in the event she ever became the lower-earning spouse (unlikely given her earning capacity, but worth a moment of client consideration).</w:t>
      </w:r>
    </w:p>
    <w:p>
      <w:pPr>
        <w:numPr>
          <w:ilvl w:val="0"/>
          <w:numId w:val="1002"/>
        </w:numPr>
      </w:pPr>
      <w:r>
        <w:rPr>
          <w:b/>
          <w:bCs/>
        </w:rPr>
        <w:t xml:space="preserve">Automatic waiver if recipient’s gross income exceeds $200,000 (§10.3; MC-09).</w:t>
      </w:r>
      <w:r>
        <w:t xml:space="preserve"> </w:t>
      </w:r>
      <w:r>
        <w:t xml:space="preserve">On its face this favors Diane: Marcus’s current gross income ($305,000) exceeds $200,000, so his right to receive maintenance would be</w:t>
      </w:r>
      <w:r>
        <w:t xml:space="preserve"> </w:t>
      </w:r>
      <w:r>
        <w:t xml:space="preserve">“</w:t>
      </w:r>
      <w:r>
        <w:t xml:space="preserve">automatically and irrevocably waived.</w:t>
      </w:r>
      <w:r>
        <w:t xml:space="preserve">”</w:t>
      </w:r>
      <w:r>
        <w:t xml:space="preserve"> </w:t>
      </w:r>
      <w:r>
        <w:t xml:space="preserve">Mr. Baxter’s comment calls this a provision that</w:t>
      </w:r>
      <w:r>
        <w:t xml:space="preserve"> </w:t>
      </w:r>
      <w:r>
        <w:t xml:space="preserve">“</w:t>
      </w:r>
      <w:r>
        <w:t xml:space="preserve">benefits both parties equally.</w:t>
      </w:r>
      <w:r>
        <w:t xml:space="preserve">”</w:t>
      </w:r>
      <w:r>
        <w:t xml:space="preserve"> </w:t>
      </w:r>
      <w:r>
        <w:t xml:space="preserve">Two cautions:</w:t>
      </w:r>
    </w:p>
    <w:p>
      <w:pPr>
        <w:numPr>
          <w:ilvl w:val="1"/>
          <w:numId w:val="1003"/>
        </w:numPr>
      </w:pPr>
      <w:r>
        <w:rPr>
          <w:b/>
          <w:bCs/>
        </w:rPr>
        <w:t xml:space="preserve">The</w:t>
      </w:r>
      <w:r>
        <w:rPr>
          <w:b/>
          <w:bCs/>
        </w:rPr>
        <w:t xml:space="preserve"> </w:t>
      </w:r>
      <w:r>
        <w:rPr>
          <w:b/>
          <w:bCs/>
        </w:rPr>
        <w:t xml:space="preserve">“</w:t>
      </w:r>
      <w:r>
        <w:rPr>
          <w:b/>
          <w:bCs/>
        </w:rPr>
        <w:t xml:space="preserve">win</w:t>
      </w:r>
      <w:r>
        <w:rPr>
          <w:b/>
          <w:bCs/>
        </w:rPr>
        <w:t xml:space="preserve">”</w:t>
      </w:r>
      <w:r>
        <w:rPr>
          <w:b/>
          <w:bCs/>
        </w:rPr>
        <w:t xml:space="preserve"> </w:t>
      </w:r>
      <w:r>
        <w:rPr>
          <w:b/>
          <w:bCs/>
        </w:rPr>
        <w:t xml:space="preserve">is largely illusory and low-cost to Marcus.</w:t>
      </w:r>
      <w:r>
        <w:t xml:space="preserve"> </w:t>
      </w:r>
      <w:r>
        <w:t xml:space="preserve">Even under the Original Draft, Marcus’s maintenance was already tightly constrained by the statutory 40% cap (750 ILCS 5/504(b-1)(2)): maintenance plus the recipient’s own income cannot exceed 40% of the parties’ combined income. At current incomes ($487,000 / $305,000; combined $792,000), the 40% cap is $316,800, so Marcus’s maintenance would be capped at approximately</w:t>
      </w:r>
      <w:r>
        <w:t xml:space="preserve"> </w:t>
      </w:r>
      <w:r>
        <w:rPr>
          <w:b/>
          <w:bCs/>
        </w:rPr>
        <w:t xml:space="preserve">$11,800 per year</w:t>
      </w:r>
      <w:r>
        <w:t xml:space="preserve"> </w:t>
      </w:r>
      <w:r>
        <w:t xml:space="preserve">(i.e., $316,800 − $305,000), or roughly</w:t>
      </w:r>
      <w:r>
        <w:t xml:space="preserve"> </w:t>
      </w:r>
      <w:r>
        <w:rPr>
          <w:b/>
          <w:bCs/>
        </w:rPr>
        <w:t xml:space="preserve">$59,000 over five years</w:t>
      </w:r>
      <w:r>
        <w:t xml:space="preserve"> </w:t>
      </w:r>
      <w:r>
        <w:t xml:space="preserve">at the outside. The waiver</w:t>
      </w:r>
      <w:r>
        <w:t xml:space="preserve"> </w:t>
      </w:r>
      <w:r>
        <w:t xml:space="preserve">“</w:t>
      </w:r>
      <w:r>
        <w:t xml:space="preserve">saves</w:t>
      </w:r>
      <w:r>
        <w:t xml:space="preserve">”</w:t>
      </w:r>
      <w:r>
        <w:t xml:space="preserve"> </w:t>
      </w:r>
      <w:r>
        <w:t xml:space="preserve">Diane at most ~$59,000 — while the premarital-savings deletion (Part IV.A) costs her</w:t>
      </w:r>
      <w:r>
        <w:t xml:space="preserve"> </w:t>
      </w:r>
      <w:r>
        <w:rPr>
          <w:b/>
          <w:bCs/>
        </w:rPr>
        <w:t xml:space="preserve">$600,000</w:t>
      </w:r>
      <w:r>
        <w:t xml:space="preserve">. Mr. Baxter has traded a low-value, largely capped maintenance exposure for a very large real gain. We should not over-value this concession.</w:t>
      </w:r>
    </w:p>
    <w:p>
      <w:pPr>
        <w:numPr>
          <w:ilvl w:val="1"/>
          <w:numId w:val="1003"/>
        </w:numPr>
      </w:pPr>
      <w:r>
        <w:rPr>
          <w:b/>
          <w:bCs/>
        </w:rPr>
        <w:t xml:space="preserve">Manipulation risk.</w:t>
      </w:r>
      <w:r>
        <w:t xml:space="preserve"> </w:t>
      </w:r>
      <w:r>
        <w:t xml:space="preserve">The waiver keys off the recipient’s</w:t>
      </w:r>
      <w:r>
        <w:t xml:space="preserve"> </w:t>
      </w:r>
      <w:r>
        <w:rPr>
          <w:i/>
          <w:iCs/>
        </w:rPr>
        <w:t xml:space="preserve">actual</w:t>
      </w:r>
      <w:r>
        <w:t xml:space="preserve"> </w:t>
      </w:r>
      <w:r>
        <w:t xml:space="preserve">gross income</w:t>
      </w:r>
      <w:r>
        <w:t xml:space="preserve"> </w:t>
      </w:r>
      <w:r>
        <w:t xml:space="preserve">“</w:t>
      </w:r>
      <w:r>
        <w:t xml:space="preserve">as of the date of entry of the judgment of dissolution,</w:t>
      </w:r>
      <w:r>
        <w:t xml:space="preserve">”</w:t>
      </w:r>
      <w:r>
        <w:t xml:space="preserve"> </w:t>
      </w:r>
      <w:r>
        <w:t xml:space="preserve">documented by tax return or pay records. A spouse who wishes to preserve a maintenance claim could engineer a lower income at dissolution (e.g., voluntary resignation, early retirement, reduced-hours role). Given Marcus’s documented financial gamesmanship, this is not a theoretical concern. If we accept any waiver, it should be keyed to</w:t>
      </w:r>
      <w:r>
        <w:t xml:space="preserve"> </w:t>
      </w:r>
      <w:r>
        <w:rPr>
          <w:b/>
          <w:bCs/>
        </w:rPr>
        <w:t xml:space="preserve">earning capacity / imputed income</w:t>
      </w:r>
      <w:r>
        <w:t xml:space="preserve">, not solely actual income, and should include anti-manipulation language (e.g., voluntary underemployment imputed at the most recent compensation level).</w:t>
      </w:r>
    </w:p>
    <w:p>
      <w:pPr>
        <w:numPr>
          <w:ilvl w:val="0"/>
          <w:numId w:val="1002"/>
        </w:numPr>
      </w:pPr>
      <w:r>
        <w:rPr>
          <w:b/>
          <w:bCs/>
        </w:rPr>
        <w:t xml:space="preserve">Maintenance calculation re-keyed from</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(§10.4; see §2.1(d)).</w:t>
      </w:r>
      <w:r>
        <w:t xml:space="preserve"> </w:t>
      </w:r>
      <w:r>
        <w:t xml:space="preserve">This is the most problematic maintenance change and it directly contradicts a client instruction. The Original Draft defined</w:t>
      </w:r>
      <w:r>
        <w:t xml:space="preserve"> </w:t>
      </w:r>
      <w:r>
        <w:t xml:space="preserve">“</w:t>
      </w:r>
      <w:r>
        <w:t xml:space="preserve">Gross Income</w:t>
      </w:r>
      <w:r>
        <w:t xml:space="preserve">”</w:t>
      </w:r>
      <w:r>
        <w:t xml:space="preserve"> </w:t>
      </w:r>
      <w:r>
        <w:t xml:space="preserve">broadly to include</w:t>
      </w:r>
      <w:r>
        <w:t xml:space="preserve"> </w:t>
      </w:r>
      <w:r>
        <w:rPr>
          <w:b/>
          <w:bCs/>
        </w:rPr>
        <w:t xml:space="preserve">all</w:t>
      </w:r>
      <w:r>
        <w:t xml:space="preserve"> </w:t>
      </w:r>
      <w:r>
        <w:t xml:space="preserve">income from any source — base salary, bonuses, equity compensation, investment income, business and LLC distributions, etc. The Redline</w:t>
      </w:r>
      <w:r>
        <w:t xml:space="preserve"> </w:t>
      </w:r>
      <w:r>
        <w:rPr>
          <w:b/>
          <w:bCs/>
        </w:rPr>
        <w:t xml:space="preserve">deletes</w:t>
      </w:r>
      <w:r>
        <w:rPr>
          <w:b/>
          <w:bCs/>
        </w:rPr>
        <w:t xml:space="preserve"> </w:t>
      </w:r>
      <w:r>
        <w:rPr>
          <w:b/>
          <w:bCs/>
        </w:rPr>
        <w:t xml:space="preserve">“</w:t>
      </w:r>
      <w:r>
        <w:rPr>
          <w:b/>
          <w:bCs/>
        </w:rPr>
        <w:t xml:space="preserve">Gross Income</w:t>
      </w:r>
      <w:r>
        <w:rPr>
          <w:b/>
          <w:bCs/>
        </w:rPr>
        <w:t xml:space="preserve">”</w:t>
      </w:r>
      <w:r>
        <w:t xml:space="preserve"> </w:t>
      </w:r>
      <w:r>
        <w:t xml:space="preserve">and substitutes</w:t>
      </w:r>
      <w:r>
        <w:t xml:space="preserve"> </w:t>
      </w:r>
      <w:r>
        <w:t xml:space="preserve">“</w:t>
      </w:r>
      <w:r>
        <w:t xml:space="preserve">Earned Income</w:t>
      </w:r>
      <w:r>
        <w:t xml:space="preserve">”</w:t>
      </w:r>
      <w:r>
        <w:t xml:space="preserve"> </w:t>
      </w:r>
      <w:r>
        <w:t xml:space="preserve">(§2.1(d); MC-02), which</w:t>
      </w:r>
      <w:r>
        <w:t xml:space="preserve"> </w:t>
      </w:r>
      <w:r>
        <w:rPr>
          <w:b/>
          <w:bCs/>
        </w:rPr>
        <w:t xml:space="preserve">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p>
    <w:p>
      <w:pPr>
        <w:numPr>
          <w:ilvl w:val="0"/>
          <w:numId w:val="1000"/>
        </w:numPr>
      </w:pPr>
      <w:r>
        <w:t xml:space="preserve">Diane specifically instructed that Marcus’s bonus</w:t>
      </w:r>
      <w:r>
        <w:t xml:space="preserve"> </w:t>
      </w:r>
      <w:r>
        <w:t xml:space="preserve">“</w:t>
      </w:r>
      <w:r>
        <w:t xml:space="preserve">is significant and recurring and wants to ensure it is treated as income for all purposes in the agreement</w:t>
      </w:r>
      <w:r>
        <w:t xml:space="preserve">”</w:t>
      </w:r>
      <w:r>
        <w:t xml:space="preserve"> </w:t>
      </w:r>
      <w:r>
        <w:t xml:space="preserve">(Intake Memo, Part III.A). The Redline’s Earned Income definition</w:t>
      </w:r>
      <w:r>
        <w:t xml:space="preserve"> </w:t>
      </w:r>
      <w:r>
        <w:rPr>
          <w:b/>
          <w:bCs/>
        </w:rPr>
        <w:t xml:space="preserve">excludes</w:t>
      </w:r>
      <w:r>
        <w:t xml:space="preserve"> </w:t>
      </w:r>
      <w:r>
        <w:t xml:space="preserve">that $90,000 average bonus from the maintenance calculation base — the opposite of Diane’s instruction. The exclusion also affects the income picture more broadly: Marcus’s Earned Income would be only $215,000 (base salary), and Diane’s ~$145,000 in annual practice distributions (per the Strand report) may or may not be captured depending on whether they are characterized as</w:t>
      </w:r>
      <w:r>
        <w:t xml:space="preserve"> </w:t>
      </w:r>
      <w:r>
        <w:t xml:space="preserve">“</w:t>
      </w:r>
      <w:r>
        <w:t xml:space="preserve">regular draws or guaranteed payments</w:t>
      </w:r>
      <w:r>
        <w:t xml:space="preserve">”</w:t>
      </w:r>
      <w:r>
        <w:t xml:space="preserve"> </w:t>
      </w:r>
      <w:r>
        <w:t xml:space="preserve">(included) or</w:t>
      </w:r>
      <w:r>
        <w:t xml:space="preserve"> </w:t>
      </w:r>
      <w:r>
        <w:t xml:space="preserve">“</w:t>
      </w:r>
      <w:r>
        <w:t xml:space="preserve">distributions</w:t>
      </w:r>
      <w:r>
        <w:t xml:space="preserve">”</w:t>
      </w:r>
      <w:r>
        <w:t xml:space="preserve"> </w:t>
      </w:r>
      <w:r>
        <w:t xml:space="preserve">(arguably excluded). The narrower definition distorts the maintenance calculation in either direction depending on future facts.</w:t>
      </w:r>
    </w:p>
    <w:p>
      <w:pPr>
        <w:pStyle w:val="FirstParagraph"/>
      </w:pPr>
      <w:r>
        <w:rPr>
          <w:b/>
          <w:bCs/>
        </w:rPr>
        <w:t xml:space="preserve">Recommendation.</w:t>
      </w:r>
      <w:r>
        <w:t xml:space="preserve"> </w:t>
      </w:r>
      <w:r>
        <w:t xml:space="preserve">(i) Accept the three-year duration cap as favorable, subject to client confirmation. (ii) Do not accept the $200,000 waiver as drafted; if a waiver is to be included, key it to imputed/earning-capacity income with anti-manipulation protections, or reject it and rely on the statutory 40% cap (which already limits Marcus’s recovery to a nominal amount). (iii)</w:t>
      </w:r>
      <w:r>
        <w:t xml:space="preserve"> </w:t>
      </w:r>
      <w:r>
        <w:rPr>
          <w:b/>
          <w:bCs/>
        </w:rPr>
        <w:t xml:space="preserve">Reject the Earned Income definition for maintenance</w:t>
      </w:r>
      <w:r>
        <w:t xml:space="preserve"> </w:t>
      </w:r>
      <w:r>
        <w:t xml:space="preserve">and restore Gross Income (or, at minimum, a definition that expressly includes bonuses, equity compensation, and practice distributions), consistent with Diane’s express instruction that the bonus be treated as income for all purposes.</w:t>
      </w:r>
    </w:p>
    <w:bookmarkEnd w:id="27"/>
    <w:bookmarkStart w:id="28" w:name="X6b3989de2a81e575d9ce125c7991af53e863ee2"/>
    <w:p>
      <w:pPr>
        <w:pStyle w:val="Heading3"/>
      </w:pPr>
      <w:r>
        <w:t xml:space="preserve">E. Husband’s Restricted Stock Units (Original Article 7; Redline Article VII) —</w:t>
      </w:r>
      <w:r>
        <w:t xml:space="preserve"> </w:t>
      </w:r>
      <w:r>
        <w:rPr>
          <w:b/>
          <w:bCs/>
        </w:rPr>
        <w:t xml:space="preserve">NEGOTIATE</w:t>
      </w:r>
    </w:p>
    <w:p>
      <w:pPr>
        <w:pStyle w:val="FirstParagraph"/>
      </w:pPr>
      <w:r>
        <w:rPr>
          <w:b/>
          <w:bCs/>
        </w:rPr>
        <w:t xml:space="preserve">The change.</w:t>
      </w:r>
      <w:r>
        <w:t xml:space="preserve"> </w:t>
      </w:r>
      <w:r>
        <w:t xml:space="preserve">The Original Draft classified all 12,000 unvested RSUs as entirely marital (grant date January 1, 2024, and the full vesting period through 2027 fall within the marriage) and divided them 50/50, with mechanisms for pre-vesting dissolution (constructive trust or cash equivalent). The Redline (§7.1; MC-07) replaces the flat 50/50 with a</w:t>
      </w:r>
      <w:r>
        <w:t xml:space="preserve"> </w:t>
      </w:r>
      <w:r>
        <w:rPr>
          <w:b/>
          <w:bCs/>
        </w:rPr>
        <w:t xml:space="preserve">coverture fraction</w:t>
      </w:r>
      <w:r>
        <w:t xml:space="preserve">: the numerator is the months of marriage during the</w:t>
      </w:r>
      <w:r>
        <w:t xml:space="preserve"> </w:t>
      </w:r>
      <w:r>
        <w:t xml:space="preserve">“</w:t>
      </w:r>
      <w:r>
        <w:t xml:space="preserve">Relevant Service Period</w:t>
      </w:r>
      <w:r>
        <w:t xml:space="preserve">”</w:t>
      </w:r>
      <w:r>
        <w:t xml:space="preserve"> </w:t>
      </w:r>
      <w:r>
        <w:t xml:space="preserve">through dissolution (or vesting, whichever is earlier), and the denominator is the total months in the Relevant Service Period; Diane receives 50% of the resulting fraction. Critically, the Redline defines the</w:t>
      </w:r>
      <w:r>
        <w:t xml:space="preserve"> </w:t>
      </w:r>
      <w:r>
        <w:t xml:space="preserve">“</w:t>
      </w:r>
      <w:r>
        <w:t xml:space="preserve">Relevant Service Period</w:t>
      </w:r>
      <w:r>
        <w:t xml:space="preserve">”</w:t>
      </w:r>
      <w:r>
        <w:t xml:space="preserve"> </w:t>
      </w:r>
      <w:r>
        <w:t xml:space="preserve">as beginning on Marcus’s</w:t>
      </w:r>
      <w:r>
        <w:t xml:space="preserve"> </w:t>
      </w:r>
      <w:r>
        <w:rPr>
          <w:b/>
          <w:bCs/>
        </w:rPr>
        <w:t xml:space="preserve">date of hire</w:t>
      </w:r>
      <w:r>
        <w:t xml:space="preserve"> </w:t>
      </w:r>
      <w:r>
        <w:t xml:space="preserve">(March 15, 2018) — not the grant date (January 1, 2024).</w:t>
      </w:r>
    </w:p>
    <w:p>
      <w:pPr>
        <w:pStyle w:val="BodyText"/>
      </w:pPr>
      <w:r>
        <w:rPr>
          <w:b/>
          <w:bCs/>
        </w:rPr>
        <w:t xml:space="preserve">Effect.</w:t>
      </w:r>
      <w:r>
        <w:t xml:space="preserve"> </w:t>
      </w:r>
      <w:r>
        <w:t xml:space="preserve">Because the marriage (June 14, 2013) predates the hire date (March 15, 2018), the entire Relevant Service Period falls within the marriage, so the coverture fraction equals (months from hire to dissolution-or-vesting) ÷ (months from hire to vesting). If dissolution occurs</w:t>
      </w:r>
      <w:r>
        <w:t xml:space="preserve"> </w:t>
      </w:r>
      <w:r>
        <w:rPr>
          <w:b/>
          <w:bCs/>
        </w:rPr>
        <w:t xml:space="preserve">after</w:t>
      </w:r>
      <w:r>
        <w:t xml:space="preserve"> </w:t>
      </w:r>
      <w:r>
        <w:t xml:space="preserve">full vesting, the fraction is 1.0 and Diane receives 50% — the same as the Original Draft. If dissolution occurs</w:t>
      </w:r>
      <w:r>
        <w:t xml:space="preserve"> </w:t>
      </w:r>
      <w:r>
        <w:rPr>
          <w:b/>
          <w:bCs/>
        </w:rPr>
        <w:t xml:space="preserve">before</w:t>
      </w:r>
      <w:r>
        <w:t xml:space="preserve"> </w:t>
      </w:r>
      <w:r>
        <w:t xml:space="preserve">a tranche vests, the fraction is less than 1.0 and Diane receives less than 50% of that tranche. The reduction is modest for near-vesting dissolutions and larger for early dissolutions of the 2026 and 2027 tranches. For example, a dissolution in early 2026 would reduce Diane’s share of the 2027 tranche (4,000 shares) from 50% (2,000 shares) to roughly 44% (~1,770 shares) — a difference of about 230 shares (~$8,700 at $38/share).</w:t>
      </w:r>
    </w:p>
    <w:p>
      <w:pPr>
        <w:pStyle w:val="BodyText"/>
      </w:pPr>
      <w:r>
        <w:rPr>
          <w:b/>
          <w:bCs/>
        </w:rPr>
        <w:t xml:space="preserve">Nuance.</w:t>
      </w:r>
      <w:r>
        <w:t xml:space="preserve"> </w:t>
      </w:r>
      <w:r>
        <w:t xml:space="preserve">Using the hire date (2018) rather than the grant date (2024) as the start of the service period is, ironically, relatively favorable to Diane compared to a grant-date coverture (a grant-date fraction for an early dissolution would be materially lower). The Original Draft’s flat 50/50 is, however, defensible and simpler: the entire grant and vesting period is within the marriage, so the RSUs are wholly marital. The coverture is a recognized methodology but produces a modest reduction in early-dissolution scenarios.</w:t>
      </w:r>
    </w:p>
    <w:p>
      <w:pPr>
        <w:pStyle w:val="BodyText"/>
      </w:pPr>
      <w:r>
        <w:rPr>
          <w:b/>
          <w:bCs/>
        </w:rPr>
        <w:t xml:space="preserve">Recommendation.</w:t>
      </w:r>
      <w:r>
        <w:t xml:space="preserve"> </w:t>
      </w:r>
      <w:r>
        <w:t xml:space="preserve">Negotiate. Our preferred position is to retain the Original Draft’s flat 50/50 (the entire grant-and-vesting period is marital). If Mr. Baxter insists on a coverture fraction, we can accept it</w:t>
      </w:r>
      <w:r>
        <w:t xml:space="preserve"> </w:t>
      </w:r>
      <w:r>
        <w:rPr>
          <w:b/>
          <w:bCs/>
        </w:rPr>
        <w:t xml:space="preserve">only if</w:t>
      </w:r>
      <w:r>
        <w:t xml:space="preserve"> </w:t>
      </w:r>
      <w:r>
        <w:t xml:space="preserve">(i) the Relevant Service Period is anchored to the grant date (January 1, 2024) consistent with the RSUs’ compensatory period, or (ii) we are otherwise satisfied that dissolution-after-vesting is the realistic scenario. We should also retain the Original Draft’s pre-vesting dissolution mechanisms (constructive trust / cash equivalent) and Marcus’s obligation to notify Diane of each vesting event (which the Redline usefully adds at 10 business days — accept that notice obligation).</w:t>
      </w:r>
    </w:p>
    <w:bookmarkEnd w:id="28"/>
    <w:bookmarkStart w:id="29" w:name="X7b095f4619774d69937cd06139f0b43a86959d3"/>
    <w:p>
      <w:pPr>
        <w:pStyle w:val="Heading3"/>
      </w:pPr>
      <w:r>
        <w:t xml:space="preserve">F. Wife’s Practice Interest — Active/Passive Appreciation (Original Article 6; Redline Article VI) —</w:t>
      </w:r>
      <w:r>
        <w:t xml:space="preserve"> </w:t>
      </w:r>
      <w:r>
        <w:rPr>
          <w:b/>
          <w:bCs/>
        </w:rPr>
        <w:t xml:space="preserve">ACCEPT (with conditions)</w:t>
      </w:r>
    </w:p>
    <w:p>
      <w:pPr>
        <w:pStyle w:val="FirstParagraph"/>
      </w:pPr>
      <w:r>
        <w:rPr>
          <w:b/>
          <w:bCs/>
        </w:rPr>
        <w:t xml:space="preserve">The change.</w:t>
      </w:r>
      <w:r>
        <w:t xml:space="preserve"> </w:t>
      </w:r>
      <w:r>
        <w:t xml:space="preserve">The Original Draft (§6.1(b)) classified</w:t>
      </w:r>
      <w:r>
        <w:t xml:space="preserve"> </w:t>
      </w:r>
      <w:r>
        <w:rPr>
          <w:b/>
          <w:bCs/>
        </w:rPr>
        <w:t xml:space="preserve">all</w:t>
      </w:r>
      <w:r>
        <w:t xml:space="preserve"> </w:t>
      </w:r>
      <w:r>
        <w:t xml:space="preserve">appreciation in the Practice Interest above the $1,650,000 baseline as marital, divided 50/50,</w:t>
      </w:r>
      <w:r>
        <w:t xml:space="preserve"> </w:t>
      </w:r>
      <w:r>
        <w:t xml:space="preserve">“</w:t>
      </w:r>
      <w:r>
        <w:t xml:space="preserve">regardless of the source or cause of such appreciation.</w:t>
      </w:r>
      <w:r>
        <w:t xml:space="preserve">”</w:t>
      </w:r>
      <w:r>
        <w:t xml:space="preserve"> </w:t>
      </w:r>
      <w:r>
        <w:t xml:space="preserve">The Redline (§6.1; MC-06) limits the marital component to appreciation</w:t>
      </w:r>
      <w:r>
        <w:t xml:space="preserve"> </w:t>
      </w:r>
      <w:r>
        <w:t xml:space="preserve">“</w:t>
      </w:r>
      <w:r>
        <w:t xml:space="preserve">directly attributable to the active personal efforts of Wife during the marriage,</w:t>
      </w:r>
      <w:r>
        <w:t xml:space="preserve">”</w:t>
      </w:r>
      <w:r>
        <w:t xml:space="preserve"> </w:t>
      </w:r>
      <w:r>
        <w:t xml:space="preserve">with appreciation from market forces, reimbursement-rate changes, regulatory changes, and passive investment returns remaining Diane’s separate property.</w:t>
      </w:r>
    </w:p>
    <w:p>
      <w:pPr>
        <w:pStyle w:val="BodyText"/>
      </w:pPr>
      <w:r>
        <w:rPr>
          <w:b/>
          <w:bCs/>
        </w:rPr>
        <w:t xml:space="preserve">Who benefits.</w:t>
      </w:r>
      <w:r>
        <w:t xml:space="preserve"> </w:t>
      </w:r>
      <w:r>
        <w:t xml:space="preserve">This change</w:t>
      </w:r>
      <w:r>
        <w:t xml:space="preserve"> </w:t>
      </w:r>
      <w:r>
        <w:rPr>
          <w:b/>
          <w:bCs/>
        </w:rPr>
        <w:t xml:space="preserve">favors Diane</w:t>
      </w:r>
      <w:r>
        <w:t xml:space="preserve"> </w:t>
      </w:r>
      <w:r>
        <w:t xml:space="preserve">and is legally sound. Under 750 ILCS 5/503(a)(3), the increase in value of non-marital property is non-marital unless attributable to the personal efforts of a spouse. The Original Draft’s</w:t>
      </w:r>
      <w:r>
        <w:t xml:space="preserve"> </w:t>
      </w:r>
      <w:r>
        <w:t xml:space="preserve">“</w:t>
      </w:r>
      <w:r>
        <w:t xml:space="preserve">all appreciation is marital</w:t>
      </w:r>
      <w:r>
        <w:t xml:space="preserve">”</w:t>
      </w:r>
      <w:r>
        <w:t xml:space="preserve"> </w:t>
      </w:r>
      <w:r>
        <w:t xml:space="preserve">formulation was, frankly, overbroad and vulnerable to challenge; the Redline’s active/passive distinction aligns with the statute. Critically, the Strand Valuation Services report (Section 9) independently supports a largely passive characterization: Strand attributed approximately</w:t>
      </w:r>
      <w:r>
        <w:t xml:space="preserve"> </w:t>
      </w:r>
      <w:r>
        <w:rPr>
          <w:b/>
          <w:bCs/>
        </w:rPr>
        <w:t xml:space="preserve">60% of the Practice’s revenue growth to passive, market-driven factors</w:t>
      </w:r>
      <w:r>
        <w:t xml:space="preserve"> </w:t>
      </w:r>
      <w:r>
        <w:t xml:space="preserve">(insurance reimbursement-rate increases ~35%; demographic expansion ~25%) and only ~40% to active factors (physician recruitment ~25%; operational improvements ~15%). On a $500,000 hypothetical appreciation, the Original Draft would give Marcus $250,000; the Redline would give him roughly $100,000 (50% of the ~40% active component) — a ~$150,000 benefit to Diane, contingent on future appreciation.</w:t>
      </w:r>
    </w:p>
    <w:p>
      <w:pPr>
        <w:pStyle w:val="BodyText"/>
      </w:pPr>
      <w:r>
        <w:rPr>
          <w:b/>
          <w:bCs/>
        </w:rPr>
        <w:t xml:space="preserve">Conditions.</w:t>
      </w:r>
      <w:r>
        <w:t xml:space="preserve"> </w:t>
      </w:r>
      <w:r>
        <w:t xml:space="preserve">Two cautions. First, the active/passive determination requires a</w:t>
      </w:r>
      <w:r>
        <w:t xml:space="preserve"> </w:t>
      </w:r>
      <w:r>
        <w:t xml:space="preserve">“</w:t>
      </w:r>
      <w:r>
        <w:t xml:space="preserve">qualified forensic valuation expert,</w:t>
      </w:r>
      <w:r>
        <w:t xml:space="preserve">”</w:t>
      </w:r>
      <w:r>
        <w:t xml:space="preserve"> </w:t>
      </w:r>
      <w:r>
        <w:t xml:space="preserve">which adds cost and potential contention at dissolution. We should ensure the methodology is tied to the Strand report’s framework (the Redline’s §6.2 does reference the Strand methodology — acceptable) and that costs are shared equally. Second, the Redline (§6.1) usefully adds that nothing requires Diane to violate the Operating Agreement or to compel transfer of the Practice Interest to Marcus — accept this. The Redline also</w:t>
      </w:r>
      <w:r>
        <w:t xml:space="preserve"> </w:t>
      </w:r>
      <w:r>
        <w:rPr>
          <w:b/>
          <w:bCs/>
        </w:rPr>
        <w:t xml:space="preserve">deletes</w:t>
      </w:r>
      <w:r>
        <w:t xml:space="preserve"> </w:t>
      </w:r>
      <w:r>
        <w:t xml:space="preserve">the Original Draft’s §6.3, which had required Diane to obtain Marcus’s consent before transferring the Practice Interest if it would impair the marital estate. That deletion</w:t>
      </w:r>
      <w:r>
        <w:t xml:space="preserve"> </w:t>
      </w:r>
      <w:r>
        <w:rPr>
          <w:b/>
          <w:bCs/>
        </w:rPr>
        <w:t xml:space="preserve">favors Diane</w:t>
      </w:r>
      <w:r>
        <w:t xml:space="preserve"> </w:t>
      </w:r>
      <w:r>
        <w:t xml:space="preserve">(it removes Marcus’s veto over her practice) and is acceptable; the Operating Agreement’s own transfer restrictions (two-thirds member consent; right of first refusal) already protect the interest.</w:t>
      </w:r>
    </w:p>
    <w:p>
      <w:pPr>
        <w:pStyle w:val="BodyText"/>
      </w:pPr>
      <w:r>
        <w:rPr>
          <w:b/>
          <w:bCs/>
        </w:rPr>
        <w:t xml:space="preserve">Recommendation.</w:t>
      </w:r>
      <w:r>
        <w:t xml:space="preserve"> </w:t>
      </w:r>
      <w:r>
        <w:t xml:space="preserve">Accept the active/passive reformulation as favorable to Diane and legally sound, leveraging the Strand report’s 60%/40% attribution. Accept the deletion of the transfer-consent restriction. Ensure the valuation methodology is anchored to the Strand framework and that costs are shared. This is one of the few Redline changes we should welcome — and we should be prepared to credit it as a concession when we hold firm on the premarital-savings and disclosure issues.</w:t>
      </w:r>
    </w:p>
    <w:bookmarkEnd w:id="29"/>
    <w:bookmarkStart w:id="30" w:name="Xf8aa27b6c0a0bbcd50823c4236ff481c84793ba"/>
    <w:p>
      <w:pPr>
        <w:pStyle w:val="Heading3"/>
      </w:pPr>
      <w:r>
        <w:t xml:space="preserve">G. Debt Allocation and the Identified Debt (Original Article 11; Redline Article XI) —</w:t>
      </w:r>
      <w:r>
        <w:t xml:space="preserve"> </w:t>
      </w:r>
      <w:r>
        <w:rPr>
          <w:b/>
          <w:bCs/>
        </w:rPr>
        <w:t xml:space="preserve">NEGOTIATE</w:t>
      </w:r>
    </w:p>
    <w:p>
      <w:pPr>
        <w:numPr>
          <w:ilvl w:val="0"/>
          <w:numId w:val="1004"/>
        </w:numPr>
      </w:pPr>
      <w:r>
        <w:rPr>
          <w:b/>
          <w:bCs/>
        </w:rPr>
        <w:t xml:space="preserve">General debt principle (§11.1).</w:t>
      </w:r>
      <w:r>
        <w:t xml:space="preserve"> </w:t>
      </w:r>
      <w:r>
        <w:t xml:space="preserve">The Redline provides that each party is solely responsible for debts incurred in their own name, with joint debts divided equitably. This is reasonable in principle and generally protective.</w:t>
      </w:r>
      <w:r>
        <w:t xml:space="preserve"> </w:t>
      </w:r>
      <w:r>
        <w:rPr>
          <w:b/>
          <w:bCs/>
        </w:rPr>
        <w:t xml:space="preserve">Accept</w:t>
      </w:r>
      <w:r>
        <w:t xml:space="preserve">, subject to restoring the ongoing debt-disclosure/consent oversight (see Part IV.B(3)).</w:t>
      </w:r>
    </w:p>
    <w:p>
      <w:pPr>
        <w:numPr>
          <w:ilvl w:val="0"/>
          <w:numId w:val="1004"/>
        </w:numPr>
      </w:pPr>
      <w:r>
        <w:rPr>
          <w:b/>
          <w:bCs/>
        </w:rPr>
        <w:t xml:space="preserve">Identified Debt indemnification — de minimis threshold (§11.2; MC-10).</w:t>
      </w:r>
      <w:r>
        <w:t xml:space="preserve"> </w:t>
      </w:r>
      <w:r>
        <w:t xml:space="preserve">The Original Draft made Marcus solely responsible for the $68,000 Identified Debt with</w:t>
      </w:r>
      <w:r>
        <w:t xml:space="preserve"> </w:t>
      </w:r>
      <w:r>
        <w:rPr>
          <w:b/>
          <w:bCs/>
        </w:rPr>
        <w:t xml:space="preserve">full indemnification, without limitation as to amount or nature of individual claims</w:t>
      </w:r>
      <w:r>
        <w:t xml:space="preserve">. The Redline limits Marcus’s indemnification to claims that are</w:t>
      </w:r>
      <w:r>
        <w:t xml:space="preserve"> </w:t>
      </w:r>
      <w:r>
        <w:t xml:space="preserve">“</w:t>
      </w:r>
      <w:r>
        <w:t xml:space="preserve">material and exceed $5,000 individually,</w:t>
      </w:r>
      <w:r>
        <w:t xml:space="preserve">”</w:t>
      </w:r>
      <w:r>
        <w:t xml:space="preserve"> </w:t>
      </w:r>
      <w:r>
        <w:t xml:space="preserve">excluding claims under $5,000. Diane instructed that the debt be assigned to Marcus</w:t>
      </w:r>
      <w:r>
        <w:t xml:space="preserve"> </w:t>
      </w:r>
      <w:r>
        <w:t xml:space="preserve">“</w:t>
      </w:r>
      <w:r>
        <w:t xml:space="preserve">with complete indemnification, with no loopholes or materiality thresholds</w:t>
      </w:r>
      <w:r>
        <w:t xml:space="preserve">”</w:t>
      </w:r>
      <w:r>
        <w:t xml:space="preserve"> </w:t>
      </w:r>
      <w:r>
        <w:t xml:space="preserve">(Intake Memo, Part III.I). The $5,000 de minimis is precisely the kind of loophole Diane opposed.</w:t>
      </w:r>
      <w:r>
        <w:t xml:space="preserve"> </w:t>
      </w:r>
      <w:r>
        <w:rPr>
          <w:b/>
          <w:bCs/>
        </w:rPr>
        <w:t xml:space="preserve">Reject the de minimis threshold; restore full indemnification without a per-claim floor.</w:t>
      </w:r>
    </w:p>
    <w:p>
      <w:pPr>
        <w:numPr>
          <w:ilvl w:val="0"/>
          <w:numId w:val="1004"/>
        </w:numPr>
      </w:pPr>
      <w:r>
        <w:rPr>
          <w:b/>
          <w:bCs/>
        </w:rPr>
        <w:t xml:space="preserve">Useful monitoring provisions — accept.</w:t>
      </w:r>
      <w:r>
        <w:t xml:space="preserve"> </w:t>
      </w:r>
      <w:r>
        <w:t xml:space="preserve">The Redline adds a 24-month payoff timeline for the Identified Debt and quarterly written statements of the outstanding balance until satisfied. These are helpful monitoring mechanisms given Marcus’s concealment history.</w:t>
      </w:r>
      <w:r>
        <w:t xml:space="preserve"> </w:t>
      </w:r>
      <w:r>
        <w:rPr>
          <w:b/>
          <w:bCs/>
        </w:rPr>
        <w:t xml:space="preserve">Accept</w:t>
      </w:r>
      <w:r>
        <w:t xml:space="preserve"> </w:t>
      </w:r>
      <w:r>
        <w:t xml:space="preserve">these, and consider strengthening them (e.g., requiring payoff within 18 months, given the 22.99% APR noted in the disclosure, and requiring Diane’s counsel to receive copies of the quarterly statements).</w:t>
      </w:r>
    </w:p>
    <w:p>
      <w:pPr>
        <w:numPr>
          <w:ilvl w:val="0"/>
          <w:numId w:val="1004"/>
        </w:numPr>
      </w:pPr>
      <w:r>
        <w:rPr>
          <w:b/>
          <w:bCs/>
        </w:rPr>
        <w:t xml:space="preserve">Loss of ongoing debt oversight.</w:t>
      </w:r>
      <w:r>
        <w:t xml:space="preserve"> </w:t>
      </w:r>
      <w:r>
        <w:t xml:space="preserve">As noted in Part IV.B(3), the Redline eliminates the Original Draft’s requirement that individual debt over $10,000 require spousal consent and that new debt over $5,000 be disclosed within 15 days. Given Marcus’s history, these oversight mechanisms should be</w:t>
      </w:r>
      <w:r>
        <w:t xml:space="preserve"> </w:t>
      </w:r>
      <w:r>
        <w:rPr>
          <w:b/>
          <w:bCs/>
        </w:rPr>
        <w:t xml:space="preserve">restored</w:t>
      </w:r>
      <w:r>
        <w:t xml:space="preserve">.</w:t>
      </w:r>
    </w:p>
    <w:p>
      <w:pPr>
        <w:pStyle w:val="FirstParagraph"/>
      </w:pPr>
      <w:r>
        <w:rPr>
          <w:b/>
          <w:bCs/>
        </w:rPr>
        <w:t xml:space="preserve">Recommendation.</w:t>
      </w:r>
      <w:r>
        <w:t xml:space="preserve"> </w:t>
      </w:r>
      <w:r>
        <w:t xml:space="preserve">Accept the general debt principle and the monitoring/quarterly-statement provisions; reject the $5,000 de minimis and restore full indemnification; restore the ongoing debt-consent and disclosure thresholds.</w:t>
      </w:r>
    </w:p>
    <w:bookmarkEnd w:id="30"/>
    <w:bookmarkStart w:id="31" w:name="X7010d377a1dc2b255f9ed44f59e0e5a354f9d92"/>
    <w:p>
      <w:pPr>
        <w:pStyle w:val="Heading3"/>
      </w:pPr>
      <w:r>
        <w:t xml:space="preserve">H. Marital Residence (Original Article 9; Redline Article IX) —</w:t>
      </w:r>
      <w:r>
        <w:t xml:space="preserve"> </w:t>
      </w:r>
      <w:r>
        <w:rPr>
          <w:b/>
          <w:bCs/>
        </w:rPr>
        <w:t xml:space="preserve">NEGOTIATE</w:t>
      </w:r>
    </w:p>
    <w:p>
      <w:pPr>
        <w:pStyle w:val="FirstParagraph"/>
      </w:pPr>
      <w:r>
        <w:rPr>
          <w:b/>
          <w:bCs/>
        </w:rPr>
        <w:t xml:space="preserve">The changes.</w:t>
      </w:r>
      <w:r>
        <w:t xml:space="preserve"> </w:t>
      </w:r>
      <w:r>
        <w:t xml:space="preserve">The Redline preserves Diane’s first right of purchase but (i) shortens her exercise window from 60 days to 30 days after receipt of the appraisal; (ii) shortens the payment period from 24 months to 18 months; (iii) requires the buyout payment to be</w:t>
      </w:r>
      <w:r>
        <w:t xml:space="preserve"> </w:t>
      </w:r>
      <w:r>
        <w:t xml:space="preserve">“</w:t>
      </w:r>
      <w:r>
        <w:t xml:space="preserve">secured by a lien on the property</w:t>
      </w:r>
      <w:r>
        <w:t xml:space="preserve">”</w:t>
      </w:r>
      <w:r>
        <w:t xml:space="preserve">; (iv) compounds interest monthly at the AFR; and (v) adds a</w:t>
      </w:r>
      <w:r>
        <w:t xml:space="preserve"> </w:t>
      </w:r>
      <w:r>
        <w:rPr>
          <w:b/>
          <w:bCs/>
        </w:rPr>
        <w:t xml:space="preserve">reciprocal</w:t>
      </w:r>
      <w:r>
        <w:t xml:space="preserve"> </w:t>
      </w:r>
      <w:r>
        <w:t xml:space="preserve">right of purchase for Marcus on the same terms if Diane does not exercise. The Original Draft gave Diane 60 days to exercise and 24 months to pay, with no lien and no reciprocal right for Marcus.</w:t>
      </w:r>
    </w:p>
    <w:p>
      <w:pPr>
        <w:pStyle w:val="BodyText"/>
      </w:pPr>
      <w:r>
        <w:rPr>
          <w:b/>
          <w:bCs/>
        </w:rPr>
        <w:t xml:space="preserve">Effect.</w:t>
      </w:r>
      <w:r>
        <w:t xml:space="preserve"> </w:t>
      </w:r>
      <w:r>
        <w:t xml:space="preserve">The shorter exercise window (30 days) and payment period (18 months) tighten Diane’s timeline and could make a buyout harder to finance, particularly if she must refinance the mortgage simultaneously. The lien secures Marcus’s payment but encumbers the property and may complicate Diane’s refinancing. The reciprocal purchase right for Marcus is new: if Diane declines (or cannot meet the 30-day window), Marcus could buy out her equity and take the home — which cuts against Diane’s objective that the children remain in the home and school district (Intake Memo, Objective 3). The monthly compounding of interest modestly increases the buyout cost versus the Original Draft’s simple AFR.</w:t>
      </w:r>
    </w:p>
    <w:p>
      <w:pPr>
        <w:pStyle w:val="BodyText"/>
      </w:pPr>
      <w:r>
        <w:rPr>
          <w:b/>
          <w:bCs/>
        </w:rPr>
        <w:t xml:space="preserve">Recommendation.</w:t>
      </w:r>
      <w:r>
        <w:t xml:space="preserve"> </w:t>
      </w:r>
      <w:r>
        <w:t xml:space="preserve">Negotiate. Restore the 60-day exercise window and the 24-month payment period to give Diane realistic time to arrange financing (consistent with her objective of remaining in the home for the children’s stability). Scrutinize the lien — consider whether a recorded mortgage or a less restrictive security arrangement would protect Marcus without impeding Diane’s refinancing. The reciprocal right for Marcus is acceptable in principle (it is symmetrical), but we should ensure the children’s-stability interest is protected; one option is to give Diane a secondary right to match any third-party or Marcus purchase, or to require that any sale to a non-Diane purchaser preserve the children’s occupancy through the school year.</w:t>
      </w:r>
    </w:p>
    <w:bookmarkEnd w:id="31"/>
    <w:bookmarkStart w:id="32" w:name="X1a69a10c68decd4dcdfbdcf76e32507b310dc28"/>
    <w:p>
      <w:pPr>
        <w:pStyle w:val="Heading3"/>
      </w:pPr>
      <w:r>
        <w:t xml:space="preserve">I. Attorney’s Fees (Original §13.2; Redline §13.2; MC-11) —</w:t>
      </w:r>
      <w:r>
        <w:t xml:space="preserve"> </w:t>
      </w:r>
      <w:r>
        <w:rPr>
          <w:b/>
          <w:bCs/>
        </w:rPr>
        <w:t xml:space="preserve">REJECT</w:t>
      </w:r>
    </w:p>
    <w:p>
      <w:pPr>
        <w:pStyle w:val="FirstParagraph"/>
      </w:pPr>
      <w:r>
        <w:rPr>
          <w:b/>
          <w:bCs/>
        </w:rPr>
        <w:t xml:space="preserve">The change.</w:t>
      </w:r>
      <w:r>
        <w:t xml:space="preserve"> </w:t>
      </w:r>
      <w:r>
        <w:t xml:space="preserve">The Original Draft provided that the prevailing party in any enforcement or interpretation action recovers reasonable attorney’s fees and costs. The Redline replaces this with a</w:t>
      </w:r>
      <w:r>
        <w:t xml:space="preserve"> </w:t>
      </w:r>
      <w:r>
        <w:rPr>
          <w:b/>
          <w:bCs/>
        </w:rPr>
        <w:t xml:space="preserve">mutual waiver</w:t>
      </w:r>
      <w:r>
        <w:t xml:space="preserve">: each party bears its own fees</w:t>
      </w:r>
      <w:r>
        <w:t xml:space="preserve"> </w:t>
      </w:r>
      <w:r>
        <w:t xml:space="preserve">“</w:t>
      </w:r>
      <w:r>
        <w:t xml:space="preserve">regardless of outcome.</w:t>
      </w:r>
      <w:r>
        <w:t xml:space="preserve">”</w:t>
      </w:r>
      <w:r>
        <w:t xml:space="preserve"> </w:t>
      </w:r>
      <w:r>
        <w:t xml:space="preserve">Mr. Baxter’s comment (MC-11) frames this as promoting</w:t>
      </w:r>
      <w:r>
        <w:t xml:space="preserve"> </w:t>
      </w:r>
      <w:r>
        <w:t xml:space="preserve">“</w:t>
      </w:r>
      <w:r>
        <w:t xml:space="preserve">amicable resolution</w:t>
      </w:r>
      <w:r>
        <w:t xml:space="preserve">”</w:t>
      </w:r>
      <w:r>
        <w:t xml:space="preserve"> </w:t>
      </w:r>
      <w:r>
        <w:t xml:space="preserve">and a</w:t>
      </w:r>
      <w:r>
        <w:t xml:space="preserve"> </w:t>
      </w:r>
      <w:r>
        <w:t xml:space="preserve">“</w:t>
      </w:r>
      <w:r>
        <w:t xml:space="preserve">balanced provision.</w:t>
      </w:r>
      <w:r>
        <w:t xml:space="preserve">”</w:t>
      </w:r>
    </w:p>
    <w:p>
      <w:pPr>
        <w:pStyle w:val="BodyText"/>
      </w:pPr>
      <w:r>
        <w:rPr>
          <w:b/>
          <w:bCs/>
        </w:rPr>
        <w:t xml:space="preserve">Effect.</w:t>
      </w:r>
      <w:r>
        <w:t xml:space="preserve"> </w:t>
      </w:r>
      <w:r>
        <w:t xml:space="preserve">A prevailing-party provision deters frivolous challenges and, more importantly,</w:t>
      </w:r>
      <w:r>
        <w:t xml:space="preserve"> </w:t>
      </w:r>
      <w:r>
        <w:rPr>
          <w:b/>
          <w:bCs/>
        </w:rPr>
        <w:t xml:space="preserve">aids enforcement by the party with the stronger claim</w:t>
      </w:r>
      <w:r>
        <w:t xml:space="preserve">. Diane specifically requested a prevailing-party provision</w:t>
      </w:r>
      <w:r>
        <w:t xml:space="preserve"> </w:t>
      </w:r>
      <w:r>
        <w:t xml:space="preserve">“</w:t>
      </w:r>
      <w:r>
        <w:t xml:space="preserve">to deter frivolous challenges</w:t>
      </w:r>
      <w:r>
        <w:t xml:space="preserve">”</w:t>
      </w:r>
      <w:r>
        <w:t xml:space="preserve"> </w:t>
      </w:r>
      <w:r>
        <w:t xml:space="preserve">(Intake Memo, Objective 5(d)). A mutual waiver is not balanced in practice: it favors the party more likely to be in breach and against whom enforcement must be sought. Given Marcus’s documented financial non-disclosure and debt history, the more likely enforcement scenario is Diane enforcing against Marcus (e.g., on the Identified Debt indemnification, the reimbursement right, or disclosure obligations). A mutual waiver would force Diane to absorb the cost of enforcing her own rights.</w:t>
      </w:r>
      <w:r>
        <w:t xml:space="preserve"> </w:t>
      </w:r>
      <w:r>
        <w:rPr>
          <w:b/>
          <w:bCs/>
        </w:rPr>
        <w:t xml:space="preserve">Reject; restore the prevailing-party provision.</w:t>
      </w:r>
    </w:p>
    <w:bookmarkEnd w:id="32"/>
    <w:bookmarkStart w:id="33" w:name="Xe4da80ce3dfc2cf136f9b2dc5b790ba32ee0f41"/>
    <w:p>
      <w:pPr>
        <w:pStyle w:val="Heading3"/>
      </w:pPr>
      <w:r>
        <w:t xml:space="preserve">J. Modification and Amendment (Original Article 14; Redline Article XIV; MC-implicit) —</w:t>
      </w:r>
      <w:r>
        <w:t xml:space="preserve"> </w:t>
      </w:r>
      <w:r>
        <w:rPr>
          <w:b/>
          <w:bCs/>
        </w:rPr>
        <w:t xml:space="preserve">REJECT</w:t>
      </w:r>
    </w:p>
    <w:p>
      <w:pPr>
        <w:pStyle w:val="FirstParagraph"/>
      </w:pPr>
      <w:r>
        <w:rPr>
          <w:b/>
          <w:bCs/>
        </w:rPr>
        <w:t xml:space="preserve">The change.</w:t>
      </w:r>
      <w:r>
        <w:t xml:space="preserve"> </w:t>
      </w:r>
      <w:r>
        <w:t xml:space="preserve">The Original Draft permitted modification only by a written instrument signed by both parties (mutual written consent). The Redline (§14.2) adds a</w:t>
      </w:r>
      <w:r>
        <w:t xml:space="preserve"> </w:t>
      </w:r>
      <w:r>
        <w:rPr>
          <w:b/>
          <w:bCs/>
        </w:rPr>
        <w:t xml:space="preserve">unilateral modification mechanism</w:t>
      </w:r>
      <w:r>
        <w:t xml:space="preserve">: either party may propose a modification by written notice, and the modification</w:t>
      </w:r>
      <w:r>
        <w:t xml:space="preserve"> </w:t>
      </w:r>
      <w:r>
        <w:t xml:space="preserve">“</w:t>
      </w:r>
      <w:r>
        <w:t xml:space="preserve">shall become effective ninety (90) days after delivery … unless the other Party delivers a written objection within such ninety (90) day period.</w:t>
      </w:r>
      <w:r>
        <w:t xml:space="preserve">”</w:t>
      </w:r>
      <w:r>
        <w:t xml:space="preserve"> </w:t>
      </w:r>
      <w:r>
        <w:t xml:space="preserve">If a timely objection is delivered, the parties negotiate in good faith, but there is no requirement that any resulting change be mutually executed.</w:t>
      </w:r>
    </w:p>
    <w:p>
      <w:pPr>
        <w:pStyle w:val="BodyText"/>
      </w:pPr>
      <w:r>
        <w:rPr>
          <w:b/>
          <w:bCs/>
        </w:rPr>
        <w:t xml:space="preserve">Effect.</w:t>
      </w:r>
      <w:r>
        <w:t xml:space="preserve"> </w:t>
      </w:r>
      <w:r>
        <w:t xml:space="preserve">This is a dangerous provision. It reverses the burden of assent: a proposed change takes effect by default unless the recipient affirmatively objects within 90 days. This undermines the finality and stability that are the point of a postnuptial agreement and creates a trap for a spouse who fails to object in time (e.g., due to travel, illness, or oversight). It directly contradicts Diane’s instruction that modifications be made</w:t>
      </w:r>
      <w:r>
        <w:t xml:space="preserve"> </w:t>
      </w:r>
      <w:r>
        <w:t xml:space="preserve">“</w:t>
      </w:r>
      <w:r>
        <w:t xml:space="preserve">only by mutual written consent, to prevent one-sided changes</w:t>
      </w:r>
      <w:r>
        <w:t xml:space="preserve">”</w:t>
      </w:r>
      <w:r>
        <w:t xml:space="preserve"> </w:t>
      </w:r>
      <w:r>
        <w:t xml:space="preserve">(Intake Memo, Objective 5(f)).</w:t>
      </w:r>
      <w:r>
        <w:t xml:space="preserve"> </w:t>
      </w:r>
      <w:r>
        <w:rPr>
          <w:b/>
          <w:bCs/>
        </w:rPr>
        <w:t xml:space="preserve">Reject. Restore the mutual-written-consent requirement as the sole means of modification.</w:t>
      </w:r>
    </w:p>
    <w:bookmarkEnd w:id="33"/>
    <w:bookmarkStart w:id="34" w:name="X3efe94f35cecb52ffe7796bda219555ba28c516"/>
    <w:p>
      <w:pPr>
        <w:pStyle w:val="Heading3"/>
      </w:pPr>
      <w:r>
        <w:t xml:space="preserve">K. Sunset Clause (Original §15.4; Redline §15.5) —</w:t>
      </w:r>
      <w:r>
        <w:t xml:space="preserve"> </w:t>
      </w:r>
      <w:r>
        <w:rPr>
          <w:b/>
          <w:bCs/>
        </w:rPr>
        <w:t xml:space="preserve">REJECT</w:t>
      </w:r>
    </w:p>
    <w:p>
      <w:pPr>
        <w:pStyle w:val="FirstParagraph"/>
      </w:pPr>
      <w:r>
        <w:rPr>
          <w:b/>
          <w:bCs/>
        </w:rPr>
        <w:t xml:space="preserve">The change.</w:t>
      </w:r>
      <w:r>
        <w:t xml:space="preserve"> </w:t>
      </w:r>
      <w:r>
        <w:t xml:space="preserve">The Original Draft set a 15-year sunset (June 14, 2040) with mutual five-year renewals. The Redline sets a</w:t>
      </w:r>
      <w:r>
        <w:t xml:space="preserve"> </w:t>
      </w:r>
      <w:r>
        <w:rPr>
          <w:b/>
          <w:bCs/>
        </w:rPr>
        <w:t xml:space="preserve">7-year</w:t>
      </w:r>
      <w:r>
        <w:t xml:space="preserve"> </w:t>
      </w:r>
      <w:r>
        <w:t xml:space="preserve">sunset (approximately June 2032) with no renewal mechanism.</w:t>
      </w:r>
    </w:p>
    <w:p>
      <w:pPr>
        <w:pStyle w:val="BodyText"/>
      </w:pPr>
      <w:r>
        <w:rPr>
          <w:b/>
          <w:bCs/>
        </w:rPr>
        <w:t xml:space="preserve">Effect.</w:t>
      </w:r>
      <w:r>
        <w:t xml:space="preserve"> </w:t>
      </w:r>
      <w:r>
        <w:t xml:space="preserve">Diane’s objective was an agreement of sufficient duration to cover the children’s minority —</w:t>
      </w:r>
      <w:r>
        <w:t xml:space="preserve"> </w:t>
      </w:r>
      <w:r>
        <w:t xml:space="preserve">“</w:t>
      </w:r>
      <w:r>
        <w:t xml:space="preserve">at least until Julian turns 18 (approximately 2034) and preferably longer,</w:t>
      </w:r>
      <w:r>
        <w:t xml:space="preserve">”</w:t>
      </w:r>
      <w:r>
        <w:t xml:space="preserve"> </w:t>
      </w:r>
      <w:r>
        <w:t xml:space="preserve">and she</w:t>
      </w:r>
      <w:r>
        <w:t xml:space="preserve"> </w:t>
      </w:r>
      <w:r>
        <w:t xml:space="preserve">“</w:t>
      </w:r>
      <w:r>
        <w:t xml:space="preserve">suggested a fifteen-year term (through approximately 2040)</w:t>
      </w:r>
      <w:r>
        <w:t xml:space="preserve">”</w:t>
      </w:r>
      <w:r>
        <w:t xml:space="preserve"> </w:t>
      </w:r>
      <w:r>
        <w:t xml:space="preserve">(Intake Memo, Objective 3). A 7-year sunset (2032) would expire</w:t>
      </w:r>
      <w:r>
        <w:t xml:space="preserve"> </w:t>
      </w:r>
      <w:r>
        <w:rPr>
          <w:b/>
          <w:bCs/>
        </w:rPr>
        <w:t xml:space="preserve">before</w:t>
      </w:r>
      <w:r>
        <w:t xml:space="preserve"> </w:t>
      </w:r>
      <w:r>
        <w:t xml:space="preserve">Julian reaches 18 (whether Julian was born in 2015 or 2016, he turns 18 in 2033 or 2034 — in either case after the 2032 sunset). The shorter sunset also means the agreement’s protective classifications (the premarital-savings reimbursement, the separate-property baselines, the disclosure regime) lapse sooner and the parties revert to default Illinois law. This favors Marcus, who benefits from the lapse of the Wife-protective terms. Mr. Baxter’s email frames the shorter term as encouraging periodic review; that framing does not address the children’s-stability objective.</w:t>
      </w:r>
      <w:r>
        <w:t xml:space="preserve"> </w:t>
      </w:r>
      <w:r>
        <w:rPr>
          <w:b/>
          <w:bCs/>
        </w:rPr>
        <w:t xml:space="preserve">Reject; restore the 15-year sunset (through approximately 2040) with the mutual renewal option.</w:t>
      </w:r>
      <w:r>
        <w:t xml:space="preserve"> </w:t>
      </w:r>
      <w:r>
        <w:t xml:space="preserve">Note that resolving the children’s birth-date discrepancy (Part III, item 1) is relevant here: Julian’s birth year determines the latest date by which the agreement should remain in effect.</w:t>
      </w:r>
    </w:p>
    <w:bookmarkEnd w:id="34"/>
    <w:bookmarkStart w:id="35" w:name="Xf81af15f574f728b8a95e55f3e4e3e46ffda2df"/>
    <w:p>
      <w:pPr>
        <w:pStyle w:val="Heading3"/>
      </w:pPr>
      <w:r>
        <w:t xml:space="preserve">L. Venue (Original §15.2; Redline §15.2; MC-12) —</w:t>
      </w:r>
      <w:r>
        <w:t xml:space="preserve"> </w:t>
      </w:r>
      <w:r>
        <w:rPr>
          <w:b/>
          <w:bCs/>
        </w:rPr>
        <w:t xml:space="preserve">NEGOTIATE</w:t>
      </w:r>
    </w:p>
    <w:p>
      <w:pPr>
        <w:pStyle w:val="FirstParagraph"/>
      </w:pPr>
      <w:r>
        <w:rPr>
          <w:b/>
          <w:bCs/>
        </w:rPr>
        <w:t xml:space="preserve">The change.</w:t>
      </w:r>
      <w:r>
        <w:t xml:space="preserve"> </w:t>
      </w:r>
      <w:r>
        <w:t xml:space="preserve">The Original Draft designated the Circuit Court of Cook County. The Redline designates the Circuit Court of DuPage County. Mr. Baxter’s comment (MC-12) cites scheduling efficiency and Marcus’s employment in Naperville (DuPage).</w:t>
      </w:r>
    </w:p>
    <w:p>
      <w:pPr>
        <w:pStyle w:val="BodyText"/>
      </w:pPr>
      <w:r>
        <w:rPr>
          <w:b/>
          <w:bCs/>
        </w:rPr>
        <w:t xml:space="preserve">Effect.</w:t>
      </w:r>
      <w:r>
        <w:t xml:space="preserve"> </w:t>
      </w:r>
      <w:r>
        <w:t xml:space="preserve">Diane requested Cook County because the family resides in Winnetka (Cook County), and both she and her counsel are located in Cook County (Intake Memo, Objective 5(e)). DuPage is Marcus’s preference (his office is in Naperville). This is a convenience/forum issue, not a substantive economic one.</w:t>
      </w:r>
      <w:r>
        <w:t xml:space="preserve"> </w:t>
      </w:r>
      <w:r>
        <w:rPr>
          <w:b/>
          <w:bCs/>
        </w:rPr>
        <w:t xml:space="preserve">Negotiate.</w:t>
      </w:r>
      <w:r>
        <w:t xml:space="preserve"> </w:t>
      </w:r>
      <w:r>
        <w:t xml:space="preserve">Our preferred position is Cook County. This is a reasonable item to trade if needed to secure concessions on the substantive issues, but we should not concede it without receiving value in return, and we should confirm Diane is comfortable with DuPage if we do trade it (e.g., for movement on the sunset or the fee provision).</w:t>
      </w:r>
    </w:p>
    <w:bookmarkEnd w:id="35"/>
    <w:bookmarkStart w:id="36" w:name="X25b31f85115dd10cc7a05aa7b7c1c029de9f20a"/>
    <w:p>
      <w:pPr>
        <w:pStyle w:val="Heading3"/>
      </w:pPr>
      <w:r>
        <w:t xml:space="preserve">M. Retirement Accounts (Original Article 8; Redline Article VIII) —</w:t>
      </w:r>
      <w:r>
        <w:t xml:space="preserve"> </w:t>
      </w:r>
      <w:r>
        <w:rPr>
          <w:b/>
          <w:bCs/>
        </w:rPr>
        <w:t xml:space="preserve">ACCEPT (with factual fixes)</w:t>
      </w:r>
    </w:p>
    <w:p>
      <w:pPr>
        <w:pStyle w:val="FirstParagraph"/>
      </w:pPr>
      <w:r>
        <w:rPr>
          <w:b/>
          <w:bCs/>
        </w:rPr>
        <w:t xml:space="preserve">The change.</w:t>
      </w:r>
      <w:r>
        <w:t xml:space="preserve"> </w:t>
      </w:r>
      <w:r>
        <w:t xml:space="preserve">The Redline classifies each party’s pre-Effective-Date retirement balance as that party’s</w:t>
      </w:r>
      <w:r>
        <w:t xml:space="preserve"> </w:t>
      </w:r>
      <w:r>
        <w:t xml:space="preserve">“</w:t>
      </w:r>
      <w:r>
        <w:t xml:space="preserve">Separate Property</w:t>
      </w:r>
      <w:r>
        <w:t xml:space="preserve">”</w:t>
      </w:r>
      <w:r>
        <w:t xml:space="preserve"> </w:t>
      </w:r>
      <w:r>
        <w:t xml:space="preserve">(a cleaner formulation than the Original Draft’s</w:t>
      </w:r>
      <w:r>
        <w:t xml:space="preserve"> </w:t>
      </w:r>
      <w:r>
        <w:t xml:space="preserve">“</w:t>
      </w:r>
      <w:r>
        <w:t xml:space="preserve">quasi-separate property … not subject to division except as required by QDRO</w:t>
      </w:r>
      <w:r>
        <w:t xml:space="preserve">”</w:t>
      </w:r>
      <w:r>
        <w:t xml:space="preserve">), with post-Effective-Date contributions and appreciation as marital. It adds that the defined-benefit pension’s present value be determined by an actuary. These are reasonable refinements.</w:t>
      </w:r>
      <w:r>
        <w:t xml:space="preserve"> </w:t>
      </w:r>
      <w:r>
        <w:rPr>
          <w:b/>
          <w:bCs/>
        </w:rPr>
        <w:t xml:space="preserve">Accept</w:t>
      </w:r>
      <w:r>
        <w:t xml:space="preserve">, subject to reconciling the 403(b) custodian and value discrepancies (Part III, items 5–6) and confirming the actuarial methodology for the pension.</w:t>
      </w:r>
    </w:p>
    <w:bookmarkEnd w:id="36"/>
    <w:bookmarkStart w:id="37" w:name="Xbd1f706806785912f7a0450b0729f3284fec8c5"/>
    <w:p>
      <w:pPr>
        <w:pStyle w:val="Heading3"/>
      </w:pPr>
      <w:r>
        <w:t xml:space="preserve">N. Benign, Standard, or Wife-Favorable Changes —</w:t>
      </w:r>
      <w:r>
        <w:t xml:space="preserve"> </w:t>
      </w:r>
      <w:r>
        <w:rPr>
          <w:b/>
          <w:bCs/>
        </w:rPr>
        <w:t xml:space="preserve">ACCEPT</w:t>
      </w:r>
    </w:p>
    <w:p>
      <w:pPr>
        <w:pStyle w:val="FirstParagraph"/>
      </w:pPr>
      <w:r>
        <w:t xml:space="preserve">The following Redline changes are benign, market-standard, or favorable to Diane and should be accepted (several were items we would have added ourselves):</w:t>
      </w:r>
    </w:p>
    <w:p>
      <w:pPr>
        <w:pStyle w:val="Compact"/>
        <w:numPr>
          <w:ilvl w:val="0"/>
          <w:numId w:val="1005"/>
        </w:numPr>
      </w:pPr>
      <w:r>
        <w:rPr>
          <w:b/>
          <w:bCs/>
        </w:rPr>
        <w:t xml:space="preserve">Severability clause (§15.3).</w:t>
      </w:r>
      <w:r>
        <w:t xml:space="preserve"> </w:t>
      </w:r>
      <w:r>
        <w:t xml:space="preserve">Standard and protective of both parties. Accept. (Mr. Baxter’s email highlights this; it is unobjectionable.)</w:t>
      </w:r>
    </w:p>
    <w:p>
      <w:pPr>
        <w:pStyle w:val="Compact"/>
        <w:numPr>
          <w:ilvl w:val="0"/>
          <w:numId w:val="1005"/>
        </w:numPr>
      </w:pPr>
      <w:r>
        <w:rPr>
          <w:b/>
          <w:bCs/>
        </w:rPr>
        <w:t xml:space="preserve">Notarization and witness-attestation blocks (Article XVI).</w:t>
      </w:r>
      <w:r>
        <w:t xml:space="preserve"> </w:t>
      </w:r>
      <w:r>
        <w:t xml:space="preserve">Best practice under 750 ILCS 5/502 and supportive of enforceability. Accept. (Mr. Baxter’s email highlights this; we would have added it.)</w:t>
      </w:r>
    </w:p>
    <w:p>
      <w:pPr>
        <w:pStyle w:val="Compact"/>
        <w:numPr>
          <w:ilvl w:val="0"/>
          <w:numId w:val="1005"/>
        </w:numPr>
      </w:pPr>
      <w:r>
        <w:rPr>
          <w:b/>
          <w:bCs/>
        </w:rPr>
        <w:t xml:space="preserve">Correction of</w:t>
      </w:r>
      <w:r>
        <w:rPr>
          <w:b/>
          <w:bCs/>
        </w:rPr>
        <w:t xml:space="preserve"> </w:t>
      </w:r>
      <w:r>
        <w:rPr>
          <w:b/>
          <w:bCs/>
        </w:rPr>
        <w:t xml:space="preserve">“</w:t>
      </w:r>
      <w:r>
        <w:rPr>
          <w:b/>
          <w:bCs/>
        </w:rPr>
        <w:t xml:space="preserve">Constane</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Constance</w:t>
      </w:r>
      <w:r>
        <w:rPr>
          <w:b/>
          <w:bCs/>
        </w:rPr>
        <w:t xml:space="preserve">”</w:t>
      </w:r>
      <w:r>
        <w:rPr>
          <w:b/>
          <w:bCs/>
        </w:rPr>
        <w:t xml:space="preserve"> </w:t>
      </w:r>
      <w:r>
        <w:rPr>
          <w:b/>
          <w:bCs/>
        </w:rPr>
        <w:t xml:space="preserve">Thornton.</w:t>
      </w:r>
      <w:r>
        <w:t xml:space="preserve"> </w:t>
      </w:r>
      <w:r>
        <w:t xml:space="preserve">Accept, subject to verifying the date of death (Part III, item 2).</w:t>
      </w:r>
    </w:p>
    <w:p>
      <w:pPr>
        <w:pStyle w:val="Compact"/>
        <w:numPr>
          <w:ilvl w:val="0"/>
          <w:numId w:val="1005"/>
        </w:numPr>
      </w:pPr>
      <w:r>
        <w:rPr>
          <w:b/>
          <w:bCs/>
        </w:rPr>
        <w:t xml:space="preserve">Recital of the parties’ commitment to preserving the marriage (§1.3; MC-01).</w:t>
      </w:r>
      <w:r>
        <w:t xml:space="preserve"> </w:t>
      </w:r>
      <w:r>
        <w:t xml:space="preserve">Acceptable and consistent with the parties’ stated intent; recitals are non-operative. Accept.</w:t>
      </w:r>
    </w:p>
    <w:p>
      <w:pPr>
        <w:pStyle w:val="Compact"/>
        <w:numPr>
          <w:ilvl w:val="0"/>
          <w:numId w:val="1005"/>
        </w:numPr>
      </w:pPr>
      <w:r>
        <w:rPr>
          <w:b/>
          <w:bCs/>
        </w:rPr>
        <w:t xml:space="preserve">Sixty-day review period representation (§3.1(b)).</w:t>
      </w:r>
      <w:r>
        <w:t xml:space="preserve"> </w:t>
      </w:r>
      <w:r>
        <w:t xml:space="preserve">Protective of enforceability. Accept.</w:t>
      </w:r>
    </w:p>
    <w:p>
      <w:pPr>
        <w:pStyle w:val="Compact"/>
        <w:numPr>
          <w:ilvl w:val="0"/>
          <w:numId w:val="1005"/>
        </w:numPr>
      </w:pPr>
      <w:r>
        <w:rPr>
          <w:b/>
          <w:bCs/>
        </w:rPr>
        <w:t xml:space="preserve">Active/passive practice appreciation and deletion of the transfer-consent restriction (Article VI).</w:t>
      </w:r>
      <w:r>
        <w:t xml:space="preserve"> </w:t>
      </w:r>
      <w:r>
        <w:t xml:space="preserve">Favorable to Diane; accept (Part IV.F).</w:t>
      </w:r>
    </w:p>
    <w:p>
      <w:pPr>
        <w:pStyle w:val="Compact"/>
        <w:numPr>
          <w:ilvl w:val="0"/>
          <w:numId w:val="1005"/>
        </w:numPr>
      </w:pPr>
      <w:r>
        <w:rPr>
          <w:b/>
          <w:bCs/>
        </w:rPr>
        <w:t xml:space="preserve">Notice obligation for RSU vesting events (§7.1).</w:t>
      </w:r>
      <w:r>
        <w:t xml:space="preserve"> </w:t>
      </w:r>
      <w:r>
        <w:t xml:space="preserve">Useful transparency; accept (Part IV.E).</w:t>
      </w:r>
    </w:p>
    <w:p>
      <w:pPr>
        <w:pStyle w:val="Compact"/>
        <w:numPr>
          <w:ilvl w:val="0"/>
          <w:numId w:val="1005"/>
        </w:numPr>
      </w:pPr>
      <w:r>
        <w:rPr>
          <w:b/>
          <w:bCs/>
        </w:rPr>
        <w:t xml:space="preserve">Defined-benefit pension actuarial determination (§8.1).</w:t>
      </w:r>
      <w:r>
        <w:t xml:space="preserve"> </w:t>
      </w:r>
      <w:r>
        <w:t xml:space="preserve">Reasonable; accept (Part IV.M).</w:t>
      </w:r>
    </w:p>
    <w:p>
      <w:pPr>
        <w:pStyle w:val="Compact"/>
        <w:numPr>
          <w:ilvl w:val="0"/>
          <w:numId w:val="1005"/>
        </w:numPr>
      </w:pPr>
      <w:r>
        <w:rPr>
          <w:b/>
          <w:bCs/>
        </w:rPr>
        <w:t xml:space="preserve">Grayfield address and Marcus’s hire date (§1.1).</w:t>
      </w:r>
      <w:r>
        <w:t xml:space="preserve"> </w:t>
      </w:r>
      <w:r>
        <w:t xml:space="preserve">Confirmed by the intake memo and disclosure; accept (Part III, item 10).</w:t>
      </w:r>
    </w:p>
    <w:bookmarkEnd w:id="37"/>
    <w:bookmarkStart w:id="38" w:name="X3ee0766564d6d98620d7f68b1215285897caf1e"/>
    <w:p>
      <w:pPr>
        <w:pStyle w:val="Heading3"/>
      </w:pPr>
      <w:r>
        <w:t xml:space="preserve">O. Items the Redline Omits That We Should Preserve or Add</w:t>
      </w:r>
    </w:p>
    <w:p>
      <w:pPr>
        <w:pStyle w:val="Compact"/>
        <w:numPr>
          <w:ilvl w:val="0"/>
          <w:numId w:val="1006"/>
        </w:numPr>
      </w:pPr>
      <w:r>
        <w:rPr>
          <w:b/>
          <w:bCs/>
        </w:rPr>
        <w:t xml:space="preserve">Ongoing duty of disclosure (Original §3.4) and debt-consent/disclosure thresholds (Original §§11.2–11.3).</w:t>
      </w:r>
      <w:r>
        <w:t xml:space="preserve"> </w:t>
      </w:r>
      <w:r>
        <w:t xml:space="preserve">Restore (Part IV.B(3), IV.G(4)).</w:t>
      </w:r>
    </w:p>
    <w:p>
      <w:pPr>
        <w:pStyle w:val="Compact"/>
        <w:numPr>
          <w:ilvl w:val="0"/>
          <w:numId w:val="1006"/>
        </w:numPr>
      </w:pPr>
      <w:r>
        <w:rPr>
          <w:b/>
          <w:bCs/>
        </w:rPr>
        <w:t xml:space="preserve">Maintenance termination events (Original §10.4: death, remarriage, cohabitation).</w:t>
      </w:r>
      <w:r>
        <w:t xml:space="preserve"> </w:t>
      </w:r>
      <w:r>
        <w:t xml:space="preserve">The Redline drops the contractual cohabitation-termination clause. Statutory termination on death/remarriage applies by default (750 ILCS 5/510), but the contractual cohabitation provision is broader and favors the payor (Diane). Consider restoring it.</w:t>
      </w:r>
    </w:p>
    <w:p>
      <w:pPr>
        <w:pStyle w:val="Compact"/>
        <w:numPr>
          <w:ilvl w:val="0"/>
          <w:numId w:val="1006"/>
        </w:numPr>
      </w:pPr>
      <w:r>
        <w:rPr>
          <w:b/>
          <w:bCs/>
        </w:rPr>
        <w:t xml:space="preserve">Restriction on encumbering the marital residence without consent (Original §9.4).</w:t>
      </w:r>
      <w:r>
        <w:t xml:space="preserve"> </w:t>
      </w:r>
      <w:r>
        <w:t xml:space="preserve">The Redline’s residence article does not carry forward the Original Draft’s prohibition on encumbering or pledging the residence without the other party’s consent. Restore.</w:t>
      </w:r>
    </w:p>
    <w:p>
      <w:r>
        <w:pict>
          <v:rect style="width:0;height:1.5pt" o:hralign="center" o:hrstd="t" o:hr="t"/>
        </w:pict>
      </w:r>
    </w:p>
    <w:bookmarkEnd w:id="38"/>
    <w:bookmarkEnd w:id="39"/>
    <w:bookmarkStart w:id="40" w:name="v.-financial-impact-summary"/>
    <w:p>
      <w:pPr>
        <w:pStyle w:val="Heading2"/>
      </w:pPr>
      <w:r>
        <w:t xml:space="preserve">V. Financial Impact Summary</w:t>
      </w:r>
    </w:p>
    <w:p>
      <w:pPr>
        <w:pStyle w:val="FirstParagraph"/>
      </w:pPr>
      <w:r>
        <w:t xml:space="preserve">The following illustrates the net effect of the principal economic changes in a dissolution at current asset values, assuming the Practice Interest appreciates by a hypothetical $500,000 and dissolution occurs after full RSU vesting. Figures are approximate and illustrative, not a forecast.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Effect on Diane</w:t>
            </w:r>
          </w:p>
        </w:tc>
      </w:tr>
      <w:tr>
        <w:tc>
          <w:tcPr/>
          <w:p>
            <w:pPr>
              <w:pStyle w:val="Compact"/>
              <w:jc w:val="left"/>
            </w:pPr>
            <w:r>
              <w:t xml:space="preserve">Joint investment account ($1,870,000)</w:t>
            </w:r>
          </w:p>
        </w:tc>
        <w:tc>
          <w:tcPr/>
          <w:p>
            <w:pPr>
              <w:pStyle w:val="Compact"/>
              <w:jc w:val="left"/>
            </w:pPr>
            <w:r>
              <w:t xml:space="preserve">Diane $1,535,000; Marcus $335,000 (§5.2 reimbursement + 50/50 of $670K appreciation)</w:t>
            </w:r>
          </w:p>
        </w:tc>
        <w:tc>
          <w:tcPr/>
          <w:p>
            <w:pPr>
              <w:pStyle w:val="Compact"/>
              <w:jc w:val="left"/>
            </w:pPr>
            <w:r>
              <w:t xml:space="preserve">Diane $935,000; Marcus $935,000 (50/50)</w:t>
            </w:r>
          </w:p>
        </w:tc>
        <w:tc>
          <w:tcPr/>
          <w:p>
            <w:pPr>
              <w:pStyle w:val="Compact"/>
              <w:jc w:val="left"/>
            </w:pPr>
            <w:r>
              <w:rPr>
                <w:b/>
                <w:bCs/>
              </w:rPr>
              <w:t xml:space="preserve">−$600,000</w:t>
            </w:r>
          </w:p>
        </w:tc>
      </w:tr>
      <w:tr>
        <w:tc>
          <w:tcPr/>
          <w:p>
            <w:pPr>
              <w:pStyle w:val="Compact"/>
              <w:jc w:val="left"/>
            </w:pPr>
            <w:r>
              <w:t xml:space="preserve">Practice Interest appreciation (hypothetical $500,000)</w:t>
            </w:r>
          </w:p>
        </w:tc>
        <w:tc>
          <w:tcPr/>
          <w:p>
            <w:pPr>
              <w:pStyle w:val="Compact"/>
              <w:jc w:val="left"/>
            </w:pPr>
            <w:r>
              <w:t xml:space="preserve">Marcus receives 50% of $500,000 = $250,000</w:t>
            </w:r>
          </w:p>
        </w:tc>
        <w:tc>
          <w:tcPr/>
          <w:p>
            <w:pPr>
              <w:pStyle w:val="Compact"/>
              <w:jc w:val="left"/>
            </w:pPr>
            <w:r>
              <w:t xml:space="preserve">Marcus receives 50% of ~40% active = ~$100,000</w:t>
            </w:r>
          </w:p>
        </w:tc>
        <w:tc>
          <w:tcPr/>
          <w:p>
            <w:pPr>
              <w:pStyle w:val="Compact"/>
              <w:jc w:val="left"/>
            </w:pPr>
            <w:r>
              <w:rPr>
                <w:b/>
                <w:bCs/>
              </w:rPr>
              <w:t xml:space="preserve">+$150,000</w:t>
            </w:r>
            <w:r>
              <w:t xml:space="preserve"> </w:t>
            </w:r>
            <w:r>
              <w:t xml:space="preserve">(contingent)</w:t>
            </w:r>
          </w:p>
        </w:tc>
      </w:tr>
      <w:tr>
        <w:tc>
          <w:tcPr/>
          <w:p>
            <w:pPr>
              <w:pStyle w:val="Compact"/>
              <w:jc w:val="left"/>
            </w:pPr>
            <w:r>
              <w:t xml:space="preserve">Spousal maintenance (current incomes)</w:t>
            </w:r>
          </w:p>
        </w:tc>
        <w:tc>
          <w:tcPr/>
          <w:p>
            <w:pPr>
              <w:pStyle w:val="Compact"/>
              <w:jc w:val="left"/>
            </w:pPr>
            <w:r>
              <w:t xml:space="preserve">Marcus capped at ~$11,800/yr × 5 yrs = ~$59,000 (40% cap)</w:t>
            </w:r>
          </w:p>
        </w:tc>
        <w:tc>
          <w:tcPr/>
          <w:p>
            <w:pPr>
              <w:pStyle w:val="Compact"/>
              <w:jc w:val="left"/>
            </w:pPr>
            <w:r>
              <w:t xml:space="preserve">$0 (waiver; income &gt;$200,000)</w:t>
            </w:r>
          </w:p>
        </w:tc>
        <w:tc>
          <w:tcPr/>
          <w:p>
            <w:pPr>
              <w:pStyle w:val="Compact"/>
              <w:jc w:val="left"/>
            </w:pPr>
            <w:r>
              <w:rPr>
                <w:b/>
                <w:bCs/>
              </w:rPr>
              <w:t xml:space="preserve">+$59,000</w:t>
            </w:r>
            <w:r>
              <w:t xml:space="preserve"> </w:t>
            </w:r>
            <w:r>
              <w:t xml:space="preserve">(max; largely illusory — already capped)</w:t>
            </w:r>
          </w:p>
        </w:tc>
      </w:tr>
      <w:tr>
        <w:tc>
          <w:tcPr/>
          <w:p>
            <w:pPr>
              <w:pStyle w:val="Compact"/>
              <w:jc w:val="left"/>
            </w:pPr>
            <w:r>
              <w:t xml:space="preserve">RSUs (post-vesting dissolution)</w:t>
            </w:r>
          </w:p>
        </w:tc>
        <w:tc>
          <w:tcPr/>
          <w:p>
            <w:pPr>
              <w:pStyle w:val="Compact"/>
              <w:jc w:val="left"/>
            </w:pPr>
            <w:r>
              <w:t xml:space="preserve">50/50 ($228,000 each)</w:t>
            </w:r>
          </w:p>
        </w:tc>
        <w:tc>
          <w:tcPr/>
          <w:p>
            <w:pPr>
              <w:pStyle w:val="Compact"/>
              <w:jc w:val="left"/>
            </w:pPr>
            <w:r>
              <w:t xml:space="preserve">~50/50 (coverture ≈ 1.0)</w:t>
            </w:r>
          </w:p>
        </w:tc>
        <w:tc>
          <w:tcPr/>
          <w:p>
            <w:pPr>
              <w:pStyle w:val="Compact"/>
              <w:jc w:val="left"/>
            </w:pPr>
            <w:r>
              <w:t xml:space="preserve">~$0</w:t>
            </w:r>
          </w:p>
        </w:tc>
      </w:tr>
      <w:tr>
        <w:tc>
          <w:tcPr/>
          <w:p>
            <w:pPr>
              <w:pStyle w:val="Compact"/>
              <w:jc w:val="left"/>
            </w:pPr>
            <w:r>
              <w:t xml:space="preserve">Identified Debt indemnification</w:t>
            </w:r>
          </w:p>
        </w:tc>
        <w:tc>
          <w:tcPr/>
          <w:p>
            <w:pPr>
              <w:pStyle w:val="Compact"/>
              <w:jc w:val="left"/>
            </w:pPr>
            <w:r>
              <w:t xml:space="preserve">Full, no threshold</w:t>
            </w:r>
          </w:p>
        </w:tc>
        <w:tc>
          <w:tcPr/>
          <w:p>
            <w:pPr>
              <w:pStyle w:val="Compact"/>
              <w:jc w:val="left"/>
            </w:pPr>
            <w:r>
              <w:t xml:space="preserve">$5,000 per-claim floor</w:t>
            </w:r>
          </w:p>
        </w:tc>
        <w:tc>
          <w:tcPr/>
          <w:p>
            <w:pPr>
              <w:pStyle w:val="Compact"/>
              <w:jc w:val="left"/>
            </w:pPr>
            <w:r>
              <w:t xml:space="preserve">Adverse (limits recovery on small claims)</w:t>
            </w:r>
          </w:p>
        </w:tc>
      </w:tr>
      <w:tr>
        <w:tc>
          <w:tcPr/>
          <w:p>
            <w:pPr>
              <w:pStyle w:val="Compact"/>
              <w:jc w:val="left"/>
            </w:pPr>
            <w:r>
              <w:t xml:space="preserve">Commingling of inheritance used for joint benefit</w:t>
            </w:r>
          </w:p>
        </w:tc>
        <w:tc>
          <w:tcPr/>
          <w:p>
            <w:pPr>
              <w:pStyle w:val="Compact"/>
              <w:jc w:val="left"/>
            </w:pPr>
            <w:r>
              <w:t xml:space="preserve">Gift to marriage (Diane shares)</w:t>
            </w:r>
          </w:p>
        </w:tc>
        <w:tc>
          <w:tcPr/>
          <w:p>
            <w:pPr>
              <w:pStyle w:val="Compact"/>
              <w:jc w:val="left"/>
            </w:pPr>
            <w:r>
              <w:t xml:space="preserve">Stays separate + reimbursement only</w:t>
            </w:r>
          </w:p>
        </w:tc>
        <w:tc>
          <w:tcPr/>
          <w:p>
            <w:pPr>
              <w:pStyle w:val="Compact"/>
              <w:jc w:val="left"/>
            </w:pPr>
            <w:r>
              <w:t xml:space="preserve">Adverse (potentially large, unquantified)</w:t>
            </w:r>
          </w:p>
        </w:tc>
      </w:tr>
      <w:tr>
        <w:tc>
          <w:tcPr/>
          <w:p>
            <w:pPr>
              <w:pStyle w:val="Compact"/>
              <w:jc w:val="left"/>
            </w:pPr>
            <w:r>
              <w:t xml:space="preserve">Attorney’s fees on enforcement</w:t>
            </w:r>
          </w:p>
        </w:tc>
        <w:tc>
          <w:tcPr/>
          <w:p>
            <w:pPr>
              <w:pStyle w:val="Compact"/>
              <w:jc w:val="left"/>
            </w:pPr>
            <w:r>
              <w:t xml:space="preserve">Prevailing party recovers</w:t>
            </w:r>
          </w:p>
        </w:tc>
        <w:tc>
          <w:tcPr/>
          <w:p>
            <w:pPr>
              <w:pStyle w:val="Compact"/>
              <w:jc w:val="left"/>
            </w:pPr>
            <w:r>
              <w:t xml:space="preserve">Each bears own</w:t>
            </w:r>
          </w:p>
        </w:tc>
        <w:tc>
          <w:tcPr/>
          <w:p>
            <w:pPr>
              <w:pStyle w:val="Compact"/>
              <w:jc w:val="left"/>
            </w:pPr>
            <w:r>
              <w:t xml:space="preserve">Adverse (Diane likely enforcer)</w:t>
            </w:r>
          </w:p>
        </w:tc>
      </w:tr>
      <w:tr>
        <w:tc>
          <w:tcPr/>
          <w:p>
            <w:pPr>
              <w:pStyle w:val="Compact"/>
              <w:jc w:val="left"/>
            </w:pPr>
            <w:r>
              <w:t xml:space="preserve">Sunset duration</w:t>
            </w:r>
          </w:p>
        </w:tc>
        <w:tc>
          <w:tcPr/>
          <w:p>
            <w:pPr>
              <w:pStyle w:val="Compact"/>
              <w:jc w:val="left"/>
            </w:pPr>
            <w:r>
              <w:t xml:space="preserve">15 years (through ~2040)</w:t>
            </w:r>
          </w:p>
        </w:tc>
        <w:tc>
          <w:tcPr/>
          <w:p>
            <w:pPr>
              <w:pStyle w:val="Compact"/>
              <w:jc w:val="left"/>
            </w:pPr>
            <w:r>
              <w:t xml:space="preserve">7 years (through ~2032)</w:t>
            </w:r>
          </w:p>
        </w:tc>
        <w:tc>
          <w:tcPr/>
          <w:p>
            <w:pPr>
              <w:pStyle w:val="Compact"/>
              <w:jc w:val="left"/>
            </w:pPr>
            <w:r>
              <w:t xml:space="preserve">Adverse (protective terms lapse sooner)</w:t>
            </w:r>
          </w:p>
        </w:tc>
      </w:tr>
    </w:tbl>
    <w:p>
      <w:pPr>
        <w:pStyle w:val="BodyText"/>
      </w:pPr>
      <w:r>
        <w:rPr>
          <w:b/>
          <w:bCs/>
        </w:rPr>
        <w:t xml:space="preserve">Net quantified swing:</w:t>
      </w:r>
      <w:r>
        <w:t xml:space="preserve"> </w:t>
      </w:r>
      <w:r>
        <w:t xml:space="preserve">Even crediting the Redline’s favorable maintenance and practice-appreciation items at their maximum, Diane is worse off by approximately</w:t>
      </w:r>
      <w:r>
        <w:t xml:space="preserve"> </w:t>
      </w:r>
      <w:r>
        <w:rPr>
          <w:b/>
          <w:bCs/>
        </w:rPr>
        <w:t xml:space="preserve">$390,000</w:t>
      </w:r>
      <w:r>
        <w:t xml:space="preserve"> </w:t>
      </w:r>
      <w:r>
        <w:t xml:space="preserve">($600,000 loss − $150,000 contingent practice benefit − $59,000 illusory maintenance</w:t>
      </w:r>
      <w:r>
        <w:t xml:space="preserve"> </w:t>
      </w:r>
      <w:r>
        <w:t xml:space="preserve">“</w:t>
      </w:r>
      <w:r>
        <w:t xml:space="preserve">saving</w:t>
      </w:r>
      <w:r>
        <w:t xml:space="preserve">”</w:t>
      </w:r>
      <w:r>
        <w:t xml:space="preserve">). The realistic net adverse swing is closer to</w:t>
      </w:r>
      <w:r>
        <w:t xml:space="preserve"> </w:t>
      </w:r>
      <w:r>
        <w:rPr>
          <w:b/>
          <w:bCs/>
        </w:rPr>
        <w:t xml:space="preserve">$600,000</w:t>
      </w:r>
      <w:r>
        <w:t xml:space="preserve">, because (i) the maintenance</w:t>
      </w:r>
      <w:r>
        <w:t xml:space="preserve"> </w:t>
      </w:r>
      <w:r>
        <w:t xml:space="preserve">“</w:t>
      </w:r>
      <w:r>
        <w:t xml:space="preserve">saving</w:t>
      </w:r>
      <w:r>
        <w:t xml:space="preserve">”</w:t>
      </w:r>
      <w:r>
        <w:t xml:space="preserve"> </w:t>
      </w:r>
      <w:r>
        <w:t xml:space="preserve">is illusory (Marcus’s recovery was already capped at ~$11,800/year by the statutory 40% rule) and (ii) the practice-appreciation benefit is contingent on future appreciation that may not occur. On top of this quantified loss, the Redline shifts substantial unquantified risk to Diane through the disclosure rollback, the commingling reversal, the unilateral-modification mechanism, the fee waiver, and the shorter sunset.</w:t>
      </w:r>
    </w:p>
    <w:p>
      <w:pPr>
        <w:pStyle w:val="BodyText"/>
      </w:pPr>
      <w:r>
        <w:rPr>
          <w:b/>
          <w:bCs/>
        </w:rPr>
        <w:t xml:space="preserve">The strategic picture:</w:t>
      </w:r>
      <w:r>
        <w:t xml:space="preserve"> </w:t>
      </w:r>
      <w:r>
        <w:t xml:space="preserve">Mr. Baxter has offered Diane a contingent, largely illusory</w:t>
      </w:r>
      <w:r>
        <w:t xml:space="preserve"> </w:t>
      </w:r>
      <w:r>
        <w:t xml:space="preserve">“</w:t>
      </w:r>
      <w:r>
        <w:t xml:space="preserve">win</w:t>
      </w:r>
      <w:r>
        <w:t xml:space="preserve">”</w:t>
      </w:r>
      <w:r>
        <w:t xml:space="preserve"> </w:t>
      </w:r>
      <w:r>
        <w:t xml:space="preserve">on maintenance and a legally compelled, contingent benefit on practice appreciation, while extracting a $600,000 certain, present-value gain on the premarital savings and a broad rollback of the disclosure and enforcement protections Diane most wanted. The Redline is not balanced; it is a net transfer of value and risk from Diane to Marcus, packaged in housekeeping edits and</w:t>
      </w:r>
      <w:r>
        <w:t xml:space="preserve"> </w:t>
      </w:r>
      <w:r>
        <w:t xml:space="preserve">“</w:t>
      </w:r>
      <w:r>
        <w:t xml:space="preserve">standard practice</w:t>
      </w:r>
      <w:r>
        <w:t xml:space="preserve">”</w:t>
      </w:r>
      <w:r>
        <w:t xml:space="preserve"> </w:t>
      </w:r>
      <w:r>
        <w:t xml:space="preserve">comments.</w:t>
      </w:r>
    </w:p>
    <w:p>
      <w:r>
        <w:pict>
          <v:rect style="width:0;height:1.5pt" o:hralign="center" o:hrstd="t" o:hr="t"/>
        </w:pict>
      </w:r>
    </w:p>
    <w:bookmarkEnd w:id="40"/>
    <w:bookmarkStart w:id="45" w:name="Xf8f509a598191a6b3abc7014e13a9c02ddd491d"/>
    <w:p>
      <w:pPr>
        <w:pStyle w:val="Heading2"/>
      </w:pPr>
      <w:r>
        <w:t xml:space="preserve">VI. Negotiation Strategy and Recommendations</w:t>
      </w:r>
    </w:p>
    <w:bookmarkStart w:id="41" w:name="a.-guiding-principles"/>
    <w:p>
      <w:pPr>
        <w:pStyle w:val="Heading3"/>
      </w:pPr>
      <w:r>
        <w:t xml:space="preserve">A. Guiding principles</w:t>
      </w:r>
    </w:p>
    <w:p>
      <w:pPr>
        <w:numPr>
          <w:ilvl w:val="0"/>
          <w:numId w:val="1007"/>
        </w:numPr>
      </w:pPr>
      <w:r>
        <w:rPr>
          <w:b/>
          <w:bCs/>
        </w:rPr>
        <w:t xml:space="preserve">Anchor to the client’s priorities.</w:t>
      </w:r>
      <w:r>
        <w:t xml:space="preserve"> </w:t>
      </w:r>
      <w:r>
        <w:t xml:space="preserve">Diane’s objectives, in her stated order, are: (1) the $1.2M premarital-savings reimbursement; (2) robust disclosure/voidability; (3) children’s stability (home and duration); (4) the Practice Interest as separate property; (5) long-term enforceability (independent counsel, prevailing-party fees, Cook County venue, mutual-consent modification). The Redline undermines objectives 1, 2, 3, and 5; it advances objective 4. Our negotiation should protect 1, 2, 3, and 5 and concede only on low-priority items.</w:t>
      </w:r>
    </w:p>
    <w:p>
      <w:pPr>
        <w:numPr>
          <w:ilvl w:val="0"/>
          <w:numId w:val="1007"/>
        </w:numPr>
      </w:pPr>
      <w:r>
        <w:rPr>
          <w:b/>
          <w:bCs/>
        </w:rPr>
        <w:t xml:space="preserve">Do not be lulled by the email’s framing.</w:t>
      </w:r>
      <w:r>
        <w:t xml:space="preserve"> </w:t>
      </w:r>
      <w:r>
        <w:t xml:space="preserve">The transmittal email’s</w:t>
      </w:r>
      <w:r>
        <w:t xml:space="preserve"> </w:t>
      </w:r>
      <w:r>
        <w:t xml:space="preserve">“</w:t>
      </w:r>
      <w:r>
        <w:t xml:space="preserve">modest</w:t>
      </w:r>
      <w:r>
        <w:t xml:space="preserve">”</w:t>
      </w:r>
      <w:r>
        <w:t xml:space="preserve"> </w:t>
      </w:r>
      <w:r>
        <w:t xml:space="preserve">and</w:t>
      </w:r>
      <w:r>
        <w:t xml:space="preserve"> </w:t>
      </w:r>
      <w:r>
        <w:t xml:space="preserve">“</w:t>
      </w:r>
      <w:r>
        <w:t xml:space="preserve">balanced</w:t>
      </w:r>
      <w:r>
        <w:t xml:space="preserve">”</w:t>
      </w:r>
      <w:r>
        <w:t xml:space="preserve"> </w:t>
      </w:r>
      <w:r>
        <w:t xml:space="preserve">language and its selective highlighting of benign edits are advocacy, not description. We should respond in writing with our own framing: acknowledge the acceptable changes, and clearly enumerate the substantive changes the email did not mention, so the record reflects that the Redline is a major rewrite, not a light markup.</w:t>
      </w:r>
    </w:p>
    <w:p>
      <w:pPr>
        <w:numPr>
          <w:ilvl w:val="0"/>
          <w:numId w:val="1007"/>
        </w:numPr>
      </w:pPr>
      <w:r>
        <w:rPr>
          <w:b/>
          <w:bCs/>
        </w:rPr>
        <w:t xml:space="preserve">Credit the genuine concessions.</w:t>
      </w:r>
      <w:r>
        <w:t xml:space="preserve"> </w:t>
      </w:r>
      <w:r>
        <w:t xml:space="preserve">The active/passive practice appreciation and the deletion of the transfer-consent restriction are real concessions that favor Diane and align with Illinois law. We should acknowledge them — both because it is accurate and because crediting a concession makes it easier to hold firm on the premarital-savings and disclosure issues without appearing intransigent.</w:t>
      </w:r>
    </w:p>
    <w:p>
      <w:pPr>
        <w:numPr>
          <w:ilvl w:val="0"/>
          <w:numId w:val="1007"/>
        </w:numPr>
      </w:pPr>
      <w:r>
        <w:rPr>
          <w:b/>
          <w:bCs/>
        </w:rPr>
        <w:t xml:space="preserve">Quantify.</w:t>
      </w:r>
      <w:r>
        <w:t xml:space="preserve"> </w:t>
      </w:r>
      <w:r>
        <w:t xml:space="preserve">At the four-way, lead with the $600,000 premarital-savings figure and the $100,000-threshold disclosure point. Concrete numbers make it harder for opposing counsel to maintain the</w:t>
      </w:r>
      <w:r>
        <w:t xml:space="preserve"> </w:t>
      </w:r>
      <w:r>
        <w:t xml:space="preserve">“</w:t>
      </w:r>
      <w:r>
        <w:t xml:space="preserve">modest revisions</w:t>
      </w:r>
      <w:r>
        <w:t xml:space="preserve">”</w:t>
      </w:r>
      <w:r>
        <w:t xml:space="preserve"> </w:t>
      </w:r>
      <w:r>
        <w:t xml:space="preserve">posture and focus the discussion on value rather than labels.</w:t>
      </w:r>
    </w:p>
    <w:bookmarkEnd w:id="41"/>
    <w:bookmarkStart w:id="42" w:name="X89e14e78d47ca25c4638e846004fb0595d5be3f"/>
    <w:p>
      <w:pPr>
        <w:pStyle w:val="Heading3"/>
      </w:pPr>
      <w:r>
        <w:t xml:space="preserve">B. Issue disposition for the four-way conference (January 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Issues</w:t>
            </w:r>
          </w:p>
        </w:tc>
        <w:tc>
          <w:tcPr/>
          <w:p>
            <w:pPr>
              <w:pStyle w:val="Compact"/>
              <w:jc w:val="left"/>
            </w:pPr>
            <w:r>
              <w:t xml:space="preserve">Position</w:t>
            </w:r>
          </w:p>
        </w:tc>
      </w:tr>
      <w:tr>
        <w:tc>
          <w:tcPr/>
          <w:p>
            <w:pPr>
              <w:pStyle w:val="Compact"/>
              <w:jc w:val="left"/>
            </w:pPr>
            <w:r>
              <w:rPr>
                <w:b/>
                <w:bCs/>
              </w:rPr>
              <w:t xml:space="preserve">Accept</w:t>
            </w:r>
          </w:p>
        </w:tc>
        <w:tc>
          <w:tcPr/>
          <w:p>
            <w:pPr>
              <w:pStyle w:val="Compact"/>
              <w:jc w:val="left"/>
            </w:pPr>
            <w:r>
              <w:t xml:space="preserve">Severability; notarization/witness blocks;</w:t>
            </w:r>
            <w:r>
              <w:t xml:space="preserve"> </w:t>
            </w:r>
            <w:r>
              <w:t xml:space="preserve">“</w:t>
            </w:r>
            <w:r>
              <w:t xml:space="preserve">Constance</w:t>
            </w:r>
            <w:r>
              <w:t xml:space="preserve">”</w:t>
            </w:r>
            <w:r>
              <w:t xml:space="preserve"> </w:t>
            </w:r>
            <w:r>
              <w:t xml:space="preserve">correction; marriage-commitment recital; 60-day review period; active/passive practice appreciation; deletion of practice transfer-consent restriction; RSU vesting notice; retirement-account classification; pension actuarial determination; confirmed Grayfield address/hire date</w:t>
            </w:r>
          </w:p>
        </w:tc>
        <w:tc>
          <w:tcPr/>
          <w:p>
            <w:pPr>
              <w:pStyle w:val="Compact"/>
              <w:jc w:val="left"/>
            </w:pPr>
            <w:r>
              <w:t xml:space="preserve">Accept as drafted (subject to factual reconciliation)</w:t>
            </w:r>
          </w:p>
        </w:tc>
      </w:tr>
      <w:tr>
        <w:tc>
          <w:tcPr/>
          <w:p>
            <w:pPr>
              <w:pStyle w:val="Compact"/>
              <w:jc w:val="left"/>
            </w:pPr>
            <w:r>
              <w:rPr>
                <w:b/>
                <w:bCs/>
              </w:rPr>
              <w:t xml:space="preserve">Reject (non-negotiable)</w:t>
            </w:r>
          </w:p>
        </w:tc>
        <w:tc>
          <w:tcPr/>
          <w:p>
            <w:pPr>
              <w:pStyle w:val="Compact"/>
              <w:jc w:val="left"/>
            </w:pPr>
            <w:r>
              <w:t xml:space="preserve">(1) Deletion of §5.2 premarital-savings reimbursement; (2) voidability rollback (intent / clear-and-convincing / $100,000 / 2-year); (3)</w:t>
            </w:r>
            <w:r>
              <w:t xml:space="preserve"> </w:t>
            </w:r>
            <w:r>
              <w:t xml:space="preserve">“</w:t>
            </w:r>
            <w:r>
              <w:t xml:space="preserve">substantially</w:t>
            </w:r>
            <w:r>
              <w:t xml:space="preserve">”</w:t>
            </w:r>
            <w:r>
              <w:t xml:space="preserve"> </w:t>
            </w:r>
            <w:r>
              <w:t xml:space="preserve">disclosure language; (4) elimination of ongoing disclosure &amp; debt-consent duties; (5) unilateral 90-day-notice modification; (6) $5,000 Identified-Debt indemnification de minimis; (7) mutual attorney’s-fee waiver; (8) 7-year sunset</w:t>
            </w:r>
          </w:p>
        </w:tc>
        <w:tc>
          <w:tcPr/>
          <w:p>
            <w:pPr>
              <w:pStyle w:val="Compact"/>
              <w:jc w:val="left"/>
            </w:pPr>
            <w:r>
              <w:t xml:space="preserve">Restore Original Draft language. These map to Diane’s Objectives 1, 2, 3, and 5.</w:t>
            </w:r>
          </w:p>
        </w:tc>
      </w:tr>
      <w:tr>
        <w:tc>
          <w:tcPr/>
          <w:p>
            <w:pPr>
              <w:pStyle w:val="Compact"/>
              <w:jc w:val="left"/>
            </w:pPr>
            <w:r>
              <w:rPr>
                <w:b/>
                <w:bCs/>
              </w:rPr>
              <w:t xml:space="preserve">Negotiate</w:t>
            </w:r>
          </w:p>
        </w:tc>
        <w:tc>
          <w:tcPr/>
          <w:p>
            <w:pPr>
              <w:pStyle w:val="Compact"/>
              <w:jc w:val="left"/>
            </w:pPr>
            <w:r>
              <w:t xml:space="preserve">(a) Commingling/transmutation reversal; (b) maintenance waiver (re-key to imputed income) and Earned Income definition (restore Gross Income / include bonus); (c) RSU coverture (prefer flat 50/50; else grant-date service period); (d) marital-residence buyout terms (60-day/24-month; scrutinize lien); (e) venue (prefer Cook County; tradeable); (f) maintenance duration cap (3 years acceptable); (g) maintenance cohabitation-termination clause (restore)</w:t>
            </w:r>
          </w:p>
        </w:tc>
        <w:tc>
          <w:tcPr/>
          <w:p>
            <w:pPr>
              <w:pStyle w:val="Compact"/>
              <w:jc w:val="left"/>
            </w:pPr>
            <w:r>
              <w:t xml:space="preserve">Seek middle ground anchored to client priorities; use venue and duration as trade chips, not the core economic or disclosure items.</w:t>
            </w:r>
          </w:p>
        </w:tc>
      </w:tr>
    </w:tbl>
    <w:bookmarkEnd w:id="42"/>
    <w:bookmarkStart w:id="43" w:name="c.-suggested-sequencing-and-tactics"/>
    <w:p>
      <w:pPr>
        <w:pStyle w:val="Heading3"/>
      </w:pPr>
      <w:r>
        <w:t xml:space="preserve">C. Suggested sequencing and tactics</w:t>
      </w:r>
    </w:p>
    <w:p>
      <w:pPr>
        <w:numPr>
          <w:ilvl w:val="0"/>
          <w:numId w:val="1008"/>
        </w:numPr>
      </w:pPr>
      <w:r>
        <w:rPr>
          <w:b/>
          <w:bCs/>
        </w:rPr>
        <w:t xml:space="preserve">Pre-conference call with Mr. Baxter.</w:t>
      </w:r>
      <w:r>
        <w:t xml:space="preserve"> </w:t>
      </w:r>
      <w:r>
        <w:t xml:space="preserve">Accept his offer of a preliminary call, but go in with our categories fixed. Use the call to (i) confirm the benign changes are agreed; (ii) signal clearly that the premarital-savings reimbursement and the disclosure regime are non-negotiable and will be restored; and (iii) identify which</w:t>
      </w:r>
      <w:r>
        <w:t xml:space="preserve"> </w:t>
      </w:r>
      <w:r>
        <w:t xml:space="preserve">“</w:t>
      </w:r>
      <w:r>
        <w:t xml:space="preserve">negotiate</w:t>
      </w:r>
      <w:r>
        <w:t xml:space="preserve">”</w:t>
      </w:r>
      <w:r>
        <w:t xml:space="preserve"> </w:t>
      </w:r>
      <w:r>
        <w:t xml:space="preserve">items can be teed up for resolution at the four-way. Do not concede anything of substance on the call.</w:t>
      </w:r>
    </w:p>
    <w:p>
      <w:pPr>
        <w:numPr>
          <w:ilvl w:val="0"/>
          <w:numId w:val="1008"/>
        </w:numPr>
      </w:pPr>
      <w:r>
        <w:rPr>
          <w:b/>
          <w:bCs/>
        </w:rPr>
        <w:t xml:space="preserve">Written response before the four-way.</w:t>
      </w:r>
      <w:r>
        <w:t xml:space="preserve"> </w:t>
      </w:r>
      <w:r>
        <w:t xml:space="preserve">Send a concise letter/email after the call that (a) acknowledges the acceptable changes, (b) lists the substantive changes the transmittal email did not mention, (c) states our non-negotiables, and (d) proposes our preferred language on the negotiate items. This creates a record and frames the four-way as a session to resolve a defined list rather than to</w:t>
      </w:r>
      <w:r>
        <w:t xml:space="preserve"> </w:t>
      </w:r>
      <w:r>
        <w:t xml:space="preserve">“</w:t>
      </w:r>
      <w:r>
        <w:t xml:space="preserve">narrow</w:t>
      </w:r>
      <w:r>
        <w:t xml:space="preserve">”</w:t>
      </w:r>
      <w:r>
        <w:t xml:space="preserve"> </w:t>
      </w:r>
      <w:r>
        <w:t xml:space="preserve">an open field.</w:t>
      </w:r>
    </w:p>
    <w:p>
      <w:pPr>
        <w:numPr>
          <w:ilvl w:val="0"/>
          <w:numId w:val="1008"/>
        </w:numPr>
      </w:pPr>
      <w:r>
        <w:rPr>
          <w:b/>
          <w:bCs/>
        </w:rPr>
        <w:t xml:space="preserve">At the four-way.</w:t>
      </w:r>
      <w:r>
        <w:t xml:space="preserve"> </w:t>
      </w:r>
      <w:r>
        <w:t xml:space="preserve">Lead with the quantified impact (Part V). Resolve the Accept items first (quick wins, builds momentum). Then address the non-negotiables: present the restored §5.2 and the restored disclosure/voidability language and explain why. On the negotiate items, use the practice-appreciation concession as leverage (</w:t>
      </w:r>
      <w:r>
        <w:t xml:space="preserve">“</w:t>
      </w:r>
      <w:r>
        <w:t xml:space="preserve">we have accepted your active/passive reformulation, which benefits Diane and aligns with the Strand report; in exchange we expect the premarital-savings reimbursement restored</w:t>
      </w:r>
      <w:r>
        <w:t xml:space="preserve">”</w:t>
      </w:r>
      <w:r>
        <w:t xml:space="preserve">). Hold venue and the maintenance duration cap in reserve as trade chips.</w:t>
      </w:r>
    </w:p>
    <w:p>
      <w:pPr>
        <w:numPr>
          <w:ilvl w:val="0"/>
          <w:numId w:val="1008"/>
        </w:numPr>
      </w:pPr>
      <w:r>
        <w:rPr>
          <w:b/>
          <w:bCs/>
        </w:rPr>
        <w:t xml:space="preserve">Factual reconciliation as a gating item.</w:t>
      </w:r>
      <w:r>
        <w:t xml:space="preserve"> </w:t>
      </w:r>
      <w:r>
        <w:t xml:space="preserve">Make clear that no execution can occur until the Part III discrepancies (children’s birth dates, Constance’s date of death, and the account institutions/numbers) are verified against source documents. This is non-controversial and reinforces our diligence posture.</w:t>
      </w:r>
    </w:p>
    <w:p>
      <w:pPr>
        <w:numPr>
          <w:ilvl w:val="0"/>
          <w:numId w:val="1008"/>
        </w:numPr>
      </w:pPr>
      <w:r>
        <w:rPr>
          <w:b/>
          <w:bCs/>
        </w:rPr>
        <w:t xml:space="preserve">Client communication.</w:t>
      </w:r>
      <w:r>
        <w:t xml:space="preserve"> </w:t>
      </w:r>
      <w:r>
        <w:t xml:space="preserve">Before the four-way, schedule a call with Diane to (i) walk through the Redline’s effect on her priorities, (ii) confirm the non-negotiables, (iii) confirm her comfort with the 3-year maintenance cap and with potentially trading venue, and (iv) obtain her authorization on the negotiate-item fallback positions. Diane specifically cautioned us to</w:t>
      </w:r>
      <w:r>
        <w:t xml:space="preserve"> </w:t>
      </w:r>
      <w:r>
        <w:t xml:space="preserve">“</w:t>
      </w:r>
      <w:r>
        <w:t xml:space="preserve">scrutinize any counterproposals carefully for hidden or embedded terms that might undermine her core objectives</w:t>
      </w:r>
      <w:r>
        <w:t xml:space="preserve">”</w:t>
      </w:r>
      <w:r>
        <w:t xml:space="preserve"> </w:t>
      </w:r>
      <w:r>
        <w:t xml:space="preserve">(Intake Memo, Part V) — this memo is intended to serve that function.</w:t>
      </w:r>
    </w:p>
    <w:bookmarkEnd w:id="43"/>
    <w:bookmarkStart w:id="44" w:name="X6e48c6256d3bd949e646c4768fca13fd763d55a"/>
    <w:p>
      <w:pPr>
        <w:pStyle w:val="Heading3"/>
      </w:pPr>
      <w:r>
        <w:t xml:space="preserve">D. Drafting instructions for our counter-draft</w:t>
      </w:r>
    </w:p>
    <w:p>
      <w:pPr>
        <w:pStyle w:val="Compact"/>
        <w:numPr>
          <w:ilvl w:val="0"/>
          <w:numId w:val="1009"/>
        </w:numPr>
      </w:pPr>
      <w:r>
        <w:t xml:space="preserve">Restore §5.2 (premarital-savings reimbursement) verbatim, with the joint-account identifier corrected to **3291.</w:t>
      </w:r>
    </w:p>
    <w:p>
      <w:pPr>
        <w:pStyle w:val="Compact"/>
        <w:numPr>
          <w:ilvl w:val="0"/>
          <w:numId w:val="1009"/>
        </w:numPr>
      </w:pPr>
      <w:r>
        <w:t xml:space="preserve">Restore the</w:t>
      </w:r>
      <w:r>
        <w:t xml:space="preserve"> </w:t>
      </w:r>
      <w:r>
        <w:t xml:space="preserve">“</w:t>
      </w:r>
      <w:r>
        <w:t xml:space="preserve">full, fair, and complete</w:t>
      </w:r>
      <w:r>
        <w:t xml:space="preserve">”</w:t>
      </w:r>
      <w:r>
        <w:t xml:space="preserve"> </w:t>
      </w:r>
      <w:r>
        <w:t xml:space="preserve">disclosure warranty and the broad material-omission voidability standard (no intent requirement; no $100,000 threshold; no 2-year limit); restore the ongoing duty of disclosure (§3.4) and the debt-consent/disclosure thresholds (§§11.2–11.3).</w:t>
      </w:r>
    </w:p>
    <w:p>
      <w:pPr>
        <w:pStyle w:val="Compact"/>
        <w:numPr>
          <w:ilvl w:val="0"/>
          <w:numId w:val="1009"/>
        </w:numPr>
      </w:pPr>
      <w:r>
        <w:t xml:space="preserve">Restore the transmutation presumption for separate property used for joint marital benefit (§4.3(b)); if a compromise is reached, incorporate the appreciation-sharing/advance-notice fallback described in Part IV.C.</w:t>
      </w:r>
    </w:p>
    <w:p>
      <w:pPr>
        <w:pStyle w:val="Compact"/>
        <w:numPr>
          <w:ilvl w:val="0"/>
          <w:numId w:val="1009"/>
        </w:numPr>
      </w:pPr>
      <w:r>
        <w:t xml:space="preserve">Restore Gross Income (or a broad income definition expressly including bonuses, equity compensation, and practice distributions) for maintenance; if a waiver is retained, re-key it to imputed/earning-capacity income with anti-manipulation language.</w:t>
      </w:r>
    </w:p>
    <w:p>
      <w:pPr>
        <w:pStyle w:val="Compact"/>
        <w:numPr>
          <w:ilvl w:val="0"/>
          <w:numId w:val="1009"/>
        </w:numPr>
      </w:pPr>
      <w:r>
        <w:t xml:space="preserve">Restore the prevailing-party attorney’s-fee provision (§13.2).</w:t>
      </w:r>
    </w:p>
    <w:p>
      <w:pPr>
        <w:pStyle w:val="Compact"/>
        <w:numPr>
          <w:ilvl w:val="0"/>
          <w:numId w:val="1009"/>
        </w:numPr>
      </w:pPr>
      <w:r>
        <w:t xml:space="preserve">Restore mutual-written-consent as the sole modification mechanism (delete §14.2’s unilateral-notice process).</w:t>
      </w:r>
    </w:p>
    <w:p>
      <w:pPr>
        <w:pStyle w:val="Compact"/>
        <w:numPr>
          <w:ilvl w:val="0"/>
          <w:numId w:val="1009"/>
        </w:numPr>
      </w:pPr>
      <w:r>
        <w:t xml:space="preserve">Restore the 15-year sunset with mutual renewal (§15.5).</w:t>
      </w:r>
    </w:p>
    <w:p>
      <w:pPr>
        <w:pStyle w:val="Compact"/>
        <w:numPr>
          <w:ilvl w:val="0"/>
          <w:numId w:val="1009"/>
        </w:numPr>
      </w:pPr>
      <w:r>
        <w:t xml:space="preserve">Restore the marital-residence buyout terms (60-day exercise; 24-month payment) and the consent-to-encumber restriction (§9.4); scrutinize/limit the lien.</w:t>
      </w:r>
    </w:p>
    <w:p>
      <w:pPr>
        <w:pStyle w:val="Compact"/>
        <w:numPr>
          <w:ilvl w:val="0"/>
          <w:numId w:val="1009"/>
        </w:numPr>
      </w:pPr>
      <w:r>
        <w:t xml:space="preserve">Restore full indemnification for the Identified Debt without the $5,000 de minimis; retain and strengthen the 24-month payoff and quarterly-statement monitoring.</w:t>
      </w:r>
    </w:p>
    <w:p>
      <w:pPr>
        <w:pStyle w:val="Compact"/>
        <w:numPr>
          <w:ilvl w:val="0"/>
          <w:numId w:val="1009"/>
        </w:numPr>
      </w:pPr>
      <w:r>
        <w:t xml:space="preserve">Retain the accepted Wife-favorable and benign changes (Part IV.N), including severability, notarization/witness blocks, active/passive practice appreciation, and the RSU vesting-notice obligation.</w:t>
      </w:r>
    </w:p>
    <w:p>
      <w:pPr>
        <w:pStyle w:val="Compact"/>
        <w:numPr>
          <w:ilvl w:val="0"/>
          <w:numId w:val="1009"/>
        </w:numPr>
      </w:pPr>
      <w:r>
        <w:t xml:space="preserve">Correct all factual identifiers per Part III.</w:t>
      </w:r>
    </w:p>
    <w:p>
      <w:r>
        <w:pict>
          <v:rect style="width:0;height:1.5pt" o:hralign="center" o:hrstd="t" o:hr="t"/>
        </w:pict>
      </w:r>
    </w:p>
    <w:bookmarkEnd w:id="44"/>
    <w:bookmarkEnd w:id="45"/>
    <w:bookmarkStart w:id="46" w:name="vii.-open-items-and-next-steps"/>
    <w:p>
      <w:pPr>
        <w:pStyle w:val="Heading2"/>
      </w:pPr>
      <w:r>
        <w:t xml:space="preserve">VII. Open Items and Next Steps</w:t>
      </w:r>
    </w:p>
    <w:p>
      <w:pPr>
        <w:pStyle w:val="Compact"/>
        <w:numPr>
          <w:ilvl w:val="0"/>
          <w:numId w:val="1010"/>
        </w:numPr>
      </w:pPr>
      <w:r>
        <w:rPr>
          <w:b/>
          <w:bCs/>
        </w:rPr>
        <w:t xml:space="preserve">Client call</w:t>
      </w:r>
      <w:r>
        <w:t xml:space="preserve"> </w:t>
      </w:r>
      <w:r>
        <w:t xml:space="preserve">— Schedule with Diane this week to review this memorandum, confirm non-negotiables, and authorize fallback positions on the negotiate items.</w:t>
      </w:r>
    </w:p>
    <w:p>
      <w:pPr>
        <w:pStyle w:val="Compact"/>
        <w:numPr>
          <w:ilvl w:val="0"/>
          <w:numId w:val="1010"/>
        </w:numPr>
      </w:pPr>
      <w:r>
        <w:rPr>
          <w:b/>
          <w:bCs/>
        </w:rPr>
        <w:t xml:space="preserve">Facts-to-verify checklist</w:t>
      </w:r>
      <w:r>
        <w:t xml:space="preserve"> </w:t>
      </w:r>
      <w:r>
        <w:t xml:space="preserve">— Send Diane a short list: (a) children’s birth certificates; (b) Constance Thornton’s death certificate / Door County probate file; (c) most recent statements for each Northbridge account (403(b) **7842; 401(k) **5518; joint investment **3291; inherited brokerage **8837); (d) confirmation of Lakeshore Children’s Hospital address.</w:t>
      </w:r>
    </w:p>
    <w:p>
      <w:pPr>
        <w:pStyle w:val="Compact"/>
        <w:numPr>
          <w:ilvl w:val="0"/>
          <w:numId w:val="1010"/>
        </w:numPr>
      </w:pPr>
      <w:r>
        <w:rPr>
          <w:b/>
          <w:bCs/>
        </w:rPr>
        <w:t xml:space="preserve">Pre-conference call with Mr. Baxter</w:t>
      </w:r>
      <w:r>
        <w:t xml:space="preserve"> </w:t>
      </w:r>
      <w:r>
        <w:t xml:space="preserve">— Accept; go in with categories fixed; do not concede substance.</w:t>
      </w:r>
    </w:p>
    <w:p>
      <w:pPr>
        <w:pStyle w:val="Compact"/>
        <w:numPr>
          <w:ilvl w:val="0"/>
          <w:numId w:val="1010"/>
        </w:numPr>
      </w:pPr>
      <w:r>
        <w:rPr>
          <w:b/>
          <w:bCs/>
        </w:rPr>
        <w:t xml:space="preserve">Written response to Hargrove Baxter</w:t>
      </w:r>
      <w:r>
        <w:t xml:space="preserve"> </w:t>
      </w:r>
      <w:r>
        <w:t xml:space="preserve">— After the pre-conference call, send a concise written summary of accepted changes, non-negotiables, and proposed language on negotiate items.</w:t>
      </w:r>
    </w:p>
    <w:p>
      <w:pPr>
        <w:pStyle w:val="Compact"/>
        <w:numPr>
          <w:ilvl w:val="0"/>
          <w:numId w:val="1010"/>
        </w:numPr>
      </w:pPr>
      <w:r>
        <w:rPr>
          <w:b/>
          <w:bCs/>
        </w:rPr>
        <w:t xml:space="preserve">Counter-draft</w:t>
      </w:r>
      <w:r>
        <w:t xml:space="preserve"> </w:t>
      </w:r>
      <w:r>
        <w:t xml:space="preserve">— Prepare per the Part VI.D drafting instructions in time to exchange before the January 27 four-way.</w:t>
      </w:r>
    </w:p>
    <w:p>
      <w:pPr>
        <w:pStyle w:val="Compact"/>
        <w:numPr>
          <w:ilvl w:val="0"/>
          <w:numId w:val="1010"/>
        </w:numPr>
      </w:pPr>
      <w:r>
        <w:rPr>
          <w:b/>
          <w:bCs/>
        </w:rPr>
        <w:t xml:space="preserve">Four-way conference (January 27)</w:t>
      </w:r>
      <w:r>
        <w:t xml:space="preserve"> </w:t>
      </w:r>
      <w:r>
        <w:t xml:space="preserve">— Attend with the issue-disposition table (Part VI.B) as the working agenda.</w:t>
      </w:r>
    </w:p>
    <w:p>
      <w:pPr>
        <w:pStyle w:val="FirstParagraph"/>
      </w:pPr>
      <w: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2026-06-28T18:36:21Z</dcterms:created>
  <dcterms:modified xsi:type="dcterms:W3CDTF">2026-06-28T18:36:21Z</dcterms:modified>
</cp:coreProperties>
</file>

<file path=docProps/custom.xml><?xml version="1.0" encoding="utf-8"?>
<Properties xmlns="http://schemas.openxmlformats.org/officeDocument/2006/custom-properties" xmlns:vt="http://schemas.openxmlformats.org/officeDocument/2006/docPropsVTypes"/>
</file>