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bookmarkEnd w:id="20"/>
    <w:bookmarkStart w:id="22" w:name="kessler-odom-pratt-llp"/>
    <w:p>
      <w:pPr>
        <w:pStyle w:val="Heading1"/>
      </w:pPr>
      <w:r>
        <w:t xml:space="preserve">KESSLER, ODOM &amp; PRATT LLP</w:t>
      </w:r>
    </w:p>
    <w:bookmarkStart w:id="21" w:name="Xe0a4b8db1d17655ae375f2ab375a384165adc7c"/>
    <w:p>
      <w:pPr>
        <w:pStyle w:val="Heading2"/>
      </w:pPr>
      <w:r>
        <w:t xml:space="preserve">210 South Wacker Drive, Suite 2400 — Chicago, Illinois 60606</w:t>
      </w:r>
    </w:p>
    <w:bookmarkEnd w:id="21"/>
    <w:bookmarkEnd w:id="22"/>
    <w:bookmarkStart w:id="62" w:name="memorandum"/>
    <w:p>
      <w:pPr>
        <w:pStyle w:val="Heading1"/>
      </w:pPr>
      <w:r>
        <w:t xml:space="preserve">MEMORANDUM</w:t>
      </w:r>
    </w:p>
    <w:p>
      <w:pPr>
        <w:pStyle w:val="FirstParagraph"/>
      </w:pPr>
      <w:r>
        <w:rPr>
          <w:b/>
          <w:bCs/>
        </w:rPr>
        <w:t xml:space="preserve">TO:</w:t>
      </w:r>
      <w:r>
        <w:t xml:space="preserve"> </w:t>
      </w:r>
      <w:r>
        <w:t xml:space="preserve">Catherine Odom, Partner</w:t>
      </w:r>
    </w:p>
    <w:p>
      <w:pPr>
        <w:pStyle w:val="BodyText"/>
      </w:pPr>
      <w:r>
        <w:rPr>
          <w:b/>
          <w:bCs/>
        </w:rPr>
        <w:t xml:space="preserve">FROM:</w:t>
      </w:r>
      <w:r>
        <w:t xml:space="preserve"> </w:t>
      </w:r>
      <w:r>
        <w:t xml:space="preserve">Alejandro Reyes, Associate</w:t>
      </w:r>
    </w:p>
    <w:p>
      <w:pPr>
        <w:pStyle w:val="BodyText"/>
      </w:pPr>
      <w:r>
        <w:rPr>
          <w:b/>
          <w:bCs/>
        </w:rPr>
        <w:t xml:space="preserve">DATE:</w:t>
      </w:r>
      <w:r>
        <w:t xml:space="preserve"> </w:t>
      </w:r>
      <w:r>
        <w:t xml:space="preserve">January 8, 2025</w:t>
      </w:r>
    </w:p>
    <w:p>
      <w:pPr>
        <w:pStyle w:val="BodyText"/>
      </w:pPr>
      <w:r>
        <w:rPr>
          <w:b/>
          <w:bCs/>
        </w:rPr>
        <w:t xml:space="preserve">RE:</w:t>
      </w:r>
      <w:r>
        <w:t xml:space="preserve"> </w:t>
      </w:r>
      <w:r>
        <w:t xml:space="preserve">Review of Husband’s Counsel’s Redlined Postnuptial Agreement (Veselka-Thornton / Thornton) — Change Analysis, Enforceability Assessment, and Negotiation Strategy for the January 27, 2025 Four-Way Conference</w:t>
      </w:r>
    </w:p>
    <w:p>
      <w:r>
        <w:pict>
          <v:rect style="width:0;height:1.5pt" o:hralign="center" o:hrstd="t" o:hr="t"/>
        </w:pict>
      </w:r>
    </w:p>
    <w:bookmarkStart w:id="23" w:name="i.-purpose-and-scope-of-memorandum"/>
    <w:p>
      <w:pPr>
        <w:pStyle w:val="Heading2"/>
      </w:pPr>
      <w:r>
        <w:t xml:space="preserve">I. Purpose and Scope of Memorandum</w:t>
      </w:r>
    </w:p>
    <w:p>
      <w:pPr>
        <w:pStyle w:val="FirstParagraph"/>
      </w:pPr>
      <w:r>
        <w:t xml:space="preserve">This memorandum reviews the marked-up draft postnuptial agreement (the</w:t>
      </w:r>
      <w:r>
        <w:t xml:space="preserve"> </w:t>
      </w:r>
      <w:r>
        <w:t xml:space="preserve">“</w:t>
      </w:r>
      <w:r>
        <w:t xml:space="preserve">Redline</w:t>
      </w:r>
      <w:r>
        <w:t xml:space="preserve">”</w:t>
      </w:r>
      <w:r>
        <w:t xml:space="preserve">) transmitted by Thomas Baxter of Hargrove Baxter LLP on January 6, 2025, against (a) our original draft transmitted to opposing counsel on December 16, 2024 (the</w:t>
      </w:r>
      <w:r>
        <w:t xml:space="preserve"> </w:t>
      </w:r>
      <w:r>
        <w:t xml:space="preserve">“</w:t>
      </w:r>
      <w:r>
        <w:t xml:space="preserve">Original Draft</w:t>
      </w:r>
      <w:r>
        <w:t xml:space="preserve">”</w:t>
      </w:r>
      <w:r>
        <w:t xml:space="preserve">), (b) the client intake memorandum dated November 5, 2024, (c) the financial disclosure summary prepared by Linden &amp; Fosse CPA, and (d) the summary valuation report prepared by Strand Valuation Services dated November 30, 2024. The purpose is to (1) identify and analyze every material change, (2) assess each change against the client’s stated objectives and Illinois law, (3) flag factual discrepancies that must be reconciled before execution, and (4) recommend a negotiation strategy for the four-way conference scheduled for January 27, 2025.</w:t>
      </w:r>
    </w:p>
    <w:p>
      <w:pPr>
        <w:pStyle w:val="BodyText"/>
      </w:pPr>
      <w:r>
        <w:rPr>
          <w:b/>
          <w:bCs/>
        </w:rPr>
        <w:t xml:space="preserve">Bottom line up front.</w:t>
      </w:r>
      <w:r>
        <w:t xml:space="preserve"> </w:t>
      </w:r>
      <w:r>
        <w:t xml:space="preserve">Mr. Baxter’s transmittal email characterizes the Redline as containing</w:t>
      </w:r>
      <w:r>
        <w:t xml:space="preserve"> </w:t>
      </w:r>
      <w:r>
        <w:t xml:space="preserve">“</w:t>
      </w:r>
      <w:r>
        <w:t xml:space="preserve">modest clarifications and a few requests for balanced treatment</w:t>
      </w:r>
      <w:r>
        <w:t xml:space="preserve">”</w:t>
      </w:r>
      <w:r>
        <w:t xml:space="preserve"> </w:t>
      </w:r>
      <w:r>
        <w:t xml:space="preserve">and states that</w:t>
      </w:r>
      <w:r>
        <w:t xml:space="preserve"> </w:t>
      </w:r>
      <w:r>
        <w:t xml:space="preserve">“</w:t>
      </w:r>
      <w:r>
        <w:t xml:space="preserve">I don’t think you’ll find anything in here that moves us far from where we started.</w:t>
      </w:r>
      <w:r>
        <w:t xml:space="preserve">”</w:t>
      </w:r>
      <w:r>
        <w:t xml:space="preserve"> </w:t>
      </w:r>
      <w:r>
        <w:rPr>
          <w:b/>
          <w:bCs/>
        </w:rPr>
        <w:t xml:space="preserve">That characterization is not accurate.</w:t>
      </w:r>
      <w:r>
        <w:t xml:space="preserve"> </w:t>
      </w:r>
      <w:r>
        <w:t xml:space="preserve">The Redline contains at least four changes that strike directly at the client’s core, non-negotiable objectives, several more that materially erode her position, and a number of factual inaccuracies relative to the CPA-prepared disclosure schedules. A handful of changes are favorable to the client and can be retained. The Redline should not be accepted in its current form; a counter-redline restoring the critical provisions is required before the January 27 conference.</w:t>
      </w:r>
    </w:p>
    <w:p>
      <w:pPr>
        <w:pStyle w:val="BodyText"/>
      </w:pPr>
      <w:r>
        <w:t xml:space="preserve">This memorandum is prepared for the internal use of the firm and is protected by the attorney-client privilege and the work product doctrine.</w:t>
      </w:r>
    </w:p>
    <w:p>
      <w:r>
        <w:pict>
          <v:rect style="width:0;height:1.5pt" o:hralign="center" o:hrstd="t" o:hr="t"/>
        </w:pict>
      </w:r>
    </w:p>
    <w:bookmarkEnd w:id="23"/>
    <w:bookmarkStart w:id="27" w:name="ii.-executive-summary"/>
    <w:p>
      <w:pPr>
        <w:pStyle w:val="Heading2"/>
      </w:pPr>
      <w:r>
        <w:t xml:space="preserve">II. Executive Summary</w:t>
      </w:r>
    </w:p>
    <w:bookmarkStart w:id="24" w:name="Xd9cde39ea04972bb9666604a417f007c3d22f87"/>
    <w:p>
      <w:pPr>
        <w:pStyle w:val="Heading3"/>
      </w:pPr>
      <w:r>
        <w:t xml:space="preserve">A. The Redline’s framing versus its substance</w:t>
      </w:r>
    </w:p>
    <w:p>
      <w:pPr>
        <w:pStyle w:val="FirstParagraph"/>
      </w:pPr>
      <w:r>
        <w:t xml:space="preserve">Mr. Baxter’s email is cordial and minimizes the edits, highlighting only the severability clause, the notarization/witness block, a spelling correction, a marriage-preservation recital, the shortened term, and the DuPage venue request. These are, in fact, among the</w:t>
      </w:r>
      <w:r>
        <w:t xml:space="preserve"> </w:t>
      </w:r>
      <w:r>
        <w:rPr>
          <w:i/>
          <w:iCs/>
        </w:rPr>
        <w:t xml:space="preserve">least</w:t>
      </w:r>
      <w:r>
        <w:t xml:space="preserve"> </w:t>
      </w:r>
      <w:r>
        <w:t xml:space="preserve">consequential changes in the document. Buried in the body are the following substantive alterations, none of which are mentioned in the transmittal email:</w:t>
      </w:r>
    </w:p>
    <w:p>
      <w:pPr>
        <w:pStyle w:val="Compact"/>
        <w:numPr>
          <w:ilvl w:val="0"/>
          <w:numId w:val="1001"/>
        </w:numPr>
      </w:pPr>
      <w:r>
        <w:rPr>
          <w:b/>
          <w:bCs/>
        </w:rPr>
        <w:t xml:space="preserve">Deletion of the Wife’s $1,200,000 premarital-savings reimbursement right</w:t>
      </w:r>
      <w:r>
        <w:t xml:space="preserve"> </w:t>
      </w:r>
      <w:r>
        <w:t xml:space="preserve">— the client’s single most important objective and, in her words,</w:t>
      </w:r>
      <w:r>
        <w:t xml:space="preserve"> </w:t>
      </w:r>
      <w:r>
        <w:t xml:space="preserve">“</w:t>
      </w:r>
      <w:r>
        <w:t xml:space="preserve">the whole reason</w:t>
      </w:r>
      <w:r>
        <w:t xml:space="preserve">”</w:t>
      </w:r>
      <w:r>
        <w:t xml:space="preserve"> </w:t>
      </w:r>
      <w:r>
        <w:t xml:space="preserve">she is pursuing the agreement.</w:t>
      </w:r>
    </w:p>
    <w:p>
      <w:pPr>
        <w:pStyle w:val="Compact"/>
        <w:numPr>
          <w:ilvl w:val="0"/>
          <w:numId w:val="1001"/>
        </w:numPr>
      </w:pPr>
      <w:r>
        <w:rPr>
          <w:b/>
          <w:bCs/>
        </w:rPr>
        <w:t xml:space="preserve">Gutting of the financial-disclosure voidability remedy</w:t>
      </w:r>
      <w:r>
        <w:t xml:space="preserve"> </w:t>
      </w:r>
      <w:r>
        <w:t xml:space="preserve">— replacing the client-protective</w:t>
      </w:r>
      <w:r>
        <w:t xml:space="preserve"> </w:t>
      </w:r>
      <w:r>
        <w:t xml:space="preserve">“</w:t>
      </w:r>
      <w:r>
        <w:t xml:space="preserve">material omission</w:t>
      </w:r>
      <w:r>
        <w:t xml:space="preserve">”</w:t>
      </w:r>
      <w:r>
        <w:t xml:space="preserve"> </w:t>
      </w:r>
      <w:r>
        <w:t xml:space="preserve">standard with a</w:t>
      </w:r>
      <w:r>
        <w:t xml:space="preserve"> </w:t>
      </w:r>
      <w:r>
        <w:t xml:space="preserve">“</w:t>
      </w:r>
      <w:r>
        <w:t xml:space="preserve">clear and convincing evidence of intentional concealment exceeding $100,000</w:t>
      </w:r>
      <w:r>
        <w:t xml:space="preserve">”</w:t>
      </w:r>
      <w:r>
        <w:t xml:space="preserve"> </w:t>
      </w:r>
      <w:r>
        <w:t xml:space="preserve">standard, plus a two-year limitations period. This is precisely the outcome the intake memorandum (Section VI) warned us to resist.</w:t>
      </w:r>
    </w:p>
    <w:p>
      <w:pPr>
        <w:pStyle w:val="Compact"/>
        <w:numPr>
          <w:ilvl w:val="0"/>
          <w:numId w:val="1001"/>
        </w:numPr>
      </w:pPr>
      <w:r>
        <w:rPr>
          <w:b/>
          <w:bCs/>
        </w:rPr>
        <w:t xml:space="preserve">Reversal of the transmutation presumption</w:t>
      </w:r>
      <w:r>
        <w:t xml:space="preserve"> </w:t>
      </w:r>
      <w:r>
        <w:t xml:space="preserve">— converting the Original Draft’s protection (separate property used for joint benefit becomes marital) into a protection for Husband (his $3.8 million inheritance remains his separate property even when deployed for the household).</w:t>
      </w:r>
    </w:p>
    <w:p>
      <w:pPr>
        <w:pStyle w:val="Compact"/>
        <w:numPr>
          <w:ilvl w:val="0"/>
          <w:numId w:val="1001"/>
        </w:numPr>
      </w:pPr>
      <w:r>
        <w:rPr>
          <w:b/>
          <w:bCs/>
        </w:rPr>
        <w:t xml:space="preserve">A unilateral modification mechanism</w:t>
      </w:r>
      <w:r>
        <w:t xml:space="preserve"> </w:t>
      </w:r>
      <w:r>
        <w:t xml:space="preserve">— allowing either party to amend the agreement by written notice that takes effect in 90 days unless the other party objects, directly contradicting the client’s requirement that modifications occur only by mutual written consent.</w:t>
      </w:r>
    </w:p>
    <w:bookmarkEnd w:id="24"/>
    <w:bookmarkStart w:id="25" w:name="b.-categorization-of-changes"/>
    <w:p>
      <w:pPr>
        <w:pStyle w:val="Heading3"/>
      </w:pPr>
      <w:r>
        <w:t xml:space="preserve">B. Categorization of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
                <w:bCs/>
              </w:rPr>
              <w:t xml:space="preserve">Accept (benign / housekeeping)</w:t>
            </w:r>
          </w:p>
        </w:tc>
        <w:tc>
          <w:tcPr/>
          <w:p>
            <w:pPr>
              <w:pStyle w:val="Compact"/>
              <w:jc w:val="left"/>
            </w:pPr>
            <w:r>
              <w:t xml:space="preserve">~6</w:t>
            </w:r>
          </w:p>
        </w:tc>
        <w:tc>
          <w:tcPr/>
          <w:p>
            <w:pPr>
              <w:pStyle w:val="Compact"/>
              <w:jc w:val="left"/>
            </w:pPr>
            <w:r>
              <w:t xml:space="preserve">Severability clause; notarization &amp; witness block;</w:t>
            </w:r>
            <w:r>
              <w:t xml:space="preserve"> </w:t>
            </w:r>
            <w:r>
              <w:t xml:space="preserve">“</w:t>
            </w:r>
            <w:r>
              <w:t xml:space="preserve">Constance</w:t>
            </w:r>
            <w:r>
              <w:t xml:space="preserve">”</w:t>
            </w:r>
            <w:r>
              <w:t xml:space="preserve"> </w:t>
            </w:r>
            <w:r>
              <w:t xml:space="preserve">spelling; marriage-preservation recital; address details</w:t>
            </w:r>
          </w:p>
        </w:tc>
      </w:tr>
      <w:tr>
        <w:tc>
          <w:tcPr/>
          <w:p>
            <w:pPr>
              <w:pStyle w:val="Compact"/>
              <w:jc w:val="left"/>
            </w:pPr>
            <w:r>
              <w:rPr>
                <w:b/>
                <w:bCs/>
              </w:rPr>
              <w:t xml:space="preserve">Accept with modification</w:t>
            </w:r>
          </w:p>
        </w:tc>
        <w:tc>
          <w:tcPr/>
          <w:p>
            <w:pPr>
              <w:pStyle w:val="Compact"/>
              <w:jc w:val="left"/>
            </w:pPr>
            <w:r>
              <w:t xml:space="preserve">~3</w:t>
            </w:r>
          </w:p>
        </w:tc>
        <w:tc>
          <w:tcPr/>
          <w:p>
            <w:pPr>
              <w:pStyle w:val="Compact"/>
              <w:jc w:val="left"/>
            </w:pPr>
            <w:r>
              <w:t xml:space="preserve">Practice-interest active/passive appreciation; maintenance cap &amp; waiver (favorable to Wife, but watch unconscionability); buyout lien</w:t>
            </w:r>
          </w:p>
        </w:tc>
      </w:tr>
      <w:tr>
        <w:tc>
          <w:tcPr/>
          <w:p>
            <w:pPr>
              <w:pStyle w:val="Compact"/>
              <w:jc w:val="left"/>
            </w:pPr>
            <w:r>
              <w:rPr>
                <w:b/>
                <w:bCs/>
              </w:rPr>
              <w:t xml:space="preserve">Reject — restore Original Draft</w:t>
            </w:r>
          </w:p>
        </w:tc>
        <w:tc>
          <w:tcPr/>
          <w:p>
            <w:pPr>
              <w:pStyle w:val="Compact"/>
              <w:jc w:val="left"/>
            </w:pPr>
            <w:r>
              <w:t xml:space="preserve">~10</w:t>
            </w:r>
          </w:p>
        </w:tc>
        <w:tc>
          <w:tcPr/>
          <w:p>
            <w:pPr>
              <w:pStyle w:val="Compact"/>
              <w:jc w:val="left"/>
            </w:pPr>
            <w:r>
              <w:t xml:space="preserve">Reimbursement right; voidability standard; transmutation; unilateral modification; Earned Income definition; prevailing-party fees; Cook County venue; 15-year sunset; $5,000 debt threshold; ongoing disclosure</w:t>
            </w:r>
          </w:p>
        </w:tc>
      </w:tr>
      <w:tr>
        <w:tc>
          <w:tcPr/>
          <w:p>
            <w:pPr>
              <w:pStyle w:val="Compact"/>
              <w:jc w:val="left"/>
            </w:pPr>
            <w:r>
              <w:rPr>
                <w:b/>
                <w:bCs/>
              </w:rPr>
              <w:t xml:space="preserve">Negotiate</w:t>
            </w:r>
          </w:p>
        </w:tc>
        <w:tc>
          <w:tcPr/>
          <w:p>
            <w:pPr>
              <w:pStyle w:val="Compact"/>
              <w:jc w:val="left"/>
            </w:pPr>
            <w:r>
              <w:t xml:space="preserve">~3</w:t>
            </w:r>
          </w:p>
        </w:tc>
        <w:tc>
          <w:tcPr/>
          <w:p>
            <w:pPr>
              <w:pStyle w:val="Compact"/>
              <w:jc w:val="left"/>
            </w:pPr>
            <w:r>
              <w:t xml:space="preserve">RSU coverture fraction; buyout timelines; reciprocal purchase right</w:t>
            </w:r>
          </w:p>
        </w:tc>
      </w:tr>
    </w:tbl>
    <w:bookmarkEnd w:id="25"/>
    <w:bookmarkStart w:id="26" w:name="c.-net-financial-effect"/>
    <w:p>
      <w:pPr>
        <w:pStyle w:val="Heading3"/>
      </w:pPr>
      <w:r>
        <w:t xml:space="preserve">C. Net financial effect</w:t>
      </w:r>
    </w:p>
    <w:p>
      <w:pPr>
        <w:pStyle w:val="FirstParagraph"/>
      </w:pPr>
      <w:r>
        <w:t xml:space="preserve">The Redline’s property provisions transfer value</w:t>
      </w:r>
      <w:r>
        <w:t xml:space="preserve"> </w:t>
      </w:r>
      <w:r>
        <w:rPr>
          <w:b/>
          <w:bCs/>
        </w:rPr>
        <w:t xml:space="preserve">to Husband</w:t>
      </w:r>
      <w:r>
        <w:t xml:space="preserve">; its maintenance provisions transfer value</w:t>
      </w:r>
      <w:r>
        <w:t xml:space="preserve"> </w:t>
      </w:r>
      <w:r>
        <w:rPr>
          <w:b/>
          <w:bCs/>
        </w:rPr>
        <w:t xml:space="preserve">to Wife</w:t>
      </w:r>
      <w:r>
        <w:t xml:space="preserve">. On a risk-adjusted basis, the property concessions extracted by Husband (principally the ~$600,000 effect of deleting the reimbursement, plus the open-ended exposure created by the transmutation reversal and the Earned-Income narrowing) substantially exceed the contingent maintenance savings offered to Wife (which depend on Husband’s income exceeding $200,000 at the time of any dissolution). The maintenance</w:t>
      </w:r>
      <w:r>
        <w:t xml:space="preserve"> </w:t>
      </w:r>
      <w:r>
        <w:t xml:space="preserve">“</w:t>
      </w:r>
      <w:r>
        <w:t xml:space="preserve">concessions</w:t>
      </w:r>
      <w:r>
        <w:t xml:space="preserve">”</w:t>
      </w:r>
      <w:r>
        <w:t xml:space="preserve"> </w:t>
      </w:r>
      <w:r>
        <w:t xml:space="preserve">are therefore not a fair exchange and should not be treated as offsetting the property losses.</w:t>
      </w:r>
    </w:p>
    <w:p>
      <w:r>
        <w:pict>
          <v:rect style="width:0;height:1.5pt" o:hralign="center" o:hrstd="t" o:hr="t"/>
        </w:pict>
      </w:r>
    </w:p>
    <w:bookmarkEnd w:id="26"/>
    <w:bookmarkEnd w:id="27"/>
    <w:bookmarkStart w:id="30" w:name="iii.-structural-and-drafting-changes"/>
    <w:p>
      <w:pPr>
        <w:pStyle w:val="Heading2"/>
      </w:pPr>
      <w:r>
        <w:t xml:space="preserve">III. Structural and Drafting Changes</w:t>
      </w:r>
    </w:p>
    <w:bookmarkStart w:id="28" w:name="a.-complete-reorganization"/>
    <w:p>
      <w:pPr>
        <w:pStyle w:val="Heading3"/>
      </w:pPr>
      <w:r>
        <w:t xml:space="preserve">A. Complete reorganization</w:t>
      </w:r>
    </w:p>
    <w:p>
      <w:pPr>
        <w:pStyle w:val="FirstParagraph"/>
      </w:pPr>
      <w:r>
        <w:t xml:space="preserve">The Redline restructures the entire document. The Original Draft used lettered Recitals (A–L) followed by fifteen numbered Articles. The Redline consolidates the recitals into Article I (Sections 1.1–1.6) and renumbers all operative provisions across Articles I–XVI, with a new Article XVI (Execution) and a new Article XV (General Provisions). The disclosure provisions, which appeared in both Article 3 and Article 12 of the Original Draft, are redistributed across Article III (Representations) and Article XII (Disclosure).</w:t>
      </w:r>
    </w:p>
    <w:p>
      <w:pPr>
        <w:pStyle w:val="BodyText"/>
      </w:pPr>
      <w:r>
        <w:t xml:space="preserve">A wholesale reorganization is not inherently objectionable, but it has two practical consequences. First, it makes line-by-line comparison difficult and increases the risk that a favorable provision is silently dropped. Second, it relocates the voidability remedy from the prominent Section 3.3 to the back-of-document Section 12.2, where its weakening is less conspicuous. We have performed a full section-by-section reconciliation; the dropped provisions are identified in Section VI below.</w:t>
      </w:r>
    </w:p>
    <w:bookmarkEnd w:id="28"/>
    <w:bookmarkStart w:id="29" w:name="X47d24cc06070398e816548ae43945c13660153a"/>
    <w:p>
      <w:pPr>
        <w:pStyle w:val="Heading3"/>
      </w:pPr>
      <w:r>
        <w:t xml:space="preserve">B. Provisions silently dropped from the Original Draft</w:t>
      </w:r>
    </w:p>
    <w:p>
      <w:pPr>
        <w:pStyle w:val="FirstParagraph"/>
      </w:pPr>
      <w:r>
        <w:t xml:space="preserve">The following Original Draft provisions have no equivalent in the Redline and should be restored:</w:t>
      </w:r>
    </w:p>
    <w:p>
      <w:pPr>
        <w:pStyle w:val="Compact"/>
        <w:numPr>
          <w:ilvl w:val="0"/>
          <w:numId w:val="1002"/>
        </w:numPr>
      </w:pPr>
      <w:r>
        <w:rPr>
          <w:b/>
          <w:bCs/>
        </w:rPr>
        <w:t xml:space="preserve">Section 3.4 — Ongoing Duty of Disclosure</w:t>
      </w:r>
      <w:r>
        <w:t xml:space="preserve"> </w:t>
      </w:r>
      <w:r>
        <w:t xml:space="preserve">(continuing obligation to disclose material financial changes, including new assets, debts, income changes, and gifts/inheritances exceeding $10,000, within 30 days). The client specifically requested ongoing annual disclosure (Objective 2(c)).</w:t>
      </w:r>
    </w:p>
    <w:p>
      <w:pPr>
        <w:pStyle w:val="Compact"/>
        <w:numPr>
          <w:ilvl w:val="0"/>
          <w:numId w:val="1002"/>
        </w:numPr>
      </w:pPr>
      <w:r>
        <w:rPr>
          <w:b/>
          <w:bCs/>
        </w:rPr>
        <w:t xml:space="preserve">Section 11.3 — Future Disclosure of Debts</w:t>
      </w:r>
      <w:r>
        <w:t xml:space="preserve"> </w:t>
      </w:r>
      <w:r>
        <w:t xml:space="preserve">(disclosure of any new debt exceeding $5,000 within 15 days; failure = material breach).</w:t>
      </w:r>
    </w:p>
    <w:p>
      <w:pPr>
        <w:pStyle w:val="Compact"/>
        <w:numPr>
          <w:ilvl w:val="0"/>
          <w:numId w:val="1002"/>
        </w:numPr>
      </w:pPr>
      <w:r>
        <w:rPr>
          <w:b/>
          <w:bCs/>
        </w:rPr>
        <w:t xml:space="preserve">Section 11.2 — $10,000 consent threshold</w:t>
      </w:r>
      <w:r>
        <w:t xml:space="preserve"> </w:t>
      </w:r>
      <w:r>
        <w:t xml:space="preserve">for individual debt incurred during the marriage.</w:t>
      </w:r>
    </w:p>
    <w:p>
      <w:pPr>
        <w:pStyle w:val="Compact"/>
        <w:numPr>
          <w:ilvl w:val="0"/>
          <w:numId w:val="1002"/>
        </w:numPr>
      </w:pPr>
      <w:r>
        <w:rPr>
          <w:b/>
          <w:bCs/>
        </w:rPr>
        <w:t xml:space="preserve">Section 15.9 — Voluntary Execution and Fairness</w:t>
      </w:r>
      <w:r>
        <w:t xml:space="preserve"> </w:t>
      </w:r>
      <w:r>
        <w:t xml:space="preserve">(explicit representation that the agreement is fair and equitable at execution and that the parties dealt with each other in utmost good faith, acknowledging the spousal fiduciary relationship). The Redline’s Section 3.2 captures the</w:t>
      </w:r>
      <w:r>
        <w:t xml:space="preserve"> </w:t>
      </w:r>
      <w:r>
        <w:t xml:space="preserve">“</w:t>
      </w:r>
      <w:r>
        <w:t xml:space="preserve">no duress</w:t>
      </w:r>
      <w:r>
        <w:t xml:space="preserve">”</w:t>
      </w:r>
      <w:r>
        <w:t xml:space="preserve"> </w:t>
      </w:r>
      <w:r>
        <w:t xml:space="preserve">element but omits the stronger fairness/good-faith representation.</w:t>
      </w:r>
    </w:p>
    <w:p>
      <w:pPr>
        <w:pStyle w:val="Compact"/>
        <w:numPr>
          <w:ilvl w:val="0"/>
          <w:numId w:val="1002"/>
        </w:numPr>
      </w:pPr>
      <w:r>
        <w:rPr>
          <w:b/>
          <w:bCs/>
        </w:rPr>
        <w:t xml:space="preserve">Section 15.10 — No Pending Proceedings.</w:t>
      </w:r>
    </w:p>
    <w:p>
      <w:pPr>
        <w:pStyle w:val="Compact"/>
        <w:numPr>
          <w:ilvl w:val="0"/>
          <w:numId w:val="1002"/>
        </w:numPr>
      </w:pPr>
      <w:r>
        <w:rPr>
          <w:b/>
          <w:bCs/>
        </w:rPr>
        <w:t xml:space="preserve">Section 15.5 — Counterparts; Section 15.6 — Waiver; Section 15.7 — Headings.</w:t>
      </w:r>
      <w:r>
        <w:t xml:space="preserve"> </w:t>
      </w:r>
      <w:r>
        <w:t xml:space="preserve">Standard housekeeping provisions that should be restored for completeness.</w:t>
      </w:r>
    </w:p>
    <w:p>
      <w:r>
        <w:pict>
          <v:rect style="width:0;height:1.5pt" o:hralign="center" o:hrstd="t" o:hr="t"/>
        </w:pict>
      </w:r>
    </w:p>
    <w:bookmarkEnd w:id="29"/>
    <w:bookmarkEnd w:id="30"/>
    <w:bookmarkStart w:id="36" w:name="Xa8f9b6e919d76fd24d4bffdaf5582643fd369d8"/>
    <w:p>
      <w:pPr>
        <w:pStyle w:val="Heading2"/>
      </w:pPr>
      <w:r>
        <w:t xml:space="preserve">IV. Critical Issues (Tier 1) — Must Be Restored</w:t>
      </w:r>
    </w:p>
    <w:p>
      <w:pPr>
        <w:pStyle w:val="FirstParagraph"/>
      </w:pPr>
      <w:r>
        <w:t xml:space="preserve">These five changes each undermine a core, non-negotiable client objective. None should be accepted. Each is addressed in detail below.</w:t>
      </w:r>
    </w:p>
    <w:bookmarkStart w:id="31" w:name="Xa7fda5fdcf88f8fdd230df657189ed2356bc990"/>
    <w:p>
      <w:pPr>
        <w:pStyle w:val="Heading3"/>
      </w:pPr>
      <w:r>
        <w:t xml:space="preserve">1. Deletion of the Wife’s $1,200,000 Premarital-Savings Reimbursement Right</w:t>
      </w:r>
    </w:p>
    <w:p>
      <w:pPr>
        <w:pStyle w:val="FirstParagraph"/>
      </w:pPr>
      <w:r>
        <w:rPr>
          <w:b/>
          <w:bCs/>
        </w:rPr>
        <w:t xml:space="preserve">Original Draft (Section 5.2).</w:t>
      </w:r>
      <w:r>
        <w:t xml:space="preserve"> </w:t>
      </w:r>
      <w:r>
        <w:t xml:space="preserve">Wife holds a first-priority reimbursement claim of $1,200,000 against the Joint Investment Account, satisfied</w:t>
      </w:r>
      <w:r>
        <w:t xml:space="preserve"> </w:t>
      </w:r>
      <w:r>
        <w:rPr>
          <w:i/>
          <w:iCs/>
        </w:rPr>
        <w:t xml:space="preserve">before</w:t>
      </w:r>
      <w:r>
        <w:t xml:space="preserve"> </w:t>
      </w:r>
      <w:r>
        <w:t xml:space="preserve">any equal division of the remaining balance. After reimbursement, the remaining ~$670,000 of appreciation is split 50/50. The provision expressly states the claim is</w:t>
      </w:r>
      <w:r>
        <w:t xml:space="preserve"> </w:t>
      </w:r>
      <w:r>
        <w:t xml:space="preserve">“</w:t>
      </w:r>
      <w:r>
        <w:t xml:space="preserve">a first-priority claim</w:t>
      </w:r>
      <w:r>
        <w:t xml:space="preserve">”</w:t>
      </w:r>
      <w:r>
        <w:t xml:space="preserve"> </w:t>
      </w:r>
      <w:r>
        <w:t xml:space="preserve">that</w:t>
      </w:r>
      <w:r>
        <w:t xml:space="preserve"> </w:t>
      </w:r>
      <w:r>
        <w:t xml:space="preserve">“</w:t>
      </w:r>
      <w:r>
        <w:t xml:space="preserve">shall take precedence over the equal division.</w:t>
      </w:r>
      <w:r>
        <w:t xml:space="preserve">”</w:t>
      </w:r>
    </w:p>
    <w:p>
      <w:pPr>
        <w:pStyle w:val="BodyText"/>
      </w:pPr>
      <w:r>
        <w:rPr>
          <w:b/>
          <w:bCs/>
        </w:rPr>
        <w:t xml:space="preserve">Redline.</w:t>
      </w:r>
      <w:r>
        <w:t xml:space="preserve"> </w:t>
      </w:r>
      <w:r>
        <w:t xml:space="preserve">Section 5.2 is deleted in its entirety. Margin comment MC-05 states:</w:t>
      </w:r>
      <w:r>
        <w:t xml:space="preserve"> </w:t>
      </w:r>
      <w:r>
        <w:t xml:space="preserve">“</w:t>
      </w:r>
      <w:r>
        <w:t xml:space="preserve">Section deleted — duplicative of Section 5.1 general property division provisions.</w:t>
      </w:r>
      <w:r>
        <w:t xml:space="preserve">”</w:t>
      </w:r>
      <w:r>
        <w:t xml:space="preserve"> </w:t>
      </w:r>
      <w:r>
        <w:t xml:space="preserve">The Redline’s Section 4.1 acknowledges that Wife’s $1,200,000 premarital savings were commingled and</w:t>
      </w:r>
      <w:r>
        <w:t xml:space="preserve"> </w:t>
      </w:r>
      <w:r>
        <w:t xml:space="preserve">“</w:t>
      </w:r>
      <w:r>
        <w:t xml:space="preserve">are now treated as Marital Property pursuant to Section 5.1,</w:t>
      </w:r>
      <w:r>
        <w:t xml:space="preserve">”</w:t>
      </w:r>
      <w:r>
        <w:t xml:space="preserve"> </w:t>
      </w:r>
      <w:r>
        <w:t xml:space="preserve">but strips away the remedy.</w:t>
      </w:r>
    </w:p>
    <w:p>
      <w:pPr>
        <w:pStyle w:val="BodyText"/>
      </w:pPr>
      <w:r>
        <w:rPr>
          <w:b/>
          <w:bCs/>
        </w:rPr>
        <w:t xml:space="preserve">Analysis.</w:t>
      </w:r>
      <w:r>
        <w:t xml:space="preserve"> </w:t>
      </w:r>
      <w:r>
        <w:t xml:space="preserve">The deletion is the single most damaging change in the Redline and strikes the client’s primary objective. The client stated unequivocally that protecting the $1,200,000 premarital contribution is</w:t>
      </w:r>
      <w:r>
        <w:t xml:space="preserve"> </w:t>
      </w:r>
      <w:r>
        <w:t xml:space="preserve">“</w:t>
      </w:r>
      <w:r>
        <w:t xml:space="preserve">non-negotiable</w:t>
      </w:r>
      <w:r>
        <w:t xml:space="preserve">”</w:t>
      </w:r>
      <w:r>
        <w:t xml:space="preserve"> </w:t>
      </w:r>
      <w:r>
        <w:t xml:space="preserve">and</w:t>
      </w:r>
      <w:r>
        <w:t xml:space="preserve"> </w:t>
      </w:r>
      <w:r>
        <w:t xml:space="preserve">“</w:t>
      </w:r>
      <w:r>
        <w:t xml:space="preserve">the whole reason</w:t>
      </w:r>
      <w:r>
        <w:t xml:space="preserve">”</w:t>
      </w:r>
      <w:r>
        <w:t xml:space="preserve"> </w:t>
      </w:r>
      <w:r>
        <w:t xml:space="preserve">she is pursuing the agreement (Intake Memorandum, Objective 1). The</w:t>
      </w:r>
      <w:r>
        <w:t xml:space="preserve"> </w:t>
      </w:r>
      <w:r>
        <w:t xml:space="preserve">“</w:t>
      </w:r>
      <w:r>
        <w:t xml:space="preserve">duplicative</w:t>
      </w:r>
      <w:r>
        <w:t xml:space="preserve">”</w:t>
      </w:r>
      <w:r>
        <w:t xml:space="preserve"> </w:t>
      </w:r>
      <w:r>
        <w:t xml:space="preserve">justification is false: the general 50/50 division in Section 5.1 does</w:t>
      </w:r>
      <w:r>
        <w:t xml:space="preserve"> </w:t>
      </w:r>
      <w:r>
        <w:rPr>
          <w:b/>
          <w:bCs/>
        </w:rPr>
        <w:t xml:space="preserve">not</w:t>
      </w:r>
      <w:r>
        <w:t xml:space="preserve"> </w:t>
      </w:r>
      <w:r>
        <w:t xml:space="preserve">provide a first-dollar reimbursement. To the contrary, deleting the reimbursement converts what would be Wife’s $1,535,000 recovery from the Joint Investment Account ($1,200,000 reimbursement + $335,000 half of appreciation) into a $935,000 recovery (50% of $1,870,000) — a</w:t>
      </w:r>
      <w:r>
        <w:t xml:space="preserve"> </w:t>
      </w:r>
      <w:r>
        <w:rPr>
          <w:b/>
          <w:bCs/>
        </w:rPr>
        <w:t xml:space="preserve">loss to Wife of approximately $600,000</w:t>
      </w:r>
      <w:r>
        <w:t xml:space="preserve"> </w:t>
      </w:r>
      <w:r>
        <w:t xml:space="preserve">and a corresponding gain to Husband.</w:t>
      </w:r>
    </w:p>
    <w:p>
      <w:pPr>
        <w:pStyle w:val="BodyText"/>
      </w:pPr>
      <w:r>
        <w:t xml:space="preserve">The reimbursement right is well-supported. The tracing is thoroughly documented in the Linden &amp; Fosse disclosure (Line W-5 / Line J-2): Wife deposited $1,200,000 from her individual Northbridge account (ending 0184, closed 2014) into the joint account, verified by wire-transfer confirmations and monthly statements. The intake memorandum (Section VI) confirms such a contractual reimbursement right is enforceable under Illinois law when based on traceable premarital assets and clearly documented. Without it, Wife surrenders a right she would very likely recover under default Illinois tracing principles (750 ILCS 5/503(c)), making the agreement potentially</w:t>
      </w:r>
      <w:r>
        <w:t xml:space="preserve"> </w:t>
      </w:r>
      <w:r>
        <w:rPr>
          <w:i/>
          <w:iCs/>
        </w:rPr>
        <w:t xml:space="preserve">worse</w:t>
      </w:r>
      <w:r>
        <w:t xml:space="preserve"> </w:t>
      </w:r>
      <w:r>
        <w:t xml:space="preserve">for her than the statutory baseline — a classic unconscionability red flag.</w:t>
      </w:r>
    </w:p>
    <w:p>
      <w:pPr>
        <w:pStyle w:val="BodyText"/>
      </w:pPr>
      <w:r>
        <w:rPr>
          <w:b/>
          <w:bCs/>
        </w:rPr>
        <w:t xml:space="preserve">Recommendation.</w:t>
      </w:r>
      <w:r>
        <w:t xml:space="preserve"> </w:t>
      </w:r>
      <w:r>
        <w:t xml:space="preserve">Restore Section 5.2 of the Original Draft in full, including the first-priority claim language and the explicit precedence over equal division. This is non-negotiable.</w:t>
      </w:r>
    </w:p>
    <w:bookmarkEnd w:id="31"/>
    <w:bookmarkStart w:id="32" w:name="X637b7301006ff5c8c98fc60f866682b97000070"/>
    <w:p>
      <w:pPr>
        <w:pStyle w:val="Heading3"/>
      </w:pPr>
      <w:r>
        <w:t xml:space="preserve">2. Weakening of the Financial-Disclosure Voidability Remedy</w:t>
      </w:r>
    </w:p>
    <w:p>
      <w:pPr>
        <w:pStyle w:val="FirstParagraph"/>
      </w:pPr>
      <w:r>
        <w:rPr>
          <w:b/>
          <w:bCs/>
        </w:rPr>
        <w:t xml:space="preserve">Original Draft (Section 3.3).</w:t>
      </w:r>
      <w:r>
        <w:t xml:space="preserve"> </w:t>
      </w:r>
      <w:r>
        <w:t xml:space="preserve">The agreement is</w:t>
      </w:r>
      <w:r>
        <w:t xml:space="preserve"> </w:t>
      </w:r>
      <w:r>
        <w:t xml:space="preserve">“</w:t>
      </w:r>
      <w:r>
        <w:t xml:space="preserve">voidable at the election of either Party if it is determined that the other Party made material omissions or misrepresentations in their financial disclosure.</w:t>
      </w:r>
      <w:r>
        <w:t xml:space="preserve">”</w:t>
      </w:r>
      <w:r>
        <w:t xml:space="preserve"> </w:t>
      </w:r>
      <w:r>
        <w:t xml:space="preserve">The right</w:t>
      </w:r>
      <w:r>
        <w:t xml:space="preserve"> </w:t>
      </w:r>
      <w:r>
        <w:t xml:space="preserve">“</w:t>
      </w:r>
      <w:r>
        <w:t xml:space="preserve">shall not be subject to any heightened evidentiary standard or dollar threshold.</w:t>
      </w:r>
      <w:r>
        <w:t xml:space="preserve">”</w:t>
      </w:r>
      <w:r>
        <w:t xml:space="preserve"> </w:t>
      </w:r>
      <w:r>
        <w:t xml:space="preserve">Section 3.1 further represents that</w:t>
      </w:r>
      <w:r>
        <w:t xml:space="preserve"> </w:t>
      </w:r>
      <w:r>
        <w:t xml:space="preserve">“</w:t>
      </w:r>
      <w:r>
        <w:t xml:space="preserve">no material asset, liability, source of income, or financial obligation has been intentionally or inadvertently omitted.</w:t>
      </w:r>
      <w:r>
        <w:t xml:space="preserve">”</w:t>
      </w:r>
    </w:p>
    <w:p>
      <w:pPr>
        <w:pStyle w:val="BodyText"/>
      </w:pPr>
      <w:r>
        <w:rPr>
          <w:b/>
          <w:bCs/>
        </w:rPr>
        <w:t xml:space="preserve">Redline (Section 12.2).</w:t>
      </w:r>
      <w:r>
        <w:t xml:space="preserve"> </w:t>
      </w:r>
      <w:r>
        <w:t xml:space="preserve">The agreement is</w:t>
      </w:r>
      <w:r>
        <w:t xml:space="preserve"> </w:t>
      </w:r>
      <w:r>
        <w:t xml:space="preserve">“</w:t>
      </w:r>
      <w:r>
        <w:t xml:space="preserve">voidable</w:t>
      </w:r>
      <w:r>
        <w:t xml:space="preserve"> </w:t>
      </w:r>
      <w:r>
        <w:rPr>
          <w:i/>
          <w:iCs/>
        </w:rPr>
        <w:t xml:space="preserve">only</w:t>
      </w:r>
      <w:r>
        <w:t xml:space="preserve"> </w:t>
      </w:r>
      <w:r>
        <w:t xml:space="preserve">if a Party can demonstrate,</w:t>
      </w:r>
      <w:r>
        <w:t xml:space="preserve"> </w:t>
      </w:r>
      <w:r>
        <w:rPr>
          <w:i/>
          <w:iCs/>
        </w:rPr>
        <w:t xml:space="preserve">by clear and convincing evidence</w:t>
      </w:r>
      <w:r>
        <w:t xml:space="preserve">, that the other Party</w:t>
      </w:r>
      <w:r>
        <w:t xml:space="preserve"> </w:t>
      </w:r>
      <w:r>
        <w:rPr>
          <w:i/>
          <w:iCs/>
        </w:rPr>
        <w:t xml:space="preserve">intentionally concealed</w:t>
      </w:r>
      <w:r>
        <w:t xml:space="preserve"> </w:t>
      </w:r>
      <w:r>
        <w:t xml:space="preserve">assets, income, or liabilities with an aggregate value</w:t>
      </w:r>
      <w:r>
        <w:t xml:space="preserve"> </w:t>
      </w:r>
      <w:r>
        <w:rPr>
          <w:i/>
          <w:iCs/>
        </w:rPr>
        <w:t xml:space="preserve">exceeding One Hundred Thousand Dollars ($100,000)</w:t>
      </w:r>
      <w:r>
        <w:t xml:space="preserve">.</w:t>
      </w:r>
      <w:r>
        <w:t xml:space="preserve">”</w:t>
      </w:r>
      <w:r>
        <w:t xml:space="preserve"> </w:t>
      </w:r>
      <w:r>
        <w:t xml:space="preserve">“</w:t>
      </w:r>
      <w:r>
        <w:t xml:space="preserve">Inadvertent errors or omissions shall not constitute grounds for avoidance.</w:t>
      </w:r>
      <w:r>
        <w:t xml:space="preserve">”</w:t>
      </w:r>
      <w:r>
        <w:t xml:space="preserve"> </w:t>
      </w:r>
      <w:r>
        <w:t xml:space="preserve">A new two-year limitations period runs from discovery. Companion edits insert the word</w:t>
      </w:r>
      <w:r>
        <w:t xml:space="preserve"> </w:t>
      </w:r>
      <w:r>
        <w:t xml:space="preserve">“</w:t>
      </w:r>
      <w:r>
        <w:t xml:space="preserve">substantially</w:t>
      </w:r>
      <w:r>
        <w:t xml:space="preserve">”</w:t>
      </w:r>
      <w:r>
        <w:t xml:space="preserve"> </w:t>
      </w:r>
      <w:r>
        <w:t xml:space="preserve">before the disclosure representations (TC-06, TC-15, TC-41), and the Original Draft’s ongoing disclosure duty (Section 3.4) and future-debt disclosure duty (Section 11.3) are deleted.</w:t>
      </w:r>
    </w:p>
    <w:p>
      <w:pPr>
        <w:pStyle w:val="BodyText"/>
      </w:pPr>
      <w:r>
        <w:rPr>
          <w:b/>
          <w:bCs/>
        </w:rPr>
        <w:t xml:space="preserve">Analysis.</w:t>
      </w:r>
      <w:r>
        <w:t xml:space="preserve"> </w:t>
      </w:r>
      <w:r>
        <w:t xml:space="preserve">This is the change the intake memorandum most directly anticipated. Section VI warned:</w:t>
      </w:r>
      <w:r>
        <w:t xml:space="preserve"> </w:t>
      </w:r>
      <w:r>
        <w:t xml:space="preserve">“</w:t>
      </w:r>
      <w:r>
        <w:t xml:space="preserve">We should resist any effort by opposing counsel to impose a heightened</w:t>
      </w:r>
      <w:r>
        <w:t xml:space="preserve"> </w:t>
      </w:r>
      <w:r>
        <w:t xml:space="preserve">‘</w:t>
      </w:r>
      <w:r>
        <w:t xml:space="preserve">intentional concealment</w:t>
      </w:r>
      <w:r>
        <w:t xml:space="preserve">’</w:t>
      </w:r>
      <w:r>
        <w:t xml:space="preserve"> </w:t>
      </w:r>
      <w:r>
        <w:t xml:space="preserve">standard or a dollar-amount threshold that would narrow the scope of the voidability remedy.</w:t>
      </w:r>
      <w:r>
        <w:t xml:space="preserve">”</w:t>
      </w:r>
      <w:r>
        <w:t xml:space="preserve"> </w:t>
      </w:r>
      <w:r>
        <w:t xml:space="preserve">The Redline imposes</w:t>
      </w:r>
      <w:r>
        <w:t xml:space="preserve"> </w:t>
      </w:r>
      <w:r>
        <w:rPr>
          <w:b/>
          <w:bCs/>
        </w:rPr>
        <w:t xml:space="preserve">both</w:t>
      </w:r>
      <w:r>
        <w:t xml:space="preserve"> </w:t>
      </w:r>
      <w:r>
        <w:t xml:space="preserve">a heightened standard (</w:t>
      </w:r>
      <w:r>
        <w:t xml:space="preserve">“</w:t>
      </w:r>
      <w:r>
        <w:t xml:space="preserve">clear and convincing evidence</w:t>
      </w:r>
      <w:r>
        <w:t xml:space="preserve">”</w:t>
      </w:r>
      <w:r>
        <w:t xml:space="preserve">),</w:t>
      </w:r>
      <w:r>
        <w:t xml:space="preserve"> </w:t>
      </w:r>
      <w:r>
        <w:rPr>
          <w:b/>
          <w:bCs/>
        </w:rPr>
        <w:t xml:space="preserve">and</w:t>
      </w:r>
      <w:r>
        <w:t xml:space="preserve"> </w:t>
      </w:r>
      <w:r>
        <w:t xml:space="preserve">an intent requirement (</w:t>
      </w:r>
      <w:r>
        <w:t xml:space="preserve">“</w:t>
      </w:r>
      <w:r>
        <w:t xml:space="preserve">intentionally concealed</w:t>
      </w:r>
      <w:r>
        <w:t xml:space="preserve">”</w:t>
      </w:r>
      <w:r>
        <w:t xml:space="preserve">),</w:t>
      </w:r>
      <w:r>
        <w:t xml:space="preserve"> </w:t>
      </w:r>
      <w:r>
        <w:rPr>
          <w:b/>
          <w:bCs/>
        </w:rPr>
        <w:t xml:space="preserve">and</w:t>
      </w:r>
      <w:r>
        <w:t xml:space="preserve"> </w:t>
      </w:r>
      <w:r>
        <w:t xml:space="preserve">a dollar threshold ($100,000),</w:t>
      </w:r>
      <w:r>
        <w:t xml:space="preserve"> </w:t>
      </w:r>
      <w:r>
        <w:rPr>
          <w:b/>
          <w:bCs/>
        </w:rPr>
        <w:t xml:space="preserve">and</w:t>
      </w:r>
      <w:r>
        <w:t xml:space="preserve"> </w:t>
      </w:r>
      <w:r>
        <w:t xml:space="preserve">a limitations period,</w:t>
      </w:r>
      <w:r>
        <w:t xml:space="preserve"> </w:t>
      </w:r>
      <w:r>
        <w:rPr>
          <w:b/>
          <w:bCs/>
        </w:rPr>
        <w:t xml:space="preserve">and</w:t>
      </w:r>
      <w:r>
        <w:t xml:space="preserve"> </w:t>
      </w:r>
      <w:r>
        <w:t xml:space="preserve">it carves out inadvertent omissions entirely. Each element independently narrows the remedy; together they gut it.</w:t>
      </w:r>
    </w:p>
    <w:p>
      <w:pPr>
        <w:pStyle w:val="BodyText"/>
      </w:pPr>
      <w:r>
        <w:t xml:space="preserve">The change is especially dangerous given the documented facts. Husband concealed $68,000 in credit card debt for approximately eighteen months. The client’s central concern is that</w:t>
      </w:r>
      <w:r>
        <w:t xml:space="preserve"> </w:t>
      </w:r>
      <w:r>
        <w:rPr>
          <w:i/>
          <w:iCs/>
        </w:rPr>
        <w:t xml:space="preserve">additional</w:t>
      </w:r>
      <w:r>
        <w:t xml:space="preserve"> </w:t>
      </w:r>
      <w:r>
        <w:t xml:space="preserve">concealment may surface, and she specifically rejected a high threshold:</w:t>
      </w:r>
      <w:r>
        <w:t xml:space="preserve"> </w:t>
      </w:r>
      <w:r>
        <w:t xml:space="preserve">“</w:t>
      </w:r>
      <w:r>
        <w:t xml:space="preserve">If Marcus is hiding a $10,000 account or a $50,000 account, I want to be able to void this agreement. I don’t want a provision that only kicks in if he hides a million dollars</w:t>
      </w:r>
      <w:r>
        <w:t xml:space="preserve">”</w:t>
      </w:r>
      <w:r>
        <w:t xml:space="preserve"> </w:t>
      </w:r>
      <w:r>
        <w:t xml:space="preserve">(Intake Memorandum, Objective 2). The $100,000 threshold would immunize concealment of precisely the magnitude the client fears. The</w:t>
      </w:r>
      <w:r>
        <w:t xml:space="preserve"> </w:t>
      </w:r>
      <w:r>
        <w:t xml:space="preserve">“</w:t>
      </w:r>
      <w:r>
        <w:t xml:space="preserve">intentional</w:t>
      </w:r>
      <w:r>
        <w:t xml:space="preserve">”</w:t>
      </w:r>
      <w:r>
        <w:t xml:space="preserve"> </w:t>
      </w:r>
      <w:r>
        <w:t xml:space="preserve">requirement is also problematic: proving intent is far harder than proving a material omission, and the</w:t>
      </w:r>
      <w:r>
        <w:t xml:space="preserve"> </w:t>
      </w:r>
      <w:r>
        <w:t xml:space="preserve">“</w:t>
      </w:r>
      <w:r>
        <w:t xml:space="preserve">inadvertent</w:t>
      </w:r>
      <w:r>
        <w:t xml:space="preserve">”</w:t>
      </w:r>
      <w:r>
        <w:t xml:space="preserve"> </w:t>
      </w:r>
      <w:r>
        <w:t xml:space="preserve">carve-out rewards sloppy or strategic disclosure.</w:t>
      </w:r>
    </w:p>
    <w:p>
      <w:pPr>
        <w:pStyle w:val="BodyText"/>
      </w:pPr>
      <w:r>
        <w:t xml:space="preserve">There is also an enforceability dimension. Full and fair financial disclosure is a prerequisite to enforceability of an Illinois postnuptial agreement. A provision that affirmatively shields material non-disclosure up to $100,000 and excuses inadvertent omissions invites a court to question whether the disclosure regime itself was fair — undermining the very enforceability Husband presumably wants.</w:t>
      </w:r>
    </w:p>
    <w:p>
      <w:pPr>
        <w:pStyle w:val="BodyText"/>
      </w:pPr>
      <w:r>
        <w:rPr>
          <w:b/>
          <w:bCs/>
        </w:rPr>
        <w:t xml:space="preserve">Recommendation.</w:t>
      </w:r>
      <w:r>
        <w:t xml:space="preserve"> </w:t>
      </w:r>
      <w:r>
        <w:t xml:space="preserve">Restore Section 3.3 of the Original Draft verbatim (material-omission standard, no heightened evidentiary standard, no dollar threshold, no intent requirement, coverage of inadvertent omissions). Remove the word</w:t>
      </w:r>
      <w:r>
        <w:t xml:space="preserve"> </w:t>
      </w:r>
      <w:r>
        <w:t xml:space="preserve">“</w:t>
      </w:r>
      <w:r>
        <w:t xml:space="preserve">substantially</w:t>
      </w:r>
      <w:r>
        <w:t xml:space="preserve">”</w:t>
      </w:r>
      <w:r>
        <w:t xml:space="preserve"> </w:t>
      </w:r>
      <w:r>
        <w:t xml:space="preserve">from Sections 1.5, 3.1(d), and 12.1. Restore the ongoing disclosure duty (Original Section 3.4) and the future-debt disclosure duty (Original Section 11.3). Reject the two-year limitations period, or, if a limitations period is unavoidable, anchor it to the date of</w:t>
      </w:r>
      <w:r>
        <w:t xml:space="preserve"> </w:t>
      </w:r>
      <w:r>
        <w:rPr>
          <w:i/>
          <w:iCs/>
        </w:rPr>
        <w:t xml:space="preserve">actual</w:t>
      </w:r>
      <w:r>
        <w:t xml:space="preserve"> </w:t>
      </w:r>
      <w:r>
        <w:t xml:space="preserve">discovery of the specific omission (not constructive discovery) and extend it to a minimum of five years.</w:t>
      </w:r>
    </w:p>
    <w:bookmarkEnd w:id="32"/>
    <w:bookmarkStart w:id="33" w:name="X65e963b1995800e0265ea09043d28bf5f79e785"/>
    <w:p>
      <w:pPr>
        <w:pStyle w:val="Heading3"/>
      </w:pPr>
      <w:r>
        <w:t xml:space="preserve">3. Reversal of the Transmutation Presumption</w:t>
      </w:r>
    </w:p>
    <w:p>
      <w:pPr>
        <w:pStyle w:val="FirstParagraph"/>
      </w:pPr>
      <w:r>
        <w:rPr>
          <w:b/>
          <w:bCs/>
        </w:rPr>
        <w:t xml:space="preserve">Original Draft (Section 4.3(b)).</w:t>
      </w:r>
      <w:r>
        <w:t xml:space="preserve"> </w:t>
      </w:r>
      <w:r>
        <w:t xml:space="preserve">Separate property used for the joint benefit of the marital household — mortgage payments, home improvements, family expenses, tuition, family travel —</w:t>
      </w:r>
      <w:r>
        <w:t xml:space="preserve"> </w:t>
      </w:r>
      <w:r>
        <w:t xml:space="preserve">“</w:t>
      </w:r>
      <w:r>
        <w:t xml:space="preserve">shall be deemed a gift to the marriage and shall be treated as Marital Property,</w:t>
      </w:r>
      <w:r>
        <w:t xml:space="preserve">”</w:t>
      </w:r>
      <w:r>
        <w:t xml:space="preserve"> </w:t>
      </w:r>
      <w:r>
        <w:t xml:space="preserve">with a rebuttable presumption of transmutation. The provision expressly</w:t>
      </w:r>
      <w:r>
        <w:t xml:space="preserve"> </w:t>
      </w:r>
      <w:r>
        <w:t xml:space="preserve">“</w:t>
      </w:r>
      <w:r>
        <w:t xml:space="preserve">applies to both Husband’s Inheritance and to any other Separate Property.</w:t>
      </w:r>
      <w:r>
        <w:t xml:space="preserve">”</w:t>
      </w:r>
      <w:r>
        <w:t xml:space="preserve"> </w:t>
      </w:r>
      <w:r>
        <w:t xml:space="preserve">Section 4.3(a) provides that commingled separate property is treated as marital to the extent of commingling, subject to the tracing right.</w:t>
      </w:r>
    </w:p>
    <w:p>
      <w:pPr>
        <w:pStyle w:val="BodyText"/>
      </w:pPr>
      <w:r>
        <w:rPr>
          <w:b/>
          <w:bCs/>
        </w:rPr>
        <w:t xml:space="preserve">Redline (Section 4.3(c), TC-19 / MC-04).</w:t>
      </w:r>
      <w:r>
        <w:t xml:space="preserve"> </w:t>
      </w:r>
      <w:r>
        <w:t xml:space="preserve">Separate property used for joint benefit</w:t>
      </w:r>
      <w:r>
        <w:t xml:space="preserve"> </w:t>
      </w:r>
      <w:r>
        <w:t xml:space="preserve">“</w:t>
      </w:r>
      <w:r>
        <w:t xml:space="preserve">shall</w:t>
      </w:r>
      <w:r>
        <w:t xml:space="preserve"> </w:t>
      </w:r>
      <w:r>
        <w:rPr>
          <w:i/>
          <w:iCs/>
        </w:rPr>
        <w:t xml:space="preserve">not</w:t>
      </w:r>
      <w:r>
        <w:t xml:space="preserve"> </w:t>
      </w:r>
      <w:r>
        <w:t xml:space="preserve">be deemed commingled solely by reason of such use, and the Party contributing such separate property shall retain a claim for reimbursement of such amounts from the marital estate, with such property</w:t>
      </w:r>
      <w:r>
        <w:t xml:space="preserve"> </w:t>
      </w:r>
      <w:r>
        <w:rPr>
          <w:i/>
          <w:iCs/>
        </w:rPr>
        <w:t xml:space="preserve">retaining its classification as Separate Property</w:t>
      </w:r>
      <w:r>
        <w:t xml:space="preserve"> </w:t>
      </w:r>
      <w:r>
        <w:t xml:space="preserve">of the contributing Party.</w:t>
      </w:r>
      <w:r>
        <w:t xml:space="preserve">”</w:t>
      </w:r>
      <w:r>
        <w:t xml:space="preserve"> </w:t>
      </w:r>
      <w:r>
        <w:t xml:space="preserve">Section 4.3(b) (TC-18 / MC-03) is also softened: commingling</w:t>
      </w:r>
      <w:r>
        <w:t xml:space="preserve"> </w:t>
      </w:r>
      <w:r>
        <w:t xml:space="preserve">“</w:t>
      </w:r>
      <w:r>
        <w:t xml:space="preserve">may, depending on the circumstances, result in the reclassification,</w:t>
      </w:r>
      <w:r>
        <w:t xml:space="preserve">”</w:t>
      </w:r>
      <w:r>
        <w:t xml:space="preserve"> </w:t>
      </w:r>
      <w:r>
        <w:t xml:space="preserve">rather than</w:t>
      </w:r>
      <w:r>
        <w:t xml:space="preserve"> </w:t>
      </w:r>
      <w:r>
        <w:t xml:space="preserve">“</w:t>
      </w:r>
      <w:r>
        <w:t xml:space="preserve">shall be treated as Marital Property to the extent of such commingling.</w:t>
      </w:r>
      <w:r>
        <w:t xml:space="preserve">”</w:t>
      </w:r>
    </w:p>
    <w:p>
      <w:pPr>
        <w:pStyle w:val="BodyText"/>
      </w:pPr>
      <w:r>
        <w:rPr>
          <w:b/>
          <w:bCs/>
        </w:rPr>
        <w:t xml:space="preserve">Analysis.</w:t>
      </w:r>
      <w:r>
        <w:t xml:space="preserve"> </w:t>
      </w:r>
      <w:r>
        <w:t xml:space="preserve">This reverses the direction of the protection. Under the Original Draft, if Husband deploys his inheritance to pay down the mortgage, fund home improvements, or pay family expenses, those funds become marital and Wife shares in them. Under the Redline, the funds remain Husband’s separate property and Wife gets, at most, a reimbursement</w:t>
      </w:r>
      <w:r>
        <w:t xml:space="preserve"> </w:t>
      </w:r>
      <w:r>
        <w:rPr>
          <w:i/>
          <w:iCs/>
        </w:rPr>
        <w:t xml:space="preserve">claim</w:t>
      </w:r>
      <w:r>
        <w:t xml:space="preserve"> </w:t>
      </w:r>
      <w:r>
        <w:t xml:space="preserve">against the marital estate — a claim that is only as good as the marital estate’s solvency and that is subordinate to the separate-property characterization.</w:t>
      </w:r>
    </w:p>
    <w:p>
      <w:pPr>
        <w:pStyle w:val="BodyText"/>
      </w:pPr>
      <w:r>
        <w:t xml:space="preserve">The asymmetry is stark. Husband holds approximately $3.8 million in liquid and near-liquid separate property (the inheritance) that can readily be deployed for household purposes. Wife’s separate property is her $1,650,000 practice interest (illiquid, not easily deployed for household expenses) and her already-commingled premarital savings. The</w:t>
      </w:r>
      <w:r>
        <w:t xml:space="preserve"> </w:t>
      </w:r>
      <w:r>
        <w:t xml:space="preserve">“</w:t>
      </w:r>
      <w:r>
        <w:t xml:space="preserve">protection</w:t>
      </w:r>
      <w:r>
        <w:t xml:space="preserve">”</w:t>
      </w:r>
      <w:r>
        <w:t xml:space="preserve"> </w:t>
      </w:r>
      <w:r>
        <w:t xml:space="preserve">the Redline offers therefore operates almost exclusively in Husband’s favor. The margin comment (MC-04) frames it as protecting</w:t>
      </w:r>
      <w:r>
        <w:t xml:space="preserve"> </w:t>
      </w:r>
      <w:r>
        <w:t xml:space="preserve">“</w:t>
      </w:r>
      <w:r>
        <w:t xml:space="preserve">both parties’ separate property from inadvertent commingling through ordinary family expenditures,</w:t>
      </w:r>
      <w:r>
        <w:t xml:space="preserve">”</w:t>
      </w:r>
      <w:r>
        <w:t xml:space="preserve"> </w:t>
      </w:r>
      <w:r>
        <w:t xml:space="preserve">but the practical effect is to insulate Husband’s inheritance from the very consequence the client was concerned about. The intake memorandum (Section II.H) records the client’s specific worry:</w:t>
      </w:r>
      <w:r>
        <w:t xml:space="preserve"> </w:t>
      </w:r>
      <w:r>
        <w:t xml:space="preserve">“</w:t>
      </w:r>
      <w:r>
        <w:t xml:space="preserve">she is concerned about how Mr. Thornton may deploy these funds during the marriage — for example, paying down the mortgage, funding home improvements, or paying family expenses — and whether such use could affect property classification.</w:t>
      </w:r>
      <w:r>
        <w:t xml:space="preserve">”</w:t>
      </w:r>
      <w:r>
        <w:t xml:space="preserve"> </w:t>
      </w:r>
      <w:r>
        <w:t xml:space="preserve">The Redline answers that concern adversely to the client.</w:t>
      </w:r>
    </w:p>
    <w:p>
      <w:pPr>
        <w:pStyle w:val="BodyText"/>
      </w:pPr>
      <w:r>
        <w:rPr>
          <w:b/>
          <w:bCs/>
        </w:rPr>
        <w:t xml:space="preserve">Recommendation.</w:t>
      </w:r>
      <w:r>
        <w:t xml:space="preserve"> </w:t>
      </w:r>
      <w:r>
        <w:t xml:space="preserve">Restore Original Draft Section 4.3 in full, including the rebuttable presumption of transmutation for separate property used for joint benefit and the express application to Husband’s Inheritance. We can acknowledge Husband’s legitimate interest in preserving the inheritance as separate property</w:t>
      </w:r>
      <w:r>
        <w:t xml:space="preserve"> </w:t>
      </w:r>
      <w:r>
        <w:rPr>
          <w:i/>
          <w:iCs/>
        </w:rPr>
        <w:t xml:space="preserve">so long as it is not deployed for joint benefit</w:t>
      </w:r>
      <w:r>
        <w:t xml:space="preserve"> </w:t>
      </w:r>
      <w:r>
        <w:t xml:space="preserve">— the Original Draft already does this (Section 4.1 keeps the inheritance separate; Section 4.3(b) addresses only what happens when it is used for the household). The line we should hold: the inheritance is Husband’s separate property, but if he chooses to spend it on the family, that expenditure benefits the marital estate.</w:t>
      </w:r>
    </w:p>
    <w:bookmarkEnd w:id="33"/>
    <w:bookmarkStart w:id="34" w:name="unilateral-modification-mechanism"/>
    <w:p>
      <w:pPr>
        <w:pStyle w:val="Heading3"/>
      </w:pPr>
      <w:r>
        <w:t xml:space="preserve">4. Unilateral Modification Mechanism</w:t>
      </w:r>
    </w:p>
    <w:p>
      <w:pPr>
        <w:pStyle w:val="FirstParagraph"/>
      </w:pPr>
      <w:r>
        <w:rPr>
          <w:b/>
          <w:bCs/>
        </w:rPr>
        <w:t xml:space="preserve">Original Draft (Section 14.1).</w:t>
      </w:r>
      <w:r>
        <w:t xml:space="preserve"> </w:t>
      </w:r>
      <w:r>
        <w:t xml:space="preserve">The agreement</w:t>
      </w:r>
      <w:r>
        <w:t xml:space="preserve"> </w:t>
      </w:r>
      <w:r>
        <w:t xml:space="preserve">“</w:t>
      </w:r>
      <w:r>
        <w:t xml:space="preserve">may be modified, amended, supplemented, or waived only by a written instrument executed by both Parties with the same formality as this Agreement.</w:t>
      </w:r>
      <w:r>
        <w:t xml:space="preserve">”</w:t>
      </w:r>
      <w:r>
        <w:t xml:space="preserve"> </w:t>
      </w:r>
      <w:r>
        <w:t xml:space="preserve">Oral and unilateral modifications are</w:t>
      </w:r>
      <w:r>
        <w:t xml:space="preserve"> </w:t>
      </w:r>
      <w:r>
        <w:t xml:space="preserve">“</w:t>
      </w:r>
      <w:r>
        <w:t xml:space="preserve">expressly prohibited</w:t>
      </w:r>
      <w:r>
        <w:t xml:space="preserve">”</w:t>
      </w:r>
      <w:r>
        <w:t xml:space="preserve"> </w:t>
      </w:r>
      <w:r>
        <w:t xml:space="preserve">and</w:t>
      </w:r>
      <w:r>
        <w:t xml:space="preserve"> </w:t>
      </w:r>
      <w:r>
        <w:t xml:space="preserve">“</w:t>
      </w:r>
      <w:r>
        <w:t xml:space="preserve">void.</w:t>
      </w:r>
      <w:r>
        <w:t xml:space="preserve">”</w:t>
      </w:r>
    </w:p>
    <w:p>
      <w:pPr>
        <w:pStyle w:val="BodyText"/>
      </w:pPr>
      <w:r>
        <w:rPr>
          <w:b/>
          <w:bCs/>
        </w:rPr>
        <w:t xml:space="preserve">Redline (Section 14.2, TC-46).</w:t>
      </w:r>
      <w:r>
        <w:t xml:space="preserve"> </w:t>
      </w:r>
      <w:r>
        <w:t xml:space="preserve">“</w:t>
      </w:r>
      <w:r>
        <w:t xml:space="preserve">Either Party may propose a modification to this Agreement by delivering written notice to the other Party specifying the proposed modification in reasonable detail. Such proposed modification shall become effective ninety (90) days after delivery of such notice,</w:t>
      </w:r>
      <w:r>
        <w:t xml:space="preserve"> </w:t>
      </w:r>
      <w:r>
        <w:rPr>
          <w:i/>
          <w:iCs/>
        </w:rPr>
        <w:t xml:space="preserve">unless the other Party delivers a written objection</w:t>
      </w:r>
      <w:r>
        <w:t xml:space="preserve"> </w:t>
      </w:r>
      <w:r>
        <w:t xml:space="preserve">within such ninety (90) day period.</w:t>
      </w:r>
      <w:r>
        <w:t xml:space="preserve">”</w:t>
      </w:r>
    </w:p>
    <w:p>
      <w:pPr>
        <w:pStyle w:val="BodyText"/>
      </w:pPr>
      <w:r>
        <w:rPr>
          <w:b/>
          <w:bCs/>
        </w:rPr>
        <w:t xml:space="preserve">Analysis.</w:t>
      </w:r>
      <w:r>
        <w:t xml:space="preserve"> </w:t>
      </w:r>
      <w:r>
        <w:t xml:space="preserve">This is a profound change that the transmittal email does not mention. It converts modification from a bilateral act requiring mutual consent into a unilateral act that takes effect by default unless the non-proposing party affirmatively objects in writing within 90 days. This directly contradicts the client’s Objective 5(f):</w:t>
      </w:r>
      <w:r>
        <w:t xml:space="preserve"> </w:t>
      </w:r>
      <w:r>
        <w:t xml:space="preserve">“</w:t>
      </w:r>
      <w:r>
        <w:t xml:space="preserve">a requirement that any modifications be made only by mutual written consent, to prevent one-sided changes.</w:t>
      </w:r>
      <w:r>
        <w:t xml:space="preserve">”</w:t>
      </w:r>
      <w:r>
        <w:t xml:space="preserve"> </w:t>
      </w:r>
      <w:r>
        <w:t xml:space="preserve">It creates exactly the one-sided-change risk the client wanted to avoid.</w:t>
      </w:r>
    </w:p>
    <w:p>
      <w:pPr>
        <w:pStyle w:val="BodyText"/>
      </w:pPr>
      <w:r>
        <w:t xml:space="preserve">The mechanism is dangerous in operation. A party could propose a modification reclassifying property, altering the reimbursement right, or changing any term, and it would become binding unless the other party monitors the notice, formulates a written objection, and delivers it within 90 days. The burden shifts entirely to the non-proposing party. There is no requirement of independent counsel review, no notarization, and no mutual assent — the very safeguards the Original Draft built in. For a postnuptial agreement, which receives heightened scrutiny precisely because of the fiduciary relationship between spouses, a unilateral amendment-by-default mechanism is anomalous and invites challenge.</w:t>
      </w:r>
    </w:p>
    <w:p>
      <w:pPr>
        <w:pStyle w:val="BodyText"/>
      </w:pPr>
      <w:r>
        <w:rPr>
          <w:b/>
          <w:bCs/>
        </w:rPr>
        <w:t xml:space="preserve">Recommendation.</w:t>
      </w:r>
      <w:r>
        <w:t xml:space="preserve"> </w:t>
      </w:r>
      <w:r>
        <w:t xml:space="preserve">Restore Original Draft Section 14.1 in full. Modifications should require a written instrument signed by both parties, with the same formality as the agreement (and, given the Redline’s notarization block, acknowledged before a notary). Reject Section 14.2 entirely.</w:t>
      </w:r>
    </w:p>
    <w:bookmarkEnd w:id="34"/>
    <w:bookmarkStart w:id="35" w:name="X3d251bf053dcca50b484b20426cad7d6386f464"/>
    <w:p>
      <w:pPr>
        <w:pStyle w:val="Heading3"/>
      </w:pPr>
      <w:r>
        <w:t xml:space="preserve">5. Narrowing of</w:t>
      </w:r>
      <w:r>
        <w:t xml:space="preserve"> </w:t>
      </w:r>
      <w:r>
        <w:t xml:space="preserve">“</w:t>
      </w:r>
      <w:r>
        <w:t xml:space="preserve">Earned Income</w:t>
      </w:r>
      <w:r>
        <w:t xml:space="preserve">”</w:t>
      </w:r>
      <w:r>
        <w:t xml:space="preserve"> </w:t>
      </w:r>
      <w:r>
        <w:t xml:space="preserve">and</w:t>
      </w:r>
      <w:r>
        <w:t xml:space="preserve"> </w:t>
      </w:r>
      <w:r>
        <w:t xml:space="preserve">“</w:t>
      </w:r>
      <w:r>
        <w:t xml:space="preserve">Marital Property</w:t>
      </w:r>
      <w:r>
        <w:t xml:space="preserve">”</w:t>
      </w:r>
      <w:r>
        <w:t xml:space="preserve"> </w:t>
      </w:r>
      <w:r>
        <w:t xml:space="preserve">Definitions</w:t>
      </w:r>
    </w:p>
    <w:p>
      <w:pPr>
        <w:pStyle w:val="FirstParagraph"/>
      </w:pPr>
      <w:r>
        <w:rPr>
          <w:b/>
          <w:bCs/>
        </w:rPr>
        <w:t xml:space="preserve">Original Draft.</w:t>
      </w:r>
      <w:r>
        <w:t xml:space="preserve"> </w:t>
      </w:r>
      <w:r>
        <w:t xml:space="preserve">Section 2.1(d) defines</w:t>
      </w:r>
      <w:r>
        <w:t xml:space="preserve"> </w:t>
      </w:r>
      <w:r>
        <w:t xml:space="preserve">“</w:t>
      </w:r>
      <w:r>
        <w:t xml:space="preserve">Gross Income</w:t>
      </w:r>
      <w:r>
        <w:t xml:space="preserve">”</w:t>
      </w:r>
      <w:r>
        <w:t xml:space="preserve"> </w:t>
      </w:r>
      <w:r>
        <w:t xml:space="preserve">broadly to include</w:t>
      </w:r>
      <w:r>
        <w:t xml:space="preserve"> </w:t>
      </w:r>
      <w:r>
        <w:t xml:space="preserve">“</w:t>
      </w:r>
      <w:r>
        <w:t xml:space="preserve">base salary, wages, bonuses (whether discretionary, performance-based, or guaranteed), commissions, equity compensation (including but not limited to restricted stock units, stock options, and stock appreciation rights upon vesting or exercise), performance incentives, profit-sharing distributions, investment income,</w:t>
      </w:r>
      <w:r>
        <w:t xml:space="preserve">”</w:t>
      </w:r>
      <w:r>
        <w:t xml:space="preserve"> </w:t>
      </w:r>
      <w:r>
        <w:t xml:space="preserve">and all other compensation. Section 2.1(g) defines</w:t>
      </w:r>
      <w:r>
        <w:t xml:space="preserve"> </w:t>
      </w:r>
      <w:r>
        <w:t xml:space="preserve">“</w:t>
      </w:r>
      <w:r>
        <w:t xml:space="preserve">Marital Property</w:t>
      </w:r>
      <w:r>
        <w:t xml:space="preserve">”</w:t>
      </w:r>
      <w:r>
        <w:t xml:space="preserve"> </w:t>
      </w:r>
      <w:r>
        <w:t xml:space="preserve">to include</w:t>
      </w:r>
      <w:r>
        <w:t xml:space="preserve"> </w:t>
      </w:r>
      <w:r>
        <w:t xml:space="preserve">“</w:t>
      </w:r>
      <w:r>
        <w:t xml:space="preserve">income, earnings, bonuses, equity compensation … appreciation on Separate Property attributable to marital efforts … and any other property that would be classified as marital property under 750 ILCS 5/503.</w:t>
      </w:r>
      <w:r>
        <w:t xml:space="preserve">”</w:t>
      </w:r>
    </w:p>
    <w:p>
      <w:pPr>
        <w:pStyle w:val="BodyText"/>
      </w:pPr>
      <w:r>
        <w:rPr>
          <w:b/>
          <w:bCs/>
        </w:rPr>
        <w:t xml:space="preserve">Redline (Section 2.1(d), TC-10 / MC-02).</w:t>
      </w:r>
      <w:r>
        <w:t xml:space="preserve"> </w:t>
      </w:r>
      <w:r>
        <w:t xml:space="preserve">A new</w:t>
      </w:r>
      <w:r>
        <w:t xml:space="preserve"> </w:t>
      </w:r>
      <w:r>
        <w:t xml:space="preserve">“</w:t>
      </w:r>
      <w:r>
        <w:t xml:space="preserve">Earned Income</w:t>
      </w:r>
      <w:r>
        <w:t xml:space="preserve">”</w:t>
      </w:r>
      <w:r>
        <w:t xml:space="preserve"> </w:t>
      </w:r>
      <w:r>
        <w:t xml:space="preserve">definition covers only</w:t>
      </w:r>
      <w:r>
        <w:t xml:space="preserve"> </w:t>
      </w:r>
      <w:r>
        <w:t xml:space="preserve">“</w:t>
      </w:r>
      <w:r>
        <w:t xml:space="preserve">base salary, regular wages, and standard employment compensation,</w:t>
      </w:r>
      <w:r>
        <w:t xml:space="preserve">”</w:t>
      </w:r>
      <w:r>
        <w:t xml:space="preserve"> </w:t>
      </w:r>
      <w:r>
        <w:t xml:space="preserve">and expressly</w:t>
      </w:r>
      <w:r>
        <w:t xml:space="preserve"> </w:t>
      </w:r>
      <w:r>
        <w:rPr>
          <w:b/>
          <w:bCs/>
        </w:rPr>
        <w:t xml:space="preserve">excludes</w:t>
      </w:r>
      <w:r>
        <w:t xml:space="preserve"> </w:t>
      </w:r>
      <w:r>
        <w:t xml:space="preserve">“</w:t>
      </w:r>
      <w:r>
        <w:t xml:space="preserve">discretionary bonuses, commissions, equity compensation, performance incentives, restricted stock or restricted stock units, stock options, or other forms of variable or contingent compensation.</w:t>
      </w:r>
      <w:r>
        <w:t xml:space="preserve">”</w:t>
      </w:r>
      <w:r>
        <w:t xml:space="preserve"> </w:t>
      </w:r>
      <w:r>
        <w:t xml:space="preserve">Section 2.1(b) (TC-08) redefines</w:t>
      </w:r>
      <w:r>
        <w:t xml:space="preserve"> </w:t>
      </w:r>
      <w:r>
        <w:t xml:space="preserve">“</w:t>
      </w:r>
      <w:r>
        <w:t xml:space="preserve">Marital Property</w:t>
      </w:r>
      <w:r>
        <w:t xml:space="preserve">”</w:t>
      </w:r>
      <w:r>
        <w:t xml:space="preserve"> </w:t>
      </w:r>
      <w:r>
        <w:t xml:space="preserve">as property</w:t>
      </w:r>
      <w:r>
        <w:t xml:space="preserve"> </w:t>
      </w:r>
      <w:r>
        <w:t xml:space="preserve">“</w:t>
      </w:r>
      <w:r>
        <w:t xml:space="preserve">acquired by either party during the marriage from Earned Income or joint efforts.</w:t>
      </w:r>
      <w:r>
        <w:t xml:space="preserve">”</w:t>
      </w:r>
    </w:p>
    <w:p>
      <w:pPr>
        <w:pStyle w:val="BodyText"/>
      </w:pPr>
      <w:r>
        <w:rPr>
          <w:b/>
          <w:bCs/>
        </w:rPr>
        <w:t xml:space="preserve">Analysis.</w:t>
      </w:r>
      <w:r>
        <w:t xml:space="preserve"> </w:t>
      </w:r>
      <w:r>
        <w:t xml:space="preserve">This is a subtle but far-reaching change. By anchoring the Marital Property definition to</w:t>
      </w:r>
      <w:r>
        <w:t xml:space="preserve"> </w:t>
      </w:r>
      <w:r>
        <w:t xml:space="preserve">“</w:t>
      </w:r>
      <w:r>
        <w:t xml:space="preserve">Earned Income</w:t>
      </w:r>
      <w:r>
        <w:t xml:space="preserve">”</w:t>
      </w:r>
      <w:r>
        <w:t xml:space="preserve"> </w:t>
      </w:r>
      <w:r>
        <w:t xml:space="preserve">(base salary only), the Redline excludes Husband’s $90,000 average annual bonus, his equity compensation, and — by implication — the assets acquired with those amounts from the general definition of marital property. Article VII separately classifies the RSUs as marital (subject to the coverture fraction), and Section 5.1 lists specific marital assets, so the specific provisions may control in those instances. But the general definition is narrower, and a court could read it to exclude bonus-derived savings and other variable-compensation assets not specifically enumerated. Over time, this could shield a substantial pool of assets from division.</w:t>
      </w:r>
    </w:p>
    <w:p>
      <w:pPr>
        <w:pStyle w:val="BodyText"/>
      </w:pPr>
      <w:r>
        <w:t xml:space="preserve">The change also directly contradicts the client’s express instruction. The intake memorandum (Section III.A) records:</w:t>
      </w:r>
      <w:r>
        <w:t xml:space="preserve"> </w:t>
      </w:r>
      <w:r>
        <w:t xml:space="preserve">“</w:t>
      </w:r>
      <w:r>
        <w:t xml:space="preserve">Ms. Veselka-Thornton noted that the bonus is significant and recurring and wants to ensure it is treated as income for all purposes in the agreement.</w:t>
      </w:r>
      <w:r>
        <w:t xml:space="preserve">”</w:t>
      </w:r>
      <w:r>
        <w:t xml:space="preserve"> </w:t>
      </w:r>
      <w:r>
        <w:t xml:space="preserve">The Redline does the opposite. The</w:t>
      </w:r>
      <w:r>
        <w:t xml:space="preserve"> </w:t>
      </w:r>
      <w:r>
        <w:t xml:space="preserve">“</w:t>
      </w:r>
      <w:r>
        <w:t xml:space="preserve">Earned Income</w:t>
      </w:r>
      <w:r>
        <w:t xml:space="preserve">”</w:t>
      </w:r>
      <w:r>
        <w:t xml:space="preserve"> </w:t>
      </w:r>
      <w:r>
        <w:t xml:space="preserve">definition further infects the maintenance calculation (Redline Section 10.4, TC-38), which is tied to Earned Income rather than Gross Income — though the maintenance waiver (discussed below) largely moots this for now.</w:t>
      </w:r>
    </w:p>
    <w:p>
      <w:pPr>
        <w:pStyle w:val="BodyText"/>
      </w:pPr>
      <w:r>
        <w:rPr>
          <w:b/>
          <w:bCs/>
        </w:rPr>
        <w:t xml:space="preserve">Recommendation.</w:t>
      </w:r>
      <w:r>
        <w:t xml:space="preserve"> </w:t>
      </w:r>
      <w:r>
        <w:t xml:space="preserve">Restore the Original Draft’s</w:t>
      </w:r>
      <w:r>
        <w:t xml:space="preserve"> </w:t>
      </w:r>
      <w:r>
        <w:t xml:space="preserve">“</w:t>
      </w:r>
      <w:r>
        <w:t xml:space="preserve">Gross Income</w:t>
      </w:r>
      <w:r>
        <w:t xml:space="preserve">”</w:t>
      </w:r>
      <w:r>
        <w:t xml:space="preserve"> </w:t>
      </w:r>
      <w:r>
        <w:t xml:space="preserve">definition (Section 2.1(d)) and the broad</w:t>
      </w:r>
      <w:r>
        <w:t xml:space="preserve"> </w:t>
      </w:r>
      <w:r>
        <w:t xml:space="preserve">“</w:t>
      </w:r>
      <w:r>
        <w:t xml:space="preserve">Marital Property</w:t>
      </w:r>
      <w:r>
        <w:t xml:space="preserve">”</w:t>
      </w:r>
      <w:r>
        <w:t xml:space="preserve"> </w:t>
      </w:r>
      <w:r>
        <w:t xml:space="preserve">definition (Section 2.1(g)). If opposing counsel insists on a defined-income term for the maintenance calculation, define it separately and inclusively (incorporating bonuses and equity), and do not let it drive the Marital Property definition. The bonus must be treated as income and as a source of marital property for all purposes.</w:t>
      </w:r>
    </w:p>
    <w:p>
      <w:r>
        <w:pict>
          <v:rect style="width:0;height:1.5pt" o:hralign="center" o:hrstd="t" o:hr="t"/>
        </w:pict>
      </w:r>
    </w:p>
    <w:bookmarkEnd w:id="35"/>
    <w:bookmarkEnd w:id="36"/>
    <w:bookmarkStart w:id="44" w:name="X3e00f812ebbbb225d844f39952ad87e559bdc36"/>
    <w:p>
      <w:pPr>
        <w:pStyle w:val="Heading2"/>
      </w:pPr>
      <w:r>
        <w:t xml:space="preserve">V. Significant Issues (Tier 2) — Restore or Negotiate</w:t>
      </w:r>
    </w:p>
    <w:bookmarkStart w:id="37" w:name="Xe0773e66e9bc26612eabce623960102046be12d"/>
    <w:p>
      <w:pPr>
        <w:pStyle w:val="Heading3"/>
      </w:pPr>
      <w:r>
        <w:t xml:space="preserve">6. RSU Division — Coverture Fraction Replacing Flat 50/50</w:t>
      </w:r>
    </w:p>
    <w:p>
      <w:pPr>
        <w:pStyle w:val="FirstParagraph"/>
      </w:pPr>
      <w:r>
        <w:rPr>
          <w:b/>
          <w:bCs/>
        </w:rPr>
        <w:t xml:space="preserve">Original Draft (Section 7.1–7.2).</w:t>
      </w:r>
      <w:r>
        <w:t xml:space="preserve"> </w:t>
      </w:r>
      <w:r>
        <w:t xml:space="preserve">The 12,000 RSUs are</w:t>
      </w:r>
      <w:r>
        <w:t xml:space="preserve"> </w:t>
      </w:r>
      <w:r>
        <w:t xml:space="preserve">“</w:t>
      </w:r>
      <w:r>
        <w:t xml:space="preserve">entirely marital in character</w:t>
      </w:r>
      <w:r>
        <w:t xml:space="preserve">”</w:t>
      </w:r>
      <w:r>
        <w:t xml:space="preserve"> </w:t>
      </w:r>
      <w:r>
        <w:t xml:space="preserve">because the grant date (January 1, 2024) and the entire vesting period (through December 31, 2027) fall within the marriage. Each tranche is divided 50/50; unvested RSUs at dissolution are divided 50/50 by transfer, constructive trust, or cash equivalent.</w:t>
      </w:r>
    </w:p>
    <w:p>
      <w:pPr>
        <w:pStyle w:val="BodyText"/>
      </w:pPr>
      <w:r>
        <w:rPr>
          <w:b/>
          <w:bCs/>
        </w:rPr>
        <w:t xml:space="preserve">Redline (Section 7.1, TC-27 / MC-07).</w:t>
      </w:r>
      <w:r>
        <w:t xml:space="preserve"> </w:t>
      </w:r>
      <w:r>
        <w:t xml:space="preserve">Wife’s share of each tranche is determined by a</w:t>
      </w:r>
      <w:r>
        <w:t xml:space="preserve"> </w:t>
      </w:r>
      <w:r>
        <w:t xml:space="preserve">“</w:t>
      </w:r>
      <w:r>
        <w:t xml:space="preserve">coverture fraction</w:t>
      </w:r>
      <w:r>
        <w:t xml:space="preserve">”</w:t>
      </w:r>
      <w:r>
        <w:t xml:space="preserve">: numerator = months of marriage from the commencement of the</w:t>
      </w:r>
      <w:r>
        <w:t xml:space="preserve"> </w:t>
      </w:r>
      <w:r>
        <w:t xml:space="preserve">“</w:t>
      </w:r>
      <w:r>
        <w:t xml:space="preserve">Relevant Service Period</w:t>
      </w:r>
      <w:r>
        <w:t xml:space="preserve">”</w:t>
      </w:r>
      <w:r>
        <w:t xml:space="preserve"> </w:t>
      </w:r>
      <w:r>
        <w:t xml:space="preserve">through dissolution (or vesting, whichever is earlier); denominator = total months in the Relevant Service Period. Wife receives 50% of the resulting fraction. The</w:t>
      </w:r>
      <w:r>
        <w:t xml:space="preserve"> </w:t>
      </w:r>
      <w:r>
        <w:t xml:space="preserve">“</w:t>
      </w:r>
      <w:r>
        <w:t xml:space="preserve">Relevant Service Period</w:t>
      </w:r>
      <w:r>
        <w:t xml:space="preserve">”</w:t>
      </w:r>
      <w:r>
        <w:t xml:space="preserve"> </w:t>
      </w:r>
      <w:r>
        <w:t xml:space="preserve">is defined as beginning on Husband’s</w:t>
      </w:r>
      <w:r>
        <w:t xml:space="preserve"> </w:t>
      </w:r>
      <w:r>
        <w:rPr>
          <w:b/>
          <w:bCs/>
        </w:rPr>
        <w:t xml:space="preserve">date of hire</w:t>
      </w:r>
      <w:r>
        <w:t xml:space="preserve"> </w:t>
      </w:r>
      <w:r>
        <w:t xml:space="preserve">(March 15, 2018) through the final vesting date of the applicable tranche.</w:t>
      </w:r>
    </w:p>
    <w:p>
      <w:pPr>
        <w:pStyle w:val="BodyText"/>
      </w:pPr>
      <w:r>
        <w:rPr>
          <w:b/>
          <w:bCs/>
        </w:rPr>
        <w:t xml:space="preserve">Analysis.</w:t>
      </w:r>
      <w:r>
        <w:t xml:space="preserve"> </w:t>
      </w:r>
      <w:r>
        <w:t xml:space="preserve">A coverture fraction can only reduce (or, at most, equal) Wife’s share relative to a flat 50/50 — the fraction is always ≤ 1.0. For any tranche that is</w:t>
      </w:r>
      <w:r>
        <w:t xml:space="preserve"> </w:t>
      </w:r>
      <w:r>
        <w:rPr>
          <w:b/>
          <w:bCs/>
        </w:rPr>
        <w:t xml:space="preserve">unvested</w:t>
      </w:r>
      <w:r>
        <w:t xml:space="preserve"> </w:t>
      </w:r>
      <w:r>
        <w:t xml:space="preserve">at the time of dissolution, Wife’s share falls below 50%. For example, if dissolution occurs in mid-2025 (after the first tranche vests on January 1, 2025, but before the second tranche vests on January 1, 2026): the second tranche yields a fraction of roughly 87/93 ≈ 93.5% (Wife ≈ 46.8% rather than 50%); the third tranche yields roughly 87/105 ≈ 82.9% (Wife ≈ 41.4% rather than 50%). At the current $38/share price, the near-term reduction is on the order of $18,000; if the stock appreciates, the reduction scales proportionally.</w:t>
      </w:r>
    </w:p>
    <w:p>
      <w:pPr>
        <w:pStyle w:val="BodyText"/>
      </w:pPr>
      <w:r>
        <w:t xml:space="preserve">More importantly, the coverture fraction is unnecessary here. Coverture fractions are used when the earning period for the equity award straddles the marriage and pre-marriage or post-separation periods. Here, the entire grant and vesting period (January 1, 2024 – December 31, 2027) falls within a marriage that began in 2013 and is ongoing. There is no non-marital portion of the earning period to carve out. The Original Draft’s flat 50/50 is therefore the correct Illinois treatment and is more favorable to Wife, consistent with her expectation of equal division (Intake Memorandum, Section III.G).</w:t>
      </w:r>
    </w:p>
    <w:p>
      <w:pPr>
        <w:pStyle w:val="BodyText"/>
      </w:pPr>
      <w:r>
        <w:t xml:space="preserve">We note one wrinkle: Baxter’s choice to anchor the denominator to the</w:t>
      </w:r>
      <w:r>
        <w:t xml:space="preserve"> </w:t>
      </w:r>
      <w:r>
        <w:rPr>
          <w:b/>
          <w:bCs/>
        </w:rPr>
        <w:t xml:space="preserve">hire date</w:t>
      </w:r>
      <w:r>
        <w:t xml:space="preserve"> </w:t>
      </w:r>
      <w:r>
        <w:t xml:space="preserve">(March 15, 2018) rather than the grant date (January 1, 2024) is, ironically, more favorable to Wife than a standard grant-to-vest coverture fraction would be (because the marriage predates the hire date, inflating the numerator relative to a grant-date denominator). But it is still less favorable than the flat 50/50, and the hire-date anchor is an unusual and difficult-to-justify choice for an RSU granted six years after hire.</w:t>
      </w:r>
    </w:p>
    <w:p>
      <w:pPr>
        <w:pStyle w:val="BodyText"/>
      </w:pPr>
      <w:r>
        <w:rPr>
          <w:b/>
          <w:bCs/>
        </w:rPr>
        <w:t xml:space="preserve">Recommendation.</w:t>
      </w:r>
      <w:r>
        <w:t xml:space="preserve"> </w:t>
      </w:r>
      <w:r>
        <w:t xml:space="preserve">Restore the Original Draft’s flat 50/50 division and the</w:t>
      </w:r>
      <w:r>
        <w:t xml:space="preserve"> </w:t>
      </w:r>
      <w:r>
        <w:t xml:space="preserve">“</w:t>
      </w:r>
      <w:r>
        <w:t xml:space="preserve">entirely marital</w:t>
      </w:r>
      <w:r>
        <w:t xml:space="preserve">”</w:t>
      </w:r>
      <w:r>
        <w:t xml:space="preserve"> </w:t>
      </w:r>
      <w:r>
        <w:t xml:space="preserve">characterization. If a coverture fraction is truly non-negotiable, lock in the hire-date denominator (which is more favorable to Wife than the standard grant-date denominator) and cap Wife’s share at 50% so the fraction can only operate in her favor, never against her.</w:t>
      </w:r>
    </w:p>
    <w:bookmarkEnd w:id="37"/>
    <w:bookmarkStart w:id="38" w:name="X9c19a65f3c7bd8cc234d1a2317d377c6d67fd4e"/>
    <w:p>
      <w:pPr>
        <w:pStyle w:val="Heading3"/>
      </w:pPr>
      <w:r>
        <w:t xml:space="preserve">7. Attorney’s Fees — Mutual Waiver Replacing Prevailing-Party</w:t>
      </w:r>
    </w:p>
    <w:p>
      <w:pPr>
        <w:pStyle w:val="FirstParagraph"/>
      </w:pPr>
      <w:r>
        <w:rPr>
          <w:b/>
          <w:bCs/>
        </w:rPr>
        <w:t xml:space="preserve">Original Draft (Section 13.2).</w:t>
      </w:r>
      <w:r>
        <w:t xml:space="preserve"> </w:t>
      </w:r>
      <w:r>
        <w:t xml:space="preserve">Prevailing party recovers reasonable attorney’s fees, costs, expert fees, and litigation expenses from the non-prevailing party.</w:t>
      </w:r>
    </w:p>
    <w:p>
      <w:pPr>
        <w:pStyle w:val="BodyText"/>
      </w:pPr>
      <w:r>
        <w:rPr>
          <w:b/>
          <w:bCs/>
        </w:rPr>
        <w:t xml:space="preserve">Redline (Section 13.2, TC-44 / MC-11).</w:t>
      </w:r>
      <w:r>
        <w:t xml:space="preserve"> </w:t>
      </w:r>
      <w:r>
        <w:t xml:space="preserve">“</w:t>
      </w:r>
      <w:r>
        <w:t xml:space="preserve">Each Party shall bear their own attorney’s fees and costs, regardless of outcome.</w:t>
      </w:r>
      <w:r>
        <w:t xml:space="preserve">”</w:t>
      </w:r>
    </w:p>
    <w:p>
      <w:pPr>
        <w:pStyle w:val="BodyText"/>
      </w:pPr>
      <w:r>
        <w:rPr>
          <w:b/>
          <w:bCs/>
        </w:rPr>
        <w:t xml:space="preserve">Analysis.</w:t>
      </w:r>
      <w:r>
        <w:t xml:space="preserve"> </w:t>
      </w:r>
      <w:r>
        <w:t xml:space="preserve">The client specifically requested a prevailing-party fee provision</w:t>
      </w:r>
      <w:r>
        <w:t xml:space="preserve"> </w:t>
      </w:r>
      <w:r>
        <w:t xml:space="preserve">“</w:t>
      </w:r>
      <w:r>
        <w:t xml:space="preserve">to deter frivolous challenges</w:t>
      </w:r>
      <w:r>
        <w:t xml:space="preserve">”</w:t>
      </w:r>
      <w:r>
        <w:t xml:space="preserve"> </w:t>
      </w:r>
      <w:r>
        <w:t xml:space="preserve">(Objective 5(d)). The Redline eliminates it. The margin comment frames the mutual waiver as</w:t>
      </w:r>
      <w:r>
        <w:t xml:space="preserve"> </w:t>
      </w:r>
      <w:r>
        <w:t xml:space="preserve">“</w:t>
      </w:r>
      <w:r>
        <w:t xml:space="preserve">promot[ing] amicable resolution and discourag[ing] unnecessary litigation,</w:t>
      </w:r>
      <w:r>
        <w:t xml:space="preserve">”</w:t>
      </w:r>
      <w:r>
        <w:t xml:space="preserve"> </w:t>
      </w:r>
      <w:r>
        <w:t xml:space="preserve">but the opposite is true: without fee-shifting, a party can challenge the agreement with minimal cost exposure, which</w:t>
      </w:r>
      <w:r>
        <w:t xml:space="preserve"> </w:t>
      </w:r>
      <w:r>
        <w:rPr>
          <w:i/>
          <w:iCs/>
        </w:rPr>
        <w:t xml:space="preserve">encourages</w:t>
      </w:r>
      <w:r>
        <w:t xml:space="preserve"> </w:t>
      </w:r>
      <w:r>
        <w:t xml:space="preserve">rather than deters litigation. The prevailing-party provision is also consistent with Illinois domestic relations practice, where courts have fee-shifting discretion under 750 ILCS 5/508; a contractual prevailing-party clause strengthens the deterrent and aligns the agreement with the statutory framework.</w:t>
      </w:r>
    </w:p>
    <w:p>
      <w:pPr>
        <w:pStyle w:val="BodyText"/>
      </w:pPr>
      <w:r>
        <w:rPr>
          <w:b/>
          <w:bCs/>
        </w:rPr>
        <w:t xml:space="preserve">Recommendation.</w:t>
      </w:r>
      <w:r>
        <w:t xml:space="preserve"> </w:t>
      </w:r>
      <w:r>
        <w:t xml:space="preserve">Restore the Original Draft’s prevailing-party provision.</w:t>
      </w:r>
    </w:p>
    <w:bookmarkEnd w:id="38"/>
    <w:bookmarkStart w:id="39" w:name="X07e4dbc7d7cff90635aa2f4e76d93964405a533"/>
    <w:p>
      <w:pPr>
        <w:pStyle w:val="Heading3"/>
      </w:pPr>
      <w:r>
        <w:t xml:space="preserve">8. Venue — DuPage County Replacing Cook County</w:t>
      </w:r>
    </w:p>
    <w:p>
      <w:pPr>
        <w:pStyle w:val="FirstParagraph"/>
      </w:pPr>
      <w:r>
        <w:rPr>
          <w:b/>
          <w:bCs/>
        </w:rPr>
        <w:t xml:space="preserve">Original Draft (Section 15.2).</w:t>
      </w:r>
      <w:r>
        <w:t xml:space="preserve"> </w:t>
      </w:r>
      <w:r>
        <w:t xml:space="preserve">Exclusive venue in the Circuit Court of Cook County, Illinois.</w:t>
      </w:r>
    </w:p>
    <w:p>
      <w:pPr>
        <w:pStyle w:val="BodyText"/>
      </w:pPr>
      <w:r>
        <w:rPr>
          <w:b/>
          <w:bCs/>
        </w:rPr>
        <w:t xml:space="preserve">Redline (Section 15.2, TC-47 / MC-12).</w:t>
      </w:r>
      <w:r>
        <w:t xml:space="preserve"> </w:t>
      </w:r>
      <w:r>
        <w:t xml:space="preserve">Exclusive venue in the Circuit Court of DuPage County, Illinois.</w:t>
      </w:r>
    </w:p>
    <w:p>
      <w:pPr>
        <w:pStyle w:val="BodyText"/>
      </w:pPr>
      <w:r>
        <w:rPr>
          <w:b/>
          <w:bCs/>
        </w:rPr>
        <w:t xml:space="preserve">Analysis.</w:t>
      </w:r>
      <w:r>
        <w:t xml:space="preserve"> </w:t>
      </w:r>
      <w:r>
        <w:t xml:space="preserve">The client specifically requested Cook County (Objective 5(e)) because the family resides in Winnetka (Cook County), both she and her counsel are located in Cook County, and it is the most convenient and natural forum. The marital residence is in Cook County (New Trier Township), and any dissolution proceeding would ordinarily be venued in Cook County. Mr. Baxter’s stated rationale — that DuPage has</w:t>
      </w:r>
      <w:r>
        <w:t xml:space="preserve"> </w:t>
      </w:r>
      <w:r>
        <w:t xml:space="preserve">“</w:t>
      </w:r>
      <w:r>
        <w:t xml:space="preserve">more favorable scheduling</w:t>
      </w:r>
      <w:r>
        <w:t xml:space="preserve">”</w:t>
      </w:r>
      <w:r>
        <w:t xml:space="preserve"> </w:t>
      </w:r>
      <w:r>
        <w:t xml:space="preserve">and that Husband’s office is in Naperville (DuPage) — is a convenience preference for Husband that is outweighed by the family’s residence and Wife’s connections to Cook County. Notably, Husband’s</w:t>
      </w:r>
      <w:r>
        <w:t xml:space="preserve"> </w:t>
      </w:r>
      <w:r>
        <w:rPr>
          <w:i/>
          <w:iCs/>
        </w:rPr>
        <w:t xml:space="preserve">office</w:t>
      </w:r>
      <w:r>
        <w:t xml:space="preserve"> </w:t>
      </w:r>
      <w:r>
        <w:t xml:space="preserve">being in DuPage does not establish venue; venue in domestic relations matters is driven by the parties’ residence, which is Cook County.</w:t>
      </w:r>
    </w:p>
    <w:p>
      <w:pPr>
        <w:pStyle w:val="BodyText"/>
      </w:pPr>
      <w:r>
        <w:rPr>
          <w:b/>
          <w:bCs/>
        </w:rPr>
        <w:t xml:space="preserve">Recommendation.</w:t>
      </w:r>
      <w:r>
        <w:t xml:space="preserve"> </w:t>
      </w:r>
      <w:r>
        <w:t xml:space="preserve">Restore Cook County as the exclusive venue. If a compromise is required, consider a mutual waiver of any venue objection so that the proceeding may be filed where the dissolution is venued (which will be Cook County), but do not agree to DuPage as the exclusive forum.</w:t>
      </w:r>
    </w:p>
    <w:bookmarkEnd w:id="39"/>
    <w:bookmarkStart w:id="40" w:name="X54d3a30df6a028ab4fff7e5cc9a76d12c7c6e4b"/>
    <w:p>
      <w:pPr>
        <w:pStyle w:val="Heading3"/>
      </w:pPr>
      <w:r>
        <w:t xml:space="preserve">9. Sunset Clause — Seven Years Replacing Fifteen Years</w:t>
      </w:r>
    </w:p>
    <w:p>
      <w:pPr>
        <w:pStyle w:val="FirstParagraph"/>
      </w:pPr>
      <w:r>
        <w:rPr>
          <w:b/>
          <w:bCs/>
        </w:rPr>
        <w:t xml:space="preserve">Original Draft (Section 15.4).</w:t>
      </w:r>
      <w:r>
        <w:t xml:space="preserve"> </w:t>
      </w:r>
      <w:r>
        <w:t xml:space="preserve">The agreement terminates on June 14, 2040 (fifteen years), renewable for additional five-year periods by mutual written consent.</w:t>
      </w:r>
    </w:p>
    <w:p>
      <w:pPr>
        <w:pStyle w:val="BodyText"/>
      </w:pPr>
      <w:r>
        <w:rPr>
          <w:b/>
          <w:bCs/>
        </w:rPr>
        <w:t xml:space="preserve">Redline (Section 15.5).</w:t>
      </w:r>
      <w:r>
        <w:t xml:space="preserve"> </w:t>
      </w:r>
      <w:r>
        <w:t xml:space="preserve">The agreement terminates on the seventh anniversary of the Effective Date (approximately June 2032).</w:t>
      </w:r>
    </w:p>
    <w:p>
      <w:pPr>
        <w:pStyle w:val="BodyText"/>
      </w:pPr>
      <w:r>
        <w:rPr>
          <w:b/>
          <w:bCs/>
        </w:rPr>
        <w:t xml:space="preserve">Analysis.</w:t>
      </w:r>
      <w:r>
        <w:t xml:space="preserve"> </w:t>
      </w:r>
      <w:r>
        <w:t xml:space="preserve">The client wanted the agreement to remain in effect</w:t>
      </w:r>
      <w:r>
        <w:t xml:space="preserve"> </w:t>
      </w:r>
      <w:r>
        <w:t xml:space="preserve">“</w:t>
      </w:r>
      <w:r>
        <w:t xml:space="preserve">at least until Julian turns 18 (approximately 2034) and preferably longer,</w:t>
      </w:r>
      <w:r>
        <w:t xml:space="preserve">”</w:t>
      </w:r>
      <w:r>
        <w:t xml:space="preserve"> </w:t>
      </w:r>
      <w:r>
        <w:t xml:space="preserve">and suggested a fifteen-year term through approximately 2040 (Objective 3). Julian’s 18th birthday falls in 2033 or 2034 (depending on the correct birth date — see Section VII). A seven-year sunset (approximately 2032) expires</w:t>
      </w:r>
      <w:r>
        <w:t xml:space="preserve"> </w:t>
      </w:r>
      <w:r>
        <w:rPr>
          <w:b/>
          <w:bCs/>
        </w:rPr>
        <w:t xml:space="preserve">before</w:t>
      </w:r>
      <w:r>
        <w:t xml:space="preserve"> </w:t>
      </w:r>
      <w:r>
        <w:t xml:space="preserve">Julian reaches majority, leaving a gap during which the youngest child is still a minor and the family’s financial arrangements are unprotected. The shorter term also undermines the stability and certainty the client sought. Mr. Baxter’s rationale — that a shorter term</w:t>
      </w:r>
      <w:r>
        <w:t xml:space="preserve"> </w:t>
      </w:r>
      <w:r>
        <w:t xml:space="preserve">“</w:t>
      </w:r>
      <w:r>
        <w:t xml:space="preserve">encourages the parties to revisit and refresh the agreement periodically</w:t>
      </w:r>
      <w:r>
        <w:t xml:space="preserve">”</w:t>
      </w:r>
      <w:r>
        <w:t xml:space="preserve"> </w:t>
      </w:r>
      <w:r>
        <w:t xml:space="preserve">— cuts against the client’s interest in durable, long-term protection and creates a recurring renegotiation risk at a moment (the sunset date) when the parties’ leverage may differ.</w:t>
      </w:r>
    </w:p>
    <w:p>
      <w:pPr>
        <w:pStyle w:val="BodyText"/>
      </w:pPr>
      <w:r>
        <w:rPr>
          <w:b/>
          <w:bCs/>
        </w:rPr>
        <w:t xml:space="preserve">Recommendation.</w:t>
      </w:r>
      <w:r>
        <w:t xml:space="preserve"> </w:t>
      </w:r>
      <w:r>
        <w:t xml:space="preserve">Restore the fifteen-year sunset (through approximately 2040) with the five-year mutual-renewal option. At an absolute minimum, the term must run until the later of (a) Julian’s 18th birthday and (b) fifteen years from execution. A seven-year term is unacceptable.</w:t>
      </w:r>
    </w:p>
    <w:bookmarkEnd w:id="40"/>
    <w:bookmarkStart w:id="41" w:name="Xbf92b0f21ceee9ababbe71a7f37a32e525af145"/>
    <w:p>
      <w:pPr>
        <w:pStyle w:val="Heading3"/>
      </w:pPr>
      <w:r>
        <w:t xml:space="preserve">10. Identified Debt — $5,000 De Minimis Threshold</w:t>
      </w:r>
    </w:p>
    <w:p>
      <w:pPr>
        <w:pStyle w:val="FirstParagraph"/>
      </w:pPr>
      <w:r>
        <w:rPr>
          <w:b/>
          <w:bCs/>
        </w:rPr>
        <w:t xml:space="preserve">Original Draft (Section 11.1).</w:t>
      </w:r>
      <w:r>
        <w:t xml:space="preserve"> </w:t>
      </w:r>
      <w:r>
        <w:t xml:space="preserve">Husband assumes sole responsibility for the $68,000 Identified Debt and indemnifies Wife</w:t>
      </w:r>
      <w:r>
        <w:t xml:space="preserve"> </w:t>
      </w:r>
      <w:r>
        <w:t xml:space="preserve">“</w:t>
      </w:r>
      <w:r>
        <w:t xml:space="preserve">without limitation as to the amount or nature of individual claims.</w:t>
      </w:r>
      <w:r>
        <w:t xml:space="preserve">”</w:t>
      </w:r>
      <w:r>
        <w:t xml:space="preserve"> </w:t>
      </w:r>
      <w:r>
        <w:t xml:space="preserve">No threshold.</w:t>
      </w:r>
    </w:p>
    <w:p>
      <w:pPr>
        <w:pStyle w:val="BodyText"/>
      </w:pPr>
      <w:r>
        <w:rPr>
          <w:b/>
          <w:bCs/>
        </w:rPr>
        <w:t xml:space="preserve">Redline (Section 11.2, TC-40 / MC-10).</w:t>
      </w:r>
      <w:r>
        <w:t xml:space="preserve"> </w:t>
      </w:r>
      <w:r>
        <w:t xml:space="preserve">Husband indemnifies Wife</w:t>
      </w:r>
      <w:r>
        <w:t xml:space="preserve"> </w:t>
      </w:r>
      <w:r>
        <w:t xml:space="preserve">“</w:t>
      </w:r>
      <w:r>
        <w:t xml:space="preserve">provided that such claims are material and exceed Five Thousand Dollars ($5,000) individually,</w:t>
      </w:r>
      <w:r>
        <w:t xml:space="preserve">”</w:t>
      </w:r>
      <w:r>
        <w:t xml:space="preserve"> </w:t>
      </w:r>
      <w:r>
        <w:t xml:space="preserve">and the indemnity</w:t>
      </w:r>
      <w:r>
        <w:t xml:space="preserve"> </w:t>
      </w:r>
      <w:r>
        <w:t xml:space="preserve">“</w:t>
      </w:r>
      <w:r>
        <w:t xml:space="preserve">shall not extend to claims … that individually assert amounts less than Five Thousand Dollars ($5,000).</w:t>
      </w:r>
      <w:r>
        <w:t xml:space="preserve">”</w:t>
      </w:r>
    </w:p>
    <w:p>
      <w:pPr>
        <w:pStyle w:val="BodyText"/>
      </w:pPr>
      <w:r>
        <w:rPr>
          <w:b/>
          <w:bCs/>
        </w:rPr>
        <w:t xml:space="preserve">Analysis.</w:t>
      </w:r>
      <w:r>
        <w:t xml:space="preserve"> </w:t>
      </w:r>
      <w:r>
        <w:t xml:space="preserve">The client insisted on the $68,000 debt being assigned to Husband</w:t>
      </w:r>
      <w:r>
        <w:t xml:space="preserve"> </w:t>
      </w:r>
      <w:r>
        <w:t xml:space="preserve">“</w:t>
      </w:r>
      <w:r>
        <w:t xml:space="preserve">with no loopholes or materiality thresholds</w:t>
      </w:r>
      <w:r>
        <w:t xml:space="preserve">”</w:t>
      </w:r>
      <w:r>
        <w:t xml:space="preserve"> </w:t>
      </w:r>
      <w:r>
        <w:t xml:space="preserve">(Objective 2(d)). The Redline introduces exactly such a threshold. While $5,000 is a low figure, a threshold is a threshold: multiple sub-$5,000 collection actions could aggregate, and the threshold creates a litigation hook for Husband to dispute coverage. The Redline does add two acceptable features — a 24-month satisfaction target and quarterly statements — but these do not justify the threshold. We also note that the Redline describes the debt as</w:t>
      </w:r>
      <w:r>
        <w:t xml:space="preserve"> </w:t>
      </w:r>
      <w:r>
        <w:t xml:space="preserve">“</w:t>
      </w:r>
      <w:r>
        <w:t xml:space="preserve">balances on multiple revolving credit accounts … with various credit card issuers,</w:t>
      </w:r>
      <w:r>
        <w:t xml:space="preserve">”</w:t>
      </w:r>
      <w:r>
        <w:t xml:space="preserve"> </w:t>
      </w:r>
      <w:r>
        <w:t xml:space="preserve">whereas the Linden &amp; Fosse disclosure identifies a</w:t>
      </w:r>
      <w:r>
        <w:t xml:space="preserve"> </w:t>
      </w:r>
      <w:r>
        <w:rPr>
          <w:b/>
          <w:bCs/>
        </w:rPr>
        <w:t xml:space="preserve">single</w:t>
      </w:r>
      <w:r>
        <w:t xml:space="preserve"> </w:t>
      </w:r>
      <w:r>
        <w:t xml:space="preserve">account (Hollcroft One Mastercard, ending 6673). The description should match the actual account (see Section VII).</w:t>
      </w:r>
    </w:p>
    <w:p>
      <w:pPr>
        <w:pStyle w:val="BodyText"/>
      </w:pPr>
      <w:r>
        <w:rPr>
          <w:b/>
          <w:bCs/>
        </w:rPr>
        <w:t xml:space="preserve">Recommendation.</w:t>
      </w:r>
      <w:r>
        <w:t xml:space="preserve"> </w:t>
      </w:r>
      <w:r>
        <w:t xml:space="preserve">Remove the $5,000 threshold; restore the</w:t>
      </w:r>
      <w:r>
        <w:t xml:space="preserve"> </w:t>
      </w:r>
      <w:r>
        <w:t xml:space="preserve">“</w:t>
      </w:r>
      <w:r>
        <w:t xml:space="preserve">without limitation</w:t>
      </w:r>
      <w:r>
        <w:t xml:space="preserve">”</w:t>
      </w:r>
      <w:r>
        <w:t xml:space="preserve"> </w:t>
      </w:r>
      <w:r>
        <w:t xml:space="preserve">indemnity. Retain the 24-month satisfaction target and quarterly-statement obligation, which are reasonable. Correct the account description to match the disclosure schedule.</w:t>
      </w:r>
    </w:p>
    <w:bookmarkEnd w:id="41"/>
    <w:bookmarkStart w:id="42" w:name="ongoing-disclosure-obligations-deleted"/>
    <w:p>
      <w:pPr>
        <w:pStyle w:val="Heading3"/>
      </w:pPr>
      <w:r>
        <w:t xml:space="preserve">11. Ongoing Disclosure Obligations — Deleted</w:t>
      </w:r>
    </w:p>
    <w:p>
      <w:pPr>
        <w:pStyle w:val="FirstParagraph"/>
      </w:pPr>
      <w:r>
        <w:t xml:space="preserve">As noted in Section III.B, the Original Draft’s ongoing disclosure duty (Section 3.4) and future-debt disclosure duty (Section 11.3) are deleted. The client specifically requested ongoing annual disclosure (Objective 2(c)). These should be restored. The ongoing duty is also a meaningful enforceability safeguard: it demonstrates that the parties contemplated continuing transparency, which supports the overall fairness of the disclosure regime.</w:t>
      </w:r>
    </w:p>
    <w:p>
      <w:pPr>
        <w:pStyle w:val="BodyText"/>
      </w:pPr>
      <w:r>
        <w:rPr>
          <w:b/>
          <w:bCs/>
        </w:rPr>
        <w:t xml:space="preserve">Recommendation.</w:t>
      </w:r>
      <w:r>
        <w:t xml:space="preserve"> </w:t>
      </w:r>
      <w:r>
        <w:t xml:space="preserve">Restore Original Draft Sections 3.4 and 11.3.</w:t>
      </w:r>
    </w:p>
    <w:bookmarkEnd w:id="42"/>
    <w:bookmarkStart w:id="43" w:name="X77c5b41822bb442bfb0940d2d3eca89eb80f730"/>
    <w:p>
      <w:pPr>
        <w:pStyle w:val="Heading3"/>
      </w:pPr>
      <w:r>
        <w:t xml:space="preserve">12. Spousal Maintenance — Mixed Changes (Largely Favorable to Wife, with Caveats)</w:t>
      </w:r>
    </w:p>
    <w:p>
      <w:pPr>
        <w:pStyle w:val="FirstParagraph"/>
      </w:pPr>
      <w:r>
        <w:t xml:space="preserve">The Redline makes three maintenance changes:</w:t>
      </w:r>
    </w:p>
    <w:p>
      <w:pPr>
        <w:pStyle w:val="Compact"/>
        <w:numPr>
          <w:ilvl w:val="0"/>
          <w:numId w:val="1003"/>
        </w:numPr>
      </w:pPr>
      <w:r>
        <w:rPr>
          <w:b/>
          <w:bCs/>
        </w:rPr>
        <w:t xml:space="preserve">Duration cap reduced from five years to three years</w:t>
      </w:r>
      <w:r>
        <w:t xml:space="preserve"> </w:t>
      </w:r>
      <w:r>
        <w:t xml:space="preserve">(Section 10.2, TC-36 / MC-08).</w:t>
      </w:r>
    </w:p>
    <w:p>
      <w:pPr>
        <w:pStyle w:val="Compact"/>
        <w:numPr>
          <w:ilvl w:val="0"/>
          <w:numId w:val="1003"/>
        </w:numPr>
      </w:pPr>
      <w:r>
        <w:rPr>
          <w:b/>
          <w:bCs/>
        </w:rPr>
        <w:t xml:space="preserve">New automatic waiver</w:t>
      </w:r>
      <w:r>
        <w:t xml:space="preserve"> </w:t>
      </w:r>
      <w:r>
        <w:t xml:space="preserve">if the recipient spouse’s gross annual income exceeds $200,000 (Section 10.3, TC-37 / MC-09).</w:t>
      </w:r>
    </w:p>
    <w:p>
      <w:pPr>
        <w:pStyle w:val="Compact"/>
        <w:numPr>
          <w:ilvl w:val="0"/>
          <w:numId w:val="1003"/>
        </w:numPr>
      </w:pPr>
      <w:r>
        <w:rPr>
          <w:b/>
          <w:bCs/>
        </w:rPr>
        <w:t xml:space="preserve">Maintenance calculation tied to</w:t>
      </w:r>
      <w:r>
        <w:rPr>
          <w:b/>
          <w:bCs/>
        </w:rPr>
        <w:t xml:space="preserve"> </w:t>
      </w:r>
      <w:r>
        <w:rPr>
          <w:b/>
          <w:bCs/>
        </w:rPr>
        <w:t xml:space="preserve">“</w:t>
      </w:r>
      <w:r>
        <w:rPr>
          <w:b/>
          <w:bCs/>
        </w:rPr>
        <w:t xml:space="preserve">Earned Income</w:t>
      </w:r>
      <w:r>
        <w:rPr>
          <w:b/>
          <w:bCs/>
        </w:rPr>
        <w:t xml:space="preserve">”</w:t>
      </w:r>
      <w:r>
        <w:t xml:space="preserve"> </w:t>
      </w:r>
      <w:r>
        <w:t xml:space="preserve">rather than Gross Income (Section 10.4, TC-38).</w:t>
      </w:r>
    </w:p>
    <w:p>
      <w:pPr>
        <w:pStyle w:val="FirstParagraph"/>
      </w:pPr>
      <w:r>
        <w:rPr>
          <w:b/>
          <w:bCs/>
        </w:rPr>
        <w:t xml:space="preserve">Analysis.</w:t>
      </w:r>
      <w:r>
        <w:t xml:space="preserve"> </w:t>
      </w:r>
      <w:r>
        <w:t xml:space="preserve">Husband is the lower-earning spouse ($305,000 versus Wife’s $487,000) and would be the maintenance recipient. Because his income ($305,000) exceeds the $200,000 waiver threshold, the automatic waiver would</w:t>
      </w:r>
      <w:r>
        <w:t xml:space="preserve"> </w:t>
      </w:r>
      <w:r>
        <w:rPr>
          <w:b/>
          <w:bCs/>
        </w:rPr>
        <w:t xml:space="preserve">eliminate</w:t>
      </w:r>
      <w:r>
        <w:t xml:space="preserve"> </w:t>
      </w:r>
      <w:r>
        <w:t xml:space="preserve">his maintenance claim entirely as currently situated. The three-year cap further limits any award. These changes therefore</w:t>
      </w:r>
      <w:r>
        <w:t xml:space="preserve"> </w:t>
      </w:r>
      <w:r>
        <w:rPr>
          <w:b/>
          <w:bCs/>
        </w:rPr>
        <w:t xml:space="preserve">favor Wife</w:t>
      </w:r>
      <w:r>
        <w:t xml:space="preserve"> </w:t>
      </w:r>
      <w:r>
        <w:t xml:space="preserve">in the immediate term.</w:t>
      </w:r>
    </w:p>
    <w:p>
      <w:pPr>
        <w:pStyle w:val="BodyText"/>
      </w:pPr>
      <w:r>
        <w:t xml:space="preserve">However, three caveats apply. First, the waiver is contingent: it applies only if the recipient’s income exceeds $200,000</w:t>
      </w:r>
      <w:r>
        <w:t xml:space="preserve"> </w:t>
      </w:r>
      <w:r>
        <w:t xml:space="preserve">“</w:t>
      </w:r>
      <w:r>
        <w:t xml:space="preserve">as of the date of entry of the judgment of dissolution.</w:t>
      </w:r>
      <w:r>
        <w:t xml:space="preserve">”</w:t>
      </w:r>
      <w:r>
        <w:t xml:space="preserve"> </w:t>
      </w:r>
      <w:r>
        <w:t xml:space="preserve">If Husband’s income drops below $200,000 by dissolution (job loss, disability, career change), the waiver does not apply and he may seek maintenance subject to the three-year cap. The maintenance</w:t>
      </w:r>
      <w:r>
        <w:t xml:space="preserve"> </w:t>
      </w:r>
      <w:r>
        <w:t xml:space="preserve">“</w:t>
      </w:r>
      <w:r>
        <w:t xml:space="preserve">win</w:t>
      </w:r>
      <w:r>
        <w:t xml:space="preserve">”</w:t>
      </w:r>
      <w:r>
        <w:t xml:space="preserve"> </w:t>
      </w:r>
      <w:r>
        <w:t xml:space="preserve">is therefore contingent on Husband’s future income. Second, the Earned-Income calculation (TC-38) is tied to the problematic Earned Income definition (Issue 5) and must be corrected regardless. Third — and most important for strategy — these maintenance concessions should</w:t>
      </w:r>
      <w:r>
        <w:t xml:space="preserve"> </w:t>
      </w:r>
      <w:r>
        <w:rPr>
          <w:b/>
          <w:bCs/>
        </w:rPr>
        <w:t xml:space="preserve">not</w:t>
      </w:r>
      <w:r>
        <w:t xml:space="preserve"> </w:t>
      </w:r>
      <w:r>
        <w:t xml:space="preserve">be treated as offsetting the property concessions extracted by Husband. The property losses (the ~$600,000 reimbursement effect, the transmutation reversal, the Earned-Income narrowing) are more certain and likely larger in expected value than the contingent maintenance savings. We should acknowledge the maintenance changes as favorable but decline to</w:t>
      </w:r>
      <w:r>
        <w:t xml:space="preserve"> </w:t>
      </w:r>
      <w:r>
        <w:t xml:space="preserve">“</w:t>
      </w:r>
      <w:r>
        <w:t xml:space="preserve">trade</w:t>
      </w:r>
      <w:r>
        <w:t xml:space="preserve">”</w:t>
      </w:r>
      <w:r>
        <w:t xml:space="preserve"> </w:t>
      </w:r>
      <w:r>
        <w:t xml:space="preserve">them for the property provisions.</w:t>
      </w:r>
    </w:p>
    <w:p>
      <w:pPr>
        <w:pStyle w:val="BodyText"/>
      </w:pPr>
      <w:r>
        <w:t xml:space="preserve">There is also an unconscionability consideration (developed in Section VIII): an agreement that simultaneously strips Wife of her tracing-based reimbursement (worse than the statutory baseline) and eliminates Husband’s maintenance entirely may be vulnerable to challenge from either direction. A balanced agreement is more durable.</w:t>
      </w:r>
    </w:p>
    <w:p>
      <w:pPr>
        <w:pStyle w:val="BodyText"/>
      </w:pPr>
      <w:r>
        <w:rPr>
          <w:b/>
          <w:bCs/>
        </w:rPr>
        <w:t xml:space="preserve">Recommendation.</w:t>
      </w:r>
      <w:r>
        <w:t xml:space="preserve"> </w:t>
      </w:r>
      <w:r>
        <w:t xml:space="preserve">The three-year cap and the $200,000 waiver can be accepted in principle as favorable to Wife, subject to (a) correcting the Earned-Income calculation to use Gross Income, and (b) confirming with the client that she is comfortable with the overall balance. We should not offer these as concessions to</w:t>
      </w:r>
      <w:r>
        <w:t xml:space="preserve"> </w:t>
      </w:r>
      <w:r>
        <w:t xml:space="preserve">“</w:t>
      </w:r>
      <w:r>
        <w:t xml:space="preserve">pay for</w:t>
      </w:r>
      <w:r>
        <w:t xml:space="preserve">”</w:t>
      </w:r>
      <w:r>
        <w:t xml:space="preserve"> </w:t>
      </w:r>
      <w:r>
        <w:t xml:space="preserve">restoring the property provisions — those must be restored on their own merits.</w:t>
      </w:r>
    </w:p>
    <w:p>
      <w:r>
        <w:pict>
          <v:rect style="width:0;height:1.5pt" o:hralign="center" o:hrstd="t" o:hr="t"/>
        </w:pict>
      </w:r>
    </w:p>
    <w:bookmarkEnd w:id="43"/>
    <w:bookmarkEnd w:id="44"/>
    <w:bookmarkStart w:id="49" w:name="vi.-moderate-issues-tier-3-negotiate"/>
    <w:p>
      <w:pPr>
        <w:pStyle w:val="Heading2"/>
      </w:pPr>
      <w:r>
        <w:t xml:space="preserve">VI. Moderate Issues (Tier 3) — Negotiate</w:t>
      </w:r>
    </w:p>
    <w:bookmarkStart w:id="45" w:name="Xc3073092dc4aa154cec5a9eadf14fb55d6962e9"/>
    <w:p>
      <w:pPr>
        <w:pStyle w:val="Heading3"/>
      </w:pPr>
      <w:r>
        <w:t xml:space="preserve">13. Marital Residence Buyout — Timelines, Lien, and Reciprocal Right</w:t>
      </w:r>
    </w:p>
    <w:p>
      <w:pPr>
        <w:pStyle w:val="FirstParagraph"/>
      </w:pPr>
      <w:r>
        <w:t xml:space="preserve">The Redline (Section 9.2, TC-33, TC-34) makes four changes to the Wife’s right of first purchase:</w:t>
      </w:r>
    </w:p>
    <w:p>
      <w:pPr>
        <w:pStyle w:val="Compact"/>
        <w:numPr>
          <w:ilvl w:val="0"/>
          <w:numId w:val="1004"/>
        </w:numPr>
      </w:pPr>
      <w:r>
        <w:rPr>
          <w:b/>
          <w:bCs/>
        </w:rPr>
        <w:t xml:space="preserve">Exercise period reduced from 60 days to 30 days</w:t>
      </w:r>
      <w:r>
        <w:t xml:space="preserve"> </w:t>
      </w:r>
      <w:r>
        <w:t xml:space="preserve">(from receipt of the appraisal). This compresses Wife’s decision window. Recommend restoring 60 days.</w:t>
      </w:r>
    </w:p>
    <w:p>
      <w:pPr>
        <w:pStyle w:val="Compact"/>
        <w:numPr>
          <w:ilvl w:val="0"/>
          <w:numId w:val="1004"/>
        </w:numPr>
      </w:pPr>
      <w:r>
        <w:rPr>
          <w:b/>
          <w:bCs/>
        </w:rPr>
        <w:t xml:space="preserve">Payment period reduced from 24 months to 18 months.</w:t>
      </w:r>
      <w:r>
        <w:t xml:space="preserve"> </w:t>
      </w:r>
      <w:r>
        <w:t xml:space="preserve">This makes the buyout harder to finance. Recommend restoring 24 months.</w:t>
      </w:r>
    </w:p>
    <w:p>
      <w:pPr>
        <w:pStyle w:val="Compact"/>
        <w:numPr>
          <w:ilvl w:val="0"/>
          <w:numId w:val="1004"/>
        </w:numPr>
      </w:pPr>
      <w:r>
        <w:rPr>
          <w:b/>
          <w:bCs/>
        </w:rPr>
        <w:t xml:space="preserve">A lien securing the buyout payment is added.</w:t>
      </w:r>
      <w:r>
        <w:t xml:space="preserve"> </w:t>
      </w:r>
      <w:r>
        <w:t xml:space="preserve">This is a reasonable protection for Husband and is acceptable, subject to confirming it does not impede Wife’s ability to refinance.</w:t>
      </w:r>
    </w:p>
    <w:p>
      <w:pPr>
        <w:pStyle w:val="Compact"/>
        <w:numPr>
          <w:ilvl w:val="0"/>
          <w:numId w:val="1004"/>
        </w:numPr>
      </w:pPr>
      <w:r>
        <w:rPr>
          <w:b/>
          <w:bCs/>
        </w:rPr>
        <w:t xml:space="preserve">Husband is given a reciprocal right of purchase</w:t>
      </w:r>
      <w:r>
        <w:t xml:space="preserve"> </w:t>
      </w:r>
      <w:r>
        <w:t xml:space="preserve">on the same terms if Wife declines. This dilutes the preferential character of Wife’s right but only activates if Wife elects not to purchase. Acceptable in structure, provided Wife’s right is genuinely first.</w:t>
      </w:r>
    </w:p>
    <w:p>
      <w:pPr>
        <w:pStyle w:val="FirstParagraph"/>
      </w:pPr>
      <w:r>
        <w:t xml:space="preserve">The Redline also replaces the Original Draft’s three-appraiser dispute mechanism with a single independent appraisal obtained within 60 days at joint expense. The single-appraisal approach is simpler but does not specify how the appraiser is selected if the parties disagree. The Original Draft’s three-appraiser process is more robust. Recommend either restoring the three-appraiser mechanism or adding a clear selection default.</w:t>
      </w:r>
    </w:p>
    <w:p>
      <w:pPr>
        <w:pStyle w:val="BodyText"/>
      </w:pPr>
      <w:r>
        <w:rPr>
          <w:b/>
          <w:bCs/>
        </w:rPr>
        <w:t xml:space="preserve">Recommendation.</w:t>
      </w:r>
      <w:r>
        <w:t xml:space="preserve"> </w:t>
      </w:r>
      <w:r>
        <w:t xml:space="preserve">Restore the 60-day exercise period and 24-month payment period. Accept the lien with review. Accept the reciprocal right subject to Wife’s right being first. Restore or supplement the appraisal-selection mechanism.</w:t>
      </w:r>
    </w:p>
    <w:bookmarkEnd w:id="45"/>
    <w:bookmarkStart w:id="46" w:name="X2e4ef378f4ec375e72350c71e038cbec4a7cf80"/>
    <w:p>
      <w:pPr>
        <w:pStyle w:val="Heading3"/>
      </w:pPr>
      <w:r>
        <w:t xml:space="preserve">14. Wife’s Practice Interest — Active/Passive Appreciation (Favorable but Complex)</w:t>
      </w:r>
    </w:p>
    <w:p>
      <w:pPr>
        <w:pStyle w:val="FirstParagraph"/>
      </w:pPr>
      <w:r>
        <w:rPr>
          <w:b/>
          <w:bCs/>
        </w:rPr>
        <w:t xml:space="preserve">Original Draft (Section 6.1(b)).</w:t>
      </w:r>
      <w:r>
        <w:t xml:space="preserve"> </w:t>
      </w:r>
      <w:r>
        <w:t xml:space="preserve">All appreciation above the $1,650,000 baseline is marital,</w:t>
      </w:r>
      <w:r>
        <w:t xml:space="preserve"> </w:t>
      </w:r>
      <w:r>
        <w:t xml:space="preserve">“</w:t>
      </w:r>
      <w:r>
        <w:t xml:space="preserve">regardless of the source or cause,</w:t>
      </w:r>
      <w:r>
        <w:t xml:space="preserve">”</w:t>
      </w:r>
      <w:r>
        <w:t xml:space="preserve"> </w:t>
      </w:r>
      <w:r>
        <w:t xml:space="preserve">divided 50/50.</w:t>
      </w:r>
    </w:p>
    <w:p>
      <w:pPr>
        <w:pStyle w:val="BodyText"/>
      </w:pPr>
      <w:r>
        <w:rPr>
          <w:b/>
          <w:bCs/>
        </w:rPr>
        <w:t xml:space="preserve">Redline (Section 6.1, TC-25 / MC-06).</w:t>
      </w:r>
      <w:r>
        <w:t xml:space="preserve"> </w:t>
      </w:r>
      <w:r>
        <w:t xml:space="preserve">Appreciation is marital</w:t>
      </w:r>
      <w:r>
        <w:t xml:space="preserve"> </w:t>
      </w:r>
      <w:r>
        <w:t xml:space="preserve">“</w:t>
      </w:r>
      <w:r>
        <w:t xml:space="preserve">only to the extent such appreciation is directly attributable to the active personal efforts of Wife during the marriage.</w:t>
      </w:r>
      <w:r>
        <w:t xml:space="preserve">”</w:t>
      </w:r>
      <w:r>
        <w:t xml:space="preserve"> </w:t>
      </w:r>
      <w:r>
        <w:t xml:space="preserve">Appreciation from market forces, reimbursement-rate changes, regulatory changes, and passive investment returns remains Wife’s separate property.</w:t>
      </w:r>
    </w:p>
    <w:p>
      <w:pPr>
        <w:pStyle w:val="BodyText"/>
      </w:pPr>
      <w:r>
        <w:rPr>
          <w:b/>
          <w:bCs/>
        </w:rPr>
        <w:t xml:space="preserve">Analysis.</w:t>
      </w:r>
      <w:r>
        <w:t xml:space="preserve"> </w:t>
      </w:r>
      <w:r>
        <w:t xml:space="preserve">This is one of the few changes that</w:t>
      </w:r>
      <w:r>
        <w:t xml:space="preserve"> </w:t>
      </w:r>
      <w:r>
        <w:rPr>
          <w:b/>
          <w:bCs/>
        </w:rPr>
        <w:t xml:space="preserve">favors Wife</w:t>
      </w:r>
      <w:r>
        <w:t xml:space="preserve"> </w:t>
      </w:r>
      <w:r>
        <w:t xml:space="preserve">on the merits. Under the Original Draft, Husband receives 50% of</w:t>
      </w:r>
      <w:r>
        <w:t xml:space="preserve"> </w:t>
      </w:r>
      <w:r>
        <w:rPr>
          <w:i/>
          <w:iCs/>
        </w:rPr>
        <w:t xml:space="preserve">all</w:t>
      </w:r>
      <w:r>
        <w:t xml:space="preserve"> </w:t>
      </w:r>
      <w:r>
        <w:t xml:space="preserve">appreciation. Under the Redline, Husband receives 50% only of the</w:t>
      </w:r>
      <w:r>
        <w:t xml:space="preserve"> </w:t>
      </w:r>
      <w:r>
        <w:rPr>
          <w:i/>
          <w:iCs/>
        </w:rPr>
        <w:t xml:space="preserve">active</w:t>
      </w:r>
      <w:r>
        <w:t xml:space="preserve"> </w:t>
      </w:r>
      <w:r>
        <w:t xml:space="preserve">appreciation. The Strand Valuation Report (Section 9) directly supports the active/passive distinction and concludes that approximately</w:t>
      </w:r>
      <w:r>
        <w:t xml:space="preserve"> </w:t>
      </w:r>
      <w:r>
        <w:rPr>
          <w:b/>
          <w:bCs/>
        </w:rPr>
        <w:t xml:space="preserve">60% of the Practice’s revenue growth is attributable to passive, market-driven factors</w:t>
      </w:r>
      <w:r>
        <w:t xml:space="preserve"> </w:t>
      </w:r>
      <w:r>
        <w:t xml:space="preserve">(insurance reimbursement-rate increases and demographic expansion) and only approximately 40% to active management and clinical efforts. Applied to appreciation, this would mean roughly 60% of appreciation stays Wife’s separate property and only ~40% is marital (of which Husband gets half, i.e., ~20% of total appreciation) — a materially better outcome for Wife than the Original Draft’s flat 50/50 of all appreciation.</w:t>
      </w:r>
    </w:p>
    <w:p>
      <w:pPr>
        <w:pStyle w:val="BodyText"/>
      </w:pPr>
      <w:r>
        <w:t xml:space="preserve">The complication is that the client’s stated preference was the opposite on procedure:</w:t>
      </w:r>
      <w:r>
        <w:t xml:space="preserve"> </w:t>
      </w:r>
      <w:r>
        <w:t xml:space="preserve">“</w:t>
      </w:r>
      <w:r>
        <w:t xml:space="preserve">She does not want the agreement to impose burdensome valuation methodologies that could make it expensive or contentious to determine the marital component of any future appreciation</w:t>
      </w:r>
      <w:r>
        <w:t xml:space="preserve">”</w:t>
      </w:r>
      <w:r>
        <w:t xml:space="preserve"> </w:t>
      </w:r>
      <w:r>
        <w:t xml:space="preserve">(Objective 4). The Redline’s approach requires a</w:t>
      </w:r>
      <w:r>
        <w:t xml:space="preserve"> </w:t>
      </w:r>
      <w:r>
        <w:t xml:space="preserve">“</w:t>
      </w:r>
      <w:r>
        <w:t xml:space="preserve">qualified forensic valuation expert</w:t>
      </w:r>
      <w:r>
        <w:t xml:space="preserve">”</w:t>
      </w:r>
      <w:r>
        <w:t xml:space="preserve"> </w:t>
      </w:r>
      <w:r>
        <w:t xml:space="preserve">at dissolution to perform an active/passive allocation — exactly the expensive, contentious process the client wanted to avoid. There is also a risk that a future expert allocates more to</w:t>
      </w:r>
      <w:r>
        <w:t xml:space="preserve"> </w:t>
      </w:r>
      <w:r>
        <w:t xml:space="preserve">“</w:t>
      </w:r>
      <w:r>
        <w:t xml:space="preserve">active</w:t>
      </w:r>
      <w:r>
        <w:t xml:space="preserve">”</w:t>
      </w:r>
      <w:r>
        <w:t xml:space="preserve"> </w:t>
      </w:r>
      <w:r>
        <w:t xml:space="preserve">than the Strand report’s 40% suggests, and the</w:t>
      </w:r>
      <w:r>
        <w:t xml:space="preserve"> </w:t>
      </w:r>
      <w:r>
        <w:t xml:space="preserve">“</w:t>
      </w:r>
      <w:r>
        <w:t xml:space="preserve">directly attributable to the active personal efforts of Wife</w:t>
      </w:r>
      <w:r>
        <w:t xml:space="preserve">”</w:t>
      </w:r>
      <w:r>
        <w:t xml:space="preserve"> </w:t>
      </w:r>
      <w:r>
        <w:t xml:space="preserve">standard is demanding (much of the active growth was a collective partner effort, not Wife’s individual efforts).</w:t>
      </w:r>
    </w:p>
    <w:p>
      <w:pPr>
        <w:pStyle w:val="BodyText"/>
      </w:pPr>
      <w:r>
        <w:rPr>
          <w:b/>
          <w:bCs/>
        </w:rPr>
        <w:t xml:space="preserve">Recommendation.</w:t>
      </w:r>
      <w:r>
        <w:t xml:space="preserve"> </w:t>
      </w:r>
      <w:r>
        <w:t xml:space="preserve">Accept the active/passive principle (it benefits Wife and is supported by the Strand report), but propose a</w:t>
      </w:r>
      <w:r>
        <w:t xml:space="preserve"> </w:t>
      </w:r>
      <w:r>
        <w:rPr>
          <w:b/>
          <w:bCs/>
        </w:rPr>
        <w:t xml:space="preserve">streamlined mechanism</w:t>
      </w:r>
      <w:r>
        <w:t xml:space="preserve"> </w:t>
      </w:r>
      <w:r>
        <w:t xml:space="preserve">to honor the client’s simplicity preference: a rebuttable presumption that 60% of any appreciation is passive (Wife’s separate property) and 40% is active (marital), anchored to the Strand report’s finding, with the presumption rebuttable only by a contemporaneous expert determination agreed to by both parties. This captures most of the financial benefit while avoiding a full forensic battle at dissolution. If opposing counsel rejects the presumption, fall back to the Redline’s expert-determination approach but ensure the burden of proving</w:t>
      </w:r>
      <w:r>
        <w:t xml:space="preserve"> </w:t>
      </w:r>
      <w:r>
        <w:rPr>
          <w:i/>
          <w:iCs/>
        </w:rPr>
        <w:t xml:space="preserve">active</w:t>
      </w:r>
      <w:r>
        <w:t xml:space="preserve"> </w:t>
      </w:r>
      <w:r>
        <w:t xml:space="preserve">appreciation is placed appropriately and the valuation methodology is constrained to the Strand methodology.</w:t>
      </w:r>
    </w:p>
    <w:bookmarkEnd w:id="46"/>
    <w:bookmarkStart w:id="47" w:name="Xcfb4d488e45efda9adbb966637b62680293d742"/>
    <w:p>
      <w:pPr>
        <w:pStyle w:val="Heading3"/>
      </w:pPr>
      <w:r>
        <w:t xml:space="preserve">15.</w:t>
      </w:r>
      <w:r>
        <w:t xml:space="preserve"> </w:t>
      </w:r>
      <w:r>
        <w:t xml:space="preserve">“</w:t>
      </w:r>
      <w:r>
        <w:t xml:space="preserve">Substantially</w:t>
      </w:r>
      <w:r>
        <w:t xml:space="preserve">”</w:t>
      </w:r>
      <w:r>
        <w:t xml:space="preserve"> </w:t>
      </w:r>
      <w:r>
        <w:t xml:space="preserve">Insertions in Disclosure Representations</w:t>
      </w:r>
    </w:p>
    <w:p>
      <w:pPr>
        <w:pStyle w:val="FirstParagraph"/>
      </w:pPr>
      <w:r>
        <w:t xml:space="preserve">As noted in Issue 2, the Redline inserts</w:t>
      </w:r>
      <w:r>
        <w:t xml:space="preserve"> </w:t>
      </w:r>
      <w:r>
        <w:t xml:space="preserve">“</w:t>
      </w:r>
      <w:r>
        <w:t xml:space="preserve">substantially</w:t>
      </w:r>
      <w:r>
        <w:t xml:space="preserve">”</w:t>
      </w:r>
      <w:r>
        <w:t xml:space="preserve"> </w:t>
      </w:r>
      <w:r>
        <w:t xml:space="preserve">before the disclosure representations in Sections 1.5, 3.1(d), and 12.1 (TC-06, TC-15, TC-41), converting</w:t>
      </w:r>
      <w:r>
        <w:t xml:space="preserve"> </w:t>
      </w:r>
      <w:r>
        <w:t xml:space="preserve">“</w:t>
      </w:r>
      <w:r>
        <w:t xml:space="preserve">full and complete disclosure</w:t>
      </w:r>
      <w:r>
        <w:t xml:space="preserve">”</w:t>
      </w:r>
      <w:r>
        <w:t xml:space="preserve"> </w:t>
      </w:r>
      <w:r>
        <w:t xml:space="preserve">into</w:t>
      </w:r>
      <w:r>
        <w:t xml:space="preserve"> </w:t>
      </w:r>
      <w:r>
        <w:t xml:space="preserve">“</w:t>
      </w:r>
      <w:r>
        <w:t xml:space="preserve">substantially full/complete disclosure.</w:t>
      </w:r>
      <w:r>
        <w:t xml:space="preserve">”</w:t>
      </w:r>
      <w:r>
        <w:t xml:space="preserve"> </w:t>
      </w:r>
      <w:r>
        <w:t xml:space="preserve">This systematically weakens the disclosure representations and should be rejected. The word</w:t>
      </w:r>
      <w:r>
        <w:t xml:space="preserve"> </w:t>
      </w:r>
      <w:r>
        <w:t xml:space="preserve">“</w:t>
      </w:r>
      <w:r>
        <w:t xml:space="preserve">substantially</w:t>
      </w:r>
      <w:r>
        <w:t xml:space="preserve">”</w:t>
      </w:r>
      <w:r>
        <w:t xml:space="preserve"> </w:t>
      </w:r>
      <w:r>
        <w:t xml:space="preserve">invites argument about what was</w:t>
      </w:r>
      <w:r>
        <w:t xml:space="preserve"> </w:t>
      </w:r>
      <w:r>
        <w:t xml:space="preserve">“</w:t>
      </w:r>
      <w:r>
        <w:t xml:space="preserve">substantially</w:t>
      </w:r>
      <w:r>
        <w:t xml:space="preserve">”</w:t>
      </w:r>
      <w:r>
        <w:t xml:space="preserve"> </w:t>
      </w:r>
      <w:r>
        <w:t xml:space="preserve">complete and undercuts the voidability remedy. Remove</w:t>
      </w:r>
      <w:r>
        <w:t xml:space="preserve"> </w:t>
      </w:r>
      <w:r>
        <w:t xml:space="preserve">“</w:t>
      </w:r>
      <w:r>
        <w:t xml:space="preserve">substantially</w:t>
      </w:r>
      <w:r>
        <w:t xml:space="preserve">”</w:t>
      </w:r>
      <w:r>
        <w:t xml:space="preserve"> </w:t>
      </w:r>
      <w:r>
        <w:t xml:space="preserve">throughout.</w:t>
      </w:r>
    </w:p>
    <w:bookmarkEnd w:id="47"/>
    <w:bookmarkStart w:id="48" w:name="dropped-standard-provisions"/>
    <w:p>
      <w:pPr>
        <w:pStyle w:val="Heading3"/>
      </w:pPr>
      <w:r>
        <w:t xml:space="preserve">16. Dropped Standard Provisions</w:t>
      </w:r>
    </w:p>
    <w:p>
      <w:pPr>
        <w:pStyle w:val="FirstParagraph"/>
      </w:pPr>
      <w:r>
        <w:t xml:space="preserve">Restore the housekeeping and protective provisions dropped from the Original Draft (Section III.B): counterparts, waiver, headings, no-pending-proceedings, and the voluntary-execution/fairness representation. These are standard, protective, and support enforceability.</w:t>
      </w:r>
    </w:p>
    <w:p>
      <w:r>
        <w:pict>
          <v:rect style="width:0;height:1.5pt" o:hralign="center" o:hrstd="t" o:hr="t"/>
        </w:pict>
      </w:r>
    </w:p>
    <w:bookmarkEnd w:id="48"/>
    <w:bookmarkEnd w:id="49"/>
    <w:bookmarkStart w:id="50" w:name="X0021ad5c480fe8698ce34b4c868ab72a433bcf0"/>
    <w:p>
      <w:pPr>
        <w:pStyle w:val="Heading2"/>
      </w:pPr>
      <w:r>
        <w:t xml:space="preserve">VII. Factual Discrepancies Requiring Verification Before Execution</w:t>
      </w:r>
    </w:p>
    <w:p>
      <w:pPr>
        <w:pStyle w:val="FirstParagraph"/>
      </w:pPr>
      <w:r>
        <w:t xml:space="preserve">Cross-referencing the Original Draft, the Redline, and the Linden &amp; Fosse financial disclosure summary reveals numerous factual inconsistencies. The disclosure summary (prepared by the neutral CPA from source records) is generally the most reliable, but several items conflict with both drafts and must be reconciled against primary documents (statements, the death certificate, birth certificates, appraisal reports) before execution. An agreement containing incorrect account numbers, institutions, or values is vulnerable to challenge and undermines the disclosure regime on which enforceability depends.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Redline</w:t>
            </w:r>
          </w:p>
        </w:tc>
        <w:tc>
          <w:tcPr/>
          <w:p>
            <w:pPr>
              <w:pStyle w:val="Compact"/>
              <w:jc w:val="left"/>
            </w:pPr>
            <w:r>
              <w:t xml:space="preserve">Linden &amp; Fosse Disclosure</w:t>
            </w:r>
          </w:p>
        </w:tc>
        <w:tc>
          <w:tcPr/>
          <w:p>
            <w:pPr>
              <w:pStyle w:val="Compact"/>
              <w:jc w:val="left"/>
            </w:pPr>
            <w:r>
              <w:t xml:space="preserve">Recommended Action</w:t>
            </w:r>
          </w:p>
        </w:tc>
      </w:tr>
      <w:tr>
        <w:tc>
          <w:tcPr/>
          <w:p>
            <w:pPr>
              <w:pStyle w:val="Compact"/>
              <w:jc w:val="left"/>
            </w:pPr>
            <w:r>
              <w:t xml:space="preserve">Inheritance brokerage institution / account</w:t>
            </w:r>
          </w:p>
        </w:tc>
        <w:tc>
          <w:tcPr/>
          <w:p>
            <w:pPr>
              <w:pStyle w:val="Compact"/>
              <w:jc w:val="left"/>
            </w:pPr>
            <w:r>
              <w:t xml:space="preserve">Hartleigh Investments</w:t>
            </w:r>
          </w:p>
        </w:tc>
        <w:tc>
          <w:tcPr/>
          <w:p>
            <w:pPr>
              <w:pStyle w:val="Compact"/>
              <w:jc w:val="left"/>
            </w:pPr>
            <w:r>
              <w:t xml:space="preserve">Tidewater Securities (acct -7724)</w:t>
            </w:r>
          </w:p>
        </w:tc>
        <w:tc>
          <w:tcPr/>
          <w:p>
            <w:pPr>
              <w:pStyle w:val="Compact"/>
              <w:jc w:val="left"/>
            </w:pPr>
            <w:r>
              <w:t xml:space="preserve">Northbridge Wealth Advisors (acct 8837)</w:t>
            </w:r>
          </w:p>
        </w:tc>
        <w:tc>
          <w:tcPr/>
          <w:p>
            <w:pPr>
              <w:pStyle w:val="Compact"/>
              <w:jc w:val="left"/>
            </w:pPr>
            <w:r>
              <w:rPr>
                <w:b/>
                <w:bCs/>
              </w:rPr>
              <w:t xml:space="preserve">Three different institutions.</w:t>
            </w:r>
            <w:r>
              <w:t xml:space="preserve"> </w:t>
            </w:r>
            <w:r>
              <w:t xml:space="preserve">Verify against the estate account statements and the current brokerage statement. Correct to match the actual account. This is a $1.92M asset; accuracy is essential to confirm it is held separately and not commingled.</w:t>
            </w:r>
          </w:p>
        </w:tc>
      </w:tr>
      <w:tr>
        <w:tc>
          <w:tcPr/>
          <w:p>
            <w:pPr>
              <w:pStyle w:val="Compact"/>
              <w:jc w:val="left"/>
            </w:pPr>
            <w:r>
              <w:t xml:space="preserve">Husband’s 401(k) institution</w:t>
            </w:r>
          </w:p>
        </w:tc>
        <w:tc>
          <w:tcPr/>
          <w:p>
            <w:pPr>
              <w:pStyle w:val="Compact"/>
              <w:jc w:val="left"/>
            </w:pPr>
            <w:r>
              <w:t xml:space="preserve">(not specified)</w:t>
            </w:r>
          </w:p>
        </w:tc>
        <w:tc>
          <w:tcPr/>
          <w:p>
            <w:pPr>
              <w:pStyle w:val="Compact"/>
              <w:jc w:val="left"/>
            </w:pPr>
            <w:r>
              <w:t xml:space="preserve">Hartleigh Investments (administrator)</w:t>
            </w:r>
          </w:p>
        </w:tc>
        <w:tc>
          <w:tcPr/>
          <w:p>
            <w:pPr>
              <w:pStyle w:val="Compact"/>
              <w:jc w:val="left"/>
            </w:pPr>
            <w:r>
              <w:t xml:space="preserve">Northbridge Wealth Advisors (custodian, acct 5518)</w:t>
            </w:r>
          </w:p>
        </w:tc>
        <w:tc>
          <w:tcPr/>
          <w:p>
            <w:pPr>
              <w:pStyle w:val="Compact"/>
              <w:jc w:val="left"/>
            </w:pPr>
            <w:r>
              <w:t xml:space="preserve">Verify against the 401(k) statement.</w:t>
            </w:r>
          </w:p>
        </w:tc>
      </w:tr>
      <w:tr>
        <w:tc>
          <w:tcPr/>
          <w:p>
            <w:pPr>
              <w:pStyle w:val="Compact"/>
              <w:jc w:val="left"/>
            </w:pPr>
            <w:r>
              <w:t xml:space="preserve">Wife’s 403(b) institution</w:t>
            </w:r>
          </w:p>
        </w:tc>
        <w:tc>
          <w:tcPr/>
          <w:p>
            <w:pPr>
              <w:pStyle w:val="Compact"/>
              <w:jc w:val="left"/>
            </w:pPr>
            <w:r>
              <w:t xml:space="preserve">(not specified)</w:t>
            </w:r>
          </w:p>
        </w:tc>
        <w:tc>
          <w:tcPr/>
          <w:p>
            <w:pPr>
              <w:pStyle w:val="Compact"/>
              <w:jc w:val="left"/>
            </w:pPr>
            <w:r>
              <w:t xml:space="preserve">TIAA-CREF</w:t>
            </w:r>
          </w:p>
        </w:tc>
        <w:tc>
          <w:tcPr/>
          <w:p>
            <w:pPr>
              <w:pStyle w:val="Compact"/>
              <w:jc w:val="left"/>
            </w:pPr>
            <w:r>
              <w:t xml:space="preserve">Northbridge Wealth Advisors (custodian, acct 7842)</w:t>
            </w:r>
          </w:p>
        </w:tc>
        <w:tc>
          <w:tcPr/>
          <w:p>
            <w:pPr>
              <w:pStyle w:val="Compact"/>
              <w:jc w:val="left"/>
            </w:pPr>
            <w:r>
              <w:t xml:space="preserve">Verify against the 403(b) statement.</w:t>
            </w:r>
          </w:p>
        </w:tc>
      </w:tr>
      <w:tr>
        <w:tc>
          <w:tcPr/>
          <w:p>
            <w:pPr>
              <w:pStyle w:val="Compact"/>
              <w:jc w:val="left"/>
            </w:pPr>
            <w:r>
              <w:t xml:space="preserve">Wife’s 403(b) value</w:t>
            </w:r>
          </w:p>
        </w:tc>
        <w:tc>
          <w:tcPr/>
          <w:p>
            <w:pPr>
              <w:pStyle w:val="Compact"/>
              <w:jc w:val="left"/>
            </w:pPr>
            <w:r>
              <w:t xml:space="preserve">$2,340,000 (combined)</w:t>
            </w:r>
          </w:p>
        </w:tc>
        <w:tc>
          <w:tcPr/>
          <w:p>
            <w:pPr>
              <w:pStyle w:val="Compact"/>
              <w:jc w:val="left"/>
            </w:pPr>
            <w:r>
              <w:t xml:space="preserve">$1,440,000</w:t>
            </w:r>
          </w:p>
        </w:tc>
        <w:tc>
          <w:tcPr/>
          <w:p>
            <w:pPr>
              <w:pStyle w:val="Compact"/>
              <w:jc w:val="left"/>
            </w:pPr>
            <w:r>
              <w:t xml:space="preserve">$1,415,000 (statement 10/31/2024)</w:t>
            </w:r>
          </w:p>
        </w:tc>
        <w:tc>
          <w:tcPr/>
          <w:p>
            <w:pPr>
              <w:pStyle w:val="Compact"/>
              <w:jc w:val="left"/>
            </w:pPr>
            <w:r>
              <w:t xml:space="preserve">Reconcile the $25,000 difference; use the statement figure.</w:t>
            </w:r>
          </w:p>
        </w:tc>
      </w:tr>
      <w:tr>
        <w:tc>
          <w:tcPr/>
          <w:p>
            <w:pPr>
              <w:pStyle w:val="Compact"/>
              <w:jc w:val="left"/>
            </w:pPr>
            <w:r>
              <w:t xml:space="preserve">Wife’s pension present value</w:t>
            </w:r>
          </w:p>
        </w:tc>
        <w:tc>
          <w:tcPr/>
          <w:p>
            <w:pPr>
              <w:pStyle w:val="Compact"/>
              <w:jc w:val="left"/>
            </w:pPr>
            <w:r>
              <w:t xml:space="preserve">(combined)</w:t>
            </w:r>
          </w:p>
        </w:tc>
        <w:tc>
          <w:tcPr/>
          <w:p>
            <w:pPr>
              <w:pStyle w:val="Compact"/>
              <w:jc w:val="left"/>
            </w:pPr>
            <w:r>
              <w:t xml:space="preserve">$900,000</w:t>
            </w:r>
          </w:p>
        </w:tc>
        <w:tc>
          <w:tcPr/>
          <w:p>
            <w:pPr>
              <w:pStyle w:val="Compact"/>
              <w:jc w:val="left"/>
            </w:pPr>
            <w:r>
              <w:t xml:space="preserve">$925,000 (actuarial est. 11/15/2024)</w:t>
            </w:r>
          </w:p>
        </w:tc>
        <w:tc>
          <w:tcPr/>
          <w:p>
            <w:pPr>
              <w:pStyle w:val="Compact"/>
              <w:jc w:val="left"/>
            </w:pPr>
            <w:r>
              <w:t xml:space="preserve">Reconcile the $25,000 difference; use the actuarial figure. (Total $2,340,000 in both.)</w:t>
            </w:r>
          </w:p>
        </w:tc>
      </w:tr>
      <w:tr>
        <w:tc>
          <w:tcPr/>
          <w:p>
            <w:pPr>
              <w:pStyle w:val="Compact"/>
              <w:jc w:val="left"/>
            </w:pPr>
            <w:r>
              <w:t xml:space="preserve">Joint Investment Account number</w:t>
            </w:r>
          </w:p>
        </w:tc>
        <w:tc>
          <w:tcPr/>
          <w:p>
            <w:pPr>
              <w:pStyle w:val="Compact"/>
              <w:jc w:val="left"/>
            </w:pPr>
            <w:r>
              <w:t xml:space="preserve">(not specified)</w:t>
            </w:r>
          </w:p>
        </w:tc>
        <w:tc>
          <w:tcPr/>
          <w:p>
            <w:pPr>
              <w:pStyle w:val="Compact"/>
              <w:jc w:val="left"/>
            </w:pPr>
            <w:r>
              <w:t xml:space="preserve">-3961</w:t>
            </w:r>
          </w:p>
        </w:tc>
        <w:tc>
          <w:tcPr/>
          <w:p>
            <w:pPr>
              <w:pStyle w:val="Compact"/>
              <w:jc w:val="left"/>
            </w:pPr>
            <w:r>
              <w:t xml:space="preserve">3291</w:t>
            </w:r>
          </w:p>
        </w:tc>
        <w:tc>
          <w:tcPr/>
          <w:p>
            <w:pPr>
              <w:pStyle w:val="Compact"/>
              <w:jc w:val="left"/>
            </w:pPr>
            <w:r>
              <w:rPr>
                <w:b/>
                <w:bCs/>
              </w:rPr>
              <w:t xml:space="preserve">Critical:</w:t>
            </w:r>
            <w:r>
              <w:t xml:space="preserve"> </w:t>
            </w:r>
            <w:r>
              <w:t xml:space="preserve">this account holds Wife’s $1.2M premarital savings. Verify and correct; the tracing and reimbursement right depend on accurate identification.</w:t>
            </w:r>
          </w:p>
        </w:tc>
      </w:tr>
      <w:tr>
        <w:tc>
          <w:tcPr/>
          <w:p>
            <w:pPr>
              <w:pStyle w:val="Compact"/>
              <w:jc w:val="left"/>
            </w:pPr>
            <w:r>
              <w:t xml:space="preserve">Door County property appraiser</w:t>
            </w:r>
          </w:p>
        </w:tc>
        <w:tc>
          <w:tcPr/>
          <w:p>
            <w:pPr>
              <w:pStyle w:val="Compact"/>
              <w:jc w:val="left"/>
            </w:pPr>
            <w:r>
              <w:t xml:space="preserve">(not specified)</w:t>
            </w:r>
          </w:p>
        </w:tc>
        <w:tc>
          <w:tcPr/>
          <w:p>
            <w:pPr>
              <w:pStyle w:val="Compact"/>
              <w:jc w:val="left"/>
            </w:pPr>
            <w:r>
              <w:t xml:space="preserve">Midwest Appraisal Associates (10/15/2024)</w:t>
            </w:r>
          </w:p>
        </w:tc>
        <w:tc>
          <w:tcPr/>
          <w:p>
            <w:pPr>
              <w:pStyle w:val="Compact"/>
              <w:jc w:val="left"/>
            </w:pPr>
            <w:r>
              <w:t xml:space="preserve">Pendleton Appraisal Group</w:t>
            </w:r>
          </w:p>
        </w:tc>
        <w:tc>
          <w:tcPr/>
          <w:p>
            <w:pPr>
              <w:pStyle w:val="Compact"/>
              <w:jc w:val="left"/>
            </w:pPr>
            <w:r>
              <w:t xml:space="preserve">Verify against the actual appraisal report. Note: Pendleton was engaged for the marital residence; confirm whether it also appraised the Wisconsin property or whether a separate appraiser (Midwest) did.</w:t>
            </w:r>
          </w:p>
        </w:tc>
      </w:tr>
      <w:tr>
        <w:tc>
          <w:tcPr/>
          <w:p>
            <w:pPr>
              <w:pStyle w:val="Compact"/>
              <w:jc w:val="left"/>
            </w:pPr>
            <w:r>
              <w:t xml:space="preserve">Wife’s individual credit-card balance</w:t>
            </w:r>
          </w:p>
        </w:tc>
        <w:tc>
          <w:tcPr/>
          <w:p>
            <w:pPr>
              <w:pStyle w:val="Compact"/>
              <w:jc w:val="left"/>
            </w:pPr>
            <w:r>
              <w:t xml:space="preserve">(not in summary)</w:t>
            </w:r>
          </w:p>
        </w:tc>
        <w:tc>
          <w:tcPr/>
          <w:p>
            <w:pPr>
              <w:pStyle w:val="Compact"/>
              <w:jc w:val="left"/>
            </w:pPr>
            <w:r>
              <w:t xml:space="preserve">$4,200</w:t>
            </w:r>
          </w:p>
        </w:tc>
        <w:tc>
          <w:tcPr/>
          <w:p>
            <w:pPr>
              <w:pStyle w:val="Compact"/>
              <w:jc w:val="left"/>
            </w:pPr>
            <w:r>
              <w:t xml:space="preserve">$3,200 (Valemont Visa, acct 4412)</w:t>
            </w:r>
          </w:p>
        </w:tc>
        <w:tc>
          <w:tcPr/>
          <w:p>
            <w:pPr>
              <w:pStyle w:val="Compact"/>
              <w:jc w:val="left"/>
            </w:pPr>
            <w:r>
              <w:t xml:space="preserve">Reconcile; use the statement figure.</w:t>
            </w:r>
          </w:p>
        </w:tc>
      </w:tr>
      <w:tr>
        <w:tc>
          <w:tcPr/>
          <w:p>
            <w:pPr>
              <w:pStyle w:val="Compact"/>
              <w:jc w:val="left"/>
            </w:pPr>
            <w:r>
              <w:t xml:space="preserve">Joint checking/savings institutions</w:t>
            </w:r>
          </w:p>
        </w:tc>
        <w:tc>
          <w:tcPr/>
          <w:p>
            <w:pPr>
              <w:pStyle w:val="Compact"/>
              <w:jc w:val="left"/>
            </w:pPr>
            <w:r>
              <w:t xml:space="preserve">(not specified)</w:t>
            </w:r>
          </w:p>
        </w:tc>
        <w:tc>
          <w:tcPr/>
          <w:p>
            <w:pPr>
              <w:pStyle w:val="Compact"/>
              <w:jc w:val="left"/>
            </w:pPr>
            <w:r>
              <w:t xml:space="preserve">“</w:t>
            </w:r>
            <w:r>
              <w:t xml:space="preserve">First Saxonbrook Bank and Hollcroft Fiduciary</w:t>
            </w:r>
            <w:r>
              <w:t xml:space="preserve">”</w:t>
            </w:r>
          </w:p>
        </w:tc>
        <w:tc>
          <w:tcPr/>
          <w:p>
            <w:pPr>
              <w:pStyle w:val="Compact"/>
              <w:jc w:val="left"/>
            </w:pPr>
            <w:r>
              <w:t xml:space="preserve">First Saxonbrook Bank (checking acct 4410; savings acct 4417)</w:t>
            </w:r>
          </w:p>
        </w:tc>
        <w:tc>
          <w:tcPr/>
          <w:p>
            <w:pPr>
              <w:pStyle w:val="Compact"/>
              <w:jc w:val="left"/>
            </w:pPr>
            <w:r>
              <w:t xml:space="preserve">The Redline adds</w:t>
            </w:r>
            <w:r>
              <w:t xml:space="preserve"> </w:t>
            </w:r>
            <w:r>
              <w:t xml:space="preserve">“</w:t>
            </w:r>
            <w:r>
              <w:t xml:space="preserve">Hollcroft Fiduciary,</w:t>
            </w:r>
            <w:r>
              <w:t xml:space="preserve">”</w:t>
            </w:r>
            <w:r>
              <w:t xml:space="preserve"> </w:t>
            </w:r>
            <w:r>
              <w:t xml:space="preserve">which does not appear in the disclosure.</w:t>
            </w:r>
            <w:r>
              <w:t xml:space="preserve"> </w:t>
            </w:r>
            <w:r>
              <w:t xml:space="preserve">“</w:t>
            </w:r>
            <w:r>
              <w:t xml:space="preserve">Hollcroft</w:t>
            </w:r>
            <w:r>
              <w:t xml:space="preserve">”</w:t>
            </w:r>
            <w:r>
              <w:t xml:space="preserve"> </w:t>
            </w:r>
            <w:r>
              <w:t xml:space="preserve">appears in the disclosure only as the issuer of Husband’s undisclosed credit card (Hollcroft One). Verify and correct; the Redline’s reference may conflate the card issuer with a bank.</w:t>
            </w:r>
          </w:p>
        </w:tc>
      </w:tr>
      <w:tr>
        <w:tc>
          <w:tcPr/>
          <w:p>
            <w:pPr>
              <w:pStyle w:val="Compact"/>
              <w:jc w:val="left"/>
            </w:pPr>
            <w:r>
              <w:t xml:space="preserve">Identified Debt description</w:t>
            </w:r>
          </w:p>
        </w:tc>
        <w:tc>
          <w:tcPr/>
          <w:p>
            <w:pPr>
              <w:pStyle w:val="Compact"/>
              <w:jc w:val="left"/>
            </w:pPr>
            <w:r>
              <w:t xml:space="preserve">single obligation</w:t>
            </w:r>
          </w:p>
        </w:tc>
        <w:tc>
          <w:tcPr/>
          <w:p>
            <w:pPr>
              <w:pStyle w:val="Compact"/>
              <w:jc w:val="left"/>
            </w:pPr>
            <w:r>
              <w:t xml:space="preserve">“</w:t>
            </w:r>
            <w:r>
              <w:t xml:space="preserve">multiple revolving credit accounts … various credit card issuers</w:t>
            </w:r>
            <w:r>
              <w:t xml:space="preserve">”</w:t>
            </w:r>
          </w:p>
        </w:tc>
        <w:tc>
          <w:tcPr/>
          <w:p>
            <w:pPr>
              <w:pStyle w:val="Compact"/>
              <w:jc w:val="left"/>
            </w:pPr>
            <w:r>
              <w:t xml:space="preserve">Single account: Hollcroft One Mastercard (acct 6673), opened 1/2023, APR 22.99%, min. pmt ~$1,360</w:t>
            </w:r>
          </w:p>
        </w:tc>
        <w:tc>
          <w:tcPr/>
          <w:p>
            <w:pPr>
              <w:pStyle w:val="Compact"/>
              <w:jc w:val="left"/>
            </w:pPr>
            <w:r>
              <w:t xml:space="preserve">Correct the Redline to match the actual single account. The</w:t>
            </w:r>
            <w:r>
              <w:t xml:space="preserve"> </w:t>
            </w:r>
            <w:r>
              <w:t xml:space="preserve">“</w:t>
            </w:r>
            <w:r>
              <w:t xml:space="preserve">multiple accounts</w:t>
            </w:r>
            <w:r>
              <w:t xml:space="preserve">”</w:t>
            </w:r>
            <w:r>
              <w:t xml:space="preserve"> </w:t>
            </w:r>
            <w:r>
              <w:t xml:space="preserve">description is broader than the documented facts and should not be used.</w:t>
            </w:r>
          </w:p>
        </w:tc>
      </w:tr>
      <w:tr>
        <w:tc>
          <w:tcPr/>
          <w:p>
            <w:pPr>
              <w:pStyle w:val="Compact"/>
              <w:jc w:val="left"/>
            </w:pPr>
            <w:r>
              <w:t xml:space="preserve">Constance Thornton date of death</w:t>
            </w:r>
          </w:p>
        </w:tc>
        <w:tc>
          <w:tcPr/>
          <w:p>
            <w:pPr>
              <w:pStyle w:val="Compact"/>
              <w:jc w:val="left"/>
            </w:pPr>
            <w:r>
              <w:t xml:space="preserve">August 12, 2024</w:t>
            </w:r>
          </w:p>
        </w:tc>
        <w:tc>
          <w:tcPr/>
          <w:p>
            <w:pPr>
              <w:pStyle w:val="Compact"/>
              <w:jc w:val="left"/>
            </w:pPr>
            <w:r>
              <w:t xml:space="preserve">September 3, 2024</w:t>
            </w:r>
          </w:p>
        </w:tc>
        <w:tc>
          <w:tcPr/>
          <w:p>
            <w:pPr>
              <w:pStyle w:val="Compact"/>
              <w:jc w:val="left"/>
            </w:pPr>
            <w:r>
              <w:t xml:space="preserve">October 2024 (intake memo and disclosure)</w:t>
            </w:r>
          </w:p>
        </w:tc>
        <w:tc>
          <w:tcPr/>
          <w:p>
            <w:pPr>
              <w:pStyle w:val="Compact"/>
              <w:jc w:val="left"/>
            </w:pPr>
            <w:r>
              <w:rPr>
                <w:b/>
                <w:bCs/>
              </w:rPr>
              <w:t xml:space="preserve">Three different dates.</w:t>
            </w:r>
            <w:r>
              <w:t xml:space="preserve"> </w:t>
            </w:r>
            <w:r>
              <w:t xml:space="preserve">Verify against the death certificate. The CPA-prepared disclosure and intake memo both indicate October 2024; the Redline’s September 3, 2024 may be incorrect.</w:t>
            </w:r>
          </w:p>
        </w:tc>
      </w:tr>
      <w:tr>
        <w:tc>
          <w:tcPr/>
          <w:p>
            <w:pPr>
              <w:pStyle w:val="Compact"/>
              <w:jc w:val="left"/>
            </w:pPr>
            <w:r>
              <w:t xml:space="preserve">Children’s birth dates</w:t>
            </w:r>
          </w:p>
        </w:tc>
        <w:tc>
          <w:tcPr/>
          <w:p>
            <w:pPr>
              <w:pStyle w:val="Compact"/>
              <w:jc w:val="left"/>
            </w:pPr>
            <w:r>
              <w:t xml:space="preserve">Elena 10/3/2012; Julian 3/22/2016</w:t>
            </w:r>
          </w:p>
        </w:tc>
        <w:tc>
          <w:tcPr/>
          <w:p>
            <w:pPr>
              <w:pStyle w:val="Compact"/>
              <w:jc w:val="left"/>
            </w:pPr>
            <w:r>
              <w:t xml:space="preserve">Elena 8/22/2012; Julian 11/9/2015</w:t>
            </w:r>
          </w:p>
        </w:tc>
        <w:tc>
          <w:tcPr/>
          <w:p>
            <w:pPr>
              <w:pStyle w:val="Compact"/>
              <w:jc w:val="left"/>
            </w:pPr>
            <w:r>
              <w:t xml:space="preserve">(not specified)</w:t>
            </w:r>
          </w:p>
        </w:tc>
        <w:tc>
          <w:tcPr/>
          <w:p>
            <w:pPr>
              <w:pStyle w:val="Compact"/>
              <w:jc w:val="left"/>
            </w:pPr>
            <w:r>
              <w:t xml:space="preserve">Verify against birth certificates. Note: a 3/22/2016 birth date would make Julian 8 (not 9) at the November 5, 2024 intake; the Redline’s 11/9/2015 date is more consistent with the recorded age. Reconcile and use the correct dates throughout.</w:t>
            </w:r>
          </w:p>
        </w:tc>
      </w:tr>
      <w:tr>
        <w:tc>
          <w:tcPr/>
          <w:p>
            <w:pPr>
              <w:pStyle w:val="Compact"/>
              <w:jc w:val="left"/>
            </w:pPr>
            <w:r>
              <w:t xml:space="preserve">Wife’s practice start</w:t>
            </w:r>
          </w:p>
        </w:tc>
        <w:tc>
          <w:tcPr/>
          <w:p>
            <w:pPr>
              <w:pStyle w:val="Compact"/>
              <w:jc w:val="left"/>
            </w:pPr>
            <w:r>
              <w:t xml:space="preserve">“</w:t>
            </w:r>
            <w:r>
              <w:t xml:space="preserve">since completing fellowship</w:t>
            </w:r>
            <w:r>
              <w:t xml:space="preserve">”</w:t>
            </w:r>
          </w:p>
        </w:tc>
        <w:tc>
          <w:tcPr/>
          <w:p>
            <w:pPr>
              <w:pStyle w:val="Compact"/>
              <w:jc w:val="left"/>
            </w:pPr>
            <w:r>
              <w:t xml:space="preserve">“</w:t>
            </w:r>
            <w:r>
              <w:t xml:space="preserve">since 2011</w:t>
            </w:r>
            <w:r>
              <w:t xml:space="preserve">”</w:t>
            </w:r>
          </w:p>
        </w:tc>
        <w:tc>
          <w:tcPr/>
          <w:p>
            <w:pPr>
              <w:pStyle w:val="Compact"/>
              <w:jc w:val="left"/>
            </w:pPr>
            <w:r>
              <w:t xml:space="preserve">Intake:</w:t>
            </w:r>
            <w:r>
              <w:t xml:space="preserve"> </w:t>
            </w:r>
            <w:r>
              <w:t xml:space="preserve">“</w:t>
            </w:r>
            <w:r>
              <w:t xml:space="preserve">over fifteen years</w:t>
            </w:r>
            <w:r>
              <w:t xml:space="preserve">”</w:t>
            </w:r>
            <w:r>
              <w:t xml:space="preserve"> </w:t>
            </w:r>
            <w:r>
              <w:t xml:space="preserve">(~2009)</w:t>
            </w:r>
          </w:p>
        </w:tc>
        <w:tc>
          <w:tcPr/>
          <w:p>
            <w:pPr>
              <w:pStyle w:val="Compact"/>
              <w:jc w:val="left"/>
            </w:pPr>
            <w:r>
              <w:t xml:space="preserve">Verify.</w:t>
            </w:r>
            <w:r>
              <w:t xml:space="preserve"> </w:t>
            </w:r>
            <w:r>
              <w:t xml:space="preserve">“</w:t>
            </w:r>
            <w:r>
              <w:t xml:space="preserve">Since 2011</w:t>
            </w:r>
            <w:r>
              <w:t xml:space="preserve">”</w:t>
            </w:r>
            <w:r>
              <w:t xml:space="preserve"> </w:t>
            </w:r>
            <w:r>
              <w:t xml:space="preserve">is ~13 years, not 15. Minor, but correct for accuracy.</w:t>
            </w:r>
          </w:p>
        </w:tc>
      </w:tr>
    </w:tbl>
    <w:p>
      <w:pPr>
        <w:pStyle w:val="BodyText"/>
      </w:pPr>
      <w:r>
        <w:rPr>
          <w:b/>
          <w:bCs/>
        </w:rPr>
        <w:t xml:space="preserve">Recommendation.</w:t>
      </w:r>
      <w:r>
        <w:t xml:space="preserve"> </w:t>
      </w:r>
      <w:r>
        <w:t xml:space="preserve">Request that Linden &amp; Fosse reconcile each item against primary source documents and issue a corrected disclosure summary. Do not finalize the agreement until all account numbers, institutions, values, and dates are verified and consistent across the agreement, the schedules, and the source documents.</w:t>
      </w:r>
    </w:p>
    <w:p>
      <w:r>
        <w:pict>
          <v:rect style="width:0;height:1.5pt" o:hralign="center" o:hrstd="t" o:hr="t"/>
        </w:pict>
      </w:r>
    </w:p>
    <w:bookmarkEnd w:id="50"/>
    <w:bookmarkStart w:id="51" w:name="X52335c42e20525d804a401ce0f88706d40fd82a"/>
    <w:p>
      <w:pPr>
        <w:pStyle w:val="Heading2"/>
      </w:pPr>
      <w:r>
        <w:t xml:space="preserve">VIII. Enforceability and Unconscionability Considerations</w:t>
      </w:r>
    </w:p>
    <w:p>
      <w:pPr>
        <w:pStyle w:val="FirstParagraph"/>
      </w:pPr>
      <w:r>
        <w:t xml:space="preserve">Postnuptial agreements in Illinois are enforceable under 750 ILCS 5/502 but receive</w:t>
      </w:r>
      <w:r>
        <w:t xml:space="preserve"> </w:t>
      </w:r>
      <w:r>
        <w:rPr>
          <w:b/>
          <w:bCs/>
        </w:rPr>
        <w:t xml:space="preserve">heightened scrutiny</w:t>
      </w:r>
      <w:r>
        <w:t xml:space="preserve"> </w:t>
      </w:r>
      <w:r>
        <w:t xml:space="preserve">compared to prenuptial agreements because of the fiduciary duty that exists between spouses. Courts examine both procedural fairness (independent counsel, adequate review time, absence of duress) and substantive fairness (the terms at execution). The client’s Objective 5 is an agreement that</w:t>
      </w:r>
      <w:r>
        <w:t xml:space="preserve"> </w:t>
      </w:r>
      <w:r>
        <w:t xml:space="preserve">“</w:t>
      </w:r>
      <w:r>
        <w:t xml:space="preserve">will withstand judicial scrutiny if challenged.</w:t>
      </w:r>
      <w:r>
        <w:t xml:space="preserve">”</w:t>
      </w:r>
      <w:r>
        <w:t xml:space="preserve"> </w:t>
      </w:r>
      <w:r>
        <w:t xml:space="preserve">Several Redline changes cut against that objective and should be framed to opposing counsel as enforceability concerns that benefit both parties:</w:t>
      </w:r>
    </w:p>
    <w:p>
      <w:pPr>
        <w:numPr>
          <w:ilvl w:val="0"/>
          <w:numId w:val="1005"/>
        </w:numPr>
      </w:pPr>
      <w:r>
        <w:rPr>
          <w:b/>
          <w:bCs/>
        </w:rPr>
        <w:t xml:space="preserve">Weakened disclosure undermines enforceability.</w:t>
      </w:r>
      <w:r>
        <w:t xml:space="preserve"> </w:t>
      </w:r>
      <w:r>
        <w:t xml:space="preserve">Full and fair financial disclosure is a prerequisite to enforceability. A provision that shields material non-disclosure below $100,000 and excuses</w:t>
      </w:r>
      <w:r>
        <w:t xml:space="preserve"> </w:t>
      </w:r>
      <w:r>
        <w:t xml:space="preserve">“</w:t>
      </w:r>
      <w:r>
        <w:t xml:space="preserve">inadvertent</w:t>
      </w:r>
      <w:r>
        <w:t xml:space="preserve">”</w:t>
      </w:r>
      <w:r>
        <w:t xml:space="preserve"> </w:t>
      </w:r>
      <w:r>
        <w:t xml:space="preserve">omissions invites a court to question whether the disclosure regime was fair at all — risking the entire agreement, including the provisions that protect Husband’s inheritance. Restoring a robust disclosure/voidability regime</w:t>
      </w:r>
      <w:r>
        <w:t xml:space="preserve"> </w:t>
      </w:r>
      <w:r>
        <w:rPr>
          <w:i/>
          <w:iCs/>
        </w:rPr>
        <w:t xml:space="preserve">protects Husband’s interest in a durable agreement</w:t>
      </w:r>
      <w:r>
        <w:t xml:space="preserve">, not just Wife’s.</w:t>
      </w:r>
    </w:p>
    <w:p>
      <w:pPr>
        <w:numPr>
          <w:ilvl w:val="0"/>
          <w:numId w:val="1005"/>
        </w:numPr>
      </w:pPr>
      <w:r>
        <w:rPr>
          <w:b/>
          <w:bCs/>
        </w:rPr>
        <w:t xml:space="preserve">One-sided property terms risk unconscionability as to Wife.</w:t>
      </w:r>
      <w:r>
        <w:t xml:space="preserve"> </w:t>
      </w:r>
      <w:r>
        <w:t xml:space="preserve">Deleting the $1,200,000 reimbursement right leaves Wife worse off than she would be under default Illinois tracing law (750 ILCS 5/503(c)), under which she would very likely recover her traceable premarital contribution. An agreement that places a spouse below the statutory baseline is a textbook unconscionability argument. Combined with the transmutation reversal (which could let Husband deploy a $3.8 million inheritance for joint purposes while keeping it separate), the agreement could be challenged as substantively unfair to Wife. Restoring the reimbursement and the transmutation presumption</w:t>
      </w:r>
      <w:r>
        <w:t xml:space="preserve"> </w:t>
      </w:r>
      <w:r>
        <w:rPr>
          <w:i/>
          <w:iCs/>
        </w:rPr>
        <w:t xml:space="preserve">protects the agreement from being set aside</w:t>
      </w:r>
      <w:r>
        <w:t xml:space="preserve">.</w:t>
      </w:r>
    </w:p>
    <w:p>
      <w:pPr>
        <w:numPr>
          <w:ilvl w:val="0"/>
          <w:numId w:val="1005"/>
        </w:numPr>
      </w:pPr>
      <w:r>
        <w:rPr>
          <w:b/>
          <w:bCs/>
        </w:rPr>
        <w:t xml:space="preserve">The $200,000 maintenance waiver risks challenge as to Husband.</w:t>
      </w:r>
      <w:r>
        <w:t xml:space="preserve"> </w:t>
      </w:r>
      <w:r>
        <w:t xml:space="preserve">A bright-line waiver that eliminates maintenance for a spouse earning $305,000 against a $487,000-earning spouse could be challenged by Husband as unconscionable, particularly if combined with the property concessions. If a court struck the waiver but left the property concessions to Husband standing, Wife could face the worst outcome: no property protection</w:t>
      </w:r>
      <w:r>
        <w:t xml:space="preserve"> </w:t>
      </w:r>
      <w:r>
        <w:rPr>
          <w:i/>
          <w:iCs/>
        </w:rPr>
        <w:t xml:space="preserve">and</w:t>
      </w:r>
      <w:r>
        <w:t xml:space="preserve"> </w:t>
      </w:r>
      <w:r>
        <w:t xml:space="preserve">a maintenance obligation. A balanced agreement avoids this risk.</w:t>
      </w:r>
    </w:p>
    <w:p>
      <w:pPr>
        <w:numPr>
          <w:ilvl w:val="0"/>
          <w:numId w:val="1005"/>
        </w:numPr>
      </w:pPr>
      <w:r>
        <w:rPr>
          <w:b/>
          <w:bCs/>
        </w:rPr>
        <w:t xml:space="preserve">The unilateral modification mechanism is anomalous and challengeable.</w:t>
      </w:r>
      <w:r>
        <w:t xml:space="preserve"> </w:t>
      </w:r>
      <w:r>
        <w:t xml:space="preserve">A postnuptial agreement that permits one spouse to amend its terms by default notice is inconsistent with the fiduciary-duty framework and invites challenge. Mutual written consent is the safer, more conventional approach.</w:t>
      </w:r>
    </w:p>
    <w:p>
      <w:pPr>
        <w:pStyle w:val="FirstParagraph"/>
      </w:pPr>
      <w:r>
        <w:rPr>
          <w:b/>
          <w:bCs/>
        </w:rPr>
        <w:t xml:space="preserve">Strategic framing.</w:t>
      </w:r>
      <w:r>
        <w:t xml:space="preserve"> </w:t>
      </w:r>
      <w:r>
        <w:t xml:space="preserve">We should present our pushback not as zero-sum advocacy for Wife, but as a shared interest in a</w:t>
      </w:r>
      <w:r>
        <w:t xml:space="preserve"> </w:t>
      </w:r>
      <w:r>
        <w:rPr>
          <w:b/>
          <w:bCs/>
        </w:rPr>
        <w:t xml:space="preserve">durable, enforceable agreement</w:t>
      </w:r>
      <w:r>
        <w:t xml:space="preserve">. Husband’s overriding goal is to protect his $3.8 million inheritance; that protection is only as secure as the agreement’s enforceability. An agreement built on weakened disclosure and one-sided terms is a fragile vessel for that protection. This framing gives us leverage: restoring robust disclosure and balanced property terms serves Husband’s long-term interest too.</w:t>
      </w:r>
    </w:p>
    <w:p>
      <w:r>
        <w:pict>
          <v:rect style="width:0;height:1.5pt" o:hralign="center" o:hrstd="t" o:hr="t"/>
        </w:pict>
      </w:r>
    </w:p>
    <w:bookmarkEnd w:id="51"/>
    <w:bookmarkStart w:id="52" w:name="ix.-financial-impact-summary"/>
    <w:p>
      <w:pPr>
        <w:pStyle w:val="Heading2"/>
      </w:pPr>
      <w:r>
        <w:t xml:space="preserve">IX. Financial-Impact Summary</w:t>
      </w:r>
    </w:p>
    <w:p>
      <w:pPr>
        <w:pStyle w:val="FirstParagraph"/>
      </w:pPr>
      <w:r>
        <w:t xml:space="preserve">The following estimates the directional financial effect of the principal changes on Wife. Several are contingent on the timing and circumstances of any dissolution and the future deployment of assets; the figures are illustrative, not precise.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Effect on Wife</w:t>
            </w:r>
          </w:p>
        </w:tc>
        <w:tc>
          <w:tcPr/>
          <w:p>
            <w:pPr>
              <w:pStyle w:val="Compact"/>
              <w:jc w:val="left"/>
            </w:pPr>
            <w:r>
              <w:t xml:space="preserve">Estimated Magnitude</w:t>
            </w:r>
          </w:p>
        </w:tc>
        <w:tc>
          <w:tcPr/>
          <w:p>
            <w:pPr>
              <w:pStyle w:val="Compact"/>
              <w:jc w:val="left"/>
            </w:pPr>
            <w:r>
              <w:t xml:space="preserve">Certainty</w:t>
            </w:r>
          </w:p>
        </w:tc>
      </w:tr>
      <w:tr>
        <w:tc>
          <w:tcPr/>
          <w:p>
            <w:pPr>
              <w:pStyle w:val="Compact"/>
              <w:jc w:val="left"/>
            </w:pPr>
            <w:r>
              <w:t xml:space="preserve">Deletion of $1.2M reimbursement right</w:t>
            </w:r>
          </w:p>
        </w:tc>
        <w:tc>
          <w:tcPr/>
          <w:p>
            <w:pPr>
              <w:pStyle w:val="Compact"/>
              <w:jc w:val="left"/>
            </w:pPr>
            <w:r>
              <w:t xml:space="preserve">Adverse</w:t>
            </w:r>
          </w:p>
        </w:tc>
        <w:tc>
          <w:tcPr/>
          <w:p>
            <w:pPr>
              <w:pStyle w:val="Compact"/>
              <w:jc w:val="left"/>
            </w:pPr>
            <w:r>
              <w:t xml:space="preserve">~$600,000 transfer to Husband</w:t>
            </w:r>
          </w:p>
        </w:tc>
        <w:tc>
          <w:tcPr/>
          <w:p>
            <w:pPr>
              <w:pStyle w:val="Compact"/>
              <w:jc w:val="left"/>
            </w:pPr>
            <w:r>
              <w:t xml:space="preserve">High (mechanical)</w:t>
            </w:r>
          </w:p>
        </w:tc>
      </w:tr>
      <w:tr>
        <w:tc>
          <w:tcPr/>
          <w:p>
            <w:pPr>
              <w:pStyle w:val="Compact"/>
              <w:jc w:val="left"/>
            </w:pPr>
            <w:r>
              <w:t xml:space="preserve">Transmutation reversal (inheritance deployment)</w:t>
            </w:r>
          </w:p>
        </w:tc>
        <w:tc>
          <w:tcPr/>
          <w:p>
            <w:pPr>
              <w:pStyle w:val="Compact"/>
              <w:jc w:val="left"/>
            </w:pPr>
            <w:r>
              <w:t xml:space="preserve">Adverse</w:t>
            </w:r>
          </w:p>
        </w:tc>
        <w:tc>
          <w:tcPr/>
          <w:p>
            <w:pPr>
              <w:pStyle w:val="Compact"/>
              <w:jc w:val="left"/>
            </w:pPr>
            <w:r>
              <w:t xml:space="preserve">Up to hundreds of thousands, depending on deployment</w:t>
            </w:r>
          </w:p>
        </w:tc>
        <w:tc>
          <w:tcPr/>
          <w:p>
            <w:pPr>
              <w:pStyle w:val="Compact"/>
              <w:jc w:val="left"/>
            </w:pPr>
            <w:r>
              <w:t xml:space="preserve">Contingent</w:t>
            </w:r>
          </w:p>
        </w:tc>
      </w:tr>
      <w:tr>
        <w:tc>
          <w:tcPr/>
          <w:p>
            <w:pPr>
              <w:pStyle w:val="Compact"/>
              <w:jc w:val="left"/>
            </w:pPr>
            <w:r>
              <w:t xml:space="preserve">Earned-Income / Marital Property narrowing (bonus shielding)</w:t>
            </w:r>
          </w:p>
        </w:tc>
        <w:tc>
          <w:tcPr/>
          <w:p>
            <w:pPr>
              <w:pStyle w:val="Compact"/>
              <w:jc w:val="left"/>
            </w:pPr>
            <w:r>
              <w:t xml:space="preserve">Adverse</w:t>
            </w:r>
          </w:p>
        </w:tc>
        <w:tc>
          <w:tcPr/>
          <w:p>
            <w:pPr>
              <w:pStyle w:val="Compact"/>
              <w:jc w:val="left"/>
            </w:pPr>
            <w:r>
              <w:t xml:space="preserve">Potentially hundreds of thousands over time</w:t>
            </w:r>
          </w:p>
        </w:tc>
        <w:tc>
          <w:tcPr/>
          <w:p>
            <w:pPr>
              <w:pStyle w:val="Compact"/>
              <w:jc w:val="left"/>
            </w:pPr>
            <w:r>
              <w:t xml:space="preserve">Contingent</w:t>
            </w:r>
          </w:p>
        </w:tc>
      </w:tr>
      <w:tr>
        <w:tc>
          <w:tcPr/>
          <w:p>
            <w:pPr>
              <w:pStyle w:val="Compact"/>
              <w:jc w:val="left"/>
            </w:pPr>
            <w:r>
              <w:t xml:space="preserve">RSU coverture fraction (vs. flat 50/50)</w:t>
            </w:r>
          </w:p>
        </w:tc>
        <w:tc>
          <w:tcPr/>
          <w:p>
            <w:pPr>
              <w:pStyle w:val="Compact"/>
              <w:jc w:val="left"/>
            </w:pPr>
            <w:r>
              <w:t xml:space="preserve">Adverse</w:t>
            </w:r>
          </w:p>
        </w:tc>
        <w:tc>
          <w:tcPr/>
          <w:p>
            <w:pPr>
              <w:pStyle w:val="Compact"/>
              <w:jc w:val="left"/>
            </w:pPr>
            <w:r>
              <w:t xml:space="preserve">~$18,000+ near-term; scales with stock price and timing</w:t>
            </w:r>
          </w:p>
        </w:tc>
        <w:tc>
          <w:tcPr/>
          <w:p>
            <w:pPr>
              <w:pStyle w:val="Compact"/>
              <w:jc w:val="left"/>
            </w:pPr>
            <w:r>
              <w:t xml:space="preserve">Contingent</w:t>
            </w:r>
          </w:p>
        </w:tc>
      </w:tr>
      <w:tr>
        <w:tc>
          <w:tcPr/>
          <w:p>
            <w:pPr>
              <w:pStyle w:val="Compact"/>
              <w:jc w:val="left"/>
            </w:pPr>
            <w:r>
              <w:t xml:space="preserve">Maintenance: 3-year cap + $200,000 waiver</w:t>
            </w:r>
          </w:p>
        </w:tc>
        <w:tc>
          <w:tcPr/>
          <w:p>
            <w:pPr>
              <w:pStyle w:val="Compact"/>
              <w:jc w:val="left"/>
            </w:pPr>
            <w:r>
              <w:t xml:space="preserve">Favorable</w:t>
            </w:r>
          </w:p>
        </w:tc>
        <w:tc>
          <w:tcPr/>
          <w:p>
            <w:pPr>
              <w:pStyle w:val="Compact"/>
              <w:jc w:val="left"/>
            </w:pPr>
            <w:r>
              <w:t xml:space="preserve">~$300,000–$700,000 (if Husband’s income &gt; $200k at dissolution)</w:t>
            </w:r>
          </w:p>
        </w:tc>
        <w:tc>
          <w:tcPr/>
          <w:p>
            <w:pPr>
              <w:pStyle w:val="Compact"/>
              <w:jc w:val="left"/>
            </w:pPr>
            <w:r>
              <w:t xml:space="preserve">Contingent</w:t>
            </w:r>
          </w:p>
        </w:tc>
      </w:tr>
      <w:tr>
        <w:tc>
          <w:tcPr/>
          <w:p>
            <w:pPr>
              <w:pStyle w:val="Compact"/>
              <w:jc w:val="left"/>
            </w:pPr>
            <w:r>
              <w:t xml:space="preserve">Practice-interest active/passive appreciation</w:t>
            </w:r>
          </w:p>
        </w:tc>
        <w:tc>
          <w:tcPr/>
          <w:p>
            <w:pPr>
              <w:pStyle w:val="Compact"/>
              <w:jc w:val="left"/>
            </w:pPr>
            <w:r>
              <w:t xml:space="preserve">Favorable</w:t>
            </w:r>
          </w:p>
        </w:tc>
        <w:tc>
          <w:tcPr/>
          <w:p>
            <w:pPr>
              <w:pStyle w:val="Compact"/>
              <w:jc w:val="left"/>
            </w:pPr>
            <w:r>
              <w:t xml:space="preserve">Captures ~60% of appreciation as separate property</w:t>
            </w:r>
          </w:p>
        </w:tc>
        <w:tc>
          <w:tcPr/>
          <w:p>
            <w:pPr>
              <w:pStyle w:val="Compact"/>
              <w:jc w:val="left"/>
            </w:pPr>
            <w:r>
              <w:t xml:space="preserve">Contingent</w:t>
            </w:r>
          </w:p>
        </w:tc>
      </w:tr>
      <w:tr>
        <w:tc>
          <w:tcPr/>
          <w:p>
            <w:pPr>
              <w:pStyle w:val="Compact"/>
              <w:jc w:val="left"/>
            </w:pPr>
            <w:r>
              <w:t xml:space="preserve">Attorney’s-fee mutual waiver</w:t>
            </w:r>
          </w:p>
        </w:tc>
        <w:tc>
          <w:tcPr/>
          <w:p>
            <w:pPr>
              <w:pStyle w:val="Compact"/>
              <w:jc w:val="left"/>
            </w:pPr>
            <w:r>
              <w:t xml:space="preserve">Adverse (removes deterrent)</w:t>
            </w:r>
          </w:p>
        </w:tc>
        <w:tc>
          <w:tcPr/>
          <w:p>
            <w:pPr>
              <w:pStyle w:val="Compact"/>
              <w:jc w:val="left"/>
            </w:pPr>
            <w:r>
              <w:t xml:space="preserve">Indirect (litigation-cost exposure)</w:t>
            </w:r>
          </w:p>
        </w:tc>
        <w:tc>
          <w:tcPr/>
          <w:p>
            <w:pPr>
              <w:pStyle w:val="Compact"/>
              <w:jc w:val="left"/>
            </w:pPr>
            <w:r>
              <w:t xml:space="preserve">—</w:t>
            </w:r>
          </w:p>
        </w:tc>
      </w:tr>
      <w:tr>
        <w:tc>
          <w:tcPr/>
          <w:p>
            <w:pPr>
              <w:pStyle w:val="Compact"/>
              <w:jc w:val="left"/>
            </w:pPr>
            <w:r>
              <w:t xml:space="preserve">Venue (DuPage) / sunset (7 yrs)</w:t>
            </w:r>
          </w:p>
        </w:tc>
        <w:tc>
          <w:tcPr/>
          <w:p>
            <w:pPr>
              <w:pStyle w:val="Compact"/>
              <w:jc w:val="left"/>
            </w:pPr>
            <w:r>
              <w:t xml:space="preserve">Adverse (procedural/term)</w:t>
            </w:r>
          </w:p>
        </w:tc>
        <w:tc>
          <w:tcPr/>
          <w:p>
            <w:pPr>
              <w:pStyle w:val="Compact"/>
              <w:jc w:val="left"/>
            </w:pPr>
            <w:r>
              <w:t xml:space="preserve">Indirect (convenience, protection gap)</w:t>
            </w:r>
          </w:p>
        </w:tc>
        <w:tc>
          <w:tcPr/>
          <w:p>
            <w:pPr>
              <w:pStyle w:val="Compact"/>
              <w:jc w:val="left"/>
            </w:pPr>
            <w:r>
              <w:t xml:space="preserve">—</w:t>
            </w:r>
          </w:p>
        </w:tc>
      </w:tr>
    </w:tbl>
    <w:p>
      <w:pPr>
        <w:pStyle w:val="BodyText"/>
      </w:pPr>
      <w:r>
        <w:rPr>
          <w:b/>
          <w:bCs/>
        </w:rPr>
        <w:t xml:space="preserve">Net assessment.</w:t>
      </w:r>
      <w:r>
        <w:t xml:space="preserve"> </w:t>
      </w:r>
      <w:r>
        <w:t xml:space="preserve">The certain, mechanical adverse effect (the ~$600,000 reimbursement transfer) alone exceeds the contingent maintenance savings, which depend on Husband’s income remaining above $200,000 at dissolution. The transmutation reversal and Earned-Income narrowing add further contingent adverse exposure. The favorable maintenance and practice-interest changes are real but contingent and should not be traded against the certain property losses. On a risk-adjusted basis, the Redline is net adverse to Wife.</w:t>
      </w:r>
    </w:p>
    <w:p>
      <w:r>
        <w:pict>
          <v:rect style="width:0;height:1.5pt" o:hralign="center" o:hrstd="t" o:hr="t"/>
        </w:pict>
      </w:r>
    </w:p>
    <w:bookmarkEnd w:id="52"/>
    <w:bookmarkStart w:id="59" w:name="X2c60d97972e76addedcce528e3601cc7c444d76"/>
    <w:p>
      <w:pPr>
        <w:pStyle w:val="Heading2"/>
      </w:pPr>
      <w:r>
        <w:t xml:space="preserve">X. Negotiation Strategy and Recommendations</w:t>
      </w:r>
    </w:p>
    <w:bookmarkStart w:id="53" w:name="a.-overall-approach"/>
    <w:p>
      <w:pPr>
        <w:pStyle w:val="Heading3"/>
      </w:pPr>
      <w:r>
        <w:t xml:space="preserve">A. Overall approach</w:t>
      </w:r>
    </w:p>
    <w:p>
      <w:pPr>
        <w:numPr>
          <w:ilvl w:val="0"/>
          <w:numId w:val="1006"/>
        </w:numPr>
      </w:pPr>
      <w:r>
        <w:rPr>
          <w:b/>
          <w:bCs/>
        </w:rPr>
        <w:t xml:space="preserve">Do not accept the Redline’s framing.</w:t>
      </w:r>
      <w:r>
        <w:t xml:space="preserve"> </w:t>
      </w:r>
      <w:r>
        <w:t xml:space="preserve">The transmittal email minimizes the changes; the substance does not. We should open the January 27 conference by acknowledging the acceptable housekeeping items (severability, notarization, recital, spelling) and then directly identifying the substantive changes the email did not mention. This establishes that we have read the document carefully and signals that embedded terms will not slip through — consistent with the client’s instruction to</w:t>
      </w:r>
      <w:r>
        <w:t xml:space="preserve"> </w:t>
      </w:r>
      <w:r>
        <w:t xml:space="preserve">“</w:t>
      </w:r>
      <w:r>
        <w:t xml:space="preserve">scrutinize any counterproposals carefully for hidden or embedded terms.</w:t>
      </w:r>
      <w:r>
        <w:t xml:space="preserve">”</w:t>
      </w:r>
    </w:p>
    <w:p>
      <w:pPr>
        <w:numPr>
          <w:ilvl w:val="0"/>
          <w:numId w:val="1006"/>
        </w:numPr>
      </w:pPr>
      <w:r>
        <w:rPr>
          <w:b/>
          <w:bCs/>
        </w:rPr>
        <w:t xml:space="preserve">Lead with enforceability, not advocacy.</w:t>
      </w:r>
      <w:r>
        <w:t xml:space="preserve"> </w:t>
      </w:r>
      <w:r>
        <w:t xml:space="preserve">Frame the restoration of robust disclosure, the reimbursement right, the transmutation presumption, and mutual-consent modification as measures that protect the agreement’s durability — benefiting both parties. Husband wants his inheritance protected; a durable agreement is the vehicle for that protection. This reframing converts our</w:t>
      </w:r>
      <w:r>
        <w:t xml:space="preserve"> </w:t>
      </w:r>
      <w:r>
        <w:t xml:space="preserve">“</w:t>
      </w:r>
      <w:r>
        <w:t xml:space="preserve">asks</w:t>
      </w:r>
      <w:r>
        <w:t xml:space="preserve">”</w:t>
      </w:r>
      <w:r>
        <w:t xml:space="preserve"> </w:t>
      </w:r>
      <w:r>
        <w:t xml:space="preserve">into shared safeguards.</w:t>
      </w:r>
    </w:p>
    <w:p>
      <w:pPr>
        <w:numPr>
          <w:ilvl w:val="0"/>
          <w:numId w:val="1006"/>
        </w:numPr>
      </w:pPr>
      <w:r>
        <w:rPr>
          <w:b/>
          <w:bCs/>
        </w:rPr>
        <w:t xml:space="preserve">Separate the property provisions from the maintenance provisions.</w:t>
      </w:r>
      <w:r>
        <w:t xml:space="preserve"> </w:t>
      </w:r>
      <w:r>
        <w:t xml:space="preserve">Do not allow the maintenance cap and waiver to be offered as consideration for deleting the reimbursement or weakening disclosure. The property provisions must stand on their own. We can acknowledge the maintenance changes as favorable and indicate willingness to retain them, but not as a trade.</w:t>
      </w:r>
    </w:p>
    <w:p>
      <w:pPr>
        <w:numPr>
          <w:ilvl w:val="0"/>
          <w:numId w:val="1006"/>
        </w:numPr>
      </w:pPr>
      <w:r>
        <w:rPr>
          <w:b/>
          <w:bCs/>
        </w:rPr>
        <w:t xml:space="preserve">Prepare a short, prioritized list for the conference.</w:t>
      </w:r>
      <w:r>
        <w:t xml:space="preserve"> </w:t>
      </w:r>
      <w:r>
        <w:t xml:space="preserve">Walk in with a one-page list of (a) must-restores, (b) acceptable items, and (c) negotiable items. The client cautioned that Mr. Baxter is a</w:t>
      </w:r>
      <w:r>
        <w:t xml:space="preserve"> </w:t>
      </w:r>
      <w:r>
        <w:t xml:space="preserve">“</w:t>
      </w:r>
      <w:r>
        <w:t xml:space="preserve">tough negotiator</w:t>
      </w:r>
      <w:r>
        <w:t xml:space="preserve">”</w:t>
      </w:r>
      <w:r>
        <w:t xml:space="preserve">; a crisp, prioritized agenda keeps the conversation focused and prevents the conference from drifting onto minor items while major items remain unresolved.</w:t>
      </w:r>
    </w:p>
    <w:bookmarkEnd w:id="53"/>
    <w:bookmarkStart w:id="54" w:name="b.-must-restores-non-negotiable"/>
    <w:p>
      <w:pPr>
        <w:pStyle w:val="Heading3"/>
      </w:pPr>
      <w:r>
        <w:t xml:space="preserve">B. Must-restores (non-negotiable)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Position</w:t>
            </w:r>
          </w:p>
        </w:tc>
      </w:tr>
      <w:tr>
        <w:tc>
          <w:tcPr/>
          <w:p>
            <w:pPr>
              <w:pStyle w:val="Compact"/>
              <w:jc w:val="left"/>
            </w:pPr>
            <w:r>
              <w:t xml:space="preserve">1</w:t>
            </w:r>
          </w:p>
        </w:tc>
        <w:tc>
          <w:tcPr/>
          <w:p>
            <w:pPr>
              <w:pStyle w:val="Compact"/>
              <w:jc w:val="left"/>
            </w:pPr>
            <w:r>
              <w:t xml:space="preserve">$1.2M premarital-savings reimbursement right</w:t>
            </w:r>
          </w:p>
        </w:tc>
        <w:tc>
          <w:tcPr/>
          <w:p>
            <w:pPr>
              <w:pStyle w:val="Compact"/>
              <w:jc w:val="left"/>
            </w:pPr>
            <w:r>
              <w:t xml:space="preserve">Restore Original Draft Section 5.2 in full, first-priority claim.</w:t>
            </w:r>
          </w:p>
        </w:tc>
      </w:tr>
      <w:tr>
        <w:tc>
          <w:tcPr/>
          <w:p>
            <w:pPr>
              <w:pStyle w:val="Compact"/>
              <w:jc w:val="left"/>
            </w:pPr>
            <w:r>
              <w:t xml:space="preserve">2</w:t>
            </w:r>
          </w:p>
        </w:tc>
        <w:tc>
          <w:tcPr/>
          <w:p>
            <w:pPr>
              <w:pStyle w:val="Compact"/>
              <w:jc w:val="left"/>
            </w:pPr>
            <w:r>
              <w:t xml:space="preserve">Disclosure / voidability standard</w:t>
            </w:r>
          </w:p>
        </w:tc>
        <w:tc>
          <w:tcPr/>
          <w:p>
            <w:pPr>
              <w:pStyle w:val="Compact"/>
              <w:jc w:val="left"/>
            </w:pPr>
            <w:r>
              <w:t xml:space="preserve">Restore Original Draft Section 3.3 (material-omission, no threshold, no heightened standard, no intent requirement). Remove</w:t>
            </w:r>
            <w:r>
              <w:t xml:space="preserve"> </w:t>
            </w:r>
            <w:r>
              <w:t xml:space="preserve">“</w:t>
            </w:r>
            <w:r>
              <w:t xml:space="preserve">substantially.</w:t>
            </w:r>
            <w:r>
              <w:t xml:space="preserve">”</w:t>
            </w:r>
            <w:r>
              <w:t xml:space="preserve"> </w:t>
            </w:r>
            <w:r>
              <w:t xml:space="preserve">Restore ongoing disclosure (Sec. 3.4) and future-debt disclosure (Sec. 11.3).</w:t>
            </w:r>
          </w:p>
        </w:tc>
      </w:tr>
      <w:tr>
        <w:tc>
          <w:tcPr/>
          <w:p>
            <w:pPr>
              <w:pStyle w:val="Compact"/>
              <w:jc w:val="left"/>
            </w:pPr>
            <w:r>
              <w:t xml:space="preserve">3</w:t>
            </w:r>
          </w:p>
        </w:tc>
        <w:tc>
          <w:tcPr/>
          <w:p>
            <w:pPr>
              <w:pStyle w:val="Compact"/>
              <w:jc w:val="left"/>
            </w:pPr>
            <w:r>
              <w:t xml:space="preserve">Transmutation presumption</w:t>
            </w:r>
          </w:p>
        </w:tc>
        <w:tc>
          <w:tcPr/>
          <w:p>
            <w:pPr>
              <w:pStyle w:val="Compact"/>
              <w:jc w:val="left"/>
            </w:pPr>
            <w:r>
              <w:t xml:space="preserve">Restore Original Draft Section 4.3 (rebuttable presumption of transmutation for separate property used for joint benefit; applies to Husband’s Inheritance).</w:t>
            </w:r>
          </w:p>
        </w:tc>
      </w:tr>
      <w:tr>
        <w:tc>
          <w:tcPr/>
          <w:p>
            <w:pPr>
              <w:pStyle w:val="Compact"/>
              <w:jc w:val="left"/>
            </w:pPr>
            <w:r>
              <w:t xml:space="preserve">4</w:t>
            </w:r>
          </w:p>
        </w:tc>
        <w:tc>
          <w:tcPr/>
          <w:p>
            <w:pPr>
              <w:pStyle w:val="Compact"/>
              <w:jc w:val="left"/>
            </w:pPr>
            <w:r>
              <w:t xml:space="preserve">Modification</w:t>
            </w:r>
          </w:p>
        </w:tc>
        <w:tc>
          <w:tcPr/>
          <w:p>
            <w:pPr>
              <w:pStyle w:val="Compact"/>
              <w:jc w:val="left"/>
            </w:pPr>
            <w:r>
              <w:t xml:space="preserve">Restore Original Draft Section 14.1 (mutual written consent, same formality). Reject unilateral notice mechanism.</w:t>
            </w:r>
          </w:p>
        </w:tc>
      </w:tr>
      <w:tr>
        <w:tc>
          <w:tcPr/>
          <w:p>
            <w:pPr>
              <w:pStyle w:val="Compact"/>
              <w:jc w:val="left"/>
            </w:pPr>
            <w:r>
              <w:t xml:space="preserve">5</w:t>
            </w:r>
          </w:p>
        </w:tc>
        <w:tc>
          <w:tcPr/>
          <w:p>
            <w:pPr>
              <w:pStyle w:val="Compact"/>
              <w:jc w:val="left"/>
            </w:pPr>
            <w:r>
              <w:t xml:space="preserve">Gross Income / Marital Property definitions</w:t>
            </w:r>
          </w:p>
        </w:tc>
        <w:tc>
          <w:tcPr/>
          <w:p>
            <w:pPr>
              <w:pStyle w:val="Compact"/>
              <w:jc w:val="left"/>
            </w:pPr>
            <w:r>
              <w:t xml:space="preserve">Restore Original Draft Sections 2.1(d) and 2.1(g). Bonus and equity must be income and marital-property sources for all purposes.</w:t>
            </w:r>
          </w:p>
        </w:tc>
      </w:tr>
      <w:tr>
        <w:tc>
          <w:tcPr/>
          <w:p>
            <w:pPr>
              <w:pStyle w:val="Compact"/>
              <w:jc w:val="left"/>
            </w:pPr>
            <w:r>
              <w:t xml:space="preserve">6</w:t>
            </w:r>
          </w:p>
        </w:tc>
        <w:tc>
          <w:tcPr/>
          <w:p>
            <w:pPr>
              <w:pStyle w:val="Compact"/>
              <w:jc w:val="left"/>
            </w:pPr>
            <w:r>
              <w:t xml:space="preserve">Attorney’s fees</w:t>
            </w:r>
          </w:p>
        </w:tc>
        <w:tc>
          <w:tcPr/>
          <w:p>
            <w:pPr>
              <w:pStyle w:val="Compact"/>
              <w:jc w:val="left"/>
            </w:pPr>
            <w:r>
              <w:t xml:space="preserve">Restore prevailing-party provision (Original Draft Section 13.2).</w:t>
            </w:r>
          </w:p>
        </w:tc>
      </w:tr>
      <w:tr>
        <w:tc>
          <w:tcPr/>
          <w:p>
            <w:pPr>
              <w:pStyle w:val="Compact"/>
              <w:jc w:val="left"/>
            </w:pPr>
            <w:r>
              <w:t xml:space="preserve">7</w:t>
            </w:r>
          </w:p>
        </w:tc>
        <w:tc>
          <w:tcPr/>
          <w:p>
            <w:pPr>
              <w:pStyle w:val="Compact"/>
              <w:jc w:val="left"/>
            </w:pPr>
            <w:r>
              <w:t xml:space="preserve">Venue</w:t>
            </w:r>
          </w:p>
        </w:tc>
        <w:tc>
          <w:tcPr/>
          <w:p>
            <w:pPr>
              <w:pStyle w:val="Compact"/>
              <w:jc w:val="left"/>
            </w:pPr>
            <w:r>
              <w:t xml:space="preserve">Restore Cook County (Original Draft Section 15.2).</w:t>
            </w:r>
          </w:p>
        </w:tc>
      </w:tr>
      <w:tr>
        <w:tc>
          <w:tcPr/>
          <w:p>
            <w:pPr>
              <w:pStyle w:val="Compact"/>
              <w:jc w:val="left"/>
            </w:pPr>
            <w:r>
              <w:t xml:space="preserve">8</w:t>
            </w:r>
          </w:p>
        </w:tc>
        <w:tc>
          <w:tcPr/>
          <w:p>
            <w:pPr>
              <w:pStyle w:val="Compact"/>
              <w:jc w:val="left"/>
            </w:pPr>
            <w:r>
              <w:t xml:space="preserve">Sunset</w:t>
            </w:r>
          </w:p>
        </w:tc>
        <w:tc>
          <w:tcPr/>
          <w:p>
            <w:pPr>
              <w:pStyle w:val="Compact"/>
              <w:jc w:val="left"/>
            </w:pPr>
            <w:r>
              <w:t xml:space="preserve">Restore 15-year term (through ~2040) with 5-year renewals; minimum through Julian’s 18th birthday.</w:t>
            </w:r>
          </w:p>
        </w:tc>
      </w:tr>
      <w:tr>
        <w:tc>
          <w:tcPr/>
          <w:p>
            <w:pPr>
              <w:pStyle w:val="Compact"/>
              <w:jc w:val="left"/>
            </w:pPr>
            <w:r>
              <w:t xml:space="preserve">9</w:t>
            </w:r>
          </w:p>
        </w:tc>
        <w:tc>
          <w:tcPr/>
          <w:p>
            <w:pPr>
              <w:pStyle w:val="Compact"/>
              <w:jc w:val="left"/>
            </w:pPr>
            <w:r>
              <w:t xml:space="preserve">Identified Debt threshold</w:t>
            </w:r>
          </w:p>
        </w:tc>
        <w:tc>
          <w:tcPr/>
          <w:p>
            <w:pPr>
              <w:pStyle w:val="Compact"/>
              <w:jc w:val="left"/>
            </w:pPr>
            <w:r>
              <w:t xml:space="preserve">Remove $5,000 de minimis; restore</w:t>
            </w:r>
            <w:r>
              <w:t xml:space="preserve"> </w:t>
            </w:r>
            <w:r>
              <w:t xml:space="preserve">“</w:t>
            </w:r>
            <w:r>
              <w:t xml:space="preserve">without limitation</w:t>
            </w:r>
            <w:r>
              <w:t xml:space="preserve">”</w:t>
            </w:r>
            <w:r>
              <w:t xml:space="preserve"> </w:t>
            </w:r>
            <w:r>
              <w:t xml:space="preserve">indemnity.</w:t>
            </w:r>
          </w:p>
        </w:tc>
      </w:tr>
      <w:tr>
        <w:tc>
          <w:tcPr/>
          <w:p>
            <w:pPr>
              <w:pStyle w:val="Compact"/>
              <w:jc w:val="left"/>
            </w:pPr>
            <w:r>
              <w:t xml:space="preserve">10</w:t>
            </w:r>
          </w:p>
        </w:tc>
        <w:tc>
          <w:tcPr/>
          <w:p>
            <w:pPr>
              <w:pStyle w:val="Compact"/>
              <w:jc w:val="left"/>
            </w:pPr>
            <w:r>
              <w:t xml:space="preserve">Ongoing disclosure</w:t>
            </w:r>
          </w:p>
        </w:tc>
        <w:tc>
          <w:tcPr/>
          <w:p>
            <w:pPr>
              <w:pStyle w:val="Compact"/>
              <w:jc w:val="left"/>
            </w:pPr>
            <w:r>
              <w:t xml:space="preserve">Restore Original Draft Sections 3.4 and 11.3.</w:t>
            </w:r>
          </w:p>
        </w:tc>
      </w:tr>
    </w:tbl>
    <w:bookmarkEnd w:id="54"/>
    <w:bookmarkStart w:id="55" w:name="c.-acceptable-retain-with-conditions"/>
    <w:p>
      <w:pPr>
        <w:pStyle w:val="Heading3"/>
      </w:pPr>
      <w:r>
        <w:t xml:space="preserve">C. Acceptable / retain (with conditions)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Position</w:t>
            </w:r>
          </w:p>
        </w:tc>
      </w:tr>
      <w:tr>
        <w:tc>
          <w:tcPr/>
          <w:p>
            <w:pPr>
              <w:pStyle w:val="Compact"/>
              <w:jc w:val="left"/>
            </w:pPr>
            <w:r>
              <w:t xml:space="preserve">Severability clause</w:t>
            </w:r>
          </w:p>
        </w:tc>
        <w:tc>
          <w:tcPr/>
          <w:p>
            <w:pPr>
              <w:pStyle w:val="Compact"/>
              <w:jc w:val="left"/>
            </w:pPr>
            <w:r>
              <w:t xml:space="preserve">Accept.</w:t>
            </w:r>
          </w:p>
        </w:tc>
      </w:tr>
      <w:tr>
        <w:tc>
          <w:tcPr/>
          <w:p>
            <w:pPr>
              <w:pStyle w:val="Compact"/>
              <w:jc w:val="left"/>
            </w:pPr>
            <w:r>
              <w:t xml:space="preserve">Notarization &amp; witness block</w:t>
            </w:r>
          </w:p>
        </w:tc>
        <w:tc>
          <w:tcPr/>
          <w:p>
            <w:pPr>
              <w:pStyle w:val="Compact"/>
              <w:jc w:val="left"/>
            </w:pPr>
            <w:r>
              <w:t xml:space="preserve">Accept (best practice under 750 ILCS 5/502); ensure execution formalities are met.</w:t>
            </w:r>
          </w:p>
        </w:tc>
      </w:tr>
      <w:tr>
        <w:tc>
          <w:tcPr/>
          <w:p>
            <w:pPr>
              <w:pStyle w:val="Compact"/>
              <w:jc w:val="left"/>
            </w:pPr>
            <w:r>
              <w:t xml:space="preserve">Marriage-preservation recital</w:t>
            </w:r>
          </w:p>
        </w:tc>
        <w:tc>
          <w:tcPr/>
          <w:p>
            <w:pPr>
              <w:pStyle w:val="Compact"/>
              <w:jc w:val="left"/>
            </w:pPr>
            <w:r>
              <w:t xml:space="preserve">Accept (non-operative).</w:t>
            </w:r>
          </w:p>
        </w:tc>
      </w:tr>
      <w:tr>
        <w:tc>
          <w:tcPr/>
          <w:p>
            <w:pPr>
              <w:pStyle w:val="Compact"/>
              <w:jc w:val="left"/>
            </w:pPr>
            <w:r>
              <w:t xml:space="preserve">“</w:t>
            </w:r>
            <w:r>
              <w:t xml:space="preserve">Constance</w:t>
            </w:r>
            <w:r>
              <w:t xml:space="preserve">”</w:t>
            </w:r>
            <w:r>
              <w:t xml:space="preserve"> </w:t>
            </w:r>
            <w:r>
              <w:t xml:space="preserve">spelling correction</w:t>
            </w:r>
          </w:p>
        </w:tc>
        <w:tc>
          <w:tcPr/>
          <w:p>
            <w:pPr>
              <w:pStyle w:val="Compact"/>
              <w:jc w:val="left"/>
            </w:pPr>
            <w:r>
              <w:t xml:space="preserve">Accept (subject to verifying the date of death).</w:t>
            </w:r>
          </w:p>
        </w:tc>
      </w:tr>
      <w:tr>
        <w:tc>
          <w:tcPr/>
          <w:p>
            <w:pPr>
              <w:pStyle w:val="Compact"/>
              <w:jc w:val="left"/>
            </w:pPr>
            <w:r>
              <w:t xml:space="preserve">Maintenance 3-year cap &amp; $200,000 waiver</w:t>
            </w:r>
          </w:p>
        </w:tc>
        <w:tc>
          <w:tcPr/>
          <w:p>
            <w:pPr>
              <w:pStyle w:val="Compact"/>
              <w:jc w:val="left"/>
            </w:pPr>
            <w:r>
              <w:t xml:space="preserve">Accept in principle (favorable to Wife), subject to correcting the Earned-Income calculation and confirming client comfort with overall balance.</w:t>
            </w:r>
          </w:p>
        </w:tc>
      </w:tr>
      <w:tr>
        <w:tc>
          <w:tcPr/>
          <w:p>
            <w:pPr>
              <w:pStyle w:val="Compact"/>
              <w:jc w:val="left"/>
            </w:pPr>
            <w:r>
              <w:t xml:space="preserve">Practice-interest active/passive appreciation</w:t>
            </w:r>
          </w:p>
        </w:tc>
        <w:tc>
          <w:tcPr/>
          <w:p>
            <w:pPr>
              <w:pStyle w:val="Compact"/>
              <w:jc w:val="left"/>
            </w:pPr>
            <w:r>
              <w:t xml:space="preserve">Accept the principle; propose a 60/40 rebuttable presumption anchored to the Strand report to reduce dissolution-time complexity.</w:t>
            </w:r>
          </w:p>
        </w:tc>
      </w:tr>
      <w:tr>
        <w:tc>
          <w:tcPr/>
          <w:p>
            <w:pPr>
              <w:pStyle w:val="Compact"/>
              <w:jc w:val="left"/>
            </w:pPr>
            <w:r>
              <w:t xml:space="preserve">Buyout lien</w:t>
            </w:r>
          </w:p>
        </w:tc>
        <w:tc>
          <w:tcPr/>
          <w:p>
            <w:pPr>
              <w:pStyle w:val="Compact"/>
              <w:jc w:val="left"/>
            </w:pPr>
            <w:r>
              <w:t xml:space="preserve">Accept with review (confirm it does not impede refinancing).</w:t>
            </w:r>
          </w:p>
        </w:tc>
      </w:tr>
    </w:tbl>
    <w:bookmarkEnd w:id="55"/>
    <w:bookmarkStart w:id="56" w:name="d.-negotiable"/>
    <w:p>
      <w:pPr>
        <w:pStyle w:val="Heading3"/>
      </w:pPr>
      <w:r>
        <w:t xml:space="preserve">D. Negotiable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Position</w:t>
            </w:r>
          </w:p>
        </w:tc>
      </w:tr>
      <w:tr>
        <w:tc>
          <w:tcPr/>
          <w:p>
            <w:pPr>
              <w:pStyle w:val="Compact"/>
              <w:jc w:val="left"/>
            </w:pPr>
            <w:r>
              <w:t xml:space="preserve">RSU division</w:t>
            </w:r>
          </w:p>
        </w:tc>
        <w:tc>
          <w:tcPr/>
          <w:p>
            <w:pPr>
              <w:pStyle w:val="Compact"/>
              <w:jc w:val="left"/>
            </w:pPr>
            <w:r>
              <w:t xml:space="preserve">Push to restore flat 50/50. If coverture is unavoidable, lock in the hire-date denominator and cap Wife’s share at 50%.</w:t>
            </w:r>
          </w:p>
        </w:tc>
      </w:tr>
      <w:tr>
        <w:tc>
          <w:tcPr/>
          <w:p>
            <w:pPr>
              <w:pStyle w:val="Compact"/>
              <w:jc w:val="left"/>
            </w:pPr>
            <w:r>
              <w:t xml:space="preserve">Buyout timelines</w:t>
            </w:r>
          </w:p>
        </w:tc>
        <w:tc>
          <w:tcPr/>
          <w:p>
            <w:pPr>
              <w:pStyle w:val="Compact"/>
              <w:jc w:val="left"/>
            </w:pPr>
            <w:r>
              <w:t xml:space="preserve">Restore 60-day exercise and 24-month payment.</w:t>
            </w:r>
          </w:p>
        </w:tc>
      </w:tr>
      <w:tr>
        <w:tc>
          <w:tcPr/>
          <w:p>
            <w:pPr>
              <w:pStyle w:val="Compact"/>
              <w:jc w:val="left"/>
            </w:pPr>
            <w:r>
              <w:t xml:space="preserve">Reciprocal purchase right</w:t>
            </w:r>
          </w:p>
        </w:tc>
        <w:tc>
          <w:tcPr/>
          <w:p>
            <w:pPr>
              <w:pStyle w:val="Compact"/>
              <w:jc w:val="left"/>
            </w:pPr>
            <w:r>
              <w:t xml:space="preserve">Accept if Wife’s right is genuinely first.</w:t>
            </w:r>
          </w:p>
        </w:tc>
      </w:tr>
      <w:tr>
        <w:tc>
          <w:tcPr/>
          <w:p>
            <w:pPr>
              <w:pStyle w:val="Compact"/>
              <w:jc w:val="left"/>
            </w:pPr>
            <w:r>
              <w:t xml:space="preserve">Appraisal-selection mechanism</w:t>
            </w:r>
          </w:p>
        </w:tc>
        <w:tc>
          <w:tcPr/>
          <w:p>
            <w:pPr>
              <w:pStyle w:val="Compact"/>
              <w:jc w:val="left"/>
            </w:pPr>
            <w:r>
              <w:t xml:space="preserve">Restore three-appraiser process or add a clear default.</w:t>
            </w:r>
          </w:p>
        </w:tc>
      </w:tr>
    </w:tbl>
    <w:bookmarkEnd w:id="56"/>
    <w:bookmarkStart w:id="57" w:name="e.-factual-reconciliation-pre-execution"/>
    <w:p>
      <w:pPr>
        <w:pStyle w:val="Heading3"/>
      </w:pPr>
      <w:r>
        <w:t xml:space="preserve">E. Factual reconciliation (pre-execution)</w:t>
      </w:r>
    </w:p>
    <w:p>
      <w:pPr>
        <w:pStyle w:val="FirstParagraph"/>
      </w:pPr>
      <w:r>
        <w:t xml:space="preserve">Before the conference, request that Linden &amp; Fosse reconcile all discrepancies identified in Section VII against primary source documents and issue a corrected disclosure summary. The agreement should not be finalized until all account numbers, institutions, values, and dates are verified and consistent. Particular attention to: the inheritance brokerage institution/account (three conflicting versions), the Joint Investment Account number (central to the reimbursement tracing), Constance Thornton’s date of death, and the children’s birth dates.</w:t>
      </w:r>
    </w:p>
    <w:bookmarkEnd w:id="57"/>
    <w:bookmarkStart w:id="58" w:name="X72beefed0a6435b564c2c30a2208bb3c9b7c94b"/>
    <w:p>
      <w:pPr>
        <w:pStyle w:val="Heading3"/>
      </w:pPr>
      <w:r>
        <w:t xml:space="preserve">F. Anticipated opposing-counsel positions and responses</w:t>
      </w:r>
    </w:p>
    <w:p>
      <w:pPr>
        <w:pStyle w:val="Compact"/>
        <w:numPr>
          <w:ilvl w:val="0"/>
          <w:numId w:val="1007"/>
        </w:numPr>
      </w:pPr>
      <w:r>
        <w:rPr>
          <w:b/>
          <w:bCs/>
        </w:rPr>
        <w:t xml:space="preserve">“</w:t>
      </w:r>
      <w:r>
        <w:rPr>
          <w:b/>
          <w:bCs/>
        </w:rPr>
        <w:t xml:space="preserve">The reimbursement is duplicative.</w:t>
      </w:r>
      <w:r>
        <w:rPr>
          <w:b/>
          <w:bCs/>
        </w:rPr>
        <w:t xml:space="preserve">”</w:t>
      </w:r>
      <w:r>
        <w:t xml:space="preserve"> </w:t>
      </w:r>
      <w:r>
        <w:t xml:space="preserve">Response: It is not. The general 50/50 division yields Wife $935,000; the reimbursement yields her $1,535,000. The $600,000 difference is the entire point of the provision. Without it, Wife is worse off than under default Illinois tracing law — an unconscionability risk for both sides.</w:t>
      </w:r>
    </w:p>
    <w:p>
      <w:pPr>
        <w:pStyle w:val="Compact"/>
        <w:numPr>
          <w:ilvl w:val="0"/>
          <w:numId w:val="1007"/>
        </w:numPr>
      </w:pPr>
      <w:r>
        <w:rPr>
          <w:b/>
          <w:bCs/>
        </w:rPr>
        <w:t xml:space="preserve">“</w:t>
      </w:r>
      <w:r>
        <w:rPr>
          <w:b/>
          <w:bCs/>
        </w:rPr>
        <w:t xml:space="preserve">The disclosure standard should require intent and a threshold, as in commercial agreements.</w:t>
      </w:r>
      <w:r>
        <w:rPr>
          <w:b/>
          <w:bCs/>
        </w:rPr>
        <w:t xml:space="preserve">”</w:t>
      </w:r>
      <w:r>
        <w:t xml:space="preserve"> </w:t>
      </w:r>
      <w:r>
        <w:t xml:space="preserve">Response: This is a postnuptial agreement governed by the spousal fiduciary duty, not a commercial contract. Full and fair disclosure is a prerequisite to enforceability; shielding non-disclosure below $100,000 risks the entire agreement. Given Husband’s documented $68,000 concealment, a $100,000 threshold is particularly inappropriate.</w:t>
      </w:r>
    </w:p>
    <w:p>
      <w:pPr>
        <w:pStyle w:val="Compact"/>
        <w:numPr>
          <w:ilvl w:val="0"/>
          <w:numId w:val="1007"/>
        </w:numPr>
      </w:pPr>
      <w:r>
        <w:rPr>
          <w:b/>
          <w:bCs/>
        </w:rPr>
        <w:t xml:space="preserve">“</w:t>
      </w:r>
      <w:r>
        <w:rPr>
          <w:b/>
          <w:bCs/>
        </w:rPr>
        <w:t xml:space="preserve">The transmutation provision should protect separate property from inadvertent commingling.</w:t>
      </w:r>
      <w:r>
        <w:rPr>
          <w:b/>
          <w:bCs/>
        </w:rPr>
        <w:t xml:space="preserve">”</w:t>
      </w:r>
      <w:r>
        <w:t xml:space="preserve"> </w:t>
      </w:r>
      <w:r>
        <w:t xml:space="preserve">Response: We agree the inheritance is and remains separate property</w:t>
      </w:r>
      <w:r>
        <w:t xml:space="preserve"> </w:t>
      </w:r>
      <w:r>
        <w:rPr>
          <w:i/>
          <w:iCs/>
        </w:rPr>
        <w:t xml:space="preserve">if not deployed for joint benefit</w:t>
      </w:r>
      <w:r>
        <w:t xml:space="preserve">. The Original Draft already preserves that. The issue is only what happens when Husband</w:t>
      </w:r>
      <w:r>
        <w:t xml:space="preserve"> </w:t>
      </w:r>
      <w:r>
        <w:rPr>
          <w:i/>
          <w:iCs/>
        </w:rPr>
        <w:t xml:space="preserve">chooses</w:t>
      </w:r>
      <w:r>
        <w:t xml:space="preserve"> </w:t>
      </w:r>
      <w:r>
        <w:t xml:space="preserve">to spend it on the household — that expenditure should benefit the marital estate, not remain his separate property.</w:t>
      </w:r>
    </w:p>
    <w:p>
      <w:pPr>
        <w:pStyle w:val="Compact"/>
        <w:numPr>
          <w:ilvl w:val="0"/>
          <w:numId w:val="1007"/>
        </w:numPr>
      </w:pPr>
      <w:r>
        <w:rPr>
          <w:b/>
          <w:bCs/>
        </w:rPr>
        <w:t xml:space="preserve">“</w:t>
      </w:r>
      <w:r>
        <w:rPr>
          <w:b/>
          <w:bCs/>
        </w:rPr>
        <w:t xml:space="preserve">A shorter term encourages periodic refresh.</w:t>
      </w:r>
      <w:r>
        <w:rPr>
          <w:b/>
          <w:bCs/>
        </w:rPr>
        <w:t xml:space="preserve">”</w:t>
      </w:r>
      <w:r>
        <w:t xml:space="preserve"> </w:t>
      </w:r>
      <w:r>
        <w:t xml:space="preserve">Response: A seven-year term expires before the youngest child reaches majority, defeating the agreement’s stability purpose. Fifteen years with renewal is the appropriate balance.</w:t>
      </w:r>
    </w:p>
    <w:p>
      <w:pPr>
        <w:pStyle w:val="Compact"/>
        <w:numPr>
          <w:ilvl w:val="0"/>
          <w:numId w:val="1007"/>
        </w:numPr>
      </w:pPr>
      <w:r>
        <w:rPr>
          <w:b/>
          <w:bCs/>
        </w:rPr>
        <w:t xml:space="preserve">“</w:t>
      </w:r>
      <w:r>
        <w:rPr>
          <w:b/>
          <w:bCs/>
        </w:rPr>
        <w:t xml:space="preserve">DuPage is more convenient for Husband.</w:t>
      </w:r>
      <w:r>
        <w:rPr>
          <w:b/>
          <w:bCs/>
        </w:rPr>
        <w:t xml:space="preserve">”</w:t>
      </w:r>
      <w:r>
        <w:t xml:space="preserve"> </w:t>
      </w:r>
      <w:r>
        <w:t xml:space="preserve">Response: Venue follows the family’s residence (Cook County), not one spouse’s office. Cook County is the natural forum and the client’s stated preference.</w:t>
      </w:r>
    </w:p>
    <w:p>
      <w:r>
        <w:pict>
          <v:rect style="width:0;height:1.5pt" o:hralign="center" o:hrstd="t" o:hr="t"/>
        </w:pict>
      </w:r>
    </w:p>
    <w:bookmarkEnd w:id="58"/>
    <w:bookmarkEnd w:id="59"/>
    <w:bookmarkStart w:id="60" w:name="xi.-recommended-next-steps"/>
    <w:p>
      <w:pPr>
        <w:pStyle w:val="Heading2"/>
      </w:pPr>
      <w:r>
        <w:t xml:space="preserve">XI. Recommended Next Steps</w:t>
      </w:r>
    </w:p>
    <w:p>
      <w:pPr>
        <w:pStyle w:val="Compact"/>
        <w:numPr>
          <w:ilvl w:val="0"/>
          <w:numId w:val="1008"/>
        </w:numPr>
      </w:pPr>
      <w:r>
        <w:rPr>
          <w:b/>
          <w:bCs/>
        </w:rPr>
        <w:t xml:space="preserve">Circulate this memorandum to the client</w:t>
      </w:r>
      <w:r>
        <w:t xml:space="preserve"> </w:t>
      </w:r>
      <w:r>
        <w:t xml:space="preserve">and schedule a call to confirm the must-restore list and obtain her sign-off on the negotiation positions, particularly (a) the non-negotiable status of the reimbursement right, (b) acceptance of the maintenance cap/waiver, and (c) the proposed 60/40 practice-appreciation presumption.</w:t>
      </w:r>
    </w:p>
    <w:p>
      <w:pPr>
        <w:pStyle w:val="Compact"/>
        <w:numPr>
          <w:ilvl w:val="0"/>
          <w:numId w:val="1008"/>
        </w:numPr>
      </w:pPr>
      <w:r>
        <w:rPr>
          <w:b/>
          <w:bCs/>
        </w:rPr>
        <w:t xml:space="preserve">Prepare a counter-redline</w:t>
      </w:r>
      <w:r>
        <w:t xml:space="preserve"> </w:t>
      </w:r>
      <w:r>
        <w:t xml:space="preserve">restoring the Tier 1 and Tier 2 provisions per Section X.B, retaining the acceptable Redline additions per Section X.C, and incorporating the negotiated positions per Section X.D. Transmit to opposing counsel in advance of the January 27 conference so the parties arrive with a short, focused list.</w:t>
      </w:r>
    </w:p>
    <w:p>
      <w:pPr>
        <w:pStyle w:val="Compact"/>
        <w:numPr>
          <w:ilvl w:val="0"/>
          <w:numId w:val="1008"/>
        </w:numPr>
      </w:pPr>
      <w:r>
        <w:rPr>
          <w:b/>
          <w:bCs/>
        </w:rPr>
        <w:t xml:space="preserve">Request factual reconciliation</w:t>
      </w:r>
      <w:r>
        <w:t xml:space="preserve"> </w:t>
      </w:r>
      <w:r>
        <w:t xml:space="preserve">from Linden &amp; Fosse (Section VII) and obtain the death certificate, birth certificates, and the relevant account statements/appraisal reports to verify the disputed items.</w:t>
      </w:r>
    </w:p>
    <w:p>
      <w:pPr>
        <w:pStyle w:val="Compact"/>
        <w:numPr>
          <w:ilvl w:val="0"/>
          <w:numId w:val="1008"/>
        </w:numPr>
      </w:pPr>
      <w:r>
        <w:rPr>
          <w:b/>
          <w:bCs/>
        </w:rPr>
        <w:t xml:space="preserve">Consider a pre-conference call with Mr. Baxter</w:t>
      </w:r>
      <w:r>
        <w:t xml:space="preserve"> </w:t>
      </w:r>
      <w:r>
        <w:t xml:space="preserve">(he offered one) to narrow the issues — but only after the counter-redline is prepared, so that we anchor the discussion on our restored provisions rather than his Redline.</w:t>
      </w:r>
    </w:p>
    <w:p>
      <w:pPr>
        <w:pStyle w:val="Compact"/>
        <w:numPr>
          <w:ilvl w:val="0"/>
          <w:numId w:val="1008"/>
        </w:numPr>
      </w:pPr>
      <w:r>
        <w:rPr>
          <w:b/>
          <w:bCs/>
        </w:rPr>
        <w:t xml:space="preserve">Target execution in the first quarter of 2025</w:t>
      </w:r>
      <w:r>
        <w:t xml:space="preserve">, contingent on resolution of the must-restore items and factual verification. If the must-restores are not accepted at the January 27 conference, schedule a follow-up and advise the client that execution may slip.</w:t>
      </w:r>
    </w:p>
    <w:p>
      <w:r>
        <w:pict>
          <v:rect style="width:0;height:1.5pt" o:hralign="center" o:hrstd="t" o:hr="t"/>
        </w:pict>
      </w:r>
    </w:p>
    <w:bookmarkEnd w:id="60"/>
    <w:bookmarkStart w:id="61" w:name="xii.-conclusion"/>
    <w:p>
      <w:pPr>
        <w:pStyle w:val="Heading2"/>
      </w:pPr>
      <w:r>
        <w:t xml:space="preserve">XII. Conclusion</w:t>
      </w:r>
    </w:p>
    <w:p>
      <w:pPr>
        <w:pStyle w:val="FirstParagraph"/>
      </w:pPr>
      <w:r>
        <w:t xml:space="preserve">The Redline, despite its conciliatory transmittal, contains a pattern of changes that systematically erode the client’s core protections: the reimbursement right is deleted, the disclosure remedy is gutted, the transmutation presumption is reversed, and modification is converted to a unilateral act — none of which are mentioned in Mr. Baxter’s email. A few changes (maintenance cap and waiver, practice-interest active/passive appreciation) favor the client and can be retained. Multiple factual discrepancies must be reconciled before execution. The recommended path is a counter-redline that restores the critical provisions, retains the acceptable additions, frames our positions around the shared interest in a durable and enforceable agreement, and resolves the remaining items at the January 27 four-way conference.</w:t>
      </w:r>
    </w:p>
    <w:p>
      <w:pPr>
        <w:pStyle w:val="BodyText"/>
      </w:pPr>
      <w:r>
        <w:rPr>
          <w:i/>
          <w:iCs/>
        </w:rPr>
        <w:t xml:space="preserve">This memorandum is prepared for the internal use of Kessler, Odom &amp; Pratt LLP and is protected by the attorney-client privilege and the work product doctrine. It should not be disclosed to any person outside the firm without prior authorization from the supervising partner.</w:t>
      </w:r>
    </w:p>
    <w:bookmarkEnd w:id="61"/>
    <w:bookmarkEnd w:id="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Odom &amp; Pratt LLP — Client Intake Memorandum — Veselka-Thornton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2026-06-28T22:03:59Z</dcterms:created>
  <dcterms:modified xsi:type="dcterms:W3CDTF">2026-06-28T22:03:59Z</dcterms:modified>
</cp:coreProperties>
</file>

<file path=docProps/custom.xml><?xml version="1.0" encoding="utf-8"?>
<Properties xmlns="http://schemas.openxmlformats.org/officeDocument/2006/custom-properties" xmlns:vt="http://schemas.openxmlformats.org/officeDocument/2006/docPropsVTypes"/>
</file>