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1e55b44c0e0d56b1643971a9648e95cffc8ab0"/>
    <w:p>
      <w:pPr>
        <w:pStyle w:val="Heading1"/>
      </w:pPr>
      <w:r>
        <w:t xml:space="preserve">PRIVILEGED AND CONFIDENTIAL — ATTORNEY-CLIENT COMMUNICATION / ATTORNEY WORK PRODUCT</w:t>
      </w:r>
    </w:p>
    <w:bookmarkStart w:id="21" w:name="kessler-odom-pratt-llp"/>
    <w:p>
      <w:pPr>
        <w:pStyle w:val="Heading2"/>
      </w:pPr>
      <w:r>
        <w:t xml:space="preserve">KESSLER, ODOM &amp; PRATT LLP</w:t>
      </w:r>
    </w:p>
    <w:bookmarkStart w:id="20" w:name="Xe0a4b8db1d17655ae375f2ab375a384165adc7c"/>
    <w:p>
      <w:pPr>
        <w:pStyle w:val="Heading3"/>
      </w:pPr>
      <w:r>
        <w:t xml:space="preserve">210 South Wacker Drive, Suite 2400, Chicago, Illinois 60606</w:t>
      </w:r>
    </w:p>
    <w:p>
      <w:r>
        <w:pict>
          <v:rect style="width:0;height:1.5pt" o:hralign="center" o:hrstd="t" o:hr="t"/>
        </w:pict>
      </w:r>
    </w:p>
    <w:bookmarkEnd w:id="20"/>
    <w:bookmarkEnd w:id="21"/>
    <w:bookmarkEnd w:id="22"/>
    <w:bookmarkStart w:id="56" w:name="memorandum"/>
    <w:p>
      <w:pPr>
        <w:pStyle w:val="Heading1"/>
      </w:pPr>
      <w:r>
        <w:t xml:space="preserve">MEMORANDUM</w: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Review of Husband’s Counsel’s Redlined Postnuptial Agreement (Veselka-Thornton / Thornton) — Change Analysis, Factual Reconciliation, and Negotiation Strategy for the January 27, 2025 Four-Way Conference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On January 6, 2025, we received from Thomas Baxter of Hargrove Baxter LLP a marked-up (</w:t>
      </w:r>
      <w:r>
        <w:t xml:space="preserve">“</w:t>
      </w:r>
      <w:r>
        <w:t xml:space="preserve">redlined</w:t>
      </w:r>
      <w:r>
        <w:t xml:space="preserve">”</w:t>
      </w:r>
      <w:r>
        <w:t xml:space="preserve">) revision of our December 16, 2024 draft postnuptial agreement, together with a transmittal email characterizing the changes as</w:t>
      </w:r>
      <w:r>
        <w:t xml:space="preserve"> </w:t>
      </w:r>
      <w:r>
        <w:t xml:space="preserve">“</w:t>
      </w:r>
      <w:r>
        <w:t xml:space="preserve">modest clarifications and a few requests for balanced treatment</w:t>
      </w:r>
      <w:r>
        <w:t xml:space="preserve">”</w:t>
      </w:r>
      <w:r>
        <w:t xml:space="preserve"> </w:t>
      </w:r>
      <w:r>
        <w:t xml:space="preserve">that do not</w:t>
      </w:r>
      <w:r>
        <w:t xml:space="preserve"> </w:t>
      </w:r>
      <w:r>
        <w:t xml:space="preserve">“</w:t>
      </w:r>
      <w:r>
        <w:t xml:space="preserve">move us far from where we started.</w:t>
      </w:r>
      <w:r>
        <w:t xml:space="preserve">”</w:t>
      </w:r>
      <w:r>
        <w:t xml:space="preserve"> </w:t>
      </w:r>
      <w:r>
        <w:t xml:space="preserve">Having now reviewed the redline against our original draft, the client intake memorandum of November 5, 2024, the Strand Valuation Services report, the Linden &amp; Fosse financial disclosure summary, and the Pendleton appraisal, I must advise that</w:t>
      </w:r>
      <w:r>
        <w:t xml:space="preserve"> </w:t>
      </w:r>
      <w:r>
        <w:rPr>
          <w:b/>
          <w:bCs/>
        </w:rPr>
        <w:t xml:space="preserve">the transmittal email materially understates the scope and effect of the redline.</w:t>
      </w:r>
      <w:r>
        <w:t xml:space="preserve"> </w:t>
      </w:r>
      <w:r>
        <w:t xml:space="preserve">The revision contains a number of substantive, high-stakes changes — several of which strike directly at the client’s stated, non-negotiable objectives — that are buried among genuinely cosmetic edits and framed in margin comments as routine or</w:t>
      </w:r>
      <w:r>
        <w:t xml:space="preserve"> </w:t>
      </w:r>
      <w:r>
        <w:t xml:space="preserve">“</w:t>
      </w:r>
      <w:r>
        <w:t xml:space="preserve">balanced.</w:t>
      </w:r>
      <w:r>
        <w:t xml:space="preserve">”</w:t>
      </w:r>
    </w:p>
    <w:p>
      <w:pPr>
        <w:pStyle w:val="BodyText"/>
      </w:pPr>
      <w:r>
        <w:t xml:space="preserve">The single most consequential change is the</w:t>
      </w:r>
      <w:r>
        <w:t xml:space="preserve"> </w:t>
      </w:r>
      <w:r>
        <w:rPr>
          <w:b/>
          <w:bCs/>
        </w:rPr>
        <w:t xml:space="preserve">complete deletion of Section 5.2 — Wife’s Premarital Savings Reimbursement Right</w:t>
      </w:r>
      <w:r>
        <w:t xml:space="preserve">, which was the client’s primary, expressly non-negotiable objective and, in her words,</w:t>
      </w:r>
      <w:r>
        <w:t xml:space="preserve"> </w:t>
      </w:r>
      <w:r>
        <w:t xml:space="preserve">“</w:t>
      </w:r>
      <w:r>
        <w:t xml:space="preserve">the whole reason</w:t>
      </w:r>
      <w:r>
        <w:t xml:space="preserve">”</w:t>
      </w:r>
      <w:r>
        <w:t xml:space="preserve"> </w:t>
      </w:r>
      <w:r>
        <w:t xml:space="preserve">she is pursuing this agreement. The deletion is accompanied by a margin comment asserting it is</w:t>
      </w:r>
      <w:r>
        <w:t xml:space="preserve"> </w:t>
      </w:r>
      <w:r>
        <w:t xml:space="preserve">“</w:t>
      </w:r>
      <w:r>
        <w:t xml:space="preserve">duplicative</w:t>
      </w:r>
      <w:r>
        <w:t xml:space="preserve">”</w:t>
      </w:r>
      <w:r>
        <w:t xml:space="preserve"> </w:t>
      </w:r>
      <w:r>
        <w:t xml:space="preserve">of the general property-division provision. It is not. Restoring a first-priority reimbursement mechanism for the $1,200,000 traceable premarital contribution is a condition precedent to execution.</w:t>
      </w:r>
    </w:p>
    <w:p>
      <w:pPr>
        <w:pStyle w:val="BodyText"/>
      </w:pPr>
      <w:r>
        <w:t xml:space="preserve">A second cluster of changes weakens the financial-disclosure and voidability protections the client specifically requested in light of Husband’s documented history of concealed debt — replacing the client-protective</w:t>
      </w:r>
      <w:r>
        <w:t xml:space="preserve"> </w:t>
      </w:r>
      <w:r>
        <w:t xml:space="preserve">“</w:t>
      </w:r>
      <w:r>
        <w:t xml:space="preserve">material omission</w:t>
      </w:r>
      <w:r>
        <w:t xml:space="preserve">”</w:t>
      </w:r>
      <w:r>
        <w:t xml:space="preserve"> </w:t>
      </w:r>
      <w:r>
        <w:t xml:space="preserve">standard with a heightened</w:t>
      </w:r>
      <w:r>
        <w:t xml:space="preserve"> </w:t>
      </w:r>
      <w:r>
        <w:t xml:space="preserve">“</w:t>
      </w:r>
      <w:r>
        <w:t xml:space="preserve">clear and convincing evidence of intentional concealment exceeding $100,000</w:t>
      </w:r>
      <w:r>
        <w:t xml:space="preserve">”</w:t>
      </w:r>
      <w:r>
        <w:t xml:space="preserve"> </w:t>
      </w:r>
      <w:r>
        <w:t xml:space="preserve">standard, eliminating the ongoing duty of disclosure, and inserting a de minimis threshold into the debt indemnification. A third cluster introduces a</w:t>
      </w:r>
      <w:r>
        <w:t xml:space="preserve"> </w:t>
      </w:r>
      <w:r>
        <w:rPr>
          <w:b/>
          <w:bCs/>
        </w:rPr>
        <w:t xml:space="preserve">unilateral modification-by-notice mechanism</w:t>
      </w:r>
      <w:r>
        <w:t xml:space="preserve"> </w:t>
      </w:r>
      <w:r>
        <w:t xml:space="preserve">(defaulting to effectiveness on silence), a venue shift from Cook County to DuPage County, a mutual waiver of attorney’s fees, and a shortened sunset clause — each contrary to the client’s express instructions.</w:t>
      </w:r>
    </w:p>
    <w:p>
      <w:pPr>
        <w:pStyle w:val="BodyText"/>
      </w:pPr>
      <w:r>
        <w:t xml:space="preserve">At the same time, the redline contains several changes that</w:t>
      </w:r>
      <w:r>
        <w:t xml:space="preserve"> </w:t>
      </w:r>
      <w:r>
        <w:rPr>
          <w:b/>
          <w:bCs/>
        </w:rPr>
        <w:t xml:space="preserve">favor Wife</w:t>
      </w:r>
      <w:r>
        <w:t xml:space="preserve">, most notably an automatic maintenance waiver that — given Husband’s gross income of approximately $305,000 plus investment income from a $3.8 million inheritance — would effectively eliminate Husband’s spousal-maintenance claim entirely, a reduction of the maintenance duration cap from five to three years, and an active/passive appreciation distinction for the Practice Interest that is directly supported by the Strand valuation report (which attributes approximately 60% of practice growth to passive, market-driven factors). These provisions are net positive for the client but, in several cases, carry enforceability risks or hidden trade-offs that must be managed.</w:t>
      </w:r>
    </w:p>
    <w:p>
      <w:pPr>
        <w:pStyle w:val="BodyText"/>
      </w:pPr>
      <w:r>
        <w:rPr>
          <w:b/>
          <w:bCs/>
        </w:rPr>
        <w:t xml:space="preserve">Bottom line:</w:t>
      </w:r>
      <w:r>
        <w:t xml:space="preserve"> </w:t>
      </w:r>
      <w:r>
        <w:t xml:space="preserve">The redline, taken as a whole, is substantially net-adverse to the client in financial terms — the $600,000 certain loss from the premarital-savings deletion dwarfs the speculative gains — and it must be treated as a first-round settlement position, not a set of clarifications. I recommend that we enter the January 27 conference with a prioritized list of (a) non-negotiable restorations, (b) high-priority rejections/counters, and (c) acceptable or acceptable-with-modification items, and that we be prepared to walk from (or recommend the client walk from) the deal if the premarital reimbursement and disclosure protections are not restored. A detailed item-by-item analysis, financial-impact modeling, factual-discrepancy log, and negotiation strategy follow.</w:t>
      </w:r>
    </w:p>
    <w:p>
      <w:r>
        <w:pict>
          <v:rect style="width:0;height:1.5pt" o:hralign="center" o:hrstd="t" o:hr="t"/>
        </w:pict>
      </w:r>
    </w:p>
    <w:bookmarkEnd w:id="23"/>
    <w:bookmarkStart w:id="24"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Original Postnuptial Agreement (draft)</w:t>
            </w:r>
          </w:p>
        </w:tc>
        <w:tc>
          <w:tcPr/>
          <w:p>
            <w:pPr>
              <w:pStyle w:val="Compact"/>
              <w:jc w:val="left"/>
            </w:pPr>
            <w:r>
              <w:t xml:space="preserve">Dec. 16, 2024</w:t>
            </w:r>
          </w:p>
        </w:tc>
        <w:tc>
          <w:tcPr/>
          <w:p>
            <w:pPr>
              <w:pStyle w:val="Compact"/>
              <w:jc w:val="left"/>
            </w:pPr>
            <w:r>
              <w:t xml:space="preserve">Kessler, Odom &amp; Pratt LLP (our draft)</w:t>
            </w:r>
          </w:p>
        </w:tc>
        <w:tc>
          <w:tcPr/>
          <w:p>
            <w:pPr>
              <w:pStyle w:val="Compact"/>
              <w:jc w:val="left"/>
            </w:pPr>
            <w:r>
              <w:t xml:space="preserve">Baseline against which redline is measured</w:t>
            </w:r>
          </w:p>
        </w:tc>
      </w:tr>
      <w:tr>
        <w:tc>
          <w:tcPr/>
          <w:p>
            <w:pPr>
              <w:pStyle w:val="Compact"/>
              <w:jc w:val="left"/>
            </w:pPr>
            <w:r>
              <w:t xml:space="preserve">Redlined Postnuptial Agreement</w:t>
            </w:r>
          </w:p>
        </w:tc>
        <w:tc>
          <w:tcPr/>
          <w:p>
            <w:pPr>
              <w:pStyle w:val="Compact"/>
              <w:jc w:val="left"/>
            </w:pPr>
            <w:r>
              <w:t xml:space="preserve">Jan. 6, 2025</w:t>
            </w:r>
          </w:p>
        </w:tc>
        <w:tc>
          <w:tcPr/>
          <w:p>
            <w:pPr>
              <w:pStyle w:val="Compact"/>
              <w:jc w:val="left"/>
            </w:pPr>
            <w:r>
              <w:t xml:space="preserve">Hargrove Baxter LLP (Husband’s counsel)</w:t>
            </w:r>
          </w:p>
        </w:tc>
        <w:tc>
          <w:tcPr/>
          <w:p>
            <w:pPr>
              <w:pStyle w:val="Compact"/>
              <w:jc w:val="left"/>
            </w:pPr>
            <w:r>
              <w:t xml:space="preserve">Subject of this review</w:t>
            </w:r>
          </w:p>
        </w:tc>
      </w:tr>
      <w:tr>
        <w:tc>
          <w:tcPr/>
          <w:p>
            <w:pPr>
              <w:pStyle w:val="Compact"/>
              <w:jc w:val="left"/>
            </w:pPr>
            <w:r>
              <w:t xml:space="preserve">Client Intake Memorandum</w:t>
            </w:r>
          </w:p>
        </w:tc>
        <w:tc>
          <w:tcPr/>
          <w:p>
            <w:pPr>
              <w:pStyle w:val="Compact"/>
              <w:jc w:val="left"/>
            </w:pPr>
            <w:r>
              <w:t xml:space="preserve">Nov. 5, 2024</w:t>
            </w:r>
          </w:p>
        </w:tc>
        <w:tc>
          <w:tcPr/>
          <w:p>
            <w:pPr>
              <w:pStyle w:val="Compact"/>
              <w:jc w:val="left"/>
            </w:pPr>
            <w:r>
              <w:t xml:space="preserve">A. Reyes (internal)</w:t>
            </w:r>
          </w:p>
        </w:tc>
        <w:tc>
          <w:tcPr/>
          <w:p>
            <w:pPr>
              <w:pStyle w:val="Compact"/>
              <w:jc w:val="left"/>
            </w:pPr>
            <w:r>
              <w:t xml:space="preserve">Establishes client’s objectives and priorities</w:t>
            </w:r>
          </w:p>
        </w:tc>
      </w:tr>
      <w:tr>
        <w:tc>
          <w:tcPr/>
          <w:p>
            <w:pPr>
              <w:pStyle w:val="Compact"/>
              <w:jc w:val="left"/>
            </w:pPr>
            <w:r>
              <w:t xml:space="preserve">Practice Valuation Report (Strand)</w:t>
            </w:r>
          </w:p>
        </w:tc>
        <w:tc>
          <w:tcPr/>
          <w:p>
            <w:pPr>
              <w:pStyle w:val="Compact"/>
              <w:jc w:val="left"/>
            </w:pPr>
            <w:r>
              <w:t xml:space="preserve">Nov. 30, 2024</w:t>
            </w:r>
          </w:p>
        </w:tc>
        <w:tc>
          <w:tcPr/>
          <w:p>
            <w:pPr>
              <w:pStyle w:val="Compact"/>
              <w:jc w:val="left"/>
            </w:pPr>
            <w:r>
              <w:t xml:space="preserve">Strand Valuation Services</w:t>
            </w:r>
          </w:p>
        </w:tc>
        <w:tc>
          <w:tcPr/>
          <w:p>
            <w:pPr>
              <w:pStyle w:val="Compact"/>
              <w:jc w:val="left"/>
            </w:pPr>
            <w:r>
              <w:t xml:space="preserve">$1,650,000 baseline; active/passive attribution</w:t>
            </w:r>
          </w:p>
        </w:tc>
      </w:tr>
      <w:tr>
        <w:tc>
          <w:tcPr/>
          <w:p>
            <w:pPr>
              <w:pStyle w:val="Compact"/>
              <w:jc w:val="left"/>
            </w:pPr>
            <w:r>
              <w:t xml:space="preserve">Financial Disclosure Summary</w:t>
            </w:r>
          </w:p>
        </w:tc>
        <w:tc>
          <w:tcPr/>
          <w:p>
            <w:pPr>
              <w:pStyle w:val="Compact"/>
              <w:jc w:val="left"/>
            </w:pPr>
            <w:r>
              <w:t xml:space="preserve">Nov. 30, 2024</w:t>
            </w:r>
          </w:p>
        </w:tc>
        <w:tc>
          <w:tcPr/>
          <w:p>
            <w:pPr>
              <w:pStyle w:val="Compact"/>
              <w:jc w:val="left"/>
            </w:pPr>
            <w:r>
              <w:t xml:space="preserve">Linden &amp; Fosse CPA</w:t>
            </w:r>
          </w:p>
        </w:tc>
        <w:tc>
          <w:tcPr/>
          <w:p>
            <w:pPr>
              <w:pStyle w:val="Compact"/>
              <w:jc w:val="left"/>
            </w:pPr>
            <w:r>
              <w:t xml:space="preserve">Authoritative account-level financial data</w:t>
            </w:r>
          </w:p>
        </w:tc>
      </w:tr>
      <w:tr>
        <w:tc>
          <w:tcPr/>
          <w:p>
            <w:pPr>
              <w:pStyle w:val="Compact"/>
              <w:jc w:val="left"/>
            </w:pPr>
            <w:r>
              <w:t xml:space="preserve">Transmittal Email</w:t>
            </w:r>
          </w:p>
        </w:tc>
        <w:tc>
          <w:tcPr/>
          <w:p>
            <w:pPr>
              <w:pStyle w:val="Compact"/>
              <w:jc w:val="left"/>
            </w:pPr>
            <w:r>
              <w:t xml:space="preserve">Jan. 6, 2025</w:t>
            </w:r>
          </w:p>
        </w:tc>
        <w:tc>
          <w:tcPr/>
          <w:p>
            <w:pPr>
              <w:pStyle w:val="Compact"/>
              <w:jc w:val="left"/>
            </w:pPr>
            <w:r>
              <w:t xml:space="preserve">T. Baxter (Husband’s counsel)</w:t>
            </w:r>
          </w:p>
        </w:tc>
        <w:tc>
          <w:tcPr/>
          <w:p>
            <w:pPr>
              <w:pStyle w:val="Compact"/>
              <w:jc w:val="left"/>
            </w:pPr>
            <w:r>
              <w:t xml:space="preserve">Opposing counsel’s characterization of changes</w:t>
            </w:r>
          </w:p>
        </w:tc>
      </w:tr>
    </w:tbl>
    <w:p>
      <w:r>
        <w:pict>
          <v:rect style="width:0;height:1.5pt" o:hralign="center" o:hrstd="t" o:hr="t"/>
        </w:pict>
      </w:r>
    </w:p>
    <w:bookmarkEnd w:id="24"/>
    <w:bookmarkStart w:id="25" w:name="X4c0bb09cea78d90e47be4dcc30d2323945da67a"/>
    <w:p>
      <w:pPr>
        <w:pStyle w:val="Heading2"/>
      </w:pPr>
      <w:r>
        <w:t xml:space="preserve">III. The Transmittal Email: A</w:t>
      </w:r>
      <w:r>
        <w:t xml:space="preserve"> </w:t>
      </w:r>
      <w:r>
        <w:t xml:space="preserve">“</w:t>
      </w:r>
      <w:r>
        <w:t xml:space="preserve">Hide-the-Ball</w:t>
      </w:r>
      <w:r>
        <w:t xml:space="preserve">”</w:t>
      </w:r>
      <w:r>
        <w:t xml:space="preserve"> </w:t>
      </w:r>
      <w:r>
        <w:t xml:space="preserve">Framing</w:t>
      </w:r>
    </w:p>
    <w:p>
      <w:pPr>
        <w:pStyle w:val="FirstParagraph"/>
      </w:pPr>
      <w:r>
        <w:t xml:space="preserve">Mr. Baxter’s cover email flags only five items: (1) a severability clause; (2) notarization/witness signature lines; (3) the correction of</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r>
        <w:t xml:space="preserve"> </w:t>
      </w:r>
      <w:r>
        <w:t xml:space="preserve">Thornton; (4) a recital expressing commitment to the marriage; and (5) the duration/sunset adjustment and the DuPage venue request. Each of these is, in fact, relatively innocuous or even beneficial.</w:t>
      </w:r>
    </w:p>
    <w:p>
      <w:pPr>
        <w:pStyle w:val="BodyText"/>
      </w:pPr>
      <w:r>
        <w:t xml:space="preserve">The email is silent, however, on the following substantive changes, each of which has material financial or strategic consequences:</w:t>
      </w:r>
    </w:p>
    <w:p>
      <w:pPr>
        <w:pStyle w:val="Compact"/>
        <w:numPr>
          <w:ilvl w:val="0"/>
          <w:numId w:val="1001"/>
        </w:numPr>
      </w:pPr>
      <w:r>
        <w:rPr>
          <w:b/>
          <w:bCs/>
        </w:rPr>
        <w:t xml:space="preserve">Deletion of the $1,200,000 premarital-savings reimbursement right</w:t>
      </w:r>
      <w:r>
        <w:t xml:space="preserve"> </w:t>
      </w:r>
      <w:r>
        <w:t xml:space="preserve">(the client’s #1 objective);</w:t>
      </w:r>
    </w:p>
    <w:p>
      <w:pPr>
        <w:pStyle w:val="Compact"/>
        <w:numPr>
          <w:ilvl w:val="0"/>
          <w:numId w:val="1001"/>
        </w:numPr>
      </w:pPr>
      <w:r>
        <w:rPr>
          <w:b/>
          <w:bCs/>
        </w:rPr>
        <w:t xml:space="preserve">Replacement of</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with a narrow</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w:t>
      </w:r>
      <w:r>
        <w:t xml:space="preserve"> </w:t>
      </w:r>
      <w:r>
        <w:t xml:space="preserve">that excludes bonuses, equity, commissions, and RSUs;</w:t>
      </w:r>
    </w:p>
    <w:p>
      <w:pPr>
        <w:pStyle w:val="Compact"/>
        <w:numPr>
          <w:ilvl w:val="0"/>
          <w:numId w:val="1001"/>
        </w:numPr>
      </w:pPr>
      <w:r>
        <w:rPr>
          <w:b/>
          <w:bCs/>
        </w:rPr>
        <w:t xml:space="preserve">Insertion of an automatic maintenance waiver</w:t>
      </w:r>
      <w:r>
        <w:t xml:space="preserve"> </w:t>
      </w:r>
      <w:r>
        <w:t xml:space="preserve">keyed to a $200,000 income threshold;</w:t>
      </w:r>
    </w:p>
    <w:p>
      <w:pPr>
        <w:pStyle w:val="Compact"/>
        <w:numPr>
          <w:ilvl w:val="0"/>
          <w:numId w:val="1001"/>
        </w:numPr>
      </w:pPr>
      <w:r>
        <w:rPr>
          <w:b/>
          <w:bCs/>
        </w:rPr>
        <w:t xml:space="preserve">Imposition of a heightened voidability standard</w:t>
      </w:r>
      <w:r>
        <w:t xml:space="preserve"> </w:t>
      </w:r>
      <w:r>
        <w:t xml:space="preserve">(clear and convincing, intentional concealment, $100,000 threshold, two-year limitations period);</w:t>
      </w:r>
    </w:p>
    <w:p>
      <w:pPr>
        <w:pStyle w:val="Compact"/>
        <w:numPr>
          <w:ilvl w:val="0"/>
          <w:numId w:val="1001"/>
        </w:numPr>
      </w:pPr>
      <w:r>
        <w:rPr>
          <w:b/>
          <w:bCs/>
        </w:rPr>
        <w:t xml:space="preserve">Elimination of the ongoing duty of disclosure</w:t>
      </w:r>
      <w:r>
        <w:t xml:space="preserve"> </w:t>
      </w:r>
      <w:r>
        <w:t xml:space="preserve">and the future-debt disclosure requirement;</w:t>
      </w:r>
    </w:p>
    <w:p>
      <w:pPr>
        <w:pStyle w:val="Compact"/>
        <w:numPr>
          <w:ilvl w:val="0"/>
          <w:numId w:val="1001"/>
        </w:numPr>
      </w:pPr>
      <w:r>
        <w:rPr>
          <w:b/>
          <w:bCs/>
        </w:rPr>
        <w:t xml:space="preserve">Insertion of a de minimis ($5,000) threshold</w:t>
      </w:r>
      <w:r>
        <w:t xml:space="preserve"> </w:t>
      </w:r>
      <w:r>
        <w:t xml:space="preserve">on the Identified Debt indemnification;</w:t>
      </w:r>
    </w:p>
    <w:p>
      <w:pPr>
        <w:pStyle w:val="Compact"/>
        <w:numPr>
          <w:ilvl w:val="0"/>
          <w:numId w:val="1001"/>
        </w:numPr>
      </w:pPr>
      <w:r>
        <w:rPr>
          <w:b/>
          <w:bCs/>
        </w:rPr>
        <w:t xml:space="preserve">Replacement of the flat 50/50 RSU division with a coverture-fraction methodology</w:t>
      </w:r>
      <w:r>
        <w:t xml:space="preserve">;</w:t>
      </w:r>
    </w:p>
    <w:p>
      <w:pPr>
        <w:pStyle w:val="Compact"/>
        <w:numPr>
          <w:ilvl w:val="0"/>
          <w:numId w:val="1001"/>
        </w:numPr>
      </w:pPr>
      <w:r>
        <w:rPr>
          <w:b/>
          <w:bCs/>
        </w:rPr>
        <w:t xml:space="preserve">Reversal of the commingling/transmutation rule</w:t>
      </w:r>
      <w:r>
        <w:t xml:space="preserve"> </w:t>
      </w:r>
      <w:r>
        <w:t xml:space="preserve">so that separate property used for joint benefit retains its separate character (primarily protecting Husband’s inheritance);</w:t>
      </w:r>
    </w:p>
    <w:p>
      <w:pPr>
        <w:pStyle w:val="Compact"/>
        <w:numPr>
          <w:ilvl w:val="0"/>
          <w:numId w:val="1001"/>
        </w:numPr>
      </w:pPr>
      <w:r>
        <w:rPr>
          <w:b/>
          <w:bCs/>
        </w:rPr>
        <w:t xml:space="preserve">Insertion of a unilateral modification-by-notice mechanism</w:t>
      </w:r>
      <w:r>
        <w:t xml:space="preserve"> </w:t>
      </w:r>
      <w:r>
        <w:t xml:space="preserve">that defaults to effectiveness on the other party’s silence;</w:t>
      </w:r>
    </w:p>
    <w:p>
      <w:pPr>
        <w:pStyle w:val="Compact"/>
        <w:numPr>
          <w:ilvl w:val="0"/>
          <w:numId w:val="1001"/>
        </w:numPr>
      </w:pPr>
      <w:r>
        <w:rPr>
          <w:b/>
          <w:bCs/>
        </w:rPr>
        <w:t xml:space="preserve">Replacement of the prevailing-party attorney’s-fees provision with a mutual waiver</w:t>
      </w:r>
      <w:r>
        <w:t xml:space="preserve">;</w:t>
      </w:r>
    </w:p>
    <w:p>
      <w:pPr>
        <w:pStyle w:val="Compact"/>
        <w:numPr>
          <w:ilvl w:val="0"/>
          <w:numId w:val="1001"/>
        </w:numPr>
      </w:pPr>
      <w:r>
        <w:rPr>
          <w:b/>
          <w:bCs/>
        </w:rPr>
        <w:t xml:space="preserve">Shortening of the sunset term from fifteen years to seven years</w:t>
      </w:r>
      <w:r>
        <w:t xml:space="preserve"> </w:t>
      </w:r>
      <w:r>
        <w:t xml:space="preserve">(with no renewal mechanism).</w:t>
      </w:r>
    </w:p>
    <w:p>
      <w:pPr>
        <w:pStyle w:val="FirstParagraph"/>
      </w:pPr>
      <w:r>
        <w:t xml:space="preserve">The pattern — surfacing only the innocuous changes in the cover letter while embedding the adverse ones as</w:t>
      </w:r>
      <w:r>
        <w:t xml:space="preserve"> </w:t>
      </w:r>
      <w:r>
        <w:t xml:space="preserve">“</w:t>
      </w:r>
      <w:r>
        <w:t xml:space="preserve">clarifications</w:t>
      </w:r>
      <w:r>
        <w:t xml:space="preserve">”</w:t>
      </w:r>
      <w:r>
        <w:t xml:space="preserve"> </w:t>
      </w:r>
      <w:r>
        <w:t xml:space="preserve">throughout the body — is consistent with the client’s caution that we</w:t>
      </w:r>
      <w:r>
        <w:t xml:space="preserve"> </w:t>
      </w:r>
      <w:r>
        <w:t xml:space="preserve">“</w:t>
      </w:r>
      <w:r>
        <w:t xml:space="preserve">scrutinize any counterproposals carefully for hidden or embedded terms that might undermine her core objectives.</w:t>
      </w:r>
      <w:r>
        <w:t xml:space="preserve">”</w:t>
      </w:r>
      <w:r>
        <w:t xml:space="preserve"> </w:t>
      </w:r>
      <w:r>
        <w:t xml:space="preserve">The margin comments (authored</w:t>
      </w:r>
      <w:r>
        <w:t xml:space="preserve"> </w:t>
      </w:r>
      <w:r>
        <w:t xml:space="preserve">“</w:t>
      </w:r>
      <w:r>
        <w:t xml:space="preserve">TB</w:t>
      </w:r>
      <w:r>
        <w:t xml:space="preserve">”</w:t>
      </w:r>
      <w:r>
        <w:t xml:space="preserve">) compound the problem by characterizing several adverse changes as</w:t>
      </w:r>
      <w:r>
        <w:t xml:space="preserve"> </w:t>
      </w:r>
      <w:r>
        <w:t xml:space="preserve">“</w:t>
      </w:r>
      <w:r>
        <w:t xml:space="preserve">standard,</w:t>
      </w:r>
      <w:r>
        <w:t xml:space="preserve">”</w:t>
      </w:r>
      <w:r>
        <w:t xml:space="preserve"> </w:t>
      </w:r>
      <w:r>
        <w:t xml:space="preserve">“</w:t>
      </w:r>
      <w:r>
        <w:t xml:space="preserve">balanced,</w:t>
      </w:r>
      <w:r>
        <w:t xml:space="preserve">”</w:t>
      </w:r>
      <w:r>
        <w:t xml:space="preserve"> </w:t>
      </w:r>
      <w:r>
        <w:t xml:space="preserve">or</w:t>
      </w:r>
      <w:r>
        <w:t xml:space="preserve"> </w:t>
      </w:r>
      <w:r>
        <w:t xml:space="preserve">“</w:t>
      </w:r>
      <w:r>
        <w:t xml:space="preserve">duplicative</w:t>
      </w:r>
      <w:r>
        <w:t xml:space="preserve">”</w:t>
      </w:r>
      <w:r>
        <w:t xml:space="preserve"> </w:t>
      </w:r>
      <w:r>
        <w:t xml:space="preserve">in ways that do not withstand scrutiny. Specific mischaracterizations are flagged in the item-by-item analysis below.</w:t>
      </w:r>
    </w:p>
    <w:p>
      <w:r>
        <w:pict>
          <v:rect style="width:0;height:1.5pt" o:hralign="center" o:hrstd="t" o:hr="t"/>
        </w:pict>
      </w:r>
    </w:p>
    <w:bookmarkEnd w:id="25"/>
    <w:bookmarkStart w:id="26" w:name="X9b087f2da35e50d91e70c520ae890f063957b59"/>
    <w:p>
      <w:pPr>
        <w:pStyle w:val="Heading2"/>
      </w:pPr>
      <w:r>
        <w:t xml:space="preserve">IV. Factual Discrepancies Requiring Verification Before Execution</w:t>
      </w:r>
    </w:p>
    <w:p>
      <w:pPr>
        <w:pStyle w:val="FirstParagraph"/>
      </w:pPr>
      <w:r>
        <w:t xml:space="preserve">Cross-referencing the redline against the Linden &amp; Fosse financial disclosure summary (the authoritative account-level record) and the client intake memo reveals a number of factual inconsistencies.</w:t>
      </w:r>
      <w:r>
        <w:t xml:space="preserve"> </w:t>
      </w:r>
      <w:r>
        <w:rPr>
          <w:b/>
          <w:bCs/>
        </w:rPr>
        <w:t xml:space="preserve">These must be reconciled against primary source documents (death certificate, birth certificates, account statements) before execution; several appear in the redline itself and, if wrong, could undermine the agreement’s recitals or create ambiguity.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Intake Memo / Linden &amp; Fosse Disclosure</w:t>
            </w:r>
          </w:p>
        </w:tc>
        <w:tc>
          <w:tcPr/>
          <w:p>
            <w:pPr>
              <w:pStyle w:val="Compact"/>
              <w:jc w:val="left"/>
            </w:pPr>
            <w:r>
              <w:t xml:space="preserve">Status / Action</w:t>
            </w:r>
          </w:p>
        </w:tc>
      </w:tr>
      <w:tr>
        <w:tc>
          <w:tcPr/>
          <w:p>
            <w:pPr>
              <w:pStyle w:val="Compact"/>
              <w:jc w:val="left"/>
            </w:pPr>
            <w:r>
              <w:t xml:space="preserve">1</w:t>
            </w:r>
          </w:p>
        </w:tc>
        <w:tc>
          <w:tcPr/>
          <w:p>
            <w:pPr>
              <w:pStyle w:val="Compact"/>
              <w:jc w:val="left"/>
            </w:pPr>
            <w:r>
              <w:t xml:space="preserve">Mother’s name</w:t>
            </w:r>
          </w:p>
        </w:tc>
        <w:tc>
          <w:tcPr/>
          <w:p>
            <w:pPr>
              <w:pStyle w:val="Compact"/>
              <w:jc w:val="left"/>
            </w:pPr>
            <w:r>
              <w:t xml:space="preserve">“</w:t>
            </w:r>
            <w:r>
              <w:t xml:space="preserve">Constane Thornton</w:t>
            </w:r>
            <w:r>
              <w:t xml:space="preserve">”</w:t>
            </w:r>
            <w:r>
              <w:t xml:space="preserve"> </w:t>
            </w:r>
            <w:r>
              <w:t xml:space="preserve">(typo)</w:t>
            </w:r>
          </w:p>
        </w:tc>
        <w:tc>
          <w:tcPr/>
          <w:p>
            <w:pPr>
              <w:pStyle w:val="Compact"/>
              <w:jc w:val="left"/>
            </w:pPr>
            <w:r>
              <w:t xml:space="preserve">“</w:t>
            </w:r>
            <w:r>
              <w:t xml:space="preserve">Constance Thornton (née Albrecht)</w:t>
            </w:r>
            <w:r>
              <w:t xml:space="preserve">”</w:t>
            </w:r>
          </w:p>
        </w:tc>
        <w:tc>
          <w:tcPr/>
          <w:p>
            <w:pPr>
              <w:pStyle w:val="Compact"/>
              <w:jc w:val="left"/>
            </w:pPr>
            <w:r>
              <w:t xml:space="preserve">“</w:t>
            </w:r>
            <w:r>
              <w:t xml:space="preserve">Constance Thornton</w:t>
            </w:r>
            <w:r>
              <w:t xml:space="preserve">”</w:t>
            </w:r>
            <w:r>
              <w:t xml:space="preserve"> </w:t>
            </w:r>
            <w:r>
              <w:t xml:space="preserve">(intake &amp; disclosure)</w:t>
            </w:r>
          </w:p>
        </w:tc>
        <w:tc>
          <w:tcPr/>
          <w:p>
            <w:pPr>
              <w:pStyle w:val="Compact"/>
              <w:jc w:val="left"/>
            </w:pPr>
            <w:r>
              <w:t xml:space="preserve">Redline corrects the typo. Verify maiden name</w:t>
            </w:r>
            <w:r>
              <w:t xml:space="preserve"> </w:t>
            </w:r>
            <w:r>
              <w:t xml:space="preserve">“</w:t>
            </w:r>
            <w:r>
              <w:t xml:space="preserve">Albrecht</w:t>
            </w:r>
            <w:r>
              <w:t xml:space="preserve">”</w:t>
            </w:r>
            <w:r>
              <w:t xml:space="preserve"> </w:t>
            </w:r>
            <w:r>
              <w:t xml:space="preserve">against death certificate/estate docs.</w:t>
            </w:r>
          </w:p>
        </w:tc>
      </w:tr>
      <w:tr>
        <w:tc>
          <w:tcPr/>
          <w:p>
            <w:pPr>
              <w:pStyle w:val="Compact"/>
              <w:jc w:val="left"/>
            </w:pPr>
            <w:r>
              <w:t xml:space="preserve">2</w:t>
            </w:r>
          </w:p>
        </w:tc>
        <w:tc>
          <w:tcPr/>
          <w:p>
            <w:pPr>
              <w:pStyle w:val="Compact"/>
              <w:jc w:val="left"/>
            </w:pPr>
            <w:r>
              <w:t xml:space="preserve">Mother’s date of death</w:t>
            </w:r>
          </w:p>
        </w:tc>
        <w:tc>
          <w:tcPr/>
          <w:p>
            <w:pPr>
              <w:pStyle w:val="Compact"/>
              <w:jc w:val="left"/>
            </w:pPr>
            <w:r>
              <w:t xml:space="preserve">Aug. 12, 2024</w:t>
            </w:r>
          </w:p>
        </w:tc>
        <w:tc>
          <w:tcPr/>
          <w:p>
            <w:pPr>
              <w:pStyle w:val="Compact"/>
              <w:jc w:val="left"/>
            </w:pPr>
            <w:r>
              <w:t xml:space="preserve">Sept. 3, 2024</w:t>
            </w:r>
          </w:p>
        </w:tc>
        <w:tc>
          <w:tcPr/>
          <w:p>
            <w:pPr>
              <w:pStyle w:val="Compact"/>
              <w:jc w:val="left"/>
            </w:pPr>
            <w:r>
              <w:t xml:space="preserve">“</w:t>
            </w:r>
            <w:r>
              <w:t xml:space="preserve">deceased October 2024</w:t>
            </w:r>
            <w:r>
              <w:t xml:space="preserve">”</w:t>
            </w:r>
            <w:r>
              <w:t xml:space="preserve"> </w:t>
            </w:r>
            <w:r>
              <w:t xml:space="preserve">(intake &amp; disclosure)</w:t>
            </w:r>
          </w:p>
        </w:tc>
        <w:tc>
          <w:tcPr/>
          <w:p>
            <w:pPr>
              <w:pStyle w:val="Compact"/>
              <w:jc w:val="left"/>
            </w:pPr>
            <w:r>
              <w:rPr>
                <w:b/>
                <w:bCs/>
              </w:rPr>
              <w:t xml:space="preserve">Three different dates.</w:t>
            </w:r>
            <w:r>
              <w:t xml:space="preserve"> </w:t>
            </w:r>
            <w:r>
              <w:t xml:space="preserve">Verify against death certificate. The inheritance was received in October 2024 in all versions.</w:t>
            </w:r>
          </w:p>
        </w:tc>
      </w:tr>
      <w:tr>
        <w:tc>
          <w:tcPr/>
          <w:p>
            <w:pPr>
              <w:pStyle w:val="Compact"/>
              <w:jc w:val="left"/>
            </w:pPr>
            <w:r>
              <w:t xml:space="preserve">3</w:t>
            </w:r>
          </w:p>
        </w:tc>
        <w:tc>
          <w:tcPr/>
          <w:p>
            <w:pPr>
              <w:pStyle w:val="Compact"/>
              <w:jc w:val="left"/>
            </w:pPr>
            <w:r>
              <w:t xml:space="preserve">Elena’s birth date</w:t>
            </w:r>
          </w:p>
        </w:tc>
        <w:tc>
          <w:tcPr/>
          <w:p>
            <w:pPr>
              <w:pStyle w:val="Compact"/>
              <w:jc w:val="left"/>
            </w:pPr>
            <w:r>
              <w:t xml:space="preserve">Oct. 3, 2012</w:t>
            </w:r>
          </w:p>
        </w:tc>
        <w:tc>
          <w:tcPr/>
          <w:p>
            <w:pPr>
              <w:pStyle w:val="Compact"/>
              <w:jc w:val="left"/>
            </w:pPr>
            <w:r>
              <w:t xml:space="preserve">Aug. 22, 2012 (age 12)</w:t>
            </w:r>
          </w:p>
        </w:tc>
        <w:tc>
          <w:tcPr/>
          <w:p>
            <w:pPr>
              <w:pStyle w:val="Compact"/>
              <w:jc w:val="left"/>
            </w:pPr>
            <w:r>
              <w:t xml:space="preserve">Age 12 as of Nov. 5, 2024</w:t>
            </w:r>
          </w:p>
        </w:tc>
        <w:tc>
          <w:tcPr/>
          <w:p>
            <w:pPr>
              <w:pStyle w:val="Compact"/>
              <w:jc w:val="left"/>
            </w:pPr>
            <w:r>
              <w:t xml:space="preserve">Verify against birth certificate. Both dates yield age 12; redline is internally consistent with its stated age.</w:t>
            </w:r>
          </w:p>
        </w:tc>
      </w:tr>
      <w:tr>
        <w:tc>
          <w:tcPr/>
          <w:p>
            <w:pPr>
              <w:pStyle w:val="Compact"/>
              <w:jc w:val="left"/>
            </w:pPr>
            <w:r>
              <w:t xml:space="preserve">4</w:t>
            </w:r>
          </w:p>
        </w:tc>
        <w:tc>
          <w:tcPr/>
          <w:p>
            <w:pPr>
              <w:pStyle w:val="Compact"/>
              <w:jc w:val="left"/>
            </w:pPr>
            <w:r>
              <w:t xml:space="preserve">Julian’s birth date</w:t>
            </w:r>
          </w:p>
        </w:tc>
        <w:tc>
          <w:tcPr/>
          <w:p>
            <w:pPr>
              <w:pStyle w:val="Compact"/>
              <w:jc w:val="left"/>
            </w:pPr>
            <w:r>
              <w:t xml:space="preserve">Mar. 22, 2016</w:t>
            </w:r>
          </w:p>
        </w:tc>
        <w:tc>
          <w:tcPr/>
          <w:p>
            <w:pPr>
              <w:pStyle w:val="Compact"/>
              <w:jc w:val="left"/>
            </w:pPr>
            <w:r>
              <w:t xml:space="preserve">Nov. 9, 2015 (age 9)</w:t>
            </w:r>
          </w:p>
        </w:tc>
        <w:tc>
          <w:tcPr/>
          <w:p>
            <w:pPr>
              <w:pStyle w:val="Compact"/>
              <w:jc w:val="left"/>
            </w:pPr>
            <w:r>
              <w:t xml:space="preserve">Age 9 as of Nov. 5, 2024</w:t>
            </w:r>
          </w:p>
        </w:tc>
        <w:tc>
          <w:tcPr/>
          <w:p>
            <w:pPr>
              <w:pStyle w:val="Compact"/>
              <w:jc w:val="left"/>
            </w:pPr>
            <w:r>
              <w:rPr>
                <w:b/>
                <w:bCs/>
              </w:rPr>
              <w:t xml:space="preserve">Verify against birth certificate.</w:t>
            </w:r>
            <w:r>
              <w:t xml:space="preserve"> </w:t>
            </w:r>
            <w:r>
              <w:t xml:space="preserve">Original’s date (Mar. 2016) would make Julian 8 as of the redline date; redline’s date (Nov. 2015) is consistent with stated age 9. Original appears erroneous.</w:t>
            </w:r>
          </w:p>
        </w:tc>
      </w:tr>
      <w:tr>
        <w:tc>
          <w:tcPr/>
          <w:p>
            <w:pPr>
              <w:pStyle w:val="Compact"/>
              <w:jc w:val="left"/>
            </w:pPr>
            <w:r>
              <w:t xml:space="preserve">5</w:t>
            </w:r>
          </w:p>
        </w:tc>
        <w:tc>
          <w:tcPr/>
          <w:p>
            <w:pPr>
              <w:pStyle w:val="Compact"/>
              <w:jc w:val="left"/>
            </w:pPr>
            <w:r>
              <w:t xml:space="preserve">Inheritance brokerage custodian</w:t>
            </w:r>
          </w:p>
        </w:tc>
        <w:tc>
          <w:tcPr/>
          <w:p>
            <w:pPr>
              <w:pStyle w:val="Compact"/>
              <w:jc w:val="left"/>
            </w:pPr>
            <w:r>
              <w:t xml:space="preserve">Hartleigh Investments</w:t>
            </w:r>
          </w:p>
        </w:tc>
        <w:tc>
          <w:tcPr/>
          <w:p>
            <w:pPr>
              <w:pStyle w:val="Compact"/>
              <w:jc w:val="left"/>
            </w:pPr>
            <w:r>
              <w:t xml:space="preserve">Tidewater Securities (acct. -7724)</w:t>
            </w:r>
          </w:p>
        </w:tc>
        <w:tc>
          <w:tcPr/>
          <w:p>
            <w:pPr>
              <w:pStyle w:val="Compact"/>
              <w:jc w:val="left"/>
            </w:pPr>
            <w:r>
              <w:rPr>
                <w:b/>
                <w:bCs/>
              </w:rPr>
              <w:t xml:space="preserve">Northbridge Wealth Advisors (acct. 8837)</w:t>
            </w:r>
          </w:p>
        </w:tc>
        <w:tc>
          <w:tcPr/>
          <w:p>
            <w:pPr>
              <w:pStyle w:val="Compact"/>
              <w:jc w:val="left"/>
            </w:pPr>
            <w:r>
              <w:rPr>
                <w:b/>
                <w:bCs/>
              </w:rPr>
              <w:t xml:space="preserve">Redline is wrong per disclosure.</w:t>
            </w:r>
            <w:r>
              <w:t xml:space="preserve"> </w:t>
            </w:r>
            <w:r>
              <w:t xml:space="preserve">Original is also wrong. Disclosure (Line H-8) is authoritative.</w:t>
            </w:r>
          </w:p>
        </w:tc>
      </w:tr>
      <w:tr>
        <w:tc>
          <w:tcPr/>
          <w:p>
            <w:pPr>
              <w:pStyle w:val="Compact"/>
              <w:jc w:val="left"/>
            </w:pPr>
            <w:r>
              <w:t xml:space="preserve">6</w:t>
            </w:r>
          </w:p>
        </w:tc>
        <w:tc>
          <w:tcPr/>
          <w:p>
            <w:pPr>
              <w:pStyle w:val="Compact"/>
              <w:jc w:val="left"/>
            </w:pPr>
            <w:r>
              <w:t xml:space="preserve">Husband’s 401(k) custodian</w:t>
            </w:r>
          </w:p>
        </w:tc>
        <w:tc>
          <w:tcPr/>
          <w:p>
            <w:pPr>
              <w:pStyle w:val="Compact"/>
              <w:jc w:val="left"/>
            </w:pPr>
            <w:r>
              <w:t xml:space="preserve">Not specified</w:t>
            </w:r>
          </w:p>
        </w:tc>
        <w:tc>
          <w:tcPr/>
          <w:p>
            <w:pPr>
              <w:pStyle w:val="Compact"/>
              <w:jc w:val="left"/>
            </w:pPr>
            <w:r>
              <w:t xml:space="preserve">“</w:t>
            </w:r>
            <w:r>
              <w:t xml:space="preserve">administered by Hartleigh Investments</w:t>
            </w:r>
            <w:r>
              <w:t xml:space="preserve">”</w:t>
            </w:r>
          </w:p>
        </w:tc>
        <w:tc>
          <w:tcPr/>
          <w:p>
            <w:pPr>
              <w:pStyle w:val="Compact"/>
              <w:jc w:val="left"/>
            </w:pPr>
            <w:r>
              <w:rPr>
                <w:b/>
                <w:bCs/>
              </w:rPr>
              <w:t xml:space="preserve">Northbridge Wealth Advisors (acct. 5518)</w:t>
            </w:r>
          </w:p>
        </w:tc>
        <w:tc>
          <w:tcPr/>
          <w:p>
            <w:pPr>
              <w:pStyle w:val="Compact"/>
              <w:jc w:val="left"/>
            </w:pPr>
            <w:r>
              <w:rPr>
                <w:b/>
                <w:bCs/>
              </w:rPr>
              <w:t xml:space="preserve">Redline is wrong per disclosure</w:t>
            </w:r>
            <w:r>
              <w:t xml:space="preserve"> </w:t>
            </w:r>
            <w:r>
              <w:t xml:space="preserve">(Line H-3).</w:t>
            </w:r>
          </w:p>
        </w:tc>
      </w:tr>
      <w:tr>
        <w:tc>
          <w:tcPr/>
          <w:p>
            <w:pPr>
              <w:pStyle w:val="Compact"/>
              <w:jc w:val="left"/>
            </w:pPr>
            <w:r>
              <w:t xml:space="preserve">7</w:t>
            </w:r>
          </w:p>
        </w:tc>
        <w:tc>
          <w:tcPr/>
          <w:p>
            <w:pPr>
              <w:pStyle w:val="Compact"/>
              <w:jc w:val="left"/>
            </w:pPr>
            <w:r>
              <w:t xml:space="preserve">Joint Investment Account number</w:t>
            </w:r>
          </w:p>
        </w:tc>
        <w:tc>
          <w:tcPr/>
          <w:p>
            <w:pPr>
              <w:pStyle w:val="Compact"/>
              <w:jc w:val="left"/>
            </w:pPr>
            <w:r>
              <w:t xml:space="preserve">Not specified</w:t>
            </w:r>
          </w:p>
        </w:tc>
        <w:tc>
          <w:tcPr/>
          <w:p>
            <w:pPr>
              <w:pStyle w:val="Compact"/>
              <w:jc w:val="left"/>
            </w:pPr>
            <w:r>
              <w:t xml:space="preserve">acct. -3961</w:t>
            </w:r>
          </w:p>
        </w:tc>
        <w:tc>
          <w:tcPr/>
          <w:p>
            <w:pPr>
              <w:pStyle w:val="Compact"/>
              <w:jc w:val="left"/>
            </w:pPr>
            <w:r>
              <w:rPr>
                <w:b/>
                <w:bCs/>
              </w:rPr>
              <w:t xml:space="preserve">acct. 3291</w:t>
            </w:r>
          </w:p>
        </w:tc>
        <w:tc>
          <w:tcPr/>
          <w:p>
            <w:pPr>
              <w:pStyle w:val="Compact"/>
              <w:jc w:val="left"/>
            </w:pPr>
            <w:r>
              <w:rPr>
                <w:b/>
                <w:bCs/>
              </w:rPr>
              <w:t xml:space="preserve">Redline is wrong per disclosure</w:t>
            </w:r>
            <w:r>
              <w:t xml:space="preserve"> </w:t>
            </w:r>
            <w:r>
              <w:t xml:space="preserve">(Lines W-5, J-2).</w:t>
            </w:r>
          </w:p>
        </w:tc>
      </w:tr>
      <w:tr>
        <w:tc>
          <w:tcPr/>
          <w:p>
            <w:pPr>
              <w:pStyle w:val="Compact"/>
              <w:jc w:val="left"/>
            </w:pPr>
            <w:r>
              <w:t xml:space="preserve">8</w:t>
            </w:r>
          </w:p>
        </w:tc>
        <w:tc>
          <w:tcPr/>
          <w:p>
            <w:pPr>
              <w:pStyle w:val="Compact"/>
              <w:jc w:val="left"/>
            </w:pPr>
            <w:r>
              <w:t xml:space="preserve">Door County property appraiser</w:t>
            </w:r>
          </w:p>
        </w:tc>
        <w:tc>
          <w:tcPr/>
          <w:p>
            <w:pPr>
              <w:pStyle w:val="Compact"/>
              <w:jc w:val="left"/>
            </w:pPr>
            <w:r>
              <w:t xml:space="preserve">Not specified</w:t>
            </w:r>
          </w:p>
        </w:tc>
        <w:tc>
          <w:tcPr/>
          <w:p>
            <w:pPr>
              <w:pStyle w:val="Compact"/>
              <w:jc w:val="left"/>
            </w:pPr>
            <w:r>
              <w:t xml:space="preserve">Midwest Appraisal Associates (Oct. 15, 2024)</w:t>
            </w:r>
          </w:p>
        </w:tc>
        <w:tc>
          <w:tcPr/>
          <w:p>
            <w:pPr>
              <w:pStyle w:val="Compact"/>
              <w:jc w:val="left"/>
            </w:pPr>
            <w:r>
              <w:t xml:space="preserve">Pendleton Appraisal Group (per disclosure Line H-7)</w:t>
            </w:r>
          </w:p>
        </w:tc>
        <w:tc>
          <w:tcPr/>
          <w:p>
            <w:pPr>
              <w:pStyle w:val="Compact"/>
              <w:jc w:val="left"/>
            </w:pPr>
            <w:r>
              <w:rPr>
                <w:b/>
                <w:bCs/>
              </w:rPr>
              <w:t xml:space="preserve">Discrepancy.</w:t>
            </w:r>
            <w:r>
              <w:t xml:space="preserve"> </w:t>
            </w:r>
            <w:r>
              <w:t xml:space="preserve">Verify which firm appraised the Wisconsin property.</w:t>
            </w:r>
          </w:p>
        </w:tc>
      </w:tr>
      <w:tr>
        <w:tc>
          <w:tcPr/>
          <w:p>
            <w:pPr>
              <w:pStyle w:val="Compact"/>
              <w:jc w:val="left"/>
            </w:pPr>
            <w:r>
              <w:t xml:space="preserve">9</w:t>
            </w:r>
          </w:p>
        </w:tc>
        <w:tc>
          <w:tcPr/>
          <w:p>
            <w:pPr>
              <w:pStyle w:val="Compact"/>
              <w:jc w:val="left"/>
            </w:pPr>
            <w:r>
              <w:t xml:space="preserve">Wife’s 403(b) custodian</w:t>
            </w:r>
          </w:p>
        </w:tc>
        <w:tc>
          <w:tcPr/>
          <w:p>
            <w:pPr>
              <w:pStyle w:val="Compact"/>
              <w:jc w:val="left"/>
            </w:pPr>
            <w:r>
              <w:t xml:space="preserve">Not specified</w:t>
            </w:r>
          </w:p>
        </w:tc>
        <w:tc>
          <w:tcPr/>
          <w:p>
            <w:pPr>
              <w:pStyle w:val="Compact"/>
              <w:jc w:val="left"/>
            </w:pPr>
            <w:r>
              <w:t xml:space="preserve">TIAA-CREF</w:t>
            </w:r>
          </w:p>
        </w:tc>
        <w:tc>
          <w:tcPr/>
          <w:p>
            <w:pPr>
              <w:pStyle w:val="Compact"/>
              <w:jc w:val="left"/>
            </w:pPr>
            <w:r>
              <w:rPr>
                <w:b/>
                <w:bCs/>
              </w:rPr>
              <w:t xml:space="preserve">Northbridge Wealth Advisors (acct. 7842)</w:t>
            </w:r>
          </w:p>
        </w:tc>
        <w:tc>
          <w:tcPr/>
          <w:p>
            <w:pPr>
              <w:pStyle w:val="Compact"/>
              <w:jc w:val="left"/>
            </w:pPr>
            <w:r>
              <w:rPr>
                <w:b/>
                <w:bCs/>
              </w:rPr>
              <w:t xml:space="preserve">Redline is wrong per disclosure</w:t>
            </w:r>
            <w:r>
              <w:t xml:space="preserve"> </w:t>
            </w:r>
            <w:r>
              <w:t xml:space="preserve">(Line W-2).</w:t>
            </w:r>
          </w:p>
        </w:tc>
      </w:tr>
      <w:tr>
        <w:tc>
          <w:tcPr/>
          <w:p>
            <w:pPr>
              <w:pStyle w:val="Compact"/>
              <w:jc w:val="left"/>
            </w:pPr>
            <w:r>
              <w:t xml:space="preserve">10</w:t>
            </w:r>
          </w:p>
        </w:tc>
        <w:tc>
          <w:tcPr/>
          <w:p>
            <w:pPr>
              <w:pStyle w:val="Compact"/>
              <w:jc w:val="left"/>
            </w:pPr>
            <w:r>
              <w:t xml:space="preserve">403(b) / pension split</w:t>
            </w:r>
          </w:p>
        </w:tc>
        <w:tc>
          <w:tcPr/>
          <w:p>
            <w:pPr>
              <w:pStyle w:val="Compact"/>
              <w:jc w:val="left"/>
            </w:pPr>
            <w:r>
              <w:t xml:space="preserve">Combined $2,340,000</w:t>
            </w:r>
          </w:p>
        </w:tc>
        <w:tc>
          <w:tcPr/>
          <w:p>
            <w:pPr>
              <w:pStyle w:val="Compact"/>
              <w:jc w:val="left"/>
            </w:pPr>
            <w:r>
              <w:t xml:space="preserve">403(b) $1,440,000 + pension $900,000</w:t>
            </w:r>
          </w:p>
        </w:tc>
        <w:tc>
          <w:tcPr/>
          <w:p>
            <w:pPr>
              <w:pStyle w:val="Compact"/>
              <w:jc w:val="left"/>
            </w:pPr>
            <w:r>
              <w:t xml:space="preserve">403(b) $1,415,000 + pension $925,000</w:t>
            </w:r>
          </w:p>
        </w:tc>
        <w:tc>
          <w:tcPr/>
          <w:p>
            <w:pPr>
              <w:pStyle w:val="Compact"/>
              <w:jc w:val="left"/>
            </w:pPr>
            <w:r>
              <w:t xml:space="preserve">Totals match ($2,340,000);</w:t>
            </w:r>
            <w:r>
              <w:t xml:space="preserve"> </w:t>
            </w:r>
            <w:r>
              <w:rPr>
                <w:b/>
                <w:bCs/>
              </w:rPr>
              <w:t xml:space="preserve">component split differs.</w:t>
            </w:r>
            <w:r>
              <w:t xml:space="preserve"> </w:t>
            </w:r>
            <w:r>
              <w:t xml:space="preserve">Use disclosure figures.</w:t>
            </w:r>
          </w:p>
        </w:tc>
      </w:tr>
      <w:tr>
        <w:tc>
          <w:tcPr/>
          <w:p>
            <w:pPr>
              <w:pStyle w:val="Compact"/>
              <w:jc w:val="left"/>
            </w:pPr>
            <w:r>
              <w:t xml:space="preserve">11</w:t>
            </w:r>
          </w:p>
        </w:tc>
        <w:tc>
          <w:tcPr/>
          <w:p>
            <w:pPr>
              <w:pStyle w:val="Compact"/>
              <w:jc w:val="left"/>
            </w:pPr>
            <w:r>
              <w:t xml:space="preserve">Wife’s individual credit card balance</w:t>
            </w:r>
          </w:p>
        </w:tc>
        <w:tc>
          <w:tcPr/>
          <w:p>
            <w:pPr>
              <w:pStyle w:val="Compact"/>
              <w:jc w:val="left"/>
            </w:pPr>
            <w:r>
              <w:t xml:space="preserve">Not specified</w:t>
            </w:r>
          </w:p>
        </w:tc>
        <w:tc>
          <w:tcPr/>
          <w:p>
            <w:pPr>
              <w:pStyle w:val="Compact"/>
              <w:jc w:val="left"/>
            </w:pPr>
            <w:r>
              <w:t xml:space="preserve">$4,200 (Sched. A)</w:t>
            </w:r>
          </w:p>
        </w:tc>
        <w:tc>
          <w:tcPr/>
          <w:p>
            <w:pPr>
              <w:pStyle w:val="Compact"/>
              <w:jc w:val="left"/>
            </w:pPr>
            <w:r>
              <w:t xml:space="preserve">$3,200 (Line W-9)</w:t>
            </w:r>
          </w:p>
        </w:tc>
        <w:tc>
          <w:tcPr/>
          <w:p>
            <w:pPr>
              <w:pStyle w:val="Compact"/>
              <w:jc w:val="left"/>
            </w:pPr>
            <w:r>
              <w:t xml:space="preserve">Minor discrepancy; use disclosure figure.</w:t>
            </w:r>
          </w:p>
        </w:tc>
      </w:tr>
      <w:tr>
        <w:tc>
          <w:tcPr/>
          <w:p>
            <w:pPr>
              <w:pStyle w:val="Compact"/>
              <w:jc w:val="left"/>
            </w:pPr>
            <w:r>
              <w:t xml:space="preserve">12</w:t>
            </w:r>
          </w:p>
        </w:tc>
        <w:tc>
          <w:tcPr/>
          <w:p>
            <w:pPr>
              <w:pStyle w:val="Compact"/>
              <w:jc w:val="left"/>
            </w:pPr>
            <w:r>
              <w:t xml:space="preserve">Wife’s practice start date</w:t>
            </w:r>
          </w:p>
        </w:tc>
        <w:tc>
          <w:tcPr/>
          <w:p>
            <w:pPr>
              <w:pStyle w:val="Compact"/>
              <w:jc w:val="left"/>
            </w:pPr>
            <w:r>
              <w:t xml:space="preserve">“</w:t>
            </w:r>
            <w:r>
              <w:t xml:space="preserve">since completing fellowship</w:t>
            </w:r>
            <w:r>
              <w:t xml:space="preserve">”</w:t>
            </w:r>
          </w:p>
        </w:tc>
        <w:tc>
          <w:tcPr/>
          <w:p>
            <w:pPr>
              <w:pStyle w:val="Compact"/>
              <w:jc w:val="left"/>
            </w:pPr>
            <w:r>
              <w:t xml:space="preserve">“</w:t>
            </w:r>
            <w:r>
              <w:t xml:space="preserve">since 2011</w:t>
            </w:r>
            <w:r>
              <w:t xml:space="preserve">”</w:t>
            </w:r>
          </w:p>
        </w:tc>
        <w:tc>
          <w:tcPr/>
          <w:p>
            <w:pPr>
              <w:pStyle w:val="Compact"/>
              <w:jc w:val="left"/>
            </w:pPr>
            <w:r>
              <w:t xml:space="preserve">“</w:t>
            </w:r>
            <w:r>
              <w:t xml:space="preserve">over fifteen years</w:t>
            </w:r>
            <w:r>
              <w:t xml:space="preserve">”</w:t>
            </w:r>
            <w:r>
              <w:t xml:space="preserve"> </w:t>
            </w:r>
            <w:r>
              <w:t xml:space="preserve">(intake)</w:t>
            </w:r>
          </w:p>
        </w:tc>
        <w:tc>
          <w:tcPr/>
          <w:p>
            <w:pPr>
              <w:pStyle w:val="Compact"/>
              <w:jc w:val="left"/>
            </w:pPr>
            <w:r>
              <w:t xml:space="preserve">Minor.</w:t>
            </w:r>
            <w:r>
              <w:t xml:space="preserve"> </w:t>
            </w:r>
            <w:r>
              <w:t xml:space="preserve">“</w:t>
            </w:r>
            <w:r>
              <w:t xml:space="preserve">Since 2011</w:t>
            </w:r>
            <w:r>
              <w:t xml:space="preserve">”</w:t>
            </w:r>
            <w:r>
              <w:t xml:space="preserve"> </w:t>
            </w:r>
            <w:r>
              <w:t xml:space="preserve">≈ 13 years; reconcile with hospital records.</w:t>
            </w:r>
          </w:p>
        </w:tc>
      </w:tr>
      <w:tr>
        <w:tc>
          <w:tcPr/>
          <w:p>
            <w:pPr>
              <w:pStyle w:val="Compact"/>
              <w:jc w:val="left"/>
            </w:pPr>
            <w:r>
              <w:t xml:space="preserve">13</w:t>
            </w:r>
          </w:p>
        </w:tc>
        <w:tc>
          <w:tcPr/>
          <w:p>
            <w:pPr>
              <w:pStyle w:val="Compact"/>
              <w:jc w:val="left"/>
            </w:pPr>
            <w:r>
              <w:t xml:space="preserve">Wife’s practice distributions</w:t>
            </w:r>
          </w:p>
        </w:tc>
        <w:tc>
          <w:tcPr/>
          <w:p>
            <w:pPr>
              <w:pStyle w:val="Compact"/>
              <w:jc w:val="left"/>
            </w:pPr>
            <w:r>
              <w:t xml:space="preserve">Not disclosed as income</w:t>
            </w:r>
          </w:p>
        </w:tc>
        <w:tc>
          <w:tcPr/>
          <w:p>
            <w:pPr>
              <w:pStyle w:val="Compact"/>
              <w:jc w:val="left"/>
            </w:pPr>
            <w:r>
              <w:t xml:space="preserve">Not disclosed as income</w:t>
            </w:r>
          </w:p>
        </w:tc>
        <w:tc>
          <w:tcPr/>
          <w:p>
            <w:pPr>
              <w:pStyle w:val="Compact"/>
              <w:jc w:val="left"/>
            </w:pPr>
            <w:r>
              <w:t xml:space="preserve">~$145,000/yr avg. (Strand report)</w:t>
            </w:r>
          </w:p>
        </w:tc>
        <w:tc>
          <w:tcPr/>
          <w:p>
            <w:pPr>
              <w:pStyle w:val="Compact"/>
              <w:jc w:val="left"/>
            </w:pPr>
            <w:r>
              <w:rPr>
                <w:b/>
                <w:bCs/>
              </w:rPr>
              <w:t xml:space="preserve">Omission in both drafts.</w:t>
            </w:r>
            <w:r>
              <w:t xml:space="preserve"> </w:t>
            </w:r>
            <w:r>
              <w:t xml:space="preserve">Distributions are income and should be reflected in disclosure/income recitals.</w:t>
            </w:r>
          </w:p>
        </w:tc>
      </w:tr>
    </w:tbl>
    <w:p>
      <w:pPr>
        <w:pStyle w:val="BodyText"/>
      </w:pPr>
      <w:r>
        <w:rPr>
          <w:b/>
          <w:bCs/>
        </w:rPr>
        <w:t xml:space="preserve">Observations on the discrepancies.</w:t>
      </w:r>
      <w:r>
        <w:t xml:space="preserve"> </w:t>
      </w:r>
      <w:r>
        <w:t xml:space="preserve">The redline introduces several incorrect account custodians and account numbers (items 5, 6, 7, 9) that do not match the Linden &amp; Fosse disclosure. Notably, the redline assigns</w:t>
      </w:r>
      <w:r>
        <w:t xml:space="preserve"> </w:t>
      </w:r>
      <w:r>
        <w:t xml:space="preserve">“</w:t>
      </w:r>
      <w:r>
        <w:t xml:space="preserve">Hartleigh Investments</w:t>
      </w:r>
      <w:r>
        <w:t xml:space="preserve">”</w:t>
      </w:r>
      <w:r>
        <w:t xml:space="preserve"> </w:t>
      </w:r>
      <w:r>
        <w:t xml:space="preserve">— which our original draft (erroneously) used as the inheritance brokerage custodian — to the 401(k), and invents</w:t>
      </w:r>
      <w:r>
        <w:t xml:space="preserve"> </w:t>
      </w:r>
      <w:r>
        <w:t xml:space="preserve">“</w:t>
      </w:r>
      <w:r>
        <w:t xml:space="preserve">Tidewater Securities</w:t>
      </w:r>
      <w:r>
        <w:t xml:space="preserve">”</w:t>
      </w:r>
      <w:r>
        <w:t xml:space="preserve"> </w:t>
      </w:r>
      <w:r>
        <w:t xml:space="preserve">for the brokerage account. The authoritative records (Linden &amp; Fosse) show both the inheritance brokerage account and the 401(k) are held at Northbridge Wealth Advisors. These errors should be corrected to match the disclosure schedules; incorrect custodian/account references in an executed agreement create needless ambiguity and could complicate enforcement. The death-date and birth-date discrepancies (items 2, 4) should be verified against primary documents and corrected in whichever draft is wrong.</w:t>
      </w:r>
    </w:p>
    <w:p>
      <w:r>
        <w:pict>
          <v:rect style="width:0;height:1.5pt" o:hralign="center" o:hrstd="t" o:hr="t"/>
        </w:pict>
      </w:r>
    </w:p>
    <w:bookmarkEnd w:id="26"/>
    <w:bookmarkStart w:id="42" w:name="v.-detailed-change-analysis"/>
    <w:p>
      <w:pPr>
        <w:pStyle w:val="Heading2"/>
      </w:pPr>
      <w:r>
        <w:t xml:space="preserve">V. Detailed Change Analysis</w:t>
      </w:r>
    </w:p>
    <w:p>
      <w:pPr>
        <w:pStyle w:val="FirstParagraph"/>
      </w:pPr>
      <w:r>
        <w:t xml:space="preserve">The following analysis tracks each material change by topic, identifies the original and redlined positions, assesses the impact on the client (Wife), and gives a preliminary recommendation. Margin-comment mischaracterizations are noted where relevant.</w:t>
      </w:r>
    </w:p>
    <w:bookmarkStart w:id="27" w:name="a.-structure-and-organization"/>
    <w:p>
      <w:pPr>
        <w:pStyle w:val="Heading3"/>
      </w:pPr>
      <w:r>
        <w:t xml:space="preserve">A. Structure and Organization</w:t>
      </w:r>
    </w:p>
    <w:p>
      <w:pPr>
        <w:pStyle w:val="FirstParagraph"/>
      </w:pPr>
      <w:r>
        <w:t xml:space="preserve">The redline reorganizes the agreement substantially. Our draft opened with lettered Recitals (A–L) followed by a standalone Article 1 (Purpose and Intent). The redline folds the recitals into</w:t>
      </w:r>
      <w:r>
        <w:t xml:space="preserve"> </w:t>
      </w:r>
      <w:r>
        <w:rPr>
          <w:b/>
          <w:bCs/>
        </w:rPr>
        <w:t xml:space="preserve">Article I (Sections 1.1–1.6)</w:t>
      </w:r>
      <w:r>
        <w:t xml:space="preserve"> </w:t>
      </w:r>
      <w:r>
        <w:t xml:space="preserve">and renumbers all articles in Roman numerals (I–XVI) versus our Arabic numerals (1–15). It also reorders the Separate Property article to lead with Wife’s property (§ 4.1) and follow with Husband’s (§ 4.2), the reverse of our draft.</w:t>
      </w:r>
    </w:p>
    <w:p>
      <w:pPr>
        <w:pStyle w:val="BodyText"/>
      </w:pPr>
      <w:r>
        <w:rPr>
          <w:b/>
          <w:bCs/>
        </w:rPr>
        <w:t xml:space="preserve">Impact:</w:t>
      </w:r>
      <w:r>
        <w:t xml:space="preserve"> </w:t>
      </w:r>
      <w:r>
        <w:t xml:space="preserve">Largely cosmetic, but two substantive effects: (i) the explicit</w:t>
      </w:r>
      <w:r>
        <w:t xml:space="preserve"> </w:t>
      </w:r>
      <w:r>
        <w:t xml:space="preserve">“</w:t>
      </w:r>
      <w:r>
        <w:t xml:space="preserve">Binding Effect</w:t>
      </w:r>
      <w:r>
        <w:t xml:space="preserve">”</w:t>
      </w:r>
      <w:r>
        <w:t xml:space="preserve"> </w:t>
      </w:r>
      <w:r>
        <w:t xml:space="preserve">provision (our § 1.3, citing 750 ILCS 5/502) and the standalone</w:t>
      </w:r>
      <w:r>
        <w:t xml:space="preserve"> </w:t>
      </w:r>
      <w:r>
        <w:t xml:space="preserve">“</w:t>
      </w:r>
      <w:r>
        <w:t xml:space="preserve">Children’s Rights Unaffected</w:t>
      </w:r>
      <w:r>
        <w:t xml:space="preserve">”</w:t>
      </w:r>
      <w:r>
        <w:t xml:space="preserve"> </w:t>
      </w:r>
      <w:r>
        <w:t xml:space="preserve">article (our § 1.4) are absorbed into recital language with somewhat less force; and (ii) several general provisions from our Article 15 — including the</w:t>
      </w:r>
      <w:r>
        <w:t xml:space="preserve"> </w:t>
      </w:r>
      <w:r>
        <w:rPr>
          <w:b/>
          <w:bCs/>
        </w:rPr>
        <w:t xml:space="preserve">fiduciary-duty/good-faith acknowledgment (our § 15.9)</w:t>
      </w:r>
      <w:r>
        <w:t xml:space="preserve"> </w:t>
      </w:r>
      <w:r>
        <w:t xml:space="preserve">and the</w:t>
      </w:r>
      <w:r>
        <w:t xml:space="preserve"> </w:t>
      </w:r>
      <w:r>
        <w:rPr>
          <w:b/>
          <w:bCs/>
        </w:rPr>
        <w:t xml:space="preserve">“</w:t>
      </w:r>
      <w:r>
        <w:rPr>
          <w:b/>
          <w:bCs/>
        </w:rPr>
        <w:t xml:space="preserve">No Pending Proceedings</w:t>
      </w:r>
      <w:r>
        <w:rPr>
          <w:b/>
          <w:bCs/>
        </w:rPr>
        <w:t xml:space="preserve">”</w:t>
      </w:r>
      <w:r>
        <w:rPr>
          <w:b/>
          <w:bCs/>
        </w:rPr>
        <w:t xml:space="preserve"> </w:t>
      </w:r>
      <w:r>
        <w:rPr>
          <w:b/>
          <w:bCs/>
        </w:rPr>
        <w:t xml:space="preserve">representation (our § 15.10)</w:t>
      </w:r>
      <w:r>
        <w:t xml:space="preserve"> </w:t>
      </w:r>
      <w:r>
        <w:t xml:space="preserve">— are dropped or only partially captured by the redline’s Article III representations. The express acknowledgment of the spousal fiduciary relationship is meaningful for enforceability under Illinois’s heightened scrutiny of postnuptial agreements and should be restored.</w:t>
      </w:r>
    </w:p>
    <w:p>
      <w:pPr>
        <w:pStyle w:val="BodyText"/>
      </w:pPr>
      <w:r>
        <w:rPr>
          <w:b/>
          <w:bCs/>
        </w:rPr>
        <w:t xml:space="preserve">Recommendation:</w:t>
      </w:r>
      <w:r>
        <w:t xml:space="preserve"> </w:t>
      </w:r>
      <w:r>
        <w:t xml:space="preserve">Accept the reorganization in principle; restore the express fiduciary-duty/good-faith acknowledgment and the</w:t>
      </w:r>
      <w:r>
        <w:t xml:space="preserve"> </w:t>
      </w:r>
      <w:r>
        <w:t xml:space="preserve">“</w:t>
      </w:r>
      <w:r>
        <w:t xml:space="preserve">no pending proceedings</w:t>
      </w:r>
      <w:r>
        <w:t xml:space="preserve">”</w:t>
      </w:r>
      <w:r>
        <w:t xml:space="preserve"> </w:t>
      </w:r>
      <w:r>
        <w:t xml:space="preserve">representation.</w:t>
      </w:r>
    </w:p>
    <w:bookmarkEnd w:id="27"/>
    <w:bookmarkStart w:id="28" w:name="X8d7b32cccd72e2c7ecec2a816818fd74f5d824d"/>
    <w:p>
      <w:pPr>
        <w:pStyle w:val="Heading3"/>
      </w:pPr>
      <w:r>
        <w:t xml:space="preserve">B. Definitions (Article II) — The</w:t>
      </w:r>
      <w:r>
        <w:t xml:space="preserve"> </w:t>
      </w:r>
      <w:r>
        <w:t xml:space="preserve">“</w:t>
      </w:r>
      <w:r>
        <w:t xml:space="preserve">Earned Income</w:t>
      </w:r>
      <w:r>
        <w:t xml:space="preserve">”</w:t>
      </w:r>
      <w:r>
        <w:t xml:space="preserve"> </w:t>
      </w:r>
      <w:r>
        <w:t xml:space="preserve">Substitution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Income definition</w:t>
            </w:r>
          </w:p>
        </w:tc>
        <w:tc>
          <w:tcPr/>
          <w:p>
            <w:pPr>
              <w:pStyle w:val="Compact"/>
              <w:jc w:val="left"/>
            </w:pPr>
            <w:r>
              <w:rPr>
                <w:b/>
                <w:bCs/>
              </w:rPr>
              <w:t xml:space="preserve">“</w:t>
            </w:r>
            <w:r>
              <w:rPr>
                <w:b/>
                <w:bCs/>
              </w:rPr>
              <w:t xml:space="preserve">Gross Income</w:t>
            </w:r>
            <w:r>
              <w:rPr>
                <w:b/>
                <w:bCs/>
              </w:rPr>
              <w:t xml:space="preserve">”</w:t>
            </w:r>
            <w:r>
              <w:t xml:space="preserve"> </w:t>
            </w:r>
            <w:r>
              <w:t xml:space="preserve">— broad: includes base salary, bonuses, equity/RSUs, commissions, performance incentives, investment income, business/partnership distributions, royalties,</w:t>
            </w:r>
            <w:r>
              <w:t xml:space="preserve"> </w:t>
            </w:r>
            <w:r>
              <w:t xml:space="preserve">“</w:t>
            </w:r>
            <w:r>
              <w:t xml:space="preserve">any other form of compensation… from any source.</w:t>
            </w:r>
            <w:r>
              <w:t xml:space="preserve">”</w:t>
            </w:r>
          </w:p>
        </w:tc>
        <w:tc>
          <w:tcPr/>
          <w:p>
            <w:pPr>
              <w:pStyle w:val="Compact"/>
              <w:jc w:val="left"/>
            </w:pPr>
            <w:r>
              <w:rPr>
                <w:b/>
                <w:bCs/>
              </w:rPr>
              <w:t xml:space="preserve">“</w:t>
            </w:r>
            <w:r>
              <w:rPr>
                <w:b/>
                <w:bCs/>
              </w:rPr>
              <w:t xml:space="preserve">Earned Income</w:t>
            </w:r>
            <w:r>
              <w:rPr>
                <w:b/>
                <w:bCs/>
              </w:rPr>
              <w:t xml:space="preserve">”</w:t>
            </w:r>
            <w:r>
              <w:t xml:space="preserve"> </w:t>
            </w:r>
            <w:r>
              <w:t xml:space="preserve">— narrow: base salary, regular wages, standard employment compensation, regular draws/guaranteed payments.</w:t>
            </w:r>
            <w:r>
              <w:t xml:space="preserve"> </w:t>
            </w:r>
            <w:r>
              <w:rPr>
                <w:b/>
                <w:bCs/>
              </w:rPr>
              <w:t xml:space="preserve">Excludes</w:t>
            </w:r>
            <w:r>
              <w:t xml:space="preserve"> </w:t>
            </w:r>
            <w:r>
              <w:t xml:space="preserve">discretionary bonuses, commissions, equity compensation, RSUs, stock options, and</w:t>
            </w:r>
            <w:r>
              <w:t xml:space="preserve"> </w:t>
            </w:r>
            <w:r>
              <w:t xml:space="preserve">“</w:t>
            </w:r>
            <w:r>
              <w:t xml:space="preserve">variable or contingent compensation.</w:t>
            </w:r>
            <w:r>
              <w:t xml:space="preserve">”</w:t>
            </w:r>
          </w:p>
        </w:tc>
      </w:tr>
      <w:tr>
        <w:tc>
          <w:tcPr/>
          <w:p>
            <w:pPr>
              <w:pStyle w:val="Compact"/>
              <w:jc w:val="left"/>
            </w:pPr>
            <w:r>
              <w:t xml:space="preserve">New definitions added</w:t>
            </w:r>
          </w:p>
        </w:tc>
        <w:tc>
          <w:tcPr/>
          <w:p>
            <w:pPr>
              <w:pStyle w:val="Compact"/>
              <w:jc w:val="left"/>
            </w:pPr>
            <w:r>
              <w:t xml:space="preserve">—</w:t>
            </w:r>
          </w:p>
        </w:tc>
        <w:tc>
          <w:tcPr/>
          <w:p>
            <w:pPr>
              <w:pStyle w:val="Compact"/>
              <w:jc w:val="left"/>
            </w:pPr>
            <w:r>
              <w:t xml:space="preserve">“</w:t>
            </w:r>
            <w:r>
              <w:t xml:space="preserve">Earned Income,</w:t>
            </w:r>
            <w:r>
              <w:t xml:space="preserve">”</w:t>
            </w:r>
            <w:r>
              <w:t xml:space="preserve"> </w:t>
            </w:r>
            <w:r>
              <w:t xml:space="preserve">“</w:t>
            </w:r>
            <w:r>
              <w:t xml:space="preserve">Net Worth,</w:t>
            </w:r>
            <w:r>
              <w:t xml:space="preserve">”</w:t>
            </w:r>
            <w:r>
              <w:t xml:space="preserve"> </w:t>
            </w:r>
            <w:r>
              <w:t xml:space="preserve">“</w:t>
            </w:r>
            <w:r>
              <w:t xml:space="preserve">Children,</w:t>
            </w:r>
            <w:r>
              <w:t xml:space="preserve">”</w:t>
            </w:r>
            <w:r>
              <w:t xml:space="preserve"> </w:t>
            </w:r>
            <w:r>
              <w:t xml:space="preserve">“</w:t>
            </w:r>
            <w:r>
              <w:t xml:space="preserve">Identified Debt,</w:t>
            </w:r>
            <w:r>
              <w:t xml:space="preserve">”</w:t>
            </w:r>
            <w:r>
              <w:t xml:space="preserve"> </w:t>
            </w:r>
            <w:r>
              <w:t xml:space="preserve">“</w:t>
            </w:r>
            <w:r>
              <w:t xml:space="preserve">Schedules</w:t>
            </w:r>
            <w:r>
              <w:t xml:space="preserve">”</w:t>
            </w:r>
          </w:p>
        </w:tc>
      </w:tr>
      <w:tr>
        <w:tc>
          <w:tcPr/>
          <w:p>
            <w:pPr>
              <w:pStyle w:val="Compact"/>
              <w:jc w:val="left"/>
            </w:pPr>
            <w:r>
              <w:t xml:space="preserve">Definitions removed</w:t>
            </w:r>
          </w:p>
        </w:tc>
        <w:tc>
          <w:tcPr/>
          <w:p>
            <w:pPr>
              <w:pStyle w:val="Compact"/>
              <w:jc w:val="left"/>
            </w:pPr>
            <w:r>
              <w:t xml:space="preserve">“</w:t>
            </w:r>
            <w:r>
              <w:t xml:space="preserve">Gross Income,</w:t>
            </w:r>
            <w:r>
              <w:t xml:space="preserve">”</w:t>
            </w:r>
            <w:r>
              <w:t xml:space="preserve"> </w:t>
            </w:r>
            <w:r>
              <w:t xml:space="preserve">“</w:t>
            </w:r>
            <w:r>
              <w:t xml:space="preserve">Joint Investment Account,</w:t>
            </w:r>
            <w:r>
              <w:t xml:space="preserve">”</w:t>
            </w:r>
            <w:r>
              <w:t xml:space="preserve"> </w:t>
            </w:r>
            <w:r>
              <w:t xml:space="preserve">“</w:t>
            </w:r>
            <w:r>
              <w:t xml:space="preserve">Marital Residence,</w:t>
            </w:r>
            <w:r>
              <w:t xml:space="preserve">”</w:t>
            </w:r>
            <w:r>
              <w:t xml:space="preserve"> </w:t>
            </w:r>
            <w:r>
              <w:t xml:space="preserve">“</w:t>
            </w:r>
            <w:r>
              <w:t xml:space="preserve">Practice Interest,</w:t>
            </w:r>
            <w:r>
              <w:t xml:space="preserve">”</w:t>
            </w:r>
            <w:r>
              <w:t xml:space="preserve"> </w:t>
            </w:r>
            <w:r>
              <w:t xml:space="preserve">“</w:t>
            </w:r>
            <w:r>
              <w:t xml:space="preserve">RSUs,</w:t>
            </w:r>
            <w:r>
              <w:t xml:space="preserve">”</w:t>
            </w:r>
            <w:r>
              <w:t xml:space="preserve"> </w:t>
            </w:r>
            <w:r>
              <w:t xml:space="preserve">“</w:t>
            </w:r>
            <w:r>
              <w:t xml:space="preserve">Wife’s Premarital Savings</w:t>
            </w:r>
            <w:r>
              <w:t xml:space="preserve">”</w:t>
            </w:r>
          </w:p>
        </w:tc>
        <w:tc>
          <w:tcPr/>
          <w:p>
            <w:pPr>
              <w:pStyle w:val="Compact"/>
              <w:jc w:val="left"/>
            </w:pPr>
            <w:r>
              <w:t xml:space="preserve">—</w:t>
            </w:r>
          </w:p>
        </w:tc>
      </w:tr>
    </w:tbl>
    <w:p>
      <w:pPr>
        <w:pStyle w:val="BodyText"/>
      </w:pPr>
      <w:r>
        <w:rPr>
          <w:b/>
          <w:bCs/>
        </w:rPr>
        <w:t xml:space="preserve">Impact — High.</w:t>
      </w:r>
      <w:r>
        <w:t xml:space="preserve"> </w:t>
      </w:r>
      <w:r>
        <w:t xml:space="preserve">The substitution of</w:t>
      </w:r>
      <w:r>
        <w:t xml:space="preserve"> </w:t>
      </w:r>
      <w:r>
        <w:t xml:space="preserve">“</w:t>
      </w:r>
      <w:r>
        <w:t xml:space="preserve">Earned Income</w:t>
      </w:r>
      <w:r>
        <w:t xml:space="preserve">”</w:t>
      </w:r>
      <w:r>
        <w:t xml:space="preserve"> </w:t>
      </w:r>
      <w:r>
        <w:t xml:space="preserve">for</w:t>
      </w:r>
      <w:r>
        <w:t xml:space="preserve"> </w:t>
      </w:r>
      <w:r>
        <w:t xml:space="preserve">“</w:t>
      </w:r>
      <w:r>
        <w:t xml:space="preserve">Gross Income</w:t>
      </w:r>
      <w:r>
        <w:t xml:space="preserve">”</w:t>
      </w:r>
      <w:r>
        <w:t xml:space="preserve"> </w:t>
      </w:r>
      <w:r>
        <w:t xml:space="preserve">is the redline’s most consequential definitional change and is</w:t>
      </w:r>
      <w:r>
        <w:t xml:space="preserve"> </w:t>
      </w:r>
      <w:r>
        <w:rPr>
          <w:b/>
          <w:bCs/>
        </w:rPr>
        <w:t xml:space="preserve">not</w:t>
      </w:r>
      <w:r>
        <w:t xml:space="preserve"> </w:t>
      </w:r>
      <w:r>
        <w:t xml:space="preserve">a mere</w:t>
      </w:r>
      <w:r>
        <w:t xml:space="preserve"> </w:t>
      </w:r>
      <w:r>
        <w:t xml:space="preserve">“</w:t>
      </w:r>
      <w:r>
        <w:t xml:space="preserve">clarification,</w:t>
      </w:r>
      <w:r>
        <w:t xml:space="preserve">”</w:t>
      </w:r>
      <w:r>
        <w:t xml:space="preserve"> </w:t>
      </w:r>
      <w:r>
        <w:t xml:space="preserve">notwithstanding margin comment MC-02 (</w:t>
      </w:r>
      <w:r>
        <w:t xml:space="preserve">“</w:t>
      </w:r>
      <w:r>
        <w:t xml:space="preserve">New definition added for clarity… Standard usage</w:t>
      </w:r>
      <w:r>
        <w:t xml:space="preserve">”</w:t>
      </w:r>
      <w:r>
        <w:t xml:space="preserve">). The narrowing has two distinct effects:</w:t>
      </w:r>
    </w:p>
    <w:p>
      <w:pPr>
        <w:numPr>
          <w:ilvl w:val="0"/>
          <w:numId w:val="1002"/>
        </w:numPr>
      </w:pPr>
      <w:r>
        <w:rPr>
          <w:b/>
          <w:bCs/>
        </w:rPr>
        <w:t xml:space="preserve">Maintenance calculation base (§ 10.4).</w:t>
      </w:r>
      <w:r>
        <w:t xml:space="preserve"> </w:t>
      </w:r>
      <w:r>
        <w:t xml:space="preserve">Maintenance is recalculated using</w:t>
      </w:r>
      <w:r>
        <w:t xml:space="preserve"> </w:t>
      </w:r>
      <w:r>
        <w:t xml:space="preserve">“</w:t>
      </w:r>
      <w:r>
        <w:t xml:space="preserve">Earned Income</w:t>
      </w:r>
      <w:r>
        <w:t xml:space="preserve">”</w:t>
      </w:r>
      <w:r>
        <w:t xml:space="preserve"> </w:t>
      </w:r>
      <w:r>
        <w:t xml:space="preserve">only. Because Husband’s $90,000 bonus is</w:t>
      </w:r>
      <w:r>
        <w:t xml:space="preserve"> </w:t>
      </w:r>
      <w:r>
        <w:t xml:space="preserve">“</w:t>
      </w:r>
      <w:r>
        <w:t xml:space="preserve">discretionary and variable,</w:t>
      </w:r>
      <w:r>
        <w:t xml:space="preserve">”</w:t>
      </w:r>
      <w:r>
        <w:t xml:space="preserve"> </w:t>
      </w:r>
      <w:r>
        <w:t xml:space="preserve">it is excluded from his income for maintenance purposes, which</w:t>
      </w:r>
      <w:r>
        <w:t xml:space="preserve"> </w:t>
      </w:r>
      <w:r>
        <w:rPr>
          <w:i/>
          <w:iCs/>
        </w:rPr>
        <w:t xml:space="preserve">lowers</w:t>
      </w:r>
      <w:r>
        <w:t xml:space="preserve"> </w:t>
      </w:r>
      <w:r>
        <w:t xml:space="preserve">the recipient-spouse’s income and, under the 750 ILCS 5/504(b-1) formula (30% of payor’s income minus 20% of recipient’s income, capped at 40% of combined), would</w:t>
      </w:r>
      <w:r>
        <w:t xml:space="preserve"> </w:t>
      </w:r>
      <w:r>
        <w:rPr>
          <w:i/>
          <w:iCs/>
        </w:rPr>
        <w:t xml:space="preserve">increase</w:t>
      </w:r>
      <w:r>
        <w:t xml:space="preserve"> </w:t>
      </w:r>
      <w:r>
        <w:t xml:space="preserve">the calculated maintenance award</w:t>
      </w:r>
      <w:r>
        <w:t xml:space="preserve"> </w:t>
      </w:r>
      <w:r>
        <w:rPr>
          <w:i/>
          <w:iCs/>
        </w:rPr>
        <w:t xml:space="preserve">if the automatic waiver (§ 10.3) were ever found unenforceable</w:t>
      </w:r>
      <w:r>
        <w:t xml:space="preserve">. In other words, the narrow definition is a latent trap that backfires on Wife in the very scenario in which maintenance is actually payable.</w:t>
      </w:r>
    </w:p>
    <w:p>
      <w:pPr>
        <w:numPr>
          <w:ilvl w:val="0"/>
          <w:numId w:val="1002"/>
        </w:numPr>
      </w:pPr>
      <w:r>
        <w:rPr>
          <w:b/>
          <w:bCs/>
        </w:rPr>
        <w:t xml:space="preserve">Removal of defined terms for key assets.</w:t>
      </w:r>
      <w:r>
        <w:t xml:space="preserve"> </w:t>
      </w:r>
      <w:r>
        <w:t xml:space="preserve">Dropping the defined terms</w:t>
      </w:r>
      <w:r>
        <w:t xml:space="preserve"> </w:t>
      </w:r>
      <w:r>
        <w:t xml:space="preserve">“</w:t>
      </w:r>
      <w:r>
        <w:t xml:space="preserve">Joint Investment Account,</w:t>
      </w:r>
      <w:r>
        <w:t xml:space="preserve">”</w:t>
      </w:r>
      <w:r>
        <w:t xml:space="preserve"> </w:t>
      </w:r>
      <w:r>
        <w:t xml:space="preserve">“</w:t>
      </w:r>
      <w:r>
        <w:t xml:space="preserve">Wife’s Premarital Savings,</w:t>
      </w:r>
      <w:r>
        <w:t xml:space="preserve">”</w:t>
      </w:r>
      <w:r>
        <w:t xml:space="preserve"> </w:t>
      </w:r>
      <w:r>
        <w:t xml:space="preserve">“</w:t>
      </w:r>
      <w:r>
        <w:t xml:space="preserve">Practice Interest,</w:t>
      </w:r>
      <w:r>
        <w:t xml:space="preserve">”</w:t>
      </w:r>
      <w:r>
        <w:t xml:space="preserve"> </w:t>
      </w:r>
      <w:r>
        <w:t xml:space="preserve">“</w:t>
      </w:r>
      <w:r>
        <w:t xml:space="preserve">RSUs,</w:t>
      </w:r>
      <w:r>
        <w:t xml:space="preserve">”</w:t>
      </w:r>
      <w:r>
        <w:t xml:space="preserve"> </w:t>
      </w:r>
      <w:r>
        <w:t xml:space="preserve">and</w:t>
      </w:r>
      <w:r>
        <w:t xml:space="preserve"> </w:t>
      </w:r>
      <w:r>
        <w:t xml:space="preserve">“</w:t>
      </w:r>
      <w:r>
        <w:t xml:space="preserve">Marital Residence</w:t>
      </w:r>
      <w:r>
        <w:t xml:space="preserve">”</w:t>
      </w:r>
      <w:r>
        <w:t xml:space="preserve"> </w:t>
      </w:r>
      <w:r>
        <w:t xml:space="preserve">reduces precision and makes cross-referencing harder — and, in the case of</w:t>
      </w:r>
      <w:r>
        <w:t xml:space="preserve"> </w:t>
      </w:r>
      <w:r>
        <w:t xml:space="preserve">“</w:t>
      </w:r>
      <w:r>
        <w:t xml:space="preserve">Wife’s Premarital Savings,</w:t>
      </w:r>
      <w:r>
        <w:t xml:space="preserve">”</w:t>
      </w:r>
      <w:r>
        <w:t xml:space="preserve"> </w:t>
      </w:r>
      <w:r>
        <w:t xml:space="preserve">supports the deletion of the reimbursement right by removing the conceptual hook for it.</w:t>
      </w:r>
    </w:p>
    <w:p>
      <w:pPr>
        <w:pStyle w:val="FirstParagraph"/>
      </w:pPr>
      <w:r>
        <w:rPr>
          <w:b/>
          <w:bCs/>
        </w:rPr>
        <w:t xml:space="preserve">Recommendation:</w:t>
      </w:r>
      <w:r>
        <w:t xml:space="preserve"> </w:t>
      </w:r>
      <w:r>
        <w:rPr>
          <w:b/>
          <w:bCs/>
        </w:rPr>
        <w:t xml:space="preserve">Reject the</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 for maintenance purposes; restore</w:t>
      </w:r>
      <w:r>
        <w:rPr>
          <w:b/>
          <w:bCs/>
        </w:rPr>
        <w:t xml:space="preserve"> </w:t>
      </w:r>
      <w:r>
        <w:rPr>
          <w:b/>
          <w:bCs/>
        </w:rPr>
        <w:t xml:space="preserve">“</w:t>
      </w:r>
      <w:r>
        <w:rPr>
          <w:b/>
          <w:bCs/>
        </w:rPr>
        <w:t xml:space="preserve">Gross Income.</w:t>
      </w:r>
      <w:r>
        <w:rPr>
          <w:b/>
          <w:bCs/>
        </w:rPr>
        <w:t xml:space="preserve">”</w:t>
      </w:r>
      <w:r>
        <w:t xml:space="preserve"> </w:t>
      </w:r>
      <w:r>
        <w:t xml:space="preserve">If the automatic maintenance waiver is retained (see § I below), the income base matters only in the fallback scenario where the waiver is struck down — and in that scenario Gross Income (which counts Husband’s bonus and investment income) produces a</w:t>
      </w:r>
      <w:r>
        <w:t xml:space="preserve"> </w:t>
      </w:r>
      <w:r>
        <w:rPr>
          <w:i/>
          <w:iCs/>
        </w:rPr>
        <w:t xml:space="preserve">lower</w:t>
      </w:r>
      <w:r>
        <w:t xml:space="preserve"> </w:t>
      </w:r>
      <w:r>
        <w:t xml:space="preserve">maintenance award for Husband than Earned Income does, because the 40%-of-combined cap binds harder when the recipient’s income is higher. Gross Income is therefore the client-protective choice. Restore the defined terms for the Joint Investment Account, Wife’s Premarital Savings, Practice Interest, RSUs, and Marital Residence.</w:t>
      </w:r>
    </w:p>
    <w:bookmarkEnd w:id="28"/>
    <w:bookmarkStart w:id="29" w:name="X97e04c0cfb216f3214ea047917552fffd19e275"/>
    <w:p>
      <w:pPr>
        <w:pStyle w:val="Heading3"/>
      </w:pPr>
      <w:r>
        <w:t xml:space="preserve">C. Separate Property and Commingling/Transmutation (Article IV)</w:t>
      </w:r>
    </w:p>
    <w:p>
      <w:pPr>
        <w:pStyle w:val="FirstParagraph"/>
      </w:pPr>
      <w:r>
        <w:rPr>
          <w:b/>
          <w:bCs/>
        </w:rPr>
        <w:t xml:space="preserve">1. Reordering.</w:t>
      </w:r>
      <w:r>
        <w:t xml:space="preserve"> </w:t>
      </w:r>
      <w:r>
        <w:t xml:space="preserve">The redline leads with Wife’s separate property (§ 4.1) and follows with Husband’s (§ 4.2). Cosmetic.</w:t>
      </w:r>
    </w:p>
    <w:p>
      <w:pPr>
        <w:pStyle w:val="BodyText"/>
      </w:pPr>
      <w:r>
        <w:rPr>
          <w:b/>
          <w:bCs/>
        </w:rPr>
        <w:t xml:space="preserve">2. The commingling/transmutation reversal (§ 4.3) — Adverse to Wife.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4.3(b))</w:t>
            </w:r>
          </w:p>
        </w:tc>
        <w:tc>
          <w:tcPr/>
          <w:p>
            <w:pPr>
              <w:pStyle w:val="Compact"/>
              <w:jc w:val="left"/>
            </w:pPr>
            <w:r>
              <w:t xml:space="preserve">Redline (§ 4.3(c))</w:t>
            </w:r>
          </w:p>
        </w:tc>
      </w:tr>
      <w:tr>
        <w:tc>
          <w:tcPr/>
          <w:p>
            <w:pPr>
              <w:pStyle w:val="Compact"/>
              <w:jc w:val="left"/>
            </w:pPr>
            <w:r>
              <w:t xml:space="preserve">Rule for separate property used for joint benefit</w:t>
            </w:r>
          </w:p>
        </w:tc>
        <w:tc>
          <w:tcPr/>
          <w:p>
            <w:pPr>
              <w:pStyle w:val="Compact"/>
              <w:jc w:val="left"/>
            </w:pPr>
            <w:r>
              <w:t xml:space="preserve">Deemed a</w:t>
            </w:r>
            <w:r>
              <w:t xml:space="preserve"> </w:t>
            </w:r>
            <w:r>
              <w:rPr>
                <w:b/>
                <w:bCs/>
              </w:rPr>
              <w:t xml:space="preserve">gift to the marriage</w:t>
            </w:r>
            <w:r>
              <w:t xml:space="preserve"> </w:t>
            </w:r>
            <w:r>
              <w:t xml:space="preserve">→ treated as</w:t>
            </w:r>
            <w:r>
              <w:t xml:space="preserve"> </w:t>
            </w:r>
            <w:r>
              <w:rPr>
                <w:b/>
                <w:bCs/>
              </w:rPr>
              <w:t xml:space="preserve">Marital Property</w:t>
            </w:r>
            <w:r>
              <w:t xml:space="preserve">. Rebuttable presumption of transmutation; no need to show specific intent to gift.</w:t>
            </w:r>
          </w:p>
        </w:tc>
        <w:tc>
          <w:tcPr/>
          <w:p>
            <w:pPr>
              <w:pStyle w:val="Compact"/>
              <w:jc w:val="left"/>
            </w:pPr>
            <w:r>
              <w:rPr>
                <w:b/>
                <w:bCs/>
              </w:rPr>
              <w:t xml:space="preserve">Not</w:t>
            </w:r>
            <w:r>
              <w:t xml:space="preserve"> </w:t>
            </w:r>
            <w:r>
              <w:t xml:space="preserve">deemed commingled;</w:t>
            </w:r>
            <w:r>
              <w:t xml:space="preserve"> </w:t>
            </w:r>
            <w:r>
              <w:rPr>
                <w:b/>
                <w:bCs/>
              </w:rPr>
              <w:t xml:space="preserve">retains its Separate Property character</w:t>
            </w:r>
            <w:r>
              <w:t xml:space="preserve">; contributing party retains a</w:t>
            </w:r>
            <w:r>
              <w:t xml:space="preserve"> </w:t>
            </w:r>
            <w:r>
              <w:rPr>
                <w:b/>
                <w:bCs/>
              </w:rPr>
              <w:t xml:space="preserve">reimbursement claim</w:t>
            </w:r>
            <w:r>
              <w:t xml:space="preserve"> </w:t>
            </w:r>
            <w:r>
              <w:t xml:space="preserve">against the marital estate.</w:t>
            </w:r>
          </w:p>
        </w:tc>
      </w:tr>
    </w:tbl>
    <w:p>
      <w:pPr>
        <w:pStyle w:val="BodyText"/>
      </w:pPr>
      <w:r>
        <w:rPr>
          <w:b/>
          <w:bCs/>
        </w:rPr>
        <w:t xml:space="preserve">Impact — High.</w:t>
      </w:r>
      <w:r>
        <w:t xml:space="preserve"> </w:t>
      </w:r>
      <w:r>
        <w:t xml:space="preserve">This reversal primarily protects</w:t>
      </w:r>
      <w:r>
        <w:t xml:space="preserve"> </w:t>
      </w:r>
      <w:r>
        <w:rPr>
          <w:b/>
          <w:bCs/>
        </w:rPr>
        <w:t xml:space="preserve">Husband’s $3.8 million inheritance</w:t>
      </w:r>
      <w:r>
        <w:t xml:space="preserve"> </w:t>
      </w:r>
      <w:r>
        <w:t xml:space="preserve">from being transmuted into marital property if he deploys it for joint benefit (mortgage paydown, home improvements, family expenses, tuition) — the precise scenario the client flagged as a concern in the intake memo. Under our draft, such use would carry a presumption of transmutation, giving Wife a meaningful claim to a share of the inheritance (or at least leverage). Under the redline, the inheritance remains Husband’s separate property no matter how it is used for the family, subject only to a reimbursement claim (the value of which is uncertain and which Husband controls). Margin comment MC-04 frames this as protecting</w:t>
      </w:r>
      <w:r>
        <w:t xml:space="preserve"> </w:t>
      </w:r>
      <w:r>
        <w:t xml:space="preserve">“</w:t>
      </w:r>
      <w:r>
        <w:t xml:space="preserve">both parties’ separate property from inadvertent commingling,</w:t>
      </w:r>
      <w:r>
        <w:t xml:space="preserve">”</w:t>
      </w:r>
      <w:r>
        <w:t xml:space="preserve"> </w:t>
      </w:r>
      <w:r>
        <w:t xml:space="preserve">but given that Wife’s premarital savings are already commingled and the Practice Interest is governed separately, the practical beneficiary is Husband.</w:t>
      </w:r>
    </w:p>
    <w:p>
      <w:pPr>
        <w:pStyle w:val="BodyText"/>
      </w:pPr>
      <w:r>
        <w:rPr>
          <w:b/>
          <w:bCs/>
        </w:rPr>
        <w:t xml:space="preserve">Recommendation:</w:t>
      </w:r>
      <w:r>
        <w:t xml:space="preserve"> </w:t>
      </w:r>
      <w:r>
        <w:rPr>
          <w:b/>
          <w:bCs/>
        </w:rPr>
        <w:t xml:space="preserve">Reject § 4.3(c); restore the transmutation presumption of § 4.3(b)</w:t>
      </w:r>
      <w:r>
        <w:t xml:space="preserve"> </w:t>
      </w:r>
      <w:r>
        <w:t xml:space="preserve">(or negotiate a middle position that preserves transmutation for substantial, non-incidental deployments of separate property for joint benefit while protecting trivial uses). This is a high-priority item.</w:t>
      </w:r>
    </w:p>
    <w:p>
      <w:pPr>
        <w:pStyle w:val="BodyText"/>
      </w:pPr>
      <w:r>
        <w:rPr>
          <w:b/>
          <w:bCs/>
        </w:rPr>
        <w:t xml:space="preserve">3. Commingling general rule (§ 4.3(b) redline).</w:t>
      </w:r>
      <w:r>
        <w:t xml:space="preserve"> </w:t>
      </w:r>
      <w:r>
        <w:t xml:space="preserve">The redline softens the commingling rule to</w:t>
      </w:r>
      <w:r>
        <w:t xml:space="preserve"> </w:t>
      </w:r>
      <w:r>
        <w:t xml:space="preserve">“</w:t>
      </w:r>
      <w:r>
        <w:t xml:space="preserve">may, depending on the circumstances, result in reclassification… provided that tracing… remains possible</w:t>
      </w:r>
      <w:r>
        <w:t xml:space="preserve">”</w:t>
      </w:r>
      <w:r>
        <w:t xml:space="preserve"> </w:t>
      </w:r>
      <w:r>
        <w:t xml:space="preserve">(MC-03:</w:t>
      </w:r>
      <w:r>
        <w:t xml:space="preserve"> </w:t>
      </w:r>
      <w:r>
        <w:t xml:space="preserve">“</w:t>
      </w:r>
      <w:r>
        <w:t xml:space="preserve">Original language was overbroad. Revised to align with Illinois tracing principles under 750 ILCS 5/503(c)</w:t>
      </w:r>
      <w:r>
        <w:t xml:space="preserve">”</w:t>
      </w:r>
      <w:r>
        <w:t xml:space="preserve">). This is a reasonable alignment with Illinois tracing doctrine and is acceptable in isolation, but it works in tandem with the transmutation reversal above to weaken Wife’s position.</w:t>
      </w:r>
    </w:p>
    <w:bookmarkEnd w:id="29"/>
    <w:bookmarkStart w:id="30" w:name="X11e216df91a83e73ba65b71503cf7f08c54b744"/>
    <w:p>
      <w:pPr>
        <w:pStyle w:val="Heading3"/>
      </w:pPr>
      <w:r>
        <w:t xml:space="preserve">D. Marital Property and the Premarital Savings Reimbursement (Article V) — CRITICAL</w:t>
      </w:r>
    </w:p>
    <w:p>
      <w:pPr>
        <w:pStyle w:val="FirstParagraph"/>
      </w:pPr>
      <w:r>
        <w:rPr>
          <w:b/>
          <w:bCs/>
        </w:rPr>
        <w:t xml:space="preserve">This is the most important section of the entire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5.2)</w:t>
            </w:r>
          </w:p>
        </w:tc>
        <w:tc>
          <w:tcPr/>
          <w:p>
            <w:pPr>
              <w:pStyle w:val="Compact"/>
              <w:jc w:val="left"/>
            </w:pPr>
            <w:r>
              <w:t xml:space="preserve">Redline</w:t>
            </w:r>
          </w:p>
        </w:tc>
      </w:tr>
      <w:tr>
        <w:tc>
          <w:tcPr/>
          <w:p>
            <w:pPr>
              <w:pStyle w:val="Compact"/>
              <w:jc w:val="left"/>
            </w:pPr>
            <w:r>
              <w:t xml:space="preserve">Wife’s premarital-savings reimbursement</w:t>
            </w:r>
          </w:p>
        </w:tc>
        <w:tc>
          <w:tcPr/>
          <w:p>
            <w:pPr>
              <w:pStyle w:val="Compact"/>
              <w:jc w:val="left"/>
            </w:pPr>
            <w:r>
              <w:rPr>
                <w:b/>
                <w:bCs/>
              </w:rPr>
              <w:t xml:space="preserve">First-priority reimbursement claim of $1,200,000</w:t>
            </w:r>
            <w:r>
              <w:t xml:space="preserve"> </w:t>
            </w:r>
            <w:r>
              <w:t xml:space="preserve">against the Joint Investment Account, satisfied</w:t>
            </w:r>
            <w:r>
              <w:t xml:space="preserve"> </w:t>
            </w:r>
            <w:r>
              <w:rPr>
                <w:i/>
                <w:iCs/>
              </w:rPr>
              <w:t xml:space="preserve">before</w:t>
            </w:r>
            <w:r>
              <w:t xml:space="preserve"> </w:t>
            </w:r>
            <w:r>
              <w:t xml:space="preserve">equal division of the remaining balance. After reimbursement, the remaining ~$670,000 (appreciation) divided 50/50.</w:t>
            </w:r>
          </w:p>
        </w:tc>
        <w:tc>
          <w:tcPr/>
          <w:p>
            <w:pPr>
              <w:pStyle w:val="Compact"/>
              <w:jc w:val="left"/>
            </w:pPr>
            <w:r>
              <w:rPr>
                <w:b/>
                <w:bCs/>
              </w:rPr>
              <w:t xml:space="preserve">Section 5.2 deleted in its entirety.</w:t>
            </w:r>
            <w:r>
              <w:t xml:space="preserve"> </w:t>
            </w:r>
            <w:r>
              <w:t xml:space="preserve">Margin comment MC-05:</w:t>
            </w:r>
            <w:r>
              <w:t xml:space="preserve"> </w:t>
            </w:r>
            <w:r>
              <w:t xml:space="preserve">“</w:t>
            </w:r>
            <w:r>
              <w:t xml:space="preserve">Section deleted — duplicative of Section 5.1 general property division provisions.</w:t>
            </w:r>
            <w:r>
              <w:t xml:space="preserve">”</w:t>
            </w:r>
          </w:p>
        </w:tc>
      </w:tr>
    </w:tbl>
    <w:p>
      <w:pPr>
        <w:pStyle w:val="BodyText"/>
      </w:pPr>
      <w:r>
        <w:rPr>
          <w:b/>
          <w:bCs/>
        </w:rPr>
        <w:t xml:space="preserve">Impact — Critical / Non-negotiable.</w:t>
      </w:r>
      <w:r>
        <w:t xml:space="preserve"> </w:t>
      </w:r>
      <w:r>
        <w:t xml:space="preserve">The deletion is the redline’s most damaging change and strikes at the heart of the client’s primary objective. The client stated in the intake memo that protecting the $1,200,000 premarital contribution is her</w:t>
      </w:r>
      <w:r>
        <w:t xml:space="preserve"> </w:t>
      </w:r>
      <w:r>
        <w:t xml:space="preserve">“</w:t>
      </w:r>
      <w:r>
        <w:t xml:space="preserve">single most important financial objective,</w:t>
      </w:r>
      <w:r>
        <w:t xml:space="preserve">”</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she is pursuing the agreement. She specifically requested</w:t>
      </w:r>
      <w:r>
        <w:t xml:space="preserve"> </w:t>
      </w:r>
      <w:r>
        <w:t xml:space="preserve">“</w:t>
      </w:r>
      <w:r>
        <w:t xml:space="preserve">a first-dollar reimbursement mechanism.</w:t>
      </w:r>
      <w:r>
        <w:t xml:space="preserve">”</w:t>
      </w:r>
    </w:p>
    <w:p>
      <w:pPr>
        <w:pStyle w:val="BodyText"/>
      </w:pPr>
      <w:r>
        <w:t xml:space="preserve">The margin comment’s assertion that the reimbursement right is</w:t>
      </w:r>
      <w:r>
        <w:t xml:space="preserve"> </w:t>
      </w:r>
      <w:r>
        <w:t xml:space="preserve">“</w:t>
      </w:r>
      <w:r>
        <w:t xml:space="preserve">duplicative</w:t>
      </w:r>
      <w:r>
        <w:t xml:space="preserve">”</w:t>
      </w:r>
      <w:r>
        <w:t xml:space="preserve"> </w:t>
      </w:r>
      <w:r>
        <w:t xml:space="preserve">of § 5.1’s general division provision is</w:t>
      </w:r>
      <w:r>
        <w:t xml:space="preserve"> </w:t>
      </w:r>
      <w:r>
        <w:rPr>
          <w:b/>
          <w:bCs/>
        </w:rPr>
        <w:t xml:space="preserve">false.</w:t>
      </w:r>
      <w:r>
        <w:t xml:space="preserve"> </w:t>
      </w:r>
      <w:r>
        <w:t xml:space="preserve">Section 5.1 (as redlined) provides for an</w:t>
      </w:r>
      <w:r>
        <w:t xml:space="preserve"> </w:t>
      </w:r>
      <w:r>
        <w:rPr>
          <w:i/>
          <w:iCs/>
        </w:rPr>
        <w:t xml:space="preserve">equal</w:t>
      </w:r>
      <w:r>
        <w:t xml:space="preserve"> </w:t>
      </w:r>
      <w:r>
        <w:t xml:space="preserve">(50/50) division of marital property. Without the first-priority reimbursement, the entire $1,870,000 Joint Investment Account is divided 50/50:</w:t>
      </w:r>
    </w:p>
    <w:p>
      <w:pPr>
        <w:pStyle w:val="Compact"/>
        <w:numPr>
          <w:ilvl w:val="0"/>
          <w:numId w:val="1003"/>
        </w:numPr>
      </w:pPr>
      <w:r>
        <w:rPr>
          <w:b/>
          <w:bCs/>
        </w:rPr>
        <w:t xml:space="preserve">Under our draft:</w:t>
      </w:r>
      <w:r>
        <w:t xml:space="preserve"> </w:t>
      </w:r>
      <w:r>
        <w:t xml:space="preserve">Wife receives $1,200,000 (reimbursement) + $335,000 (50% of remaining $670,000) =</w:t>
      </w:r>
      <w:r>
        <w:t xml:space="preserve"> </w:t>
      </w:r>
      <w:r>
        <w:rPr>
          <w:b/>
          <w:bCs/>
        </w:rPr>
        <w:t xml:space="preserve">$1,535,000</w:t>
      </w:r>
      <w:r>
        <w:t xml:space="preserve">; Husband receives $335,000.</w:t>
      </w:r>
    </w:p>
    <w:p>
      <w:pPr>
        <w:pStyle w:val="Compact"/>
        <w:numPr>
          <w:ilvl w:val="0"/>
          <w:numId w:val="1003"/>
        </w:numPr>
      </w:pPr>
      <w:r>
        <w:rPr>
          <w:b/>
          <w:bCs/>
        </w:rPr>
        <w:t xml:space="preserve">Under the redline:</w:t>
      </w:r>
      <w:r>
        <w:t xml:space="preserve"> </w:t>
      </w:r>
      <w:r>
        <w:t xml:space="preserve">Wife receives 50% × $1,870,000 =</w:t>
      </w:r>
      <w:r>
        <w:t xml:space="preserve"> </w:t>
      </w:r>
      <w:r>
        <w:rPr>
          <w:b/>
          <w:bCs/>
        </w:rPr>
        <w:t xml:space="preserve">$935,000</w:t>
      </w:r>
      <w:r>
        <w:t xml:space="preserve">; Husband receives $935,000.</w:t>
      </w:r>
    </w:p>
    <w:p>
      <w:pPr>
        <w:pStyle w:val="Compact"/>
        <w:numPr>
          <w:ilvl w:val="0"/>
          <w:numId w:val="1003"/>
        </w:numPr>
      </w:pPr>
      <w:r>
        <w:rPr>
          <w:b/>
          <w:bCs/>
        </w:rPr>
        <w:t xml:space="preserve">Net loss to Wife: $600,000</w:t>
      </w:r>
      <w:r>
        <w:t xml:space="preserve"> </w:t>
      </w:r>
      <w:r>
        <w:t xml:space="preserve">(a corresponding $600,000 gain to Husband).</w:t>
      </w:r>
    </w:p>
    <w:p>
      <w:pPr>
        <w:pStyle w:val="FirstParagraph"/>
      </w:pPr>
      <w:r>
        <w:t xml:space="preserve">The Linden &amp; Fosse disclosure (Lines W-5 and J-2) documents the tracing in detail: Wife deposited $1,200,000 in premarital savings from her individual Northbridge account (acct.</w:t>
      </w:r>
      <w:r>
        <w:t xml:space="preserve"> </w:t>
      </w:r>
      <w:r>
        <w:rPr>
          <w:i/>
          <w:iCs/>
        </w:rPr>
        <w:t xml:space="preserve">0184, closed 2014) into the joint account (acct.</w:t>
      </w:r>
      <w:r>
        <w:rPr>
          <w:i/>
          <w:iCs/>
        </w:rPr>
        <w:t xml:space="preserve"> </w:t>
      </w:r>
      <w:r>
        <w:t xml:space="preserve">3291); wire transfer records and account-opening documents are on file. The tracing is well-supported and the contractual reimbursement right is enforceable under Illinois law as memorialized in our draft.</w:t>
      </w:r>
    </w:p>
    <w:p>
      <w:pPr>
        <w:pStyle w:val="BodyText"/>
      </w:pPr>
      <w:r>
        <w:rPr>
          <w:b/>
          <w:bCs/>
        </w:rPr>
        <w:t xml:space="preserve">Recommendation:</w:t>
      </w:r>
      <w:r>
        <w:t xml:space="preserve"> </w:t>
      </w:r>
      <w:r>
        <w:rPr>
          <w:b/>
          <w:bCs/>
        </w:rPr>
        <w:t xml:space="preserve">Non-negotiable. Restore Section 5.2 (first-priority $1,200,000 reimbursement) in full.</w:t>
      </w:r>
      <w:r>
        <w:t xml:space="preserve"> </w:t>
      </w:r>
      <w:r>
        <w:t xml:space="preserve">This is a deal-breaker. If Husband’s counsel will not restore it, we should advise the client that the agreement does not meet her core objective and recommend against execution. We should be prepared to explain, at the conference, that the provision is not duplicative — it creates a priority claim that the general 50/50 division expressly does not — and that the tracing is documented.</w:t>
      </w:r>
    </w:p>
    <w:bookmarkEnd w:id="30"/>
    <w:bookmarkStart w:id="31" w:name="X81c275a46e8edd9bf622d5c0a9fc4f4e21f16f4"/>
    <w:p>
      <w:pPr>
        <w:pStyle w:val="Heading3"/>
      </w:pPr>
      <w:r>
        <w:t xml:space="preserve">E. Wife’s Practice Interest (Article VI) — Net Favorable to Wife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6.1(b))</w:t>
            </w:r>
          </w:p>
        </w:tc>
        <w:tc>
          <w:tcPr/>
          <w:p>
            <w:pPr>
              <w:pStyle w:val="Compact"/>
              <w:jc w:val="left"/>
            </w:pPr>
            <w:r>
              <w:t xml:space="preserve">Redline (§ 6.1)</w:t>
            </w:r>
          </w:p>
        </w:tc>
      </w:tr>
      <w:tr>
        <w:tc>
          <w:tcPr/>
          <w:p>
            <w:pPr>
              <w:pStyle w:val="Compact"/>
              <w:jc w:val="left"/>
            </w:pPr>
            <w:r>
              <w:t xml:space="preserve">Treatment of post-agreement appreciation</w:t>
            </w:r>
          </w:p>
        </w:tc>
        <w:tc>
          <w:tcPr/>
          <w:p>
            <w:pPr>
              <w:pStyle w:val="Compact"/>
              <w:jc w:val="left"/>
            </w:pPr>
            <w:r>
              <w:rPr>
                <w:b/>
                <w:bCs/>
              </w:rPr>
              <w:t xml:space="preserve">All</w:t>
            </w:r>
            <w:r>
              <w:t xml:space="preserve"> </w:t>
            </w:r>
            <w:r>
              <w:t xml:space="preserve">appreciation above the $1,650,000 baseline = Marital Property, divided 50/50,</w:t>
            </w:r>
            <w:r>
              <w:t xml:space="preserve"> </w:t>
            </w:r>
            <w:r>
              <w:t xml:space="preserve">“</w:t>
            </w:r>
            <w:r>
              <w:t xml:space="preserve">regardless of the source or cause.</w:t>
            </w:r>
            <w:r>
              <w:t xml:space="preserve">”</w:t>
            </w:r>
          </w:p>
        </w:tc>
        <w:tc>
          <w:tcPr/>
          <w:p>
            <w:pPr>
              <w:pStyle w:val="Compact"/>
              <w:jc w:val="left"/>
            </w:pPr>
            <w:r>
              <w:t xml:space="preserve">Appreciation = Marital Property</w:t>
            </w:r>
            <w:r>
              <w:t xml:space="preserve"> </w:t>
            </w:r>
            <w:r>
              <w:rPr>
                <w:b/>
                <w:bCs/>
              </w:rPr>
              <w:t xml:space="preserve">only to the extent directly attributable to Wife’s active personal efforts.</w:t>
            </w:r>
            <w:r>
              <w:t xml:space="preserve"> </w:t>
            </w:r>
            <w:r>
              <w:t xml:space="preserve">Appreciation from market forces, reimbursement-rate changes, regulatory changes, passive investment returns, or other non-effort factors =</w:t>
            </w:r>
            <w:r>
              <w:t xml:space="preserve"> </w:t>
            </w:r>
            <w:r>
              <w:rPr>
                <w:b/>
                <w:bCs/>
              </w:rPr>
              <w:t xml:space="preserve">Wife’s Separate Property.</w:t>
            </w:r>
            <w:r>
              <w:t xml:space="preserve"> </w:t>
            </w:r>
            <w:r>
              <w:t xml:space="preserve">Determined by a qualified forensic valuation expert.</w:t>
            </w:r>
          </w:p>
        </w:tc>
      </w:tr>
    </w:tbl>
    <w:p>
      <w:pPr>
        <w:pStyle w:val="BodyText"/>
      </w:pPr>
      <w:r>
        <w:rPr>
          <w:b/>
          <w:bCs/>
        </w:rPr>
        <w:t xml:space="preserve">Impact — Favorable to Wife (with a caveat).</w:t>
      </w:r>
      <w:r>
        <w:t xml:space="preserve"> </w:t>
      </w:r>
      <w:r>
        <w:t xml:space="preserve">This change is directly supported by the Strand Valuation Report (Section 9), which performed an active/passive attribution analysis and concluded that</w:t>
      </w:r>
      <w:r>
        <w:t xml:space="preserve"> </w:t>
      </w:r>
      <w:r>
        <w:rPr>
          <w:b/>
          <w:bCs/>
        </w:rPr>
        <w:t xml:space="preserve">approximately 60% of the Practice’s revenue growth is attributable to passive, market-driven factors</w:t>
      </w:r>
      <w:r>
        <w:t xml:space="preserve"> </w:t>
      </w:r>
      <w:r>
        <w:t xml:space="preserve">(insurance reimbursement rate increases ~35%; demographic expansion ~25%) and only ~40% to active factors (physician recruitment ~25%; operational improvements ~15%). The report’s Application Note states that</w:t>
      </w:r>
      <w:r>
        <w:t xml:space="preserve"> </w:t>
      </w:r>
      <w:r>
        <w:t xml:space="preserve">“</w:t>
      </w:r>
      <w:r>
        <w:t xml:space="preserve">a significant majority of any appreciation… approximately 60%… would likely be attributable to passive, market-driven factors rather than to the active personal efforts of Dr. Veselka-Thornton individually.</w:t>
      </w:r>
      <w:r>
        <w:t xml:space="preserve">”</w:t>
      </w:r>
    </w:p>
    <w:p>
      <w:pPr>
        <w:pStyle w:val="BodyText"/>
      </w:pPr>
      <w:r>
        <w:t xml:space="preserve">Under our draft, Husband would receive 50% of</w:t>
      </w:r>
      <w:r>
        <w:t xml:space="preserve"> </w:t>
      </w:r>
      <w:r>
        <w:rPr>
          <w:i/>
          <w:iCs/>
        </w:rPr>
        <w:t xml:space="preserve">all</w:t>
      </w:r>
      <w:r>
        <w:t xml:space="preserve"> </w:t>
      </w:r>
      <w:r>
        <w:t xml:space="preserve">appreciation. Under the redline, Husband would receive 50% × ~40% = ~20% of appreciation, with Wife retaining ~80%. On a hypothetical $500,000 of appreciation, Wife keeps an additional ~$150,000; on $1,000,000, an additional ~$300,000. Margin comment MC-06 accurately characterizes this as protecting Wife’s separate-property interest.</w:t>
      </w:r>
    </w:p>
    <w:p>
      <w:pPr>
        <w:pStyle w:val="BodyText"/>
      </w:pPr>
      <w:r>
        <w:rPr>
          <w:b/>
          <w:bCs/>
        </w:rPr>
        <w:t xml:space="preserve">Caveat.</w:t>
      </w:r>
      <w:r>
        <w:t xml:space="preserve"> </w:t>
      </w:r>
      <w:r>
        <w:t xml:space="preserve">The client’s Objective 4 stated she</w:t>
      </w:r>
      <w:r>
        <w:t xml:space="preserve"> </w:t>
      </w:r>
      <w:r>
        <w:t xml:space="preserve">“</w:t>
      </w:r>
      <w:r>
        <w:t xml:space="preserve">does not want the agreement to impose burdensome valuation methodologies that could make it expensive or contentious to determine the marital component.</w:t>
      </w:r>
      <w:r>
        <w:t xml:space="preserve">”</w:t>
      </w:r>
      <w:r>
        <w:t xml:space="preserve"> </w:t>
      </w:r>
      <w:r>
        <w:t xml:space="preserve">The active/passive distinction inherently requires a forensic valuation at dissolution — the very expense and contention the client wished to avoid. The Strand report’s Important Caveat also notes that the 60/40 split addresses</w:t>
      </w:r>
      <w:r>
        <w:t xml:space="preserve"> </w:t>
      </w:r>
      <w:r>
        <w:rPr>
          <w:i/>
          <w:iCs/>
        </w:rPr>
        <w:t xml:space="preserve">revenue growth</w:t>
      </w:r>
      <w:r>
        <w:t xml:space="preserve">, not</w:t>
      </w:r>
      <w:r>
        <w:t xml:space="preserve"> </w:t>
      </w:r>
      <w:r>
        <w:rPr>
          <w:i/>
          <w:iCs/>
        </w:rPr>
        <w:t xml:space="preserve">total value</w:t>
      </w:r>
      <w:r>
        <w:t xml:space="preserve">, and that a full personal-vs.-enterprise goodwill allocation was</w:t>
      </w:r>
      <w:r>
        <w:t xml:space="preserve"> </w:t>
      </w:r>
      <w:r>
        <w:t xml:space="preserve">“</w:t>
      </w:r>
      <w:r>
        <w:t xml:space="preserve">beyond the scope</w:t>
      </w:r>
      <w:r>
        <w:t xml:space="preserve">”</w:t>
      </w:r>
      <w:r>
        <w:t xml:space="preserve"> </w:t>
      </w:r>
      <w:r>
        <w:t xml:space="preserve">of the engagement — so the determination at dissolution will not be mechanical.</w:t>
      </w:r>
    </w:p>
    <w:p>
      <w:pPr>
        <w:pStyle w:val="BodyText"/>
      </w:pPr>
      <w:r>
        <w:rPr>
          <w:b/>
          <w:bCs/>
        </w:rPr>
        <w:t xml:space="preserve">Recommendation:</w:t>
      </w:r>
      <w:r>
        <w:t xml:space="preserve"> </w:t>
      </w:r>
      <w:r>
        <w:rPr>
          <w:b/>
          <w:bCs/>
        </w:rPr>
        <w:t xml:space="preserve">Accept the active/passive distinction</w:t>
      </w:r>
      <w:r>
        <w:t xml:space="preserve"> </w:t>
      </w:r>
      <w:r>
        <w:t xml:space="preserve">(it is favorable and well-supported), but</w:t>
      </w:r>
      <w:r>
        <w:t xml:space="preserve"> </w:t>
      </w:r>
      <w:r>
        <w:rPr>
          <w:b/>
          <w:bCs/>
        </w:rPr>
        <w:t xml:space="preserve">negotiate modifications to reduce future valuation burden</w:t>
      </w:r>
      <w:r>
        <w:t xml:space="preserve">: (i) require use of the same methodology as the Strand report; (ii) cap or pre-allocate the valuation cost; (iii) consider adopting the report’s 60/40 attribution as a presumptive default, rebuttable only by clear evidence; and (iv) retain Strand as the default valuator absent agreement. Also note: the redline drops our § 6.3 (restrictions on transfer of the Practice Interest requiring Husband’s consent for value-impairing transfers). The Operating Agreement already imposes a two-thirds member-consent transfer restriction and a right of first refusal (per the Strand report), so the practical loss is limited, but the contractual consent right should be evaluated for restoration.</w:t>
      </w:r>
    </w:p>
    <w:bookmarkEnd w:id="31"/>
    <w:bookmarkStart w:id="32" w:name="X2496a25bcee0060f51e958fa51edb6cee4a89ce"/>
    <w:p>
      <w:pPr>
        <w:pStyle w:val="Heading3"/>
      </w:pPr>
      <w:r>
        <w:t xml:space="preserve">F. Husband’s RSUs (Article VII) — Modestly Adverse, but Defensible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7.2)</w:t>
            </w:r>
          </w:p>
        </w:tc>
        <w:tc>
          <w:tcPr/>
          <w:p>
            <w:pPr>
              <w:pStyle w:val="Compact"/>
              <w:jc w:val="left"/>
            </w:pPr>
            <w:r>
              <w:t xml:space="preserve">Redline (§ 7.1)</w:t>
            </w:r>
          </w:p>
        </w:tc>
      </w:tr>
      <w:tr>
        <w:tc>
          <w:tcPr/>
          <w:p>
            <w:pPr>
              <w:pStyle w:val="Compact"/>
              <w:jc w:val="left"/>
            </w:pPr>
            <w:r>
              <w:t xml:space="preserve">Division method</w:t>
            </w:r>
          </w:p>
        </w:tc>
        <w:tc>
          <w:tcPr/>
          <w:p>
            <w:pPr>
              <w:pStyle w:val="Compact"/>
              <w:jc w:val="left"/>
            </w:pPr>
            <w:r>
              <w:rPr>
                <w:b/>
                <w:bCs/>
              </w:rPr>
              <w:t xml:space="preserve">Flat 50/50</w:t>
            </w:r>
            <w:r>
              <w:t xml:space="preserve"> </w:t>
            </w:r>
            <w:r>
              <w:t xml:space="preserve">of each vesting tranche; unvested RSUs divided 50/50 upon Dissolution (by share transfer, constructive trust, or cash equivalent).</w:t>
            </w:r>
          </w:p>
        </w:tc>
        <w:tc>
          <w:tcPr/>
          <w:p>
            <w:pPr>
              <w:pStyle w:val="Compact"/>
              <w:jc w:val="left"/>
            </w:pPr>
            <w:r>
              <w:rPr>
                <w:b/>
                <w:bCs/>
              </w:rPr>
              <w:t xml:space="preserve">Coverture fraction:</w:t>
            </w:r>
            <w:r>
              <w:t xml:space="preserve"> </w:t>
            </w:r>
            <w:r>
              <w:t xml:space="preserve">Wife receives 50% × (months of marriage during the Relevant Service Period ÷ total months in the Relevant Service Period).</w:t>
            </w:r>
            <w:r>
              <w:t xml:space="preserve"> </w:t>
            </w:r>
            <w:r>
              <w:t xml:space="preserve">“</w:t>
            </w:r>
            <w:r>
              <w:t xml:space="preserve">Relevant Service Period</w:t>
            </w:r>
            <w:r>
              <w:t xml:space="preserve">”</w:t>
            </w:r>
            <w:r>
              <w:t xml:space="preserve"> </w:t>
            </w:r>
            <w:r>
              <w:t xml:space="preserve">=</w:t>
            </w:r>
            <w:r>
              <w:t xml:space="preserve"> </w:t>
            </w:r>
            <w:r>
              <w:rPr>
                <w:b/>
                <w:bCs/>
              </w:rPr>
              <w:t xml:space="preserve">Husband’s date of hire (Mar. 15, 2018)</w:t>
            </w:r>
            <w:r>
              <w:t xml:space="preserve"> </w:t>
            </w:r>
            <w:r>
              <w:t xml:space="preserve">through the final vesting date of the applicable tranche.</w:t>
            </w:r>
          </w:p>
        </w:tc>
      </w:tr>
    </w:tbl>
    <w:p>
      <w:pPr>
        <w:pStyle w:val="BodyText"/>
      </w:pPr>
      <w:r>
        <w:rPr>
          <w:b/>
          <w:bCs/>
        </w:rPr>
        <w:t xml:space="preserve">Impact — Modestly adverse to Wife, but standard and defensible.</w:t>
      </w:r>
      <w:r>
        <w:t xml:space="preserve"> </w:t>
      </w:r>
      <w:r>
        <w:t xml:space="preserve">The coverture fraction is the standard Illinois methodology for apportioning equity compensation and is more defensible than a flat 50/50 of unvested awards (which could be challenged as awarding the non-employee spouse a share of post-dissolution effort). The fraction equals 1.0 (and thus matches the original 50/50) for any tranche that vests</w:t>
      </w:r>
      <w:r>
        <w:t xml:space="preserve"> </w:t>
      </w:r>
      <w:r>
        <w:rPr>
          <w:i/>
          <w:iCs/>
        </w:rPr>
        <w:t xml:space="preserve">before</w:t>
      </w:r>
      <w:r>
        <w:t xml:space="preserve"> </w:t>
      </w:r>
      <w:r>
        <w:t xml:space="preserve">dissolution; it falls below 1.0 only for tranches vesting</w:t>
      </w:r>
      <w:r>
        <w:t xml:space="preserve"> </w:t>
      </w:r>
      <w:r>
        <w:rPr>
          <w:i/>
          <w:iCs/>
        </w:rPr>
        <w:t xml:space="preserve">after</w:t>
      </w:r>
      <w:r>
        <w:t xml:space="preserve"> </w:t>
      </w:r>
      <w:r>
        <w:t xml:space="preserve">dissolution, in which case Wife receives less than 50% of those tranches.</w:t>
      </w:r>
    </w:p>
    <w:p>
      <w:pPr>
        <w:pStyle w:val="BodyText"/>
      </w:pPr>
      <w:r>
        <w:t xml:space="preserve">A subtle point favors Wife: because the marriage (June 14, 2013)</w:t>
      </w:r>
      <w:r>
        <w:t xml:space="preserve"> </w:t>
      </w:r>
      <w:r>
        <w:rPr>
          <w:b/>
          <w:bCs/>
        </w:rPr>
        <w:t xml:space="preserve">predates</w:t>
      </w:r>
      <w:r>
        <w:t xml:space="preserve"> </w:t>
      </w:r>
      <w:r>
        <w:t xml:space="preserve">Husband’s hire (March 15, 2018), the entire Relevant Service Period to date is marital, and using the hire date (rather than the grant date of January 1, 2024) as the start of the Relevant Service Period</w:t>
      </w:r>
      <w:r>
        <w:t xml:space="preserve"> </w:t>
      </w:r>
      <w:r>
        <w:rPr>
          <w:i/>
          <w:iCs/>
        </w:rPr>
        <w:t xml:space="preserve">increases</w:t>
      </w:r>
      <w:r>
        <w:t xml:space="preserve"> </w:t>
      </w:r>
      <w:r>
        <w:t xml:space="preserve">the coverture fraction (by adding pre-grant marital service months to both numerator and denominator), which is favorable to Wife. Margin comment MC-07 calls this</w:t>
      </w:r>
      <w:r>
        <w:t xml:space="preserve"> </w:t>
      </w:r>
      <w:r>
        <w:t xml:space="preserve">“</w:t>
      </w:r>
      <w:r>
        <w:t xml:space="preserve">more equitable than a blanket 50/50 split,</w:t>
      </w:r>
      <w:r>
        <w:t xml:space="preserve">”</w:t>
      </w:r>
      <w:r>
        <w:t xml:space="preserve"> </w:t>
      </w:r>
      <w:r>
        <w:t xml:space="preserve">which is a fair characterization of the methodology, though the net effect is still a reduction versus our draft for post-dissolution vesting.</w:t>
      </w:r>
    </w:p>
    <w:p>
      <w:pPr>
        <w:pStyle w:val="BodyText"/>
      </w:pPr>
      <w:r>
        <w:rPr>
          <w:b/>
          <w:bCs/>
        </w:rPr>
        <w:t xml:space="preserve">Recommendation:</w:t>
      </w:r>
      <w:r>
        <w:t xml:space="preserve"> </w:t>
      </w:r>
      <w:r>
        <w:rPr>
          <w:b/>
          <w:bCs/>
        </w:rPr>
        <w:t xml:space="preserve">Accept the coverture-fraction methodology</w:t>
      </w:r>
      <w:r>
        <w:t xml:space="preserve"> </w:t>
      </w:r>
      <w:r>
        <w:t xml:space="preserve">as standard and defensible, and</w:t>
      </w:r>
      <w:r>
        <w:t xml:space="preserve"> </w:t>
      </w:r>
      <w:r>
        <w:rPr>
          <w:b/>
          <w:bCs/>
        </w:rPr>
        <w:t xml:space="preserve">confirm the hire-date start</w:t>
      </w:r>
      <w:r>
        <w:t xml:space="preserve"> </w:t>
      </w:r>
      <w:r>
        <w:t xml:space="preserve">(favorable to Wife). If we wish to maximize the client’s position, we could counter for a flat 50/50 (the client</w:t>
      </w:r>
      <w:r>
        <w:t xml:space="preserve"> </w:t>
      </w:r>
      <w:r>
        <w:t xml:space="preserve">“</w:t>
      </w:r>
      <w:r>
        <w:t xml:space="preserve">expects equal division</w:t>
      </w:r>
      <w:r>
        <w:t xml:space="preserve">”</w:t>
      </w:r>
      <w:r>
        <w:t xml:space="preserve">), but that position is weaker on the merits and likely to be resisted. The tax provisions (§ 7.2 redline) — each party bears their own tax consequences, Wife’s share calculated on net after-tax value — are reasonable; accept.</w:t>
      </w:r>
    </w:p>
    <w:bookmarkEnd w:id="32"/>
    <w:bookmarkStart w:id="33" w:name="X462d6feb7c500e19dac8f304d986c2a0ae9305c"/>
    <w:p>
      <w:pPr>
        <w:pStyle w:val="Heading3"/>
      </w:pPr>
      <w:r>
        <w:t xml:space="preserve">G. Retirement Accounts (Article VIII) — Substantively Equivalent; Correct Custodian Errors</w:t>
      </w:r>
    </w:p>
    <w:p>
      <w:pPr>
        <w:pStyle w:val="FirstParagraph"/>
      </w:pPr>
      <w:r>
        <w:t xml:space="preserve">Both drafts classify pre-Effective-Date retirement balances as the account holder’s separate property and post-Effective-Date contributions/appreciation as marital, divided by QDRO. This is consistent and acceptable.</w:t>
      </w:r>
      <w:r>
        <w:t xml:space="preserve"> </w:t>
      </w:r>
      <w:r>
        <w:rPr>
          <w:b/>
          <w:bCs/>
        </w:rPr>
        <w:t xml:space="preserve">However, the redline contains factual errors</w:t>
      </w:r>
      <w:r>
        <w:t xml:space="preserve"> </w:t>
      </w:r>
      <w:r>
        <w:t xml:space="preserve">(see Section IV): it states Wife’s 403(b) is administered by</w:t>
      </w:r>
      <w:r>
        <w:t xml:space="preserve"> </w:t>
      </w:r>
      <w:r>
        <w:t xml:space="preserve">“</w:t>
      </w:r>
      <w:r>
        <w:t xml:space="preserve">TIAA-CREF</w:t>
      </w:r>
      <w:r>
        <w:t xml:space="preserve">”</w:t>
      </w:r>
      <w:r>
        <w:t xml:space="preserve"> </w:t>
      </w:r>
      <w:r>
        <w:t xml:space="preserve">and Husband’s 401(k) by</w:t>
      </w:r>
      <w:r>
        <w:t xml:space="preserve"> </w:t>
      </w:r>
      <w:r>
        <w:t xml:space="preserve">“</w:t>
      </w:r>
      <w:r>
        <w:t xml:space="preserve">Hartleigh Investments,</w:t>
      </w:r>
      <w:r>
        <w:t xml:space="preserve">”</w:t>
      </w:r>
      <w:r>
        <w:t xml:space="preserve"> </w:t>
      </w:r>
      <w:r>
        <w:t xml:space="preserve">whereas the Linden &amp; Fosse disclosure shows both are custodied at Northbridge Wealth Advisors (accts.</w:t>
      </w:r>
      <w:r>
        <w:t xml:space="preserve"> </w:t>
      </w:r>
      <w:r>
        <w:rPr>
          <w:i/>
          <w:iCs/>
        </w:rPr>
        <w:t xml:space="preserve">7842 and</w:t>
      </w:r>
      <w:r>
        <w:rPr>
          <w:i/>
          <w:iCs/>
        </w:rPr>
        <w:t xml:space="preserve"> </w:t>
      </w:r>
      <w:r>
        <w:t xml:space="preserve">5518, respectively). The redline also splits Wife’s retirement as 403(b) $1,440,000 + pension $900,000, versus the disclosure’s 403(b) $1,415,000 + pension $925,000 (same $2,340,000 total).</w:t>
      </w:r>
    </w:p>
    <w:p>
      <w:pPr>
        <w:pStyle w:val="BodyText"/>
      </w:pPr>
      <w:r>
        <w:rPr>
          <w:b/>
          <w:bCs/>
        </w:rPr>
        <w:t xml:space="preserve">Recommendation:</w:t>
      </w:r>
      <w:r>
        <w:t xml:space="preserve"> </w:t>
      </w:r>
      <w:r>
        <w:t xml:space="preserve">Accept the classification framework;</w:t>
      </w:r>
      <w:r>
        <w:t xml:space="preserve"> </w:t>
      </w:r>
      <w:r>
        <w:rPr>
          <w:b/>
          <w:bCs/>
        </w:rPr>
        <w:t xml:space="preserve">correct all custodian, account-number, and component-balance figures to match the Linden &amp; Fosse disclosure.</w:t>
      </w:r>
    </w:p>
    <w:bookmarkEnd w:id="33"/>
    <w:bookmarkStart w:id="34" w:name="h.-marital-residence-article-ix-mixed"/>
    <w:p>
      <w:pPr>
        <w:pStyle w:val="Heading3"/>
      </w:pPr>
      <w:r>
        <w:t xml:space="preserve">H. Marital Residence (Article IX) — Mixed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9.2)</w:t>
            </w:r>
          </w:p>
        </w:tc>
        <w:tc>
          <w:tcPr/>
          <w:p>
            <w:pPr>
              <w:pStyle w:val="Compact"/>
              <w:jc w:val="left"/>
            </w:pPr>
            <w:r>
              <w:t xml:space="preserve">Redline (§ 9.2)</w:t>
            </w:r>
          </w:p>
        </w:tc>
      </w:tr>
      <w:tr>
        <w:tc>
          <w:tcPr/>
          <w:p>
            <w:pPr>
              <w:pStyle w:val="Compact"/>
              <w:jc w:val="left"/>
            </w:pPr>
            <w:r>
              <w:t xml:space="preserve">Exercise period</w:t>
            </w:r>
          </w:p>
        </w:tc>
        <w:tc>
          <w:tcPr/>
          <w:p>
            <w:pPr>
              <w:pStyle w:val="Compact"/>
              <w:jc w:val="left"/>
            </w:pPr>
            <w:r>
              <w:t xml:space="preserve">60 days from dissolution judgment</w:t>
            </w:r>
          </w:p>
        </w:tc>
        <w:tc>
          <w:tcPr/>
          <w:p>
            <w:pPr>
              <w:pStyle w:val="Compact"/>
              <w:jc w:val="left"/>
            </w:pPr>
            <w:r>
              <w:t xml:space="preserve">30 days from receipt of appraisal</w:t>
            </w:r>
          </w:p>
        </w:tc>
      </w:tr>
      <w:tr>
        <w:tc>
          <w:tcPr/>
          <w:p>
            <w:pPr>
              <w:pStyle w:val="Compact"/>
              <w:jc w:val="left"/>
            </w:pPr>
            <w:r>
              <w:t xml:space="preserve">Payment period</w:t>
            </w:r>
          </w:p>
        </w:tc>
        <w:tc>
          <w:tcPr/>
          <w:p>
            <w:pPr>
              <w:pStyle w:val="Compact"/>
              <w:jc w:val="left"/>
            </w:pPr>
            <w:r>
              <w:t xml:space="preserve">24 months</w:t>
            </w:r>
          </w:p>
        </w:tc>
        <w:tc>
          <w:tcPr/>
          <w:p>
            <w:pPr>
              <w:pStyle w:val="Compact"/>
              <w:jc w:val="left"/>
            </w:pPr>
            <w:r>
              <w:t xml:space="preserve">18 months</w:t>
            </w:r>
          </w:p>
        </w:tc>
      </w:tr>
      <w:tr>
        <w:tc>
          <w:tcPr/>
          <w:p>
            <w:pPr>
              <w:pStyle w:val="Compact"/>
              <w:jc w:val="left"/>
            </w:pPr>
            <w:r>
              <w:t xml:space="preserve">Security for buyout</w:t>
            </w:r>
          </w:p>
        </w:tc>
        <w:tc>
          <w:tcPr/>
          <w:p>
            <w:pPr>
              <w:pStyle w:val="Compact"/>
              <w:jc w:val="left"/>
            </w:pPr>
            <w:r>
              <w:t xml:space="preserve">Not specified</w:t>
            </w:r>
          </w:p>
        </w:tc>
        <w:tc>
          <w:tcPr/>
          <w:p>
            <w:pPr>
              <w:pStyle w:val="Compact"/>
              <w:jc w:val="left"/>
            </w:pPr>
            <w:r>
              <w:t xml:space="preserve">Secured by lien on the property; interest compounded monthly at AFR</w:t>
            </w:r>
          </w:p>
        </w:tc>
      </w:tr>
      <w:tr>
        <w:tc>
          <w:tcPr/>
          <w:p>
            <w:pPr>
              <w:pStyle w:val="Compact"/>
              <w:jc w:val="left"/>
            </w:pPr>
            <w:r>
              <w:t xml:space="preserve">Husband’s right</w:t>
            </w:r>
          </w:p>
        </w:tc>
        <w:tc>
          <w:tcPr/>
          <w:p>
            <w:pPr>
              <w:pStyle w:val="Compact"/>
              <w:jc w:val="left"/>
            </w:pPr>
            <w:r>
              <w:t xml:space="preserve">Wife only (right of first refusal)</w:t>
            </w:r>
          </w:p>
        </w:tc>
        <w:tc>
          <w:tcPr/>
          <w:p>
            <w:pPr>
              <w:pStyle w:val="Compact"/>
              <w:jc w:val="left"/>
            </w:pPr>
            <w:r>
              <w:t xml:space="preserve">Wife first; if Wife declines,</w:t>
            </w:r>
            <w:r>
              <w:t xml:space="preserve"> </w:t>
            </w:r>
            <w:r>
              <w:rPr>
                <w:b/>
                <w:bCs/>
              </w:rPr>
              <w:t xml:space="preserve">Husband has the same right of purchase</w:t>
            </w:r>
            <w:r>
              <w:t xml:space="preserve"> </w:t>
            </w:r>
            <w:r>
              <w:t xml:space="preserve">on the same terms</w:t>
            </w:r>
          </w:p>
        </w:tc>
      </w:tr>
      <w:tr>
        <w:tc>
          <w:tcPr/>
          <w:p>
            <w:pPr>
              <w:pStyle w:val="Compact"/>
              <w:jc w:val="left"/>
            </w:pPr>
            <w:r>
              <w:t xml:space="preserve">Appraisal timing</w:t>
            </w:r>
          </w:p>
        </w:tc>
        <w:tc>
          <w:tcPr/>
          <w:p>
            <w:pPr>
              <w:pStyle w:val="Compact"/>
              <w:jc w:val="left"/>
            </w:pPr>
            <w:r>
              <w:t xml:space="preserve">15 days to agree on appraiser; else each picks one, who pick a third (binding)</w:t>
            </w:r>
          </w:p>
        </w:tc>
        <w:tc>
          <w:tcPr/>
          <w:p>
            <w:pPr>
              <w:pStyle w:val="Compact"/>
              <w:jc w:val="left"/>
            </w:pPr>
            <w:r>
              <w:t xml:space="preserve">Joint appraisal within 60 days of commencement of dissolution proceedings</w:t>
            </w:r>
          </w:p>
        </w:tc>
      </w:tr>
    </w:tbl>
    <w:p>
      <w:pPr>
        <w:pStyle w:val="BodyText"/>
      </w:pPr>
      <w:r>
        <w:rPr>
          <w:b/>
          <w:bCs/>
        </w:rPr>
        <w:t xml:space="preserve">Impact — Mixed, leaning adverse.</w:t>
      </w:r>
      <w:r>
        <w:t xml:space="preserve"> </w:t>
      </w:r>
      <w:r>
        <w:t xml:space="preserve">The shorter exercise window (30 vs. 60 days) and shorter payment period (18 vs. 24 months) make it harder for Wife to execute a buyout, which cuts against her Objective 3 (remaining in the home for the children’s stability). The addition of Husband’s reciprocal purchase right is a meaningful change: under our draft, only Wife had a purchase right, and if she declined the home was sold; under the redline, Husband could buy out Wife and potentially displace her and the children. The lien security and monthly-compounded interest are reasonable protections for the seller but increase the buyout cost. The redline also drops our § 9.4 (during-marriage mortgage sharing, no-encumbrance-without-consent, equal right to occupy), replacing it with a narrower buyout-period responsibility clause.</w:t>
      </w:r>
    </w:p>
    <w:p>
      <w:pPr>
        <w:pStyle w:val="BodyText"/>
      </w:pPr>
      <w:r>
        <w:rPr>
          <w:b/>
          <w:bCs/>
        </w:rPr>
        <w:t xml:space="preserve">Recommendation:</w:t>
      </w:r>
      <w:r>
        <w:t xml:space="preserve"> </w:t>
      </w:r>
      <w:r>
        <w:rPr>
          <w:b/>
          <w:bCs/>
        </w:rPr>
        <w:t xml:space="preserve">Restore the 60-day exercise period and 24-month payment period</w:t>
      </w:r>
      <w:r>
        <w:t xml:space="preserve"> </w:t>
      </w:r>
      <w:r>
        <w:t xml:space="preserve">(consistent with the client’s objective to keep the home).</w:t>
      </w:r>
      <w:r>
        <w:t xml:space="preserve"> </w:t>
      </w:r>
      <w:r>
        <w:rPr>
          <w:b/>
          <w:bCs/>
        </w:rPr>
        <w:t xml:space="preserve">Reject Husband’s reciprocal purchase right</w:t>
      </w:r>
      <w:r>
        <w:t xml:space="preserve"> </w:t>
      </w:r>
      <w:r>
        <w:t xml:space="preserve">(or, at minimum, subordinate it so that Wife’s right is exclusive and the home is sold rather than turned over to Husband if Wife cannot buy). Restore the during-marriage mortgage/occupancy protections of our § 9.4. The lien security is acceptable.</w:t>
      </w:r>
    </w:p>
    <w:bookmarkEnd w:id="34"/>
    <w:bookmarkStart w:id="35" w:name="X26bf5578a0371f0c3f9efca76e04ed93bf5a9a0"/>
    <w:p>
      <w:pPr>
        <w:pStyle w:val="Heading3"/>
      </w:pPr>
      <w:r>
        <w:t xml:space="preserve">I. Spousal Maintenance (Article X) — The Redline’s Headline Concession to Wife (with Risks)</w:t>
      </w:r>
    </w:p>
    <w:p>
      <w:pPr>
        <w:pStyle w:val="FirstParagraph"/>
      </w:pPr>
      <w:r>
        <w:t xml:space="preserve">The redline makes four maintenance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Original</w:t>
            </w:r>
          </w:p>
        </w:tc>
        <w:tc>
          <w:tcPr/>
          <w:p>
            <w:pPr>
              <w:pStyle w:val="Compact"/>
              <w:jc w:val="left"/>
            </w:pPr>
            <w:r>
              <w:t xml:space="preserve">Redline</w:t>
            </w:r>
          </w:p>
        </w:tc>
        <w:tc>
          <w:tcPr/>
          <w:p>
            <w:pPr>
              <w:pStyle w:val="Compact"/>
              <w:jc w:val="left"/>
            </w:pPr>
            <w:r>
              <w:t xml:space="preserve">Impact on Wife</w:t>
            </w:r>
          </w:p>
        </w:tc>
      </w:tr>
      <w:tr>
        <w:tc>
          <w:tcPr/>
          <w:p>
            <w:pPr>
              <w:pStyle w:val="Compact"/>
              <w:jc w:val="left"/>
            </w:pPr>
            <w:r>
              <w:t xml:space="preserve">Duration cap (§ 10.2)</w:t>
            </w:r>
          </w:p>
        </w:tc>
        <w:tc>
          <w:tcPr/>
          <w:p>
            <w:pPr>
              <w:pStyle w:val="Compact"/>
              <w:jc w:val="left"/>
            </w:pPr>
            <w:r>
              <w:t xml:space="preserve">5 years</w:t>
            </w:r>
          </w:p>
        </w:tc>
        <w:tc>
          <w:tcPr/>
          <w:p>
            <w:pPr>
              <w:pStyle w:val="Compact"/>
              <w:jc w:val="left"/>
            </w:pPr>
            <w:r>
              <w:rPr>
                <w:b/>
                <w:bCs/>
              </w:rPr>
              <w:t xml:space="preserve">3 years</w:t>
            </w:r>
          </w:p>
        </w:tc>
        <w:tc>
          <w:tcPr/>
          <w:p>
            <w:pPr>
              <w:pStyle w:val="Compact"/>
              <w:jc w:val="left"/>
            </w:pPr>
            <w:r>
              <w:rPr>
                <w:b/>
                <w:bCs/>
              </w:rPr>
              <w:t xml:space="preserve">Favorable</w:t>
            </w:r>
            <w:r>
              <w:t xml:space="preserve"> </w:t>
            </w:r>
            <w:r>
              <w:t xml:space="preserve">(shorter payer obligation)</w:t>
            </w:r>
          </w:p>
        </w:tc>
      </w:tr>
      <w:tr>
        <w:tc>
          <w:tcPr/>
          <w:p>
            <w:pPr>
              <w:pStyle w:val="Compact"/>
              <w:jc w:val="left"/>
            </w:pPr>
            <w:r>
              <w:t xml:space="preserve">Automatic waiver (§ 10.3, new)</w:t>
            </w:r>
          </w:p>
        </w:tc>
        <w:tc>
          <w:tcPr/>
          <w:p>
            <w:pPr>
              <w:pStyle w:val="Compact"/>
              <w:jc w:val="left"/>
            </w:pPr>
            <w:r>
              <w:t xml:space="preserve">None</w:t>
            </w:r>
          </w:p>
        </w:tc>
        <w:tc>
          <w:tcPr/>
          <w:p>
            <w:pPr>
              <w:pStyle w:val="Compact"/>
              <w:jc w:val="left"/>
            </w:pPr>
            <w:r>
              <w:t xml:space="preserve">Maintenance</w:t>
            </w:r>
            <w:r>
              <w:t xml:space="preserve"> </w:t>
            </w:r>
            <w:r>
              <w:rPr>
                <w:b/>
                <w:bCs/>
              </w:rPr>
              <w:t xml:space="preserve">automatically and irrevocably waived</w:t>
            </w:r>
            <w:r>
              <w:t xml:space="preserve"> </w:t>
            </w:r>
            <w:r>
              <w:t xml:space="preserve">if the eligible (recipient) spouse’s gross annual income &gt; $200,000 at dissolution</w:t>
            </w:r>
          </w:p>
        </w:tc>
        <w:tc>
          <w:tcPr/>
          <w:p>
            <w:pPr>
              <w:pStyle w:val="Compact"/>
              <w:jc w:val="left"/>
            </w:pPr>
            <w:r>
              <w:rPr>
                <w:b/>
                <w:bCs/>
              </w:rPr>
              <w:t xml:space="preserve">Strongly favorable</w:t>
            </w:r>
            <w:r>
              <w:t xml:space="preserve"> </w:t>
            </w:r>
            <w:r>
              <w:t xml:space="preserve">— see analysis below</w:t>
            </w:r>
          </w:p>
        </w:tc>
      </w:tr>
      <w:tr>
        <w:tc>
          <w:tcPr/>
          <w:p>
            <w:pPr>
              <w:pStyle w:val="Compact"/>
              <w:jc w:val="left"/>
            </w:pPr>
            <w:r>
              <w:t xml:space="preserve">Calculation base (§ 10.4)</w:t>
            </w:r>
          </w:p>
        </w:tc>
        <w:tc>
          <w:tcPr/>
          <w:p>
            <w:pPr>
              <w:pStyle w:val="Compact"/>
              <w:jc w:val="left"/>
            </w:pPr>
            <w:r>
              <w:t xml:space="preserve">“</w:t>
            </w:r>
            <w:r>
              <w:t xml:space="preserve">Gross Income</w:t>
            </w:r>
            <w:r>
              <w:t xml:space="preserve">”</w:t>
            </w:r>
            <w:r>
              <w:t xml:space="preserve"> </w:t>
            </w:r>
            <w:r>
              <w:t xml:space="preserve">(broad)</w:t>
            </w:r>
          </w:p>
        </w:tc>
        <w:tc>
          <w:tcPr/>
          <w:p>
            <w:pPr>
              <w:pStyle w:val="Compact"/>
              <w:jc w:val="left"/>
            </w:pPr>
            <w:r>
              <w:t xml:space="preserve">“</w:t>
            </w:r>
            <w:r>
              <w:t xml:space="preserve">Earned Income</w:t>
            </w:r>
            <w:r>
              <w:t xml:space="preserve">”</w:t>
            </w:r>
            <w:r>
              <w:t xml:space="preserve"> </w:t>
            </w:r>
            <w:r>
              <w:t xml:space="preserve">(narrow, excludes bonus/equity)</w:t>
            </w:r>
          </w:p>
        </w:tc>
        <w:tc>
          <w:tcPr/>
          <w:p>
            <w:pPr>
              <w:pStyle w:val="Compact"/>
              <w:jc w:val="left"/>
            </w:pPr>
            <w:r>
              <w:rPr>
                <w:b/>
                <w:bCs/>
              </w:rPr>
              <w:t xml:space="preserve">Latent adverse</w:t>
            </w:r>
            <w:r>
              <w:t xml:space="preserve"> </w:t>
            </w:r>
            <w:r>
              <w:t xml:space="preserve">if waiver is struck down — see § V.B above</w:t>
            </w:r>
          </w:p>
        </w:tc>
      </w:tr>
      <w:tr>
        <w:tc>
          <w:tcPr/>
          <w:p>
            <w:pPr>
              <w:pStyle w:val="Compact"/>
              <w:jc w:val="left"/>
            </w:pPr>
            <w:r>
              <w:t xml:space="preserve">Termination events (§ 10.4 orig.)</w:t>
            </w:r>
          </w:p>
        </w:tc>
        <w:tc>
          <w:tcPr/>
          <w:p>
            <w:pPr>
              <w:pStyle w:val="Compact"/>
              <w:jc w:val="left"/>
            </w:pPr>
            <w:r>
              <w:t xml:space="preserve">Death, remarriage, cohabitation, cap expiration</w:t>
            </w:r>
          </w:p>
        </w:tc>
        <w:tc>
          <w:tcPr/>
          <w:p>
            <w:pPr>
              <w:pStyle w:val="Compact"/>
              <w:jc w:val="left"/>
            </w:pPr>
            <w:r>
              <w:t xml:space="preserve">Not separately enumerated (statutory defaults apply)</w:t>
            </w:r>
          </w:p>
        </w:tc>
        <w:tc>
          <w:tcPr/>
          <w:p>
            <w:pPr>
              <w:pStyle w:val="Compact"/>
              <w:jc w:val="left"/>
            </w:pPr>
            <w:r>
              <w:t xml:space="preserve">Minor loss of the contractual cohabitation-termination trigger</w:t>
            </w:r>
          </w:p>
        </w:tc>
      </w:tr>
    </w:tbl>
    <w:p>
      <w:pPr>
        <w:pStyle w:val="BodyText"/>
      </w:pPr>
      <w:r>
        <w:rPr>
          <w:b/>
          <w:bCs/>
        </w:rPr>
        <w:t xml:space="preserve">The automatic waiver is the redline’s most significant concession to the client — and it is mischaracterized.</w:t>
      </w:r>
      <w:r>
        <w:t xml:space="preserve"> </w:t>
      </w:r>
      <w:r>
        <w:t xml:space="preserve">Husband is the lower-earning spouse and thus the party who would be eligible to receive maintenance. Husband’s gross annual income is approximately $305,000 (base $215,000 + bonus $90,000), and he additionally receives investment income from a $3.8 million inheritance (the $1,920,000 brokerage account alone could generate ~$75,000+ annually at modest yields). Husband’s gross income therefore</w:t>
      </w:r>
      <w:r>
        <w:t xml:space="preserve"> </w:t>
      </w:r>
      <w:r>
        <w:rPr>
          <w:b/>
          <w:bCs/>
        </w:rPr>
        <w:t xml:space="preserve">comfortably exceeds the $200,000 threshold</w:t>
      </w:r>
      <w:r>
        <w:t xml:space="preserve">, meaning his right to seek or receive maintenance is</w:t>
      </w:r>
      <w:r>
        <w:t xml:space="preserve"> </w:t>
      </w:r>
      <w:r>
        <w:rPr>
          <w:b/>
          <w:bCs/>
        </w:rPr>
        <w:t xml:space="preserve">automatically and irrevocably waived</w:t>
      </w:r>
      <w:r>
        <w:t xml:space="preserve"> </w:t>
      </w:r>
      <w:r>
        <w:t xml:space="preserve">under § 10.3. Margin comment MC-09 asserts the provision</w:t>
      </w:r>
      <w:r>
        <w:t xml:space="preserve"> </w:t>
      </w:r>
      <w:r>
        <w:t xml:space="preserve">“</w:t>
      </w:r>
      <w:r>
        <w:t xml:space="preserve">benefits both parties equally</w:t>
      </w:r>
      <w:r>
        <w:t xml:space="preserve">”</w:t>
      </w:r>
      <w:r>
        <w:t xml:space="preserve"> </w:t>
      </w:r>
      <w:r>
        <w:t xml:space="preserve">and</w:t>
      </w:r>
      <w:r>
        <w:t xml:space="preserve"> </w:t>
      </w:r>
      <w:r>
        <w:t xml:space="preserve">“</w:t>
      </w:r>
      <w:r>
        <w:t xml:space="preserve">ensures maintenance is reserved for the spouse who genuinely needs financial support.</w:t>
      </w:r>
      <w:r>
        <w:t xml:space="preserve">”</w:t>
      </w:r>
      <w:r>
        <w:t xml:space="preserve"> </w:t>
      </w:r>
      <w:r>
        <w:t xml:space="preserve">Given the specific income figures, this framing is inaccurate: the provision</w:t>
      </w:r>
      <w:r>
        <w:t xml:space="preserve"> </w:t>
      </w:r>
      <w:r>
        <w:rPr>
          <w:b/>
          <w:bCs/>
        </w:rPr>
        <w:t xml:space="preserve">overwhelmingly benefits Wife</w:t>
      </w:r>
      <w:r>
        <w:t xml:space="preserve"> </w:t>
      </w:r>
      <w:r>
        <w:t xml:space="preserve">(the payer) by eliminating Husband’s maintenance claim.</w:t>
      </w:r>
    </w:p>
    <w:p>
      <w:pPr>
        <w:pStyle w:val="BodyText"/>
      </w:pPr>
      <w:r>
        <w:rPr>
          <w:b/>
          <w:bCs/>
        </w:rPr>
        <w:t xml:space="preserve">Quantification.</w:t>
      </w:r>
      <w:r>
        <w:t xml:space="preserve"> </w:t>
      </w:r>
      <w:r>
        <w:t xml:space="preserve">Under the 750 ILCS 5/504(b-1) formula using</w:t>
      </w:r>
      <w:r>
        <w:t xml:space="preserve"> </w:t>
      </w:r>
      <w:r>
        <w:rPr>
          <w:i/>
          <w:iCs/>
        </w:rPr>
        <w:t xml:space="preserve">Gross Income</w:t>
      </w:r>
      <w:r>
        <w:t xml:space="preserve">, Husband’s maintenance would be tightly capped by the 40%-of-combined-income limit (because his income is already high relative to the combined $792,000), yielding roughly $11,800/year — i.e., the waiver saves Wife on the order of $35,000–$60,000 over the capped term. The savings are real but modest in absolute terms, and they are dwarfed by the $600,000 premarital-savings loss.</w:t>
      </w:r>
    </w:p>
    <w:p>
      <w:pPr>
        <w:pStyle w:val="BodyText"/>
      </w:pPr>
      <w:r>
        <w:rPr>
          <w:b/>
          <w:bCs/>
        </w:rPr>
        <w:t xml:space="preserve">Enforceability risk.</w:t>
      </w:r>
      <w:r>
        <w:t xml:space="preserve"> </w:t>
      </w:r>
      <w:r>
        <w:t xml:space="preserve">A provision that</w:t>
      </w:r>
      <w:r>
        <w:t xml:space="preserve"> </w:t>
      </w:r>
      <w:r>
        <w:rPr>
          <w:i/>
          <w:iCs/>
        </w:rPr>
        <w:t xml:space="preserve">completely and irrevocably</w:t>
      </w:r>
      <w:r>
        <w:t xml:space="preserve"> </w:t>
      </w:r>
      <w:r>
        <w:t xml:space="preserve">eliminates maintenance for a spouse in an 11+ year marriage may draw heightened unconscionability scrutiny under 750 ILCS 5/502, notwithstanding Husband’s comfortable financial position. If a court were to strike the waiver, the fallback calculation would use</w:t>
      </w:r>
      <w:r>
        <w:t xml:space="preserve"> </w:t>
      </w:r>
      <w:r>
        <w:t xml:space="preserve">“</w:t>
      </w:r>
      <w:r>
        <w:t xml:space="preserve">Earned Income</w:t>
      </w:r>
      <w:r>
        <w:t xml:space="preserve">”</w:t>
      </w:r>
      <w:r>
        <w:t xml:space="preserve"> </w:t>
      </w:r>
      <w:r>
        <w:t xml:space="preserve">(§ 10.4), which — as analyzed in § V.B — would</w:t>
      </w:r>
      <w:r>
        <w:t xml:space="preserve"> </w:t>
      </w:r>
      <w:r>
        <w:rPr>
          <w:i/>
          <w:iCs/>
        </w:rPr>
        <w:t xml:space="preserve">increase</w:t>
      </w:r>
      <w:r>
        <w:t xml:space="preserve"> </w:t>
      </w:r>
      <w:r>
        <w:t xml:space="preserve">Husband’s maintenance by excluding his bonus from his income. This is the latent trap: the waiver and the Earned-Income base work in opposite directions, and the combination is riskier for Wife than either the waiver paired with Gross Income, or a Gross-Income base without the waiver.</w:t>
      </w:r>
    </w:p>
    <w:p>
      <w:pPr>
        <w:pStyle w:val="BodyText"/>
      </w:pPr>
      <w:r>
        <w:rPr>
          <w:b/>
          <w:bCs/>
        </w:rPr>
        <w:t xml:space="preserve">Recommendation:</w:t>
      </w:r>
    </w:p>
    <w:p>
      <w:pPr>
        <w:pStyle w:val="Compact"/>
        <w:numPr>
          <w:ilvl w:val="0"/>
          <w:numId w:val="1004"/>
        </w:numPr>
      </w:pPr>
      <w:r>
        <w:rPr>
          <w:b/>
          <w:bCs/>
        </w:rPr>
        <w:t xml:space="preserve">Accept the automatic waiver</w:t>
      </w:r>
      <w:r>
        <w:t xml:space="preserve"> </w:t>
      </w:r>
      <w:r>
        <w:t xml:space="preserve">(it is a net benefit and was offered by opposing counsel) — but</w:t>
      </w:r>
      <w:r>
        <w:t xml:space="preserve"> </w:t>
      </w:r>
      <w:r>
        <w:rPr>
          <w:b/>
          <w:bCs/>
        </w:rPr>
        <w:t xml:space="preserve">do not rely on it as the centerpiece of the deal</w:t>
      </w:r>
      <w:r>
        <w:t xml:space="preserve">, and be aware Mr. Baxter may seek to withdraw it once he recognizes its effect.</w:t>
      </w:r>
    </w:p>
    <w:p>
      <w:pPr>
        <w:pStyle w:val="Compact"/>
        <w:numPr>
          <w:ilvl w:val="0"/>
          <w:numId w:val="1004"/>
        </w:numPr>
      </w:pPr>
      <w:r>
        <w:rPr>
          <w:b/>
          <w:bCs/>
        </w:rPr>
        <w:t xml:space="preserve">Reject the</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calculation base; restore</w:t>
      </w:r>
      <w:r>
        <w:rPr>
          <w:b/>
          <w:bCs/>
        </w:rPr>
        <w:t xml:space="preserve"> </w:t>
      </w:r>
      <w:r>
        <w:rPr>
          <w:b/>
          <w:bCs/>
        </w:rPr>
        <w:t xml:space="preserve">“</w:t>
      </w:r>
      <w:r>
        <w:rPr>
          <w:b/>
          <w:bCs/>
        </w:rPr>
        <w:t xml:space="preserve">Gross Income</w:t>
      </w:r>
      <w:r>
        <w:rPr>
          <w:b/>
          <w:bCs/>
        </w:rPr>
        <w:t xml:space="preserve">”</w:t>
      </w:r>
      <w:r>
        <w:t xml:space="preserve"> </w:t>
      </w:r>
      <w:r>
        <w:t xml:space="preserve">so that, if the waiver is ever struck down, Husband’s full income (including bonus and investment income) is used, minimizing his award under the statutory cap. This eliminates the latent trap.</w:t>
      </w:r>
    </w:p>
    <w:p>
      <w:pPr>
        <w:pStyle w:val="Compact"/>
        <w:numPr>
          <w:ilvl w:val="0"/>
          <w:numId w:val="1004"/>
        </w:numPr>
      </w:pPr>
      <w:r>
        <w:rPr>
          <w:b/>
          <w:bCs/>
        </w:rPr>
        <w:t xml:space="preserve">Accept the 3-year duration cap</w:t>
      </w:r>
      <w:r>
        <w:t xml:space="preserve"> </w:t>
      </w:r>
      <w:r>
        <w:t xml:space="preserve">(favorable).</w:t>
      </w:r>
    </w:p>
    <w:p>
      <w:pPr>
        <w:pStyle w:val="Compact"/>
        <w:numPr>
          <w:ilvl w:val="0"/>
          <w:numId w:val="1004"/>
        </w:numPr>
      </w:pPr>
      <w:r>
        <w:rPr>
          <w:b/>
          <w:bCs/>
        </w:rPr>
        <w:t xml:space="preserve">Restore the express termination events</w:t>
      </w:r>
      <w:r>
        <w:t xml:space="preserve"> </w:t>
      </w:r>
      <w:r>
        <w:t xml:space="preserve">(death, remarriage, cohabitation, cap expiration), including the contractual cohabitation-termination trigger.</w:t>
      </w:r>
    </w:p>
    <w:p>
      <w:pPr>
        <w:pStyle w:val="Compact"/>
        <w:numPr>
          <w:ilvl w:val="0"/>
          <w:numId w:val="1004"/>
        </w:numPr>
      </w:pPr>
      <w:r>
        <w:t xml:space="preserve">Consider negotiating the waiver threshold upward (e.g., $250,000–$300,000) to improve its defensibility while still capturing Husband’s income — though this is optional given that $200,000 already captures him with margin.</w:t>
      </w:r>
    </w:p>
    <w:bookmarkEnd w:id="35"/>
    <w:bookmarkStart w:id="36" w:name="j.-debt-allocation-article-xi-adverse"/>
    <w:p>
      <w:pPr>
        <w:pStyle w:val="Heading3"/>
      </w:pPr>
      <w:r>
        <w:t xml:space="preserve">J. Debt Allocation (Article XI) — Adverse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Identified Debt indemnification (§ 11.1 / § 11.2)</w:t>
            </w:r>
          </w:p>
        </w:tc>
        <w:tc>
          <w:tcPr/>
          <w:p>
            <w:pPr>
              <w:pStyle w:val="Compact"/>
              <w:jc w:val="left"/>
            </w:pPr>
            <w:r>
              <w:t xml:space="preserve">Husband assumes sole responsibility; indemnifies Wife</w:t>
            </w:r>
            <w:r>
              <w:t xml:space="preserve"> </w:t>
            </w:r>
            <w:r>
              <w:rPr>
                <w:b/>
                <w:bCs/>
              </w:rPr>
              <w:t xml:space="preserve">without limitation</w:t>
            </w:r>
            <w:r>
              <w:t xml:space="preserve"> </w:t>
            </w:r>
            <w:r>
              <w:t xml:space="preserve">as to amount or nature; no materiality threshold.</w:t>
            </w:r>
          </w:p>
        </w:tc>
        <w:tc>
          <w:tcPr/>
          <w:p>
            <w:pPr>
              <w:pStyle w:val="Compact"/>
              <w:jc w:val="left"/>
            </w:pPr>
            <w:r>
              <w:t xml:space="preserve">Husband assumes sole responsibility; indemnifies Wife</w:t>
            </w:r>
            <w:r>
              <w:t xml:space="preserve"> </w:t>
            </w:r>
            <w:r>
              <w:rPr>
                <w:b/>
                <w:bCs/>
              </w:rPr>
              <w:t xml:space="preserve">only for claims that are</w:t>
            </w:r>
            <w:r>
              <w:rPr>
                <w:b/>
                <w:bCs/>
              </w:rPr>
              <w:t xml:space="preserve"> </w:t>
            </w:r>
            <w:r>
              <w:rPr>
                <w:b/>
                <w:bCs/>
              </w:rPr>
              <w:t xml:space="preserve">“</w:t>
            </w:r>
            <w:r>
              <w:rPr>
                <w:b/>
                <w:bCs/>
              </w:rPr>
              <w:t xml:space="preserve">material and exceed $5,000 individually</w:t>
            </w:r>
            <w:r>
              <w:rPr>
                <w:b/>
                <w:bCs/>
              </w:rPr>
              <w:t xml:space="preserve">”</w:t>
            </w:r>
            <w:r>
              <w:t xml:space="preserve"> </w:t>
            </w:r>
            <w:r>
              <w:t xml:space="preserve">(de minimis threshold).</w:t>
            </w:r>
          </w:p>
        </w:tc>
      </w:tr>
      <w:tr>
        <w:tc>
          <w:tcPr/>
          <w:p>
            <w:pPr>
              <w:pStyle w:val="Compact"/>
              <w:jc w:val="left"/>
            </w:pPr>
            <w:r>
              <w:t xml:space="preserve">Satisfaction timeline</w:t>
            </w:r>
          </w:p>
        </w:tc>
        <w:tc>
          <w:tcPr/>
          <w:p>
            <w:pPr>
              <w:pStyle w:val="Compact"/>
              <w:jc w:val="left"/>
            </w:pPr>
            <w:r>
              <w:t xml:space="preserve">“</w:t>
            </w:r>
            <w:r>
              <w:t xml:space="preserve">as expeditiously as practicable</w:t>
            </w:r>
            <w:r>
              <w:t xml:space="preserve">”</w:t>
            </w:r>
            <w:r>
              <w:t xml:space="preserve"> </w:t>
            </w:r>
            <w:r>
              <w:t xml:space="preserve">(best efforts)</w:t>
            </w:r>
          </w:p>
        </w:tc>
        <w:tc>
          <w:tcPr/>
          <w:p>
            <w:pPr>
              <w:pStyle w:val="Compact"/>
              <w:jc w:val="left"/>
            </w:pPr>
            <w:r>
              <w:t xml:space="preserve">Within</w:t>
            </w:r>
            <w:r>
              <w:t xml:space="preserve"> </w:t>
            </w:r>
            <w:r>
              <w:rPr>
                <w:b/>
                <w:bCs/>
              </w:rPr>
              <w:t xml:space="preserve">24 months</w:t>
            </w:r>
            <w:r>
              <w:t xml:space="preserve"> </w:t>
            </w:r>
            <w:r>
              <w:t xml:space="preserve">of Effective Date; quarterly written statements to Wife; if Husband fails, Wife may satisfy and seek reimbursement.</w:t>
            </w:r>
          </w:p>
        </w:tc>
      </w:tr>
      <w:tr>
        <w:tc>
          <w:tcPr/>
          <w:p>
            <w:pPr>
              <w:pStyle w:val="Compact"/>
              <w:jc w:val="left"/>
            </w:pPr>
            <w:r>
              <w:t xml:space="preserve">Future-debt disclosure (§ 11.3 orig.)</w:t>
            </w:r>
          </w:p>
        </w:tc>
        <w:tc>
          <w:tcPr/>
          <w:p>
            <w:pPr>
              <w:pStyle w:val="Compact"/>
              <w:jc w:val="left"/>
            </w:pPr>
            <w:r>
              <w:t xml:space="preserve">Disclose any new debt &gt; $5,000 within 15 days; failure = material breach.</w:t>
            </w:r>
          </w:p>
        </w:tc>
        <w:tc>
          <w:tcPr/>
          <w:p>
            <w:pPr>
              <w:pStyle w:val="Compact"/>
              <w:jc w:val="left"/>
            </w:pPr>
            <w:r>
              <w:rPr>
                <w:b/>
                <w:bCs/>
              </w:rPr>
              <w:t xml:space="preserve">Deleted.</w:t>
            </w:r>
          </w:p>
        </w:tc>
      </w:tr>
      <w:tr>
        <w:tc>
          <w:tcPr/>
          <w:p>
            <w:pPr>
              <w:pStyle w:val="Compact"/>
              <w:jc w:val="left"/>
            </w:pPr>
            <w:r>
              <w:t xml:space="preserve">General debt principle</w:t>
            </w:r>
          </w:p>
        </w:tc>
        <w:tc>
          <w:tcPr/>
          <w:p>
            <w:pPr>
              <w:pStyle w:val="Compact"/>
              <w:jc w:val="left"/>
            </w:pPr>
            <w:r>
              <w:t xml:space="preserve">Joint debts by mutual agreement; no individual debt &gt; $10,000 without consent.</w:t>
            </w:r>
          </w:p>
        </w:tc>
        <w:tc>
          <w:tcPr/>
          <w:p>
            <w:pPr>
              <w:pStyle w:val="Compact"/>
              <w:jc w:val="left"/>
            </w:pPr>
            <w:r>
              <w:t xml:space="preserve">Each party solely responsible for individual-name debts; joint debts divided equitably.</w:t>
            </w:r>
          </w:p>
        </w:tc>
      </w:tr>
    </w:tbl>
    <w:p>
      <w:pPr>
        <w:pStyle w:val="BodyText"/>
      </w:pPr>
      <w:r>
        <w:rPr>
          <w:b/>
          <w:bCs/>
        </w:rPr>
        <w:t xml:space="preserve">Impact — Adverse.</w:t>
      </w:r>
      <w:r>
        <w:t xml:space="preserve"> </w:t>
      </w:r>
      <w:r>
        <w:t xml:space="preserve">The de minimis $5,000 threshold on the indemnification directly contradicts the client’s express instruction that the $68,000 debt be assigned to Husband</w:t>
      </w:r>
      <w:r>
        <w:t xml:space="preserve"> </w:t>
      </w:r>
      <w:r>
        <w:t xml:space="preserve">“</w:t>
      </w:r>
      <w:r>
        <w:t xml:space="preserve">with complete indemnification, with no loopholes or materiality thresholds.</w:t>
      </w:r>
      <w:r>
        <w:t xml:space="preserve">”</w:t>
      </w:r>
      <w:r>
        <w:t xml:space="preserve"> </w:t>
      </w:r>
      <w:r>
        <w:t xml:space="preserve">Margin comment MC-10 calls the threshold</w:t>
      </w:r>
      <w:r>
        <w:t xml:space="preserve"> </w:t>
      </w:r>
      <w:r>
        <w:t xml:space="preserve">“</w:t>
      </w:r>
      <w:r>
        <w:t xml:space="preserve">standard commercial practice</w:t>
      </w:r>
      <w:r>
        <w:t xml:space="preserve">”</w:t>
      </w:r>
      <w:r>
        <w:t xml:space="preserve"> </w:t>
      </w:r>
      <w:r>
        <w:t xml:space="preserve">to</w:t>
      </w:r>
      <w:r>
        <w:t xml:space="preserve"> </w:t>
      </w:r>
      <w:r>
        <w:t xml:space="preserve">“</w:t>
      </w:r>
      <w:r>
        <w:t xml:space="preserve">prevent frivolous indemnification claims,</w:t>
      </w:r>
      <w:r>
        <w:t xml:space="preserve">”</w:t>
      </w:r>
      <w:r>
        <w:t xml:space="preserve"> </w:t>
      </w:r>
      <w:r>
        <w:t xml:space="preserve">but the client’s concern is not frivolity — it is protection from a documented pattern of concealed debt. The 24-month satisfaction timeline and quarterly reporting are</w:t>
      </w:r>
      <w:r>
        <w:t xml:space="preserve"> </w:t>
      </w:r>
      <w:r>
        <w:rPr>
          <w:b/>
          <w:bCs/>
        </w:rPr>
        <w:t xml:space="preserve">favorable</w:t>
      </w:r>
      <w:r>
        <w:t xml:space="preserve"> </w:t>
      </w:r>
      <w:r>
        <w:t xml:space="preserve">additions (more concrete than</w:t>
      </w:r>
      <w:r>
        <w:t xml:space="preserve"> </w:t>
      </w:r>
      <w:r>
        <w:t xml:space="preserve">“</w:t>
      </w:r>
      <w:r>
        <w:t xml:space="preserve">best efforts</w:t>
      </w:r>
      <w:r>
        <w:t xml:space="preserve">”</w:t>
      </w:r>
      <w:r>
        <w:t xml:space="preserve">) and should be retained. The deletion of the future-debt disclosure requirement (our § 11.3) removes an early-warning protection.</w:t>
      </w:r>
    </w:p>
    <w:p>
      <w:pPr>
        <w:pStyle w:val="BodyText"/>
      </w:pPr>
      <w:r>
        <w:rPr>
          <w:b/>
          <w:bCs/>
        </w:rPr>
        <w:t xml:space="preserve">Recommendation:</w:t>
      </w:r>
      <w:r>
        <w:t xml:space="preserve"> </w:t>
      </w:r>
      <w:r>
        <w:rPr>
          <w:b/>
          <w:bCs/>
        </w:rPr>
        <w:t xml:space="preserve">Remove the $5,000 de minimis threshold; restore unlimited indemnification</w:t>
      </w:r>
      <w:r>
        <w:t xml:space="preserve"> </w:t>
      </w:r>
      <w:r>
        <w:t xml:space="preserve">(client’s explicit instruction).</w:t>
      </w:r>
      <w:r>
        <w:t xml:space="preserve"> </w:t>
      </w:r>
      <w:r>
        <w:rPr>
          <w:b/>
          <w:bCs/>
        </w:rPr>
        <w:t xml:space="preserve">Retain the 24-month satisfaction deadline and quarterly reporting</w:t>
      </w:r>
      <w:r>
        <w:t xml:space="preserve"> </w:t>
      </w:r>
      <w:r>
        <w:t xml:space="preserve">(favorable).</w:t>
      </w:r>
      <w:r>
        <w:t xml:space="preserve"> </w:t>
      </w:r>
      <w:r>
        <w:rPr>
          <w:b/>
          <w:bCs/>
        </w:rPr>
        <w:t xml:space="preserve">Restore the future-debt disclosure requirement</w:t>
      </w:r>
      <w:r>
        <w:t xml:space="preserve"> </w:t>
      </w:r>
      <w:r>
        <w:t xml:space="preserve">(our § 11.3). The general debt principle in the redline is acceptable.</w:t>
      </w:r>
    </w:p>
    <w:bookmarkEnd w:id="36"/>
    <w:bookmarkStart w:id="37" w:name="X5f778d13f2a6273dc5ecdb791e31167bed583eb"/>
    <w:p>
      <w:pPr>
        <w:pStyle w:val="Heading3"/>
      </w:pPr>
      <w:r>
        <w:t xml:space="preserve">K. Financial Disclosure and Voidability (Articles III &amp; XII) — Adverse; Strikes at Client’s #2 Objective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3.3, 3.4)</w:t>
            </w:r>
          </w:p>
        </w:tc>
        <w:tc>
          <w:tcPr/>
          <w:p>
            <w:pPr>
              <w:pStyle w:val="Compact"/>
              <w:jc w:val="left"/>
            </w:pPr>
            <w:r>
              <w:t xml:space="preserve">Redline (§ 12.2)</w:t>
            </w:r>
          </w:p>
        </w:tc>
      </w:tr>
      <w:tr>
        <w:tc>
          <w:tcPr/>
          <w:p>
            <w:pPr>
              <w:pStyle w:val="Compact"/>
              <w:jc w:val="left"/>
            </w:pPr>
            <w:r>
              <w:t xml:space="preserve">Voidability standard</w:t>
            </w:r>
          </w:p>
        </w:tc>
        <w:tc>
          <w:tcPr/>
          <w:p>
            <w:pPr>
              <w:pStyle w:val="Compact"/>
              <w:jc w:val="left"/>
            </w:pPr>
            <w:r>
              <w:t xml:space="preserve">Agreement</w:t>
            </w:r>
            <w:r>
              <w:t xml:space="preserve"> </w:t>
            </w:r>
            <w:r>
              <w:rPr>
                <w:b/>
                <w:bCs/>
              </w:rPr>
              <w:t xml:space="preserve">voidable</w:t>
            </w:r>
            <w:r>
              <w:t xml:space="preserve"> </w:t>
            </w:r>
            <w:r>
              <w:t xml:space="preserve">on</w:t>
            </w:r>
            <w:r>
              <w:t xml:space="preserve"> </w:t>
            </w:r>
            <w:r>
              <w:rPr>
                <w:b/>
                <w:bCs/>
              </w:rPr>
              <w:t xml:space="preserve">any material omission or misrepresentation</w:t>
            </w:r>
            <w:r>
              <w:t xml:space="preserve"> </w:t>
            </w:r>
            <w:r>
              <w:t xml:space="preserve">in financial disclosure;</w:t>
            </w:r>
            <w:r>
              <w:t xml:space="preserve"> </w:t>
            </w:r>
            <w:r>
              <w:rPr>
                <w:b/>
                <w:bCs/>
              </w:rPr>
              <w:t xml:space="preserve">no heightened evidentiary standard, no dollar threshold</w:t>
            </w:r>
            <w:r>
              <w:t xml:space="preserve">, no intent requirement.</w:t>
            </w:r>
          </w:p>
        </w:tc>
        <w:tc>
          <w:tcPr/>
          <w:p>
            <w:pPr>
              <w:pStyle w:val="Compact"/>
              <w:jc w:val="left"/>
            </w:pPr>
            <w:r>
              <w:t xml:space="preserve">Voidable</w:t>
            </w:r>
            <w:r>
              <w:t xml:space="preserve"> </w:t>
            </w:r>
            <w:r>
              <w:rPr>
                <w:b/>
                <w:bCs/>
              </w:rPr>
              <w:t xml:space="preserve">only</w:t>
            </w:r>
            <w:r>
              <w:t xml:space="preserve"> </w:t>
            </w:r>
            <w:r>
              <w:t xml:space="preserve">on</w:t>
            </w:r>
            <w:r>
              <w:t xml:space="preserve"> </w:t>
            </w:r>
            <w:r>
              <w:rPr>
                <w:b/>
                <w:bCs/>
              </w:rPr>
              <w:t xml:space="preserve">clear and convincing evidence</w:t>
            </w:r>
            <w:r>
              <w:t xml:space="preserve"> </w:t>
            </w:r>
            <w:r>
              <w:t xml:space="preserve">of</w:t>
            </w:r>
            <w:r>
              <w:t xml:space="preserve"> </w:t>
            </w:r>
            <w:r>
              <w:rPr>
                <w:b/>
                <w:bCs/>
              </w:rPr>
              <w:t xml:space="preserve">intentional</w:t>
            </w:r>
            <w:r>
              <w:t xml:space="preserve"> </w:t>
            </w:r>
            <w:r>
              <w:t xml:space="preserve">concealment of assets/income/liabilities</w:t>
            </w:r>
            <w:r>
              <w:t xml:space="preserve"> </w:t>
            </w:r>
            <w:r>
              <w:rPr>
                <w:b/>
                <w:bCs/>
              </w:rPr>
              <w:t xml:space="preserve">exceeding $100,000</w:t>
            </w:r>
            <w:r>
              <w:t xml:space="preserve">. Inadvertent errors do not count.</w:t>
            </w:r>
          </w:p>
        </w:tc>
      </w:tr>
      <w:tr>
        <w:tc>
          <w:tcPr/>
          <w:p>
            <w:pPr>
              <w:pStyle w:val="Compact"/>
              <w:jc w:val="left"/>
            </w:pPr>
            <w:r>
              <w:t xml:space="preserve">Limitations period</w:t>
            </w:r>
          </w:p>
        </w:tc>
        <w:tc>
          <w:tcPr/>
          <w:p>
            <w:pPr>
              <w:pStyle w:val="Compact"/>
              <w:jc w:val="left"/>
            </w:pPr>
            <w:r>
              <w:t xml:space="preserve">None stated</w:t>
            </w:r>
          </w:p>
        </w:tc>
        <w:tc>
          <w:tcPr/>
          <w:p>
            <w:pPr>
              <w:pStyle w:val="Compact"/>
              <w:jc w:val="left"/>
            </w:pPr>
            <w:r>
              <w:rPr>
                <w:b/>
                <w:bCs/>
              </w:rPr>
              <w:t xml:space="preserve">2 years</w:t>
            </w:r>
            <w:r>
              <w:t xml:space="preserve"> </w:t>
            </w:r>
            <w:r>
              <w:t xml:space="preserve">from discovery (or when should have discovered).</w:t>
            </w:r>
          </w:p>
        </w:tc>
      </w:tr>
      <w:tr>
        <w:tc>
          <w:tcPr/>
          <w:p>
            <w:pPr>
              <w:pStyle w:val="Compact"/>
              <w:jc w:val="left"/>
            </w:pPr>
            <w:r>
              <w:t xml:space="preserve">Ongoing disclosure duty (§ 3.4 orig.)</w:t>
            </w:r>
          </w:p>
        </w:tc>
        <w:tc>
          <w:tcPr/>
          <w:p>
            <w:pPr>
              <w:pStyle w:val="Compact"/>
              <w:jc w:val="left"/>
            </w:pPr>
            <w:r>
              <w:t xml:space="preserve">Continuing duty to disclose material changes (new assets, debts, income/employment changes, gifts/inheritances &gt; $10,000) within 30 days.</w:t>
            </w:r>
          </w:p>
        </w:tc>
        <w:tc>
          <w:tcPr/>
          <w:p>
            <w:pPr>
              <w:pStyle w:val="Compact"/>
              <w:jc w:val="left"/>
            </w:pPr>
            <w:r>
              <w:rPr>
                <w:b/>
                <w:bCs/>
              </w:rPr>
              <w:t xml:space="preserve">Deleted.</w:t>
            </w:r>
          </w:p>
        </w:tc>
      </w:tr>
    </w:tbl>
    <w:p>
      <w:pPr>
        <w:pStyle w:val="BodyText"/>
      </w:pPr>
      <w:r>
        <w:rPr>
          <w:b/>
          <w:bCs/>
        </w:rPr>
        <w:t xml:space="preserve">Impact — High; directly contrary to the client’s second-stated objective.</w:t>
      </w:r>
      <w:r>
        <w:t xml:space="preserve"> </w:t>
      </w:r>
      <w:r>
        <w:t xml:space="preserve">The client explicitly stated:</w:t>
      </w:r>
      <w:r>
        <w:t xml:space="preserve"> </w:t>
      </w:r>
      <w:r>
        <w:rPr>
          <w:i/>
          <w:iCs/>
        </w:rPr>
        <w:t xml:space="preserve">“</w:t>
      </w:r>
      <w:r>
        <w:rPr>
          <w:i/>
          <w:iCs/>
        </w:rPr>
        <w:t xml:space="preserve">If Marcus is hiding a $10,000 account or a $50,000 account, I want to be able to void this agreement. I don’t want a provision that only kicks in if he hides a million dollars.</w:t>
      </w:r>
      <w:r>
        <w:rPr>
          <w:i/>
          <w:iCs/>
        </w:rPr>
        <w:t xml:space="preserve">”</w:t>
      </w:r>
      <w:r>
        <w:t xml:space="preserve"> </w:t>
      </w:r>
      <w:r>
        <w:t xml:space="preserve">The redline does precisely what the client feared: it imposes a $100,000 threshold, an intent requirement, a clear-and-convincing burden, and a two-year limitations period. Given Husband’s documented history of concealed debt ($68,000 hidden over 18 months) and the client’s concern about</w:t>
      </w:r>
      <w:r>
        <w:t xml:space="preserve"> </w:t>
      </w:r>
      <w:r>
        <w:t xml:space="preserve">“</w:t>
      </w:r>
      <w:r>
        <w:t xml:space="preserve">a pattern</w:t>
      </w:r>
      <w:r>
        <w:t xml:space="preserve">”</w:t>
      </w:r>
      <w:r>
        <w:t xml:space="preserve"> </w:t>
      </w:r>
      <w:r>
        <w:t xml:space="preserve">of financial concealment, these heightened barriers are squarely adverse to the client’s interests. The intake memo’s preliminary legal analysis specifically recommended that we</w:t>
      </w:r>
      <w:r>
        <w:t xml:space="preserve"> </w:t>
      </w:r>
      <w:r>
        <w:t xml:space="preserve">“</w:t>
      </w:r>
      <w:r>
        <w:t xml:space="preserve">resist any effort by opposing counsel to impose a heightened</w:t>
      </w:r>
      <w:r>
        <w:t xml:space="preserve"> </w:t>
      </w:r>
      <w:r>
        <w:t xml:space="preserve">‘</w:t>
      </w:r>
      <w:r>
        <w:t xml:space="preserve">intentional concealment</w:t>
      </w:r>
      <w:r>
        <w:t xml:space="preserve">’</w:t>
      </w:r>
      <w:r>
        <w:t xml:space="preserve"> </w:t>
      </w:r>
      <w:r>
        <w:t xml:space="preserve">standard or a dollar-amount threshold.</w:t>
      </w:r>
      <w:r>
        <w:t xml:space="preserve">”</w:t>
      </w:r>
    </w:p>
    <w:p>
      <w:pPr>
        <w:pStyle w:val="BodyText"/>
      </w:pPr>
      <w:r>
        <w:t xml:space="preserve">The deletion of the ongoing disclosure duty (our § 3.4) removes a forward-looking protection the client requested (</w:t>
      </w:r>
      <w:r>
        <w:t xml:space="preserve">“</w:t>
      </w:r>
      <w:r>
        <w:t xml:space="preserve">ongoing annual disclosure obligations during the marriage</w:t>
      </w:r>
      <w:r>
        <w:t xml:space="preserve">”</w:t>
      </w:r>
      <w:r>
        <w:t xml:space="preserve">).</w:t>
      </w:r>
    </w:p>
    <w:p>
      <w:pPr>
        <w:pStyle w:val="BodyText"/>
      </w:pPr>
      <w:r>
        <w:rPr>
          <w:b/>
          <w:bCs/>
        </w:rPr>
        <w:t xml:space="preserve">Recommendation:</w:t>
      </w:r>
      <w:r>
        <w:t xml:space="preserve"> </w:t>
      </w:r>
      <w:r>
        <w:rPr>
          <w:b/>
          <w:bCs/>
        </w:rPr>
        <w:t xml:space="preserve">Non-negotiable-adjacent. Restore the</w:t>
      </w:r>
      <w:r>
        <w:rPr>
          <w:b/>
          <w:bCs/>
        </w:rPr>
        <w:t xml:space="preserve"> </w:t>
      </w:r>
      <w:r>
        <w:rPr>
          <w:b/>
          <w:bCs/>
        </w:rPr>
        <w:t xml:space="preserve">“</w:t>
      </w:r>
      <w:r>
        <w:rPr>
          <w:b/>
          <w:bCs/>
        </w:rPr>
        <w:t xml:space="preserve">material omission</w:t>
      </w:r>
      <w:r>
        <w:rPr>
          <w:b/>
          <w:bCs/>
        </w:rPr>
        <w:t xml:space="preserve">”</w:t>
      </w:r>
      <w:r>
        <w:rPr>
          <w:b/>
          <w:bCs/>
        </w:rPr>
        <w:t xml:space="preserve"> </w:t>
      </w:r>
      <w:r>
        <w:rPr>
          <w:b/>
          <w:bCs/>
        </w:rPr>
        <w:t xml:space="preserve">voidability standard</w:t>
      </w:r>
      <w:r>
        <w:t xml:space="preserve"> </w:t>
      </w:r>
      <w:r>
        <w:t xml:space="preserve">with no heightened evidentiary burden, no dollar threshold, and no intent requirement (our § 3.3).</w:t>
      </w:r>
      <w:r>
        <w:t xml:space="preserve"> </w:t>
      </w:r>
      <w:r>
        <w:rPr>
          <w:b/>
          <w:bCs/>
        </w:rPr>
        <w:t xml:space="preserve">Restore the ongoing duty of disclosure</w:t>
      </w:r>
      <w:r>
        <w:t xml:space="preserve"> </w:t>
      </w:r>
      <w:r>
        <w:t xml:space="preserve">(our § 3.4), including the 30-day reporting window for material changes and gifts/inheritances &gt; $10,000.</w:t>
      </w:r>
      <w:r>
        <w:t xml:space="preserve"> </w:t>
      </w:r>
      <w:r>
        <w:rPr>
          <w:b/>
          <w:bCs/>
        </w:rPr>
        <w:t xml:space="preserve">Reject the two-year limitations period</w:t>
      </w:r>
      <w:r>
        <w:t xml:space="preserve"> </w:t>
      </w:r>
      <w:r>
        <w:t xml:space="preserve">(or, if a limitations period is unavoidable, negotiate a longer period and tolling during concealment). This is a high-priority restoration; the client’s trust concerns are the precipitating event for the entire agreement.</w:t>
      </w:r>
    </w:p>
    <w:bookmarkEnd w:id="37"/>
    <w:bookmarkStart w:id="38" w:name="X6cf24b3d3acfc026f3c6ef88d86f6f9fb0e1506"/>
    <w:p>
      <w:pPr>
        <w:pStyle w:val="Heading3"/>
      </w:pPr>
      <w:r>
        <w:t xml:space="preserve">L. Enforcement and Attorney’s Fees (Article XIII) — Adverse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13.2)</w:t>
            </w:r>
          </w:p>
        </w:tc>
        <w:tc>
          <w:tcPr/>
          <w:p>
            <w:pPr>
              <w:pStyle w:val="Compact"/>
              <w:jc w:val="left"/>
            </w:pPr>
            <w:r>
              <w:t xml:space="preserve">Redline (§ 13.2)</w:t>
            </w:r>
          </w:p>
        </w:tc>
      </w:tr>
      <w:tr>
        <w:tc>
          <w:tcPr/>
          <w:p>
            <w:pPr>
              <w:pStyle w:val="Compact"/>
              <w:jc w:val="left"/>
            </w:pPr>
            <w:r>
              <w:t xml:space="preserve">Attorney’s fees</w:t>
            </w:r>
          </w:p>
        </w:tc>
        <w:tc>
          <w:tcPr/>
          <w:p>
            <w:pPr>
              <w:pStyle w:val="Compact"/>
              <w:jc w:val="left"/>
            </w:pPr>
            <w:r>
              <w:rPr>
                <w:b/>
                <w:bCs/>
              </w:rPr>
              <w:t xml:space="preserve">Prevailing party</w:t>
            </w:r>
            <w:r>
              <w:t xml:space="preserve"> </w:t>
            </w:r>
            <w:r>
              <w:t xml:space="preserve">recovers reasonable fees, costs, expert fees, and expenses from the non-prevailing party; court determines prevailing party and reasonableness.</w:t>
            </w:r>
          </w:p>
        </w:tc>
        <w:tc>
          <w:tcPr/>
          <w:p>
            <w:pPr>
              <w:pStyle w:val="Compact"/>
              <w:jc w:val="left"/>
            </w:pPr>
            <w:r>
              <w:rPr>
                <w:b/>
                <w:bCs/>
              </w:rPr>
              <w:t xml:space="preserve">Each party bears their own fees</w:t>
            </w:r>
            <w:r>
              <w:t xml:space="preserve">; mutual waiver; neither party may seek fees from the other.</w:t>
            </w:r>
          </w:p>
        </w:tc>
      </w:tr>
    </w:tbl>
    <w:p>
      <w:pPr>
        <w:pStyle w:val="BodyText"/>
      </w:pPr>
      <w:r>
        <w:rPr>
          <w:b/>
          <w:bCs/>
        </w:rPr>
        <w:t xml:space="preserve">Impact — Adverse.</w:t>
      </w:r>
      <w:r>
        <w:t xml:space="preserve"> </w:t>
      </w:r>
      <w:r>
        <w:t xml:space="preserve">The client’s Objective 5 specifically requested</w:t>
      </w:r>
      <w:r>
        <w:t xml:space="preserve"> </w:t>
      </w:r>
      <w:r>
        <w:t xml:space="preserve">“</w:t>
      </w:r>
      <w:r>
        <w:t xml:space="preserve">a prevailing-party attorney’s fees provision to deter frivolous challenges.</w:t>
      </w:r>
      <w:r>
        <w:t xml:space="preserve">”</w:t>
      </w:r>
      <w:r>
        <w:t xml:space="preserve"> </w:t>
      </w:r>
      <w:r>
        <w:t xml:space="preserve">The mutual waiver removes that deterrent. Margin comment MC-11 frames the waiver as promoting</w:t>
      </w:r>
      <w:r>
        <w:t xml:space="preserve"> </w:t>
      </w:r>
      <w:r>
        <w:t xml:space="preserve">“</w:t>
      </w:r>
      <w:r>
        <w:t xml:space="preserve">amicable resolution</w:t>
      </w:r>
      <w:r>
        <w:t xml:space="preserve">”</w:t>
      </w:r>
      <w:r>
        <w:t xml:space="preserve"> </w:t>
      </w:r>
      <w:r>
        <w:t xml:space="preserve">and being</w:t>
      </w:r>
      <w:r>
        <w:t xml:space="preserve"> </w:t>
      </w:r>
      <w:r>
        <w:t xml:space="preserve">“</w:t>
      </w:r>
      <w:r>
        <w:t xml:space="preserve">balanced,</w:t>
      </w:r>
      <w:r>
        <w:t xml:space="preserve">”</w:t>
      </w:r>
      <w:r>
        <w:t xml:space="preserve"> </w:t>
      </w:r>
      <w:r>
        <w:t xml:space="preserve">but the practical effect is to lower the cost of challenging or breaching the agreement — a concern given the disclosure and concealment backdrop.</w:t>
      </w:r>
    </w:p>
    <w:p>
      <w:pPr>
        <w:pStyle w:val="BodyText"/>
      </w:pPr>
      <w:r>
        <w:rPr>
          <w:b/>
          <w:bCs/>
        </w:rPr>
        <w:t xml:space="preserve">Recommendation:</w:t>
      </w:r>
      <w:r>
        <w:t xml:space="preserve"> </w:t>
      </w:r>
      <w:r>
        <w:rPr>
          <w:b/>
          <w:bCs/>
        </w:rPr>
        <w:t xml:space="preserve">Reject the mutual waiver; restore the prevailing-party provision.</w:t>
      </w:r>
      <w:r>
        <w:t xml:space="preserve"> </w:t>
      </w:r>
      <w:r>
        <w:t xml:space="preserve">If opposing counsel resists, a fallback is a prevailing-party provision limited to enforcement/interpretation actions (excluding the dissolution itself), or an</w:t>
      </w:r>
      <w:r>
        <w:t xml:space="preserve"> </w:t>
      </w:r>
      <w:r>
        <w:t xml:space="preserve">“</w:t>
      </w:r>
      <w:r>
        <w:t xml:space="preserve">objective bad faith</w:t>
      </w:r>
      <w:r>
        <w:t xml:space="preserve">”</w:t>
      </w:r>
      <w:r>
        <w:t xml:space="preserve"> </w:t>
      </w:r>
      <w:r>
        <w:t xml:space="preserve">trigger.</w:t>
      </w:r>
    </w:p>
    <w:bookmarkEnd w:id="38"/>
    <w:bookmarkStart w:id="39" w:name="X1f217dffd4dcda1709df21de28352e56ab5eecd"/>
    <w:p>
      <w:pPr>
        <w:pStyle w:val="Heading3"/>
      </w:pPr>
      <w:r>
        <w:t xml:space="preserve">M. Modification (Article XIV) — CRITICAL: Reject the Unilateral-Notice Mechanism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 14.1)</w:t>
            </w:r>
          </w:p>
        </w:tc>
        <w:tc>
          <w:tcPr/>
          <w:p>
            <w:pPr>
              <w:pStyle w:val="Compact"/>
              <w:jc w:val="left"/>
            </w:pPr>
            <w:r>
              <w:t xml:space="preserve">Redline (§§ 14.1–14.2)</w:t>
            </w:r>
          </w:p>
        </w:tc>
      </w:tr>
      <w:tr>
        <w:tc>
          <w:tcPr/>
          <w:p>
            <w:pPr>
              <w:pStyle w:val="Compact"/>
              <w:jc w:val="left"/>
            </w:pPr>
            <w:r>
              <w:t xml:space="preserve">Modification</w:t>
            </w:r>
          </w:p>
        </w:tc>
        <w:tc>
          <w:tcPr/>
          <w:p>
            <w:pPr>
              <w:pStyle w:val="Compact"/>
              <w:jc w:val="left"/>
            </w:pPr>
            <w:r>
              <w:rPr>
                <w:b/>
                <w:bCs/>
              </w:rPr>
              <w:t xml:space="preserve">Mutual written consent only</w:t>
            </w:r>
            <w:r>
              <w:t xml:space="preserve">; both parties must sign; oral/unilateral modifications void.</w:t>
            </w:r>
          </w:p>
        </w:tc>
        <w:tc>
          <w:tcPr/>
          <w:p>
            <w:pPr>
              <w:pStyle w:val="Compact"/>
              <w:jc w:val="left"/>
            </w:pPr>
            <w:r>
              <w:t xml:space="preserve">§ 14.1: reiterates written-modification requirement.</w:t>
            </w:r>
            <w:r>
              <w:t xml:space="preserve"> </w:t>
            </w:r>
            <w:r>
              <w:rPr>
                <w:b/>
                <w:bCs/>
              </w:rPr>
              <w:t xml:space="preserve">§ 14.2 (new):</w:t>
            </w:r>
            <w:r>
              <w:t xml:space="preserve"> </w:t>
            </w:r>
            <w:r>
              <w:t xml:space="preserve">Either party may propose a modification by written notice; the modification</w:t>
            </w:r>
            <w:r>
              <w:t xml:space="preserve"> </w:t>
            </w:r>
            <w:r>
              <w:rPr>
                <w:b/>
                <w:bCs/>
              </w:rPr>
              <w:t xml:space="preserve">becomes effective 90 days after delivery unless the other party delivers a written objection within the 90-day period</w:t>
            </w:r>
            <w:r>
              <w:t xml:space="preserve">; if objected to, the parties</w:t>
            </w:r>
            <w:r>
              <w:t xml:space="preserve"> </w:t>
            </w:r>
            <w:r>
              <w:t xml:space="preserve">“</w:t>
            </w:r>
            <w:r>
              <w:t xml:space="preserve">negotiate in good faith</w:t>
            </w:r>
            <w:r>
              <w:t xml:space="preserve">”</w:t>
            </w:r>
            <w:r>
              <w:t xml:space="preserve"> </w:t>
            </w:r>
            <w:r>
              <w:t xml:space="preserve">(with no requirement to reach agreement, so the modification simply does not take effect).</w:t>
            </w:r>
          </w:p>
        </w:tc>
      </w:tr>
    </w:tbl>
    <w:p>
      <w:pPr>
        <w:pStyle w:val="BodyText"/>
      </w:pPr>
      <w:r>
        <w:rPr>
          <w:b/>
          <w:bCs/>
        </w:rPr>
        <w:t xml:space="preserve">Impact — Critical.</w:t>
      </w:r>
      <w:r>
        <w:t xml:space="preserve"> </w:t>
      </w:r>
      <w:r>
        <w:t xml:space="preserve">This is a</w:t>
      </w:r>
      <w:r>
        <w:t xml:space="preserve"> </w:t>
      </w:r>
      <w:r>
        <w:t xml:space="preserve">“</w:t>
      </w:r>
      <w:r>
        <w:t xml:space="preserve">default-on-silence</w:t>
      </w:r>
      <w:r>
        <w:t xml:space="preserve">”</w:t>
      </w:r>
      <w:r>
        <w:t xml:space="preserve"> </w:t>
      </w:r>
      <w:r>
        <w:t xml:space="preserve">mechanism that fundamentally undermines the mutual-consent principle the client specifically demanded (</w:t>
      </w:r>
      <w:r>
        <w:t xml:space="preserve">“</w:t>
      </w:r>
      <w:r>
        <w:t xml:space="preserve">a requirement that any modifications be made only by mutual written consent, to prevent one-sided changes</w:t>
      </w:r>
      <w:r>
        <w:t xml:space="preserve">”</w:t>
      </w:r>
      <w:r>
        <w:t xml:space="preserve">). Although the non-proposing party</w:t>
      </w:r>
      <w:r>
        <w:t xml:space="preserve"> </w:t>
      </w:r>
      <w:r>
        <w:rPr>
          <w:i/>
          <w:iCs/>
        </w:rPr>
        <w:t xml:space="preserve">can</w:t>
      </w:r>
      <w:r>
        <w:t xml:space="preserve"> </w:t>
      </w:r>
      <w:r>
        <w:t xml:space="preserve">block a modification by objecting, the burden is shifted to them to actively object within 90 days. If notice is misdelivered, overlooked, or the recipient is distracted (illness, travel, etc.), a unilateral modification could take effect by operation of the default rule — potentially altering property classifications, the reimbursement right, or any other term. This is especially dangerous given the power asymmetry: Husband, with his $3.8 million inheritance and business-development role, is better positioned to propose and push through modifications. There is also a serious question whether a unilateral modification mechanism is enforceable at all for a postnuptial agreement under 750 ILCS 5/502, which contemplates mutual assent; even if unenforceable, it creates ambiguity and litigation fodder.</w:t>
      </w:r>
    </w:p>
    <w:p>
      <w:pPr>
        <w:pStyle w:val="BodyText"/>
      </w:pPr>
      <w:r>
        <w:rPr>
          <w:b/>
          <w:bCs/>
        </w:rPr>
        <w:t xml:space="preserve">Recommendation:</w:t>
      </w:r>
      <w:r>
        <w:t xml:space="preserve"> </w:t>
      </w:r>
      <w:r>
        <w:rPr>
          <w:b/>
          <w:bCs/>
        </w:rPr>
        <w:t xml:space="preserve">Non-negotiable. Reject § 14.2 in its entirety; restore mutual-written-consent-only modification</w:t>
      </w:r>
      <w:r>
        <w:t xml:space="preserve"> </w:t>
      </w:r>
      <w:r>
        <w:t xml:space="preserve">(our § 14.1). This is a deal-breaker-adjacent item. The client’s instruction on this point was explicit and the provision is dangerous.</w:t>
      </w:r>
    </w:p>
    <w:bookmarkEnd w:id="39"/>
    <w:bookmarkStart w:id="40" w:name="n.-general-provisions-article-xv"/>
    <w:p>
      <w:pPr>
        <w:pStyle w:val="Heading3"/>
      </w:pPr>
      <w:r>
        <w:t xml:space="preserve">N. General Provisions (Article XV)</w:t>
      </w:r>
    </w:p>
    <w:p>
      <w:pPr>
        <w:pStyle w:val="FirstParagraph"/>
      </w:pPr>
      <w:r>
        <w:rPr>
          <w:b/>
          <w:bCs/>
        </w:rPr>
        <w:t xml:space="preserve">1. Venue (§ 15.2) — Adverse.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Venue</w:t>
            </w:r>
          </w:p>
        </w:tc>
        <w:tc>
          <w:tcPr/>
          <w:p>
            <w:pPr>
              <w:pStyle w:val="Compact"/>
              <w:jc w:val="left"/>
            </w:pPr>
            <w:r>
              <w:t xml:space="preserve">Circuit Court of</w:t>
            </w:r>
            <w:r>
              <w:t xml:space="preserve"> </w:t>
            </w:r>
            <w:r>
              <w:rPr>
                <w:b/>
                <w:bCs/>
              </w:rPr>
              <w:t xml:space="preserve">Cook County</w:t>
            </w:r>
            <w:r>
              <w:t xml:space="preserve">, Illinois</w:t>
            </w:r>
          </w:p>
        </w:tc>
        <w:tc>
          <w:tcPr/>
          <w:p>
            <w:pPr>
              <w:pStyle w:val="Compact"/>
              <w:jc w:val="left"/>
            </w:pPr>
            <w:r>
              <w:t xml:space="preserve">Circuit Court of</w:t>
            </w:r>
            <w:r>
              <w:t xml:space="preserve"> </w:t>
            </w:r>
            <w:r>
              <w:rPr>
                <w:b/>
                <w:bCs/>
              </w:rPr>
              <w:t xml:space="preserve">DuPage County</w:t>
            </w:r>
            <w:r>
              <w:t xml:space="preserve">, Illinois</w:t>
            </w:r>
          </w:p>
        </w:tc>
      </w:tr>
    </w:tbl>
    <w:p>
      <w:pPr>
        <w:pStyle w:val="BodyText"/>
      </w:pPr>
      <w:r>
        <w:t xml:space="preserve">The family resides in Winnetka (Cook County); the client and her counsel are in Cook County; the marital residence and joint accounts are Cook County-centered. DuPage County benefits Husband (his office is in Naperville, DuPage County). Margin comment MC-12 acknowledges this is driven by Husband’s convenience. The client’s Objective 5 specifically requested Cook County as</w:t>
      </w:r>
      <w:r>
        <w:t xml:space="preserve"> </w:t>
      </w:r>
      <w:r>
        <w:t xml:space="preserve">“</w:t>
      </w:r>
      <w:r>
        <w:t xml:space="preserve">the most convenient forum.</w:t>
      </w:r>
      <w:r>
        <w:t xml:space="preserve">”</w:t>
      </w:r>
    </w:p>
    <w:p>
      <w:pPr>
        <w:pStyle w:val="BodyText"/>
      </w:pPr>
      <w:r>
        <w:rPr>
          <w:b/>
          <w:bCs/>
        </w:rPr>
        <w:t xml:space="preserve">Recommendation:</w:t>
      </w:r>
      <w:r>
        <w:t xml:space="preserve"> </w:t>
      </w:r>
      <w:r>
        <w:rPr>
          <w:b/>
          <w:bCs/>
        </w:rPr>
        <w:t xml:space="preserve">Reject DuPage; restore Cook County.</w:t>
      </w:r>
      <w:r>
        <w:t xml:space="preserve"> </w:t>
      </w:r>
      <w:r>
        <w:t xml:space="preserve">If a compromise is needed, Cook County is the proper venue given the residence, the children’s school district, and the client’s/counsel’s location.</w:t>
      </w:r>
    </w:p>
    <w:p>
      <w:pPr>
        <w:pStyle w:val="BodyText"/>
      </w:pPr>
      <w:r>
        <w:rPr>
          <w:b/>
          <w:bCs/>
        </w:rPr>
        <w:t xml:space="preserve">2. Sunset clause (§ 15.4 / § 15.5) — Adverse.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Redline</w:t>
            </w:r>
          </w:p>
        </w:tc>
      </w:tr>
      <w:tr>
        <w:tc>
          <w:tcPr/>
          <w:p>
            <w:pPr>
              <w:pStyle w:val="Compact"/>
              <w:jc w:val="left"/>
            </w:pPr>
            <w:r>
              <w:t xml:space="preserve">Sunset</w:t>
            </w:r>
          </w:p>
        </w:tc>
        <w:tc>
          <w:tcPr/>
          <w:p>
            <w:pPr>
              <w:pStyle w:val="Compact"/>
              <w:jc w:val="left"/>
            </w:pPr>
            <w:r>
              <w:rPr>
                <w:b/>
                <w:bCs/>
              </w:rPr>
              <w:t xml:space="preserve">June 14, 2040</w:t>
            </w:r>
            <w:r>
              <w:t xml:space="preserve"> </w:t>
            </w:r>
            <w:r>
              <w:t xml:space="preserve">(15 years from anticipated execution); renewable for additional 5-year periods by mutual written consent ≥ 90 days before expiration.</w:t>
            </w:r>
          </w:p>
        </w:tc>
        <w:tc>
          <w:tcPr/>
          <w:p>
            <w:pPr>
              <w:pStyle w:val="Compact"/>
              <w:jc w:val="left"/>
            </w:pPr>
            <w:r>
              <w:rPr>
                <w:b/>
                <w:bCs/>
              </w:rPr>
              <w:t xml:space="preserve">7th anniversary of the Effective Date</w:t>
            </w:r>
            <w:r>
              <w:t xml:space="preserve"> </w:t>
            </w:r>
            <w:r>
              <w:t xml:space="preserve">(~June 2032);</w:t>
            </w:r>
            <w:r>
              <w:t xml:space="preserve"> </w:t>
            </w:r>
            <w:r>
              <w:rPr>
                <w:b/>
                <w:bCs/>
              </w:rPr>
              <w:t xml:space="preserve">no renewal mechanism</w:t>
            </w:r>
            <w:r>
              <w:t xml:space="preserve">.</w:t>
            </w:r>
          </w:p>
        </w:tc>
      </w:tr>
    </w:tbl>
    <w:p>
      <w:pPr>
        <w:pStyle w:val="BodyText"/>
      </w:pPr>
      <w:r>
        <w:t xml:space="preserve">The client’s Objective 3 requested a term of</w:t>
      </w:r>
      <w:r>
        <w:t xml:space="preserve"> </w:t>
      </w:r>
      <w:r>
        <w:t xml:space="preserve">“</w:t>
      </w:r>
      <w:r>
        <w:t xml:space="preserve">at least</w:t>
      </w:r>
      <w:r>
        <w:t xml:space="preserve">”</w:t>
      </w:r>
      <w:r>
        <w:t xml:space="preserve"> </w:t>
      </w:r>
      <w:r>
        <w:t xml:space="preserve">until Julian turns 18 (approximately 2033, if born November 2015) and</w:t>
      </w:r>
      <w:r>
        <w:t xml:space="preserve"> </w:t>
      </w:r>
      <w:r>
        <w:t xml:space="preserve">“</w:t>
      </w:r>
      <w:r>
        <w:t xml:space="preserve">preferably longer,</w:t>
      </w:r>
      <w:r>
        <w:t xml:space="preserve">”</w:t>
      </w:r>
      <w:r>
        <w:t xml:space="preserve"> </w:t>
      </w:r>
      <w:r>
        <w:t xml:space="preserve">suggesting a 15-year term through ~2040 with renewal. The redline’s 7-year sunset (~2032) expires</w:t>
      </w:r>
      <w:r>
        <w:t xml:space="preserve"> </w:t>
      </w:r>
      <w:r>
        <w:rPr>
          <w:b/>
          <w:bCs/>
        </w:rPr>
        <w:t xml:space="preserve">before</w:t>
      </w:r>
      <w:r>
        <w:t xml:space="preserve"> </w:t>
      </w:r>
      <w:r>
        <w:t xml:space="preserve">Julian reaches majority and provides no renewal path. Upon expiration, all classifications cease and Illinois default law governs — reintroducing uncertainty the agreement was meant to resolve. Margin comment MC-08 (on the maintenance duration) and the transmittal email frame the shorter term as encouraging periodic</w:t>
      </w:r>
      <w:r>
        <w:t xml:space="preserve"> </w:t>
      </w:r>
      <w:r>
        <w:t xml:space="preserve">“</w:t>
      </w:r>
      <w:r>
        <w:t xml:space="preserve">refresh,</w:t>
      </w:r>
      <w:r>
        <w:t xml:space="preserve">”</w:t>
      </w:r>
      <w:r>
        <w:t xml:space="preserve"> </w:t>
      </w:r>
      <w:r>
        <w:t xml:space="preserve">but the client’s objective was duration and stability, not revisitation.</w:t>
      </w:r>
    </w:p>
    <w:p>
      <w:pPr>
        <w:pStyle w:val="BodyText"/>
      </w:pPr>
      <w:r>
        <w:rPr>
          <w:b/>
          <w:bCs/>
        </w:rPr>
        <w:t xml:space="preserve">Recommendation:</w:t>
      </w:r>
      <w:r>
        <w:t xml:space="preserve"> </w:t>
      </w:r>
      <w:r>
        <w:rPr>
          <w:b/>
          <w:bCs/>
        </w:rPr>
        <w:t xml:space="preserve">Restore the 15-year sunset with the mutual-renewal mechanism.</w:t>
      </w:r>
      <w:r>
        <w:t xml:space="preserve"> </w:t>
      </w:r>
      <w:r>
        <w:t xml:space="preserve">At minimum, the term must extend through both children’s majority (≈2033–2034); 7 years is insufficient.</w:t>
      </w:r>
    </w:p>
    <w:p>
      <w:pPr>
        <w:pStyle w:val="BodyText"/>
      </w:pPr>
      <w:r>
        <w:rPr>
          <w:b/>
          <w:bCs/>
        </w:rPr>
        <w:t xml:space="preserve">3. Severability (§ 15.3, new) — Acceptable.</w:t>
      </w:r>
      <w:r>
        <w:t xml:space="preserve"> </w:t>
      </w:r>
      <w:r>
        <w:t xml:space="preserve">The redline adds a standard severability clause. This is market-standard and protective; accept. (Mr. Baxter flagged this in the transmittal email; it is genuinely innocuous.)</w:t>
      </w:r>
    </w:p>
    <w:p>
      <w:pPr>
        <w:pStyle w:val="BodyText"/>
      </w:pPr>
      <w:r>
        <w:rPr>
          <w:b/>
          <w:bCs/>
        </w:rPr>
        <w:t xml:space="preserve">4. Governing law (§ 15.1).</w:t>
      </w:r>
      <w:r>
        <w:t xml:space="preserve"> </w:t>
      </w:r>
      <w:r>
        <w:t xml:space="preserve">The redline adds a sentence:</w:t>
      </w:r>
      <w:r>
        <w:t xml:space="preserve"> </w:t>
      </w:r>
      <w:r>
        <w:t xml:space="preserve">“</w:t>
      </w:r>
      <w:r>
        <w:t xml:space="preserve">In the event of any conflict between the provisions of this Agreement and the mandatory provisions of applicable Illinois law, the mandatory provisions of applicable Illinois law shall control.</w:t>
      </w:r>
      <w:r>
        <w:t xml:space="preserve">”</w:t>
      </w:r>
      <w:r>
        <w:t xml:space="preserve"> </w:t>
      </w:r>
      <w:r>
        <w:t xml:space="preserve">This is a sensible savings clause; accept.</w:t>
      </w:r>
    </w:p>
    <w:p>
      <w:pPr>
        <w:pStyle w:val="BodyText"/>
      </w:pPr>
      <w:r>
        <w:rPr>
          <w:b/>
          <w:bCs/>
        </w:rPr>
        <w:t xml:space="preserve">5. Dropped provisions.</w:t>
      </w:r>
      <w:r>
        <w:t xml:space="preserve"> </w:t>
      </w:r>
      <w:r>
        <w:t xml:space="preserve">As noted in § V.A, the redline drops our §§ 15.6 (Waiver), 15.8 (Independent Legal Counsel acknowledgment), 15.9 (Voluntary Execution and Fairness, including the</w:t>
      </w:r>
      <w:r>
        <w:t xml:space="preserve"> </w:t>
      </w:r>
      <w:r>
        <w:rPr>
          <w:b/>
          <w:bCs/>
        </w:rPr>
        <w:t xml:space="preserve">fiduciary-duty acknowledgment</w:t>
      </w:r>
      <w:r>
        <w:t xml:space="preserve">), and 15.10 (No Pending Proceedings). The waiver and independent-counsel concepts are partially captured by Article III, but the express fiduciary-duty/good-faith acknowledgment and the no-pending-proceedings representation should be restored for enforceability.</w:t>
      </w:r>
    </w:p>
    <w:bookmarkEnd w:id="40"/>
    <w:bookmarkStart w:id="41" w:name="X86c2d1457b80e7757578599279db9e2921f31ff"/>
    <w:p>
      <w:pPr>
        <w:pStyle w:val="Heading3"/>
      </w:pPr>
      <w:r>
        <w:t xml:space="preserve">O. Execution Formalities (Article XVI) — Favorable</w:t>
      </w:r>
    </w:p>
    <w:p>
      <w:pPr>
        <w:pStyle w:val="FirstParagraph"/>
      </w:pPr>
      <w:r>
        <w:t xml:space="preserve">The redline adds a notarization block and witness signature lines, and replaces our</w:t>
      </w:r>
      <w:r>
        <w:t xml:space="preserve"> </w:t>
      </w:r>
      <w:r>
        <w:t xml:space="preserve">“</w:t>
      </w:r>
      <w:r>
        <w:t xml:space="preserve">Approved as to Form</w:t>
      </w:r>
      <w:r>
        <w:t xml:space="preserve">”</w:t>
      </w:r>
      <w:r>
        <w:t xml:space="preserve"> </w:t>
      </w:r>
      <w:r>
        <w:t xml:space="preserve">counsel blocks with</w:t>
      </w:r>
      <w:r>
        <w:t xml:space="preserve"> </w:t>
      </w:r>
      <w:r>
        <w:t xml:space="preserve">“</w:t>
      </w:r>
      <w:r>
        <w:t xml:space="preserve">Acknowledgment of Counsel</w:t>
      </w:r>
      <w:r>
        <w:t xml:space="preserve">”</w:t>
      </w:r>
      <w:r>
        <w:t xml:space="preserve"> </w:t>
      </w:r>
      <w:r>
        <w:t xml:space="preserve">blocks. Mr. Baxter flagged this in the transmittal email as best practice under 750 ILCS 5/502.</w:t>
      </w:r>
      <w:r>
        <w:t xml:space="preserve"> </w:t>
      </w:r>
      <w:r>
        <w:rPr>
          <w:b/>
          <w:bCs/>
        </w:rPr>
        <w:t xml:space="preserve">This is a favorable change</w:t>
      </w:r>
      <w:r>
        <w:t xml:space="preserve"> </w:t>
      </w:r>
      <w:r>
        <w:t xml:space="preserve">— notarization and witness attestation strengthen the agreement’s enforceability posture, which serves the client’s Objective 5 (long-term enforceability). Accept and retain.</w:t>
      </w:r>
    </w:p>
    <w:p>
      <w:r>
        <w:pict>
          <v:rect style="width:0;height:1.5pt" o:hralign="center" o:hrstd="t" o:hr="t"/>
        </w:pict>
      </w:r>
    </w:p>
    <w:bookmarkEnd w:id="41"/>
    <w:bookmarkEnd w:id="42"/>
    <w:bookmarkStart w:id="43" w:name="vi.-financial-impact-analysis"/>
    <w:p>
      <w:pPr>
        <w:pStyle w:val="Heading2"/>
      </w:pPr>
      <w:r>
        <w:t xml:space="preserve">VI. Financial Impact Analysis</w:t>
      </w:r>
    </w:p>
    <w:p>
      <w:pPr>
        <w:pStyle w:val="FirstParagraph"/>
      </w:pPr>
      <w:r>
        <w:t xml:space="preserve">The following summarizes the estimated financial effect of the principal changes, expressed from the client’s (Wife’s) perspective. Figures are illustrative and assume a dissolution occurring during the agreement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Direction</w:t>
            </w:r>
          </w:p>
        </w:tc>
        <w:tc>
          <w:tcPr/>
          <w:p>
            <w:pPr>
              <w:pStyle w:val="Compact"/>
              <w:jc w:val="left"/>
            </w:pPr>
            <w:r>
              <w:t xml:space="preserve">Estimated Impact on Wife</w:t>
            </w:r>
          </w:p>
        </w:tc>
        <w:tc>
          <w:tcPr/>
          <w:p>
            <w:pPr>
              <w:pStyle w:val="Compact"/>
              <w:jc w:val="left"/>
            </w:pPr>
            <w:r>
              <w:t xml:space="preserve">Certainty</w:t>
            </w:r>
          </w:p>
        </w:tc>
      </w:tr>
      <w:tr>
        <w:tc>
          <w:tcPr/>
          <w:p>
            <w:pPr>
              <w:pStyle w:val="Compact"/>
              <w:jc w:val="left"/>
            </w:pPr>
            <w:r>
              <w:t xml:space="preserve">Deletion of $1,200,000 premarital-savings reimbursement (§ 5.2)</w:t>
            </w:r>
          </w:p>
        </w:tc>
        <w:tc>
          <w:tcPr/>
          <w:p>
            <w:pPr>
              <w:pStyle w:val="Compact"/>
              <w:jc w:val="left"/>
            </w:pPr>
            <w:r>
              <w:rPr>
                <w:b/>
                <w:bCs/>
              </w:rPr>
              <w:t xml:space="preserve">Adverse</w:t>
            </w:r>
          </w:p>
        </w:tc>
        <w:tc>
          <w:tcPr/>
          <w:p>
            <w:pPr>
              <w:pStyle w:val="Compact"/>
              <w:jc w:val="left"/>
            </w:pPr>
            <w:r>
              <w:rPr>
                <w:b/>
                <w:bCs/>
              </w:rPr>
              <w:t xml:space="preserve">−$600,000</w:t>
            </w:r>
            <w:r>
              <w:t xml:space="preserve"> </w:t>
            </w:r>
            <w:r>
              <w:t xml:space="preserve">(Wife’s share of Joint Investment Account falls from $1,535,000 to $935,000)</w:t>
            </w:r>
          </w:p>
        </w:tc>
        <w:tc>
          <w:tcPr/>
          <w:p>
            <w:pPr>
              <w:pStyle w:val="Compact"/>
              <w:jc w:val="left"/>
            </w:pPr>
            <w:r>
              <w:t xml:space="preserve">High (mechanical, upon dissolution)</w:t>
            </w:r>
          </w:p>
        </w:tc>
      </w:tr>
      <w:tr>
        <w:tc>
          <w:tcPr/>
          <w:p>
            <w:pPr>
              <w:pStyle w:val="Compact"/>
              <w:jc w:val="left"/>
            </w:pPr>
            <w:r>
              <w:t xml:space="preserve">Automatic maintenance waiver (§ 10.3)</w:t>
            </w:r>
          </w:p>
        </w:tc>
        <w:tc>
          <w:tcPr/>
          <w:p>
            <w:pPr>
              <w:pStyle w:val="Compact"/>
              <w:jc w:val="left"/>
            </w:pPr>
            <w:r>
              <w:t xml:space="preserve">Favorable</w:t>
            </w:r>
          </w:p>
        </w:tc>
        <w:tc>
          <w:tcPr/>
          <w:p>
            <w:pPr>
              <w:pStyle w:val="Compact"/>
              <w:jc w:val="left"/>
            </w:pPr>
            <w:r>
              <w:t xml:space="preserve">+~$35,000–$60,000 (eliminates Husband’s capped maintenance over the term)</w:t>
            </w:r>
          </w:p>
        </w:tc>
        <w:tc>
          <w:tcPr/>
          <w:p>
            <w:pPr>
              <w:pStyle w:val="Compact"/>
              <w:jc w:val="left"/>
            </w:pPr>
            <w:r>
              <w:t xml:space="preserve">Medium (subject to unconscionability challenge)</w:t>
            </w:r>
          </w:p>
        </w:tc>
      </w:tr>
      <w:tr>
        <w:tc>
          <w:tcPr/>
          <w:p>
            <w:pPr>
              <w:pStyle w:val="Compact"/>
              <w:jc w:val="left"/>
            </w:pPr>
            <w:r>
              <w:t xml:space="preserve">Maintenance duration cap 5→3 years (§ 10.2)</w:t>
            </w:r>
          </w:p>
        </w:tc>
        <w:tc>
          <w:tcPr/>
          <w:p>
            <w:pPr>
              <w:pStyle w:val="Compact"/>
              <w:jc w:val="left"/>
            </w:pPr>
            <w:r>
              <w:t xml:space="preserve">Favorable</w:t>
            </w:r>
          </w:p>
        </w:tc>
        <w:tc>
          <w:tcPr/>
          <w:p>
            <w:pPr>
              <w:pStyle w:val="Compact"/>
              <w:jc w:val="left"/>
            </w:pPr>
            <w:r>
              <w:t xml:space="preserve">Up to ~$12,000–$24,000 (two fewer years of capped maintenance)</w:t>
            </w:r>
          </w:p>
        </w:tc>
        <w:tc>
          <w:tcPr/>
          <w:p>
            <w:pPr>
              <w:pStyle w:val="Compact"/>
              <w:jc w:val="left"/>
            </w:pPr>
            <w:r>
              <w:t xml:space="preserve">Medium</w:t>
            </w:r>
          </w:p>
        </w:tc>
      </w:tr>
      <w:tr>
        <w:tc>
          <w:tcPr/>
          <w:p>
            <w:pPr>
              <w:pStyle w:val="Compact"/>
              <w:jc w:val="left"/>
            </w:pPr>
            <w:r>
              <w:t xml:space="preserve">Practice Interest active/passive appreciation (§ 6.1)</w:t>
            </w:r>
          </w:p>
        </w:tc>
        <w:tc>
          <w:tcPr/>
          <w:p>
            <w:pPr>
              <w:pStyle w:val="Compact"/>
              <w:jc w:val="left"/>
            </w:pPr>
            <w:r>
              <w:t xml:space="preserve">Favorable</w:t>
            </w:r>
          </w:p>
        </w:tc>
        <w:tc>
          <w:tcPr/>
          <w:p>
            <w:pPr>
              <w:pStyle w:val="Compact"/>
              <w:jc w:val="left"/>
            </w:pPr>
            <w:r>
              <w:t xml:space="preserve">+~$150,000–$300,000 on $500K–$1M of appreciation (Wife retains ~80% vs. 50%)</w:t>
            </w:r>
          </w:p>
        </w:tc>
        <w:tc>
          <w:tcPr/>
          <w:p>
            <w:pPr>
              <w:pStyle w:val="Compact"/>
              <w:jc w:val="left"/>
            </w:pPr>
            <w:r>
              <w:t xml:space="preserve">Low (speculative; depends on future appreciation)</w:t>
            </w:r>
          </w:p>
        </w:tc>
      </w:tr>
      <w:tr>
        <w:tc>
          <w:tcPr/>
          <w:p>
            <w:pPr>
              <w:pStyle w:val="Compact"/>
              <w:jc w:val="left"/>
            </w:pPr>
            <w:r>
              <w:t xml:space="preserve">RSU coverture fraction (§ 7.1)</w:t>
            </w:r>
          </w:p>
        </w:tc>
        <w:tc>
          <w:tcPr/>
          <w:p>
            <w:pPr>
              <w:pStyle w:val="Compact"/>
              <w:jc w:val="left"/>
            </w:pPr>
            <w:r>
              <w:t xml:space="preserve">Adverse (modest)</w:t>
            </w:r>
          </w:p>
        </w:tc>
        <w:tc>
          <w:tcPr/>
          <w:p>
            <w:pPr>
              <w:pStyle w:val="Compact"/>
              <w:jc w:val="left"/>
            </w:pPr>
            <w:r>
              <w:t xml:space="preserve">Reduction in Wife’s share of post-dissolution-vesting tranches only; ~$0 if dissolution after Jan. 2027</w:t>
            </w:r>
          </w:p>
        </w:tc>
        <w:tc>
          <w:tcPr/>
          <w:p>
            <w:pPr>
              <w:pStyle w:val="Compact"/>
              <w:jc w:val="left"/>
            </w:pPr>
            <w:r>
              <w:t xml:space="preserve">Low (depends on dissolution timing)</w:t>
            </w:r>
          </w:p>
        </w:tc>
      </w:tr>
      <w:tr>
        <w:tc>
          <w:tcPr/>
          <w:p>
            <w:pPr>
              <w:pStyle w:val="Compact"/>
              <w:jc w:val="left"/>
            </w:pPr>
            <w:r>
              <w:t xml:space="preserve">Debt indemnification de minimis $5,000 (§ 11.2)</w:t>
            </w:r>
          </w:p>
        </w:tc>
        <w:tc>
          <w:tcPr/>
          <w:p>
            <w:pPr>
              <w:pStyle w:val="Compact"/>
              <w:jc w:val="left"/>
            </w:pPr>
            <w:r>
              <w:t xml:space="preserve">Adverse</w:t>
            </w:r>
          </w:p>
        </w:tc>
        <w:tc>
          <w:tcPr/>
          <w:p>
            <w:pPr>
              <w:pStyle w:val="Compact"/>
              <w:jc w:val="left"/>
            </w:pPr>
            <w:r>
              <w:t xml:space="preserve">Loss of indemnification for sub-$5,000 claims; modest in dollars but contrary to client instruction</w:t>
            </w:r>
          </w:p>
        </w:tc>
        <w:tc>
          <w:tcPr/>
          <w:p>
            <w:pPr>
              <w:pStyle w:val="Compact"/>
              <w:jc w:val="left"/>
            </w:pPr>
            <w:r>
              <w:t xml:space="preserve">Low</w:t>
            </w:r>
          </w:p>
        </w:tc>
      </w:tr>
      <w:tr>
        <w:tc>
          <w:tcPr/>
          <w:p>
            <w:pPr>
              <w:pStyle w:val="Compact"/>
              <w:jc w:val="left"/>
            </w:pPr>
            <w:r>
              <w:t xml:space="preserve">Commingling/transmutation reversal (§ 4.3)</w:t>
            </w:r>
          </w:p>
        </w:tc>
        <w:tc>
          <w:tcPr/>
          <w:p>
            <w:pPr>
              <w:pStyle w:val="Compact"/>
              <w:jc w:val="left"/>
            </w:pPr>
            <w:r>
              <w:t xml:space="preserve">Adverse</w:t>
            </w:r>
          </w:p>
        </w:tc>
        <w:tc>
          <w:tcPr/>
          <w:p>
            <w:pPr>
              <w:pStyle w:val="Compact"/>
              <w:jc w:val="left"/>
            </w:pPr>
            <w:r>
              <w:t xml:space="preserve">Loss of potential claim to Husband’s inheritance if used for joint benefit; unquantified but potentially large</w:t>
            </w:r>
          </w:p>
        </w:tc>
        <w:tc>
          <w:tcPr/>
          <w:p>
            <w:pPr>
              <w:pStyle w:val="Compact"/>
              <w:jc w:val="left"/>
            </w:pPr>
            <w:r>
              <w:t xml:space="preserve">Low (depends on Husband’s deployment of inheritance)</w:t>
            </w:r>
          </w:p>
        </w:tc>
      </w:tr>
      <w:tr>
        <w:tc>
          <w:tcPr/>
          <w:p>
            <w:pPr>
              <w:pStyle w:val="Compact"/>
              <w:jc w:val="left"/>
            </w:pPr>
            <w:r>
              <w:t xml:space="preserve">Earned Income vs. Gross Income (§ 10.4)</w:t>
            </w:r>
          </w:p>
        </w:tc>
        <w:tc>
          <w:tcPr/>
          <w:p>
            <w:pPr>
              <w:pStyle w:val="Compact"/>
              <w:jc w:val="left"/>
            </w:pPr>
            <w:r>
              <w:t xml:space="preserve">Latent adverse</w:t>
            </w:r>
          </w:p>
        </w:tc>
        <w:tc>
          <w:tcPr/>
          <w:p>
            <w:pPr>
              <w:pStyle w:val="Compact"/>
              <w:jc w:val="left"/>
            </w:pPr>
            <w:r>
              <w:t xml:space="preserve">Increases Husband’s maintenance if waiver struck down; ~+$50,000/yr vs. Gross Income base in fallback</w:t>
            </w:r>
          </w:p>
        </w:tc>
        <w:tc>
          <w:tcPr/>
          <w:p>
            <w:pPr>
              <w:pStyle w:val="Compact"/>
              <w:jc w:val="left"/>
            </w:pPr>
            <w:r>
              <w:t xml:space="preserve">Low (only if waiver unenforceable)</w:t>
            </w:r>
          </w:p>
        </w:tc>
      </w:tr>
    </w:tbl>
    <w:p>
      <w:pPr>
        <w:pStyle w:val="BodyText"/>
      </w:pPr>
      <w:r>
        <w:rPr>
          <w:b/>
          <w:bCs/>
        </w:rPr>
        <w:t xml:space="preserve">Net assessment.</w:t>
      </w:r>
      <w:r>
        <w:t xml:space="preserve"> </w:t>
      </w:r>
      <w:r>
        <w:t xml:space="preserve">The</w:t>
      </w:r>
      <w:r>
        <w:t xml:space="preserve"> </w:t>
      </w:r>
      <w:r>
        <w:rPr>
          <w:b/>
          <w:bCs/>
        </w:rPr>
        <w:t xml:space="preserve">$600,000 certain loss</w:t>
      </w:r>
      <w:r>
        <w:t xml:space="preserve"> </w:t>
      </w:r>
      <w:r>
        <w:t xml:space="preserve">from the premarital-savings deletion is the dominant factor and is not offset by the favorable changes, which are either modest in absolute terms (maintenance) or speculative (practice appreciation). On a risk-adjusted basis, the redline is</w:t>
      </w:r>
      <w:r>
        <w:t xml:space="preserve"> </w:t>
      </w:r>
      <w:r>
        <w:rPr>
          <w:b/>
          <w:bCs/>
        </w:rPr>
        <w:t xml:space="preserve">substantially net-adverse to the client by several hundred thousand dollars</w:t>
      </w:r>
      <w:r>
        <w:t xml:space="preserve">, before accounting for the strategic/qualitative losses (disclosure protections, unilateral modification, venue, fees, sunset). The favorable items are real and should be preserved where possible, but they do not justify accepting the adverse core changes.</w:t>
      </w:r>
    </w:p>
    <w:p>
      <w:r>
        <w:pict>
          <v:rect style="width:0;height:1.5pt" o:hralign="center" o:hrstd="t" o:hr="t"/>
        </w:pict>
      </w:r>
    </w:p>
    <w:bookmarkEnd w:id="43"/>
    <w:bookmarkStart w:id="44" w:name="X55e65d1124a31fc6141f35f5810bbe0b11e98ad"/>
    <w:p>
      <w:pPr>
        <w:pStyle w:val="Heading2"/>
      </w:pPr>
      <w:r>
        <w:t xml:space="preserve">VII. Provisions Favoring Wife (Husband’s Concessions to Preserve)</w:t>
      </w:r>
    </w:p>
    <w:p>
      <w:pPr>
        <w:pStyle w:val="FirstParagraph"/>
      </w:pPr>
      <w:r>
        <w:t xml:space="preserve">These changes benefit the client and should be retained (subject to the modifications noted):</w:t>
      </w:r>
    </w:p>
    <w:p>
      <w:pPr>
        <w:pStyle w:val="Compact"/>
        <w:numPr>
          <w:ilvl w:val="0"/>
          <w:numId w:val="1005"/>
        </w:numPr>
      </w:pPr>
      <w:r>
        <w:rPr>
          <w:b/>
          <w:bCs/>
        </w:rPr>
        <w:t xml:space="preserve">Automatic maintenance waiver (§ 10.3)</w:t>
      </w:r>
      <w:r>
        <w:t xml:space="preserve"> </w:t>
      </w:r>
      <w:r>
        <w:t xml:space="preserve">— eliminates Husband’s maintenance claim given his &gt;$200,000 income.</w:t>
      </w:r>
      <w:r>
        <w:t xml:space="preserve"> </w:t>
      </w:r>
      <w:r>
        <w:rPr>
          <w:i/>
          <w:iCs/>
        </w:rPr>
        <w:t xml:space="preserve">Preserve, but pair with Gross Income calculation base to eliminate the fallback trap.</w:t>
      </w:r>
    </w:p>
    <w:p>
      <w:pPr>
        <w:pStyle w:val="Compact"/>
        <w:numPr>
          <w:ilvl w:val="0"/>
          <w:numId w:val="1005"/>
        </w:numPr>
      </w:pPr>
      <w:r>
        <w:rPr>
          <w:b/>
          <w:bCs/>
        </w:rPr>
        <w:t xml:space="preserve">Maintenance duration cap reduced to 3 years (§ 10.2)</w:t>
      </w:r>
      <w:r>
        <w:t xml:space="preserve"> </w:t>
      </w:r>
      <w:r>
        <w:t xml:space="preserve">— shorter payer obligation.</w:t>
      </w:r>
      <w:r>
        <w:t xml:space="preserve"> </w:t>
      </w:r>
      <w:r>
        <w:rPr>
          <w:i/>
          <w:iCs/>
        </w:rPr>
        <w:t xml:space="preserve">Preserve.</w:t>
      </w:r>
    </w:p>
    <w:p>
      <w:pPr>
        <w:pStyle w:val="Compact"/>
        <w:numPr>
          <w:ilvl w:val="0"/>
          <w:numId w:val="1005"/>
        </w:numPr>
      </w:pPr>
      <w:r>
        <w:rPr>
          <w:b/>
          <w:bCs/>
        </w:rPr>
        <w:t xml:space="preserve">Practice Interest active/passive appreciation (§ 6.1)</w:t>
      </w:r>
      <w:r>
        <w:t xml:space="preserve"> </w:t>
      </w:r>
      <w:r>
        <w:t xml:space="preserve">— Wife retains ~80% of appreciation vs. 50%; supported by Strand report.</w:t>
      </w:r>
      <w:r>
        <w:t xml:space="preserve"> </w:t>
      </w:r>
      <w:r>
        <w:rPr>
          <w:i/>
          <w:iCs/>
        </w:rPr>
        <w:t xml:space="preserve">Preserve, with valuation-burden modifications.</w:t>
      </w:r>
    </w:p>
    <w:p>
      <w:pPr>
        <w:pStyle w:val="Compact"/>
        <w:numPr>
          <w:ilvl w:val="0"/>
          <w:numId w:val="1005"/>
        </w:numPr>
      </w:pPr>
      <w:r>
        <w:rPr>
          <w:b/>
          <w:bCs/>
        </w:rPr>
        <w:t xml:space="preserve">24-month Identified Debt satisfaction deadline + quarterly reporting (§ 11.2)</w:t>
      </w:r>
      <w:r>
        <w:t xml:space="preserve"> </w:t>
      </w:r>
      <w:r>
        <w:t xml:space="preserve">— more concrete than</w:t>
      </w:r>
      <w:r>
        <w:t xml:space="preserve"> </w:t>
      </w:r>
      <w:r>
        <w:t xml:space="preserve">“</w:t>
      </w:r>
      <w:r>
        <w:t xml:space="preserve">best efforts.</w:t>
      </w:r>
      <w:r>
        <w:t xml:space="preserve">”</w:t>
      </w:r>
      <w:r>
        <w:t xml:space="preserve"> </w:t>
      </w:r>
      <w:r>
        <w:rPr>
          <w:i/>
          <w:iCs/>
        </w:rPr>
        <w:t xml:space="preserve">Preserve.</w:t>
      </w:r>
    </w:p>
    <w:p>
      <w:pPr>
        <w:pStyle w:val="Compact"/>
        <w:numPr>
          <w:ilvl w:val="0"/>
          <w:numId w:val="1005"/>
        </w:numPr>
      </w:pPr>
      <w:r>
        <w:rPr>
          <w:b/>
          <w:bCs/>
        </w:rPr>
        <w:t xml:space="preserve">Notarization and witness attestation (Article XVI)</w:t>
      </w:r>
      <w:r>
        <w:t xml:space="preserve"> </w:t>
      </w:r>
      <w:r>
        <w:t xml:space="preserve">— strengthens enforceability.</w:t>
      </w:r>
      <w:r>
        <w:t xml:space="preserve"> </w:t>
      </w:r>
      <w:r>
        <w:rPr>
          <w:i/>
          <w:iCs/>
        </w:rPr>
        <w:t xml:space="preserve">Preserve.</w:t>
      </w:r>
    </w:p>
    <w:p>
      <w:pPr>
        <w:pStyle w:val="Compact"/>
        <w:numPr>
          <w:ilvl w:val="0"/>
          <w:numId w:val="1005"/>
        </w:numPr>
      </w:pPr>
      <w:r>
        <w:rPr>
          <w:b/>
          <w:bCs/>
        </w:rPr>
        <w:t xml:space="preserve">Severability clause (§ 15.3)</w:t>
      </w:r>
      <w:r>
        <w:t xml:space="preserve"> </w:t>
      </w:r>
      <w:r>
        <w:t xml:space="preserve">— market-standard.</w:t>
      </w:r>
      <w:r>
        <w:t xml:space="preserve"> </w:t>
      </w:r>
      <w:r>
        <w:rPr>
          <w:i/>
          <w:iCs/>
        </w:rPr>
        <w:t xml:space="preserve">Preserve.</w:t>
      </w:r>
    </w:p>
    <w:p>
      <w:pPr>
        <w:pStyle w:val="Compact"/>
        <w:numPr>
          <w:ilvl w:val="0"/>
          <w:numId w:val="1005"/>
        </w:numPr>
      </w:pPr>
      <w:r>
        <w:rPr>
          <w:b/>
          <w:bCs/>
        </w:rPr>
        <w:t xml:space="preserve">Governing-law savings clause (§ 15.1)</w:t>
      </w:r>
      <w:r>
        <w:t xml:space="preserve"> </w:t>
      </w:r>
      <w:r>
        <w:t xml:space="preserve">— sensible.</w:t>
      </w:r>
      <w:r>
        <w:t xml:space="preserve"> </w:t>
      </w:r>
      <w:r>
        <w:rPr>
          <w:i/>
          <w:iCs/>
        </w:rPr>
        <w:t xml:space="preserve">Preserve.</w:t>
      </w:r>
    </w:p>
    <w:p>
      <w:pPr>
        <w:pStyle w:val="Compact"/>
        <w:numPr>
          <w:ilvl w:val="0"/>
          <w:numId w:val="1005"/>
        </w:numPr>
      </w:pPr>
      <w:r>
        <w:rPr>
          <w:b/>
          <w:bCs/>
        </w:rPr>
        <w:t xml:space="preserve">RSU coverture fraction with hire-date start (§ 7.1)</w:t>
      </w:r>
      <w:r>
        <w:t xml:space="preserve"> </w:t>
      </w:r>
      <w:r>
        <w:t xml:space="preserve">— standard and, given the marriage predates hire, relatively favorable.</w:t>
      </w:r>
      <w:r>
        <w:t xml:space="preserve"> </w:t>
      </w:r>
      <w:r>
        <w:rPr>
          <w:i/>
          <w:iCs/>
        </w:rPr>
        <w:t xml:space="preserve">Preserve (confirm hire-date start).</w:t>
      </w:r>
    </w:p>
    <w:p>
      <w:r>
        <w:pict>
          <v:rect style="width:0;height:1.5pt" o:hralign="center" o:hrstd="t" o:hr="t"/>
        </w:pict>
      </w:r>
    </w:p>
    <w:bookmarkEnd w:id="44"/>
    <w:bookmarkStart w:id="45" w:name="X0f5a5b84ffa36e115857151bf666e2083022dbf"/>
    <w:p>
      <w:pPr>
        <w:pStyle w:val="Heading2"/>
      </w:pPr>
      <w:r>
        <w:t xml:space="preserve">VIII. Provisions Adverse to Wife (Priorities for Restoration/Rejection)</w:t>
      </w:r>
    </w:p>
    <w:p>
      <w:pPr>
        <w:pStyle w:val="FirstParagraph"/>
      </w:pPr>
      <w:r>
        <w:t xml:space="preserve">Listed in order of priority:</w:t>
      </w:r>
    </w:p>
    <w:p>
      <w:pPr>
        <w:pStyle w:val="Compact"/>
        <w:numPr>
          <w:ilvl w:val="0"/>
          <w:numId w:val="1006"/>
        </w:numPr>
      </w:pPr>
      <w:r>
        <w:rPr>
          <w:b/>
          <w:bCs/>
        </w:rPr>
        <w:t xml:space="preserve">Premarital-savings reimbursement deletion (§ 5.2)</w:t>
      </w:r>
      <w:r>
        <w:t xml:space="preserve"> </w:t>
      </w:r>
      <w:r>
        <w:t xml:space="preserve">—</w:t>
      </w:r>
      <w:r>
        <w:t xml:space="preserve"> </w:t>
      </w:r>
      <w:r>
        <w:rPr>
          <w:b/>
          <w:bCs/>
        </w:rPr>
        <w:t xml:space="preserve">NON-NEGOTIABLE.</w:t>
      </w:r>
      <w:r>
        <w:t xml:space="preserve"> </w:t>
      </w:r>
      <w:r>
        <w:t xml:space="preserve">$600,000 loss; client’s #1 objective.</w:t>
      </w:r>
      <w:r>
        <w:t xml:space="preserve"> </w:t>
      </w:r>
      <w:r>
        <w:rPr>
          <w:i/>
          <w:iCs/>
        </w:rPr>
        <w:t xml:space="preserve">Must restore.</w:t>
      </w:r>
    </w:p>
    <w:p>
      <w:pPr>
        <w:pStyle w:val="Compact"/>
        <w:numPr>
          <w:ilvl w:val="0"/>
          <w:numId w:val="1006"/>
        </w:numPr>
      </w:pPr>
      <w:r>
        <w:rPr>
          <w:b/>
          <w:bCs/>
        </w:rPr>
        <w:t xml:space="preserve">Unilateral modification-by-notice (§ 14.2)</w:t>
      </w:r>
      <w:r>
        <w:t xml:space="preserve"> </w:t>
      </w:r>
      <w:r>
        <w:t xml:space="preserve">—</w:t>
      </w:r>
      <w:r>
        <w:t xml:space="preserve"> </w:t>
      </w:r>
      <w:r>
        <w:rPr>
          <w:b/>
          <w:bCs/>
        </w:rPr>
        <w:t xml:space="preserve">NON-NEGOTIABLE.</w:t>
      </w:r>
      <w:r>
        <w:t xml:space="preserve"> </w:t>
      </w:r>
      <w:r>
        <w:t xml:space="preserve">Dangerous default-on-silence mechanism; contradicts client’s explicit instruction.</w:t>
      </w:r>
      <w:r>
        <w:t xml:space="preserve"> </w:t>
      </w:r>
      <w:r>
        <w:rPr>
          <w:i/>
          <w:iCs/>
        </w:rPr>
        <w:t xml:space="preserve">Must reject.</w:t>
      </w:r>
    </w:p>
    <w:p>
      <w:pPr>
        <w:pStyle w:val="Compact"/>
        <w:numPr>
          <w:ilvl w:val="0"/>
          <w:numId w:val="1006"/>
        </w:numPr>
      </w:pPr>
      <w:r>
        <w:rPr>
          <w:b/>
          <w:bCs/>
        </w:rPr>
        <w:t xml:space="preserve">Voidability standard (§ 12.2)</w:t>
      </w:r>
      <w:r>
        <w:t xml:space="preserve"> </w:t>
      </w:r>
      <w:r>
        <w:t xml:space="preserve">—</w:t>
      </w:r>
      <w:r>
        <w:t xml:space="preserve"> </w:t>
      </w:r>
      <w:r>
        <w:rPr>
          <w:b/>
          <w:bCs/>
        </w:rPr>
        <w:t xml:space="preserve">HIGH.</w:t>
      </w:r>
      <w:r>
        <w:t xml:space="preserve"> </w:t>
      </w:r>
      <w:r>
        <w:t xml:space="preserve">Clear-and-convincing/intentional/$100,000 threshold + 2-year limit; contradicts client’s #2 objective and concealment concerns.</w:t>
      </w:r>
      <w:r>
        <w:t xml:space="preserve"> </w:t>
      </w:r>
      <w:r>
        <w:rPr>
          <w:i/>
          <w:iCs/>
        </w:rPr>
        <w:t xml:space="preserve">Must restore material-omission standard.</w:t>
      </w:r>
    </w:p>
    <w:p>
      <w:pPr>
        <w:pStyle w:val="Compact"/>
        <w:numPr>
          <w:ilvl w:val="0"/>
          <w:numId w:val="1006"/>
        </w:numPr>
      </w:pPr>
      <w:r>
        <w:rPr>
          <w:b/>
          <w:bCs/>
        </w:rPr>
        <w:t xml:space="preserve">Ongoing disclosure duty deletion (§ 3.4)</w:t>
      </w:r>
      <w:r>
        <w:t xml:space="preserve"> </w:t>
      </w:r>
      <w:r>
        <w:t xml:space="preserve">and</w:t>
      </w:r>
      <w:r>
        <w:t xml:space="preserve"> </w:t>
      </w:r>
      <w:r>
        <w:rPr>
          <w:b/>
          <w:bCs/>
        </w:rPr>
        <w:t xml:space="preserve">future-debt disclosure deletion (§ 11.3)</w:t>
      </w:r>
      <w:r>
        <w:t xml:space="preserve"> </w:t>
      </w:r>
      <w:r>
        <w:t xml:space="preserve">—</w:t>
      </w:r>
      <w:r>
        <w:t xml:space="preserve"> </w:t>
      </w:r>
      <w:r>
        <w:rPr>
          <w:b/>
          <w:bCs/>
        </w:rPr>
        <w:t xml:space="preserve">HIGH.</w:t>
      </w:r>
      <w:r>
        <w:t xml:space="preserve"> </w:t>
      </w:r>
      <w:r>
        <w:t xml:space="preserve">Removes forward-looking protections.</w:t>
      </w:r>
      <w:r>
        <w:t xml:space="preserve"> </w:t>
      </w:r>
      <w:r>
        <w:rPr>
          <w:i/>
          <w:iCs/>
        </w:rPr>
        <w:t xml:space="preserve">Must restore.</w:t>
      </w:r>
    </w:p>
    <w:p>
      <w:pPr>
        <w:pStyle w:val="Compact"/>
        <w:numPr>
          <w:ilvl w:val="0"/>
          <w:numId w:val="1006"/>
        </w:numPr>
      </w:pPr>
      <w:r>
        <w:rPr>
          <w:b/>
          <w:bCs/>
        </w:rPr>
        <w:t xml:space="preserve">Earned Income definition (§ 2.1(d))</w:t>
      </w:r>
      <w:r>
        <w:t xml:space="preserve"> </w:t>
      </w:r>
      <w:r>
        <w:t xml:space="preserve">—</w:t>
      </w:r>
      <w:r>
        <w:t xml:space="preserve"> </w:t>
      </w:r>
      <w:r>
        <w:rPr>
          <w:b/>
          <w:bCs/>
        </w:rPr>
        <w:t xml:space="preserve">HIGH.</w:t>
      </w:r>
      <w:r>
        <w:t xml:space="preserve"> </w:t>
      </w:r>
      <w:r>
        <w:t xml:space="preserve">Latent maintenance trap; narrows income base.</w:t>
      </w:r>
      <w:r>
        <w:t xml:space="preserve"> </w:t>
      </w:r>
      <w:r>
        <w:rPr>
          <w:i/>
          <w:iCs/>
        </w:rPr>
        <w:t xml:space="preserve">Must restore Gross Income.</w:t>
      </w:r>
    </w:p>
    <w:p>
      <w:pPr>
        <w:pStyle w:val="Compact"/>
        <w:numPr>
          <w:ilvl w:val="0"/>
          <w:numId w:val="1006"/>
        </w:numPr>
      </w:pPr>
      <w:r>
        <w:rPr>
          <w:b/>
          <w:bCs/>
        </w:rPr>
        <w:t xml:space="preserve">Commingling/transmutation reversal (§ 4.3(c))</w:t>
      </w:r>
      <w:r>
        <w:t xml:space="preserve"> </w:t>
      </w:r>
      <w:r>
        <w:t xml:space="preserve">—</w:t>
      </w:r>
      <w:r>
        <w:t xml:space="preserve"> </w:t>
      </w:r>
      <w:r>
        <w:rPr>
          <w:b/>
          <w:bCs/>
        </w:rPr>
        <w:t xml:space="preserve">HIGH.</w:t>
      </w:r>
      <w:r>
        <w:t xml:space="preserve"> </w:t>
      </w:r>
      <w:r>
        <w:t xml:space="preserve">Protects Husband’s inheritance from transmutation.</w:t>
      </w:r>
      <w:r>
        <w:t xml:space="preserve"> </w:t>
      </w:r>
      <w:r>
        <w:rPr>
          <w:i/>
          <w:iCs/>
        </w:rPr>
        <w:t xml:space="preserve">Must restore transmutation presumption.</w:t>
      </w:r>
    </w:p>
    <w:p>
      <w:pPr>
        <w:pStyle w:val="Compact"/>
        <w:numPr>
          <w:ilvl w:val="0"/>
          <w:numId w:val="1006"/>
        </w:numPr>
      </w:pPr>
      <w:r>
        <w:rPr>
          <w:b/>
          <w:bCs/>
        </w:rPr>
        <w:t xml:space="preserve">Debt indemnification de minimis $5,000 (§ 11.2)</w:t>
      </w:r>
      <w:r>
        <w:t xml:space="preserve"> </w:t>
      </w:r>
      <w:r>
        <w:t xml:space="preserve">—</w:t>
      </w:r>
      <w:r>
        <w:t xml:space="preserve"> </w:t>
      </w:r>
      <w:r>
        <w:rPr>
          <w:b/>
          <w:bCs/>
        </w:rPr>
        <w:t xml:space="preserve">HIGH.</w:t>
      </w:r>
      <w:r>
        <w:t xml:space="preserve"> </w:t>
      </w:r>
      <w:r>
        <w:t xml:space="preserve">Contradicts client’s</w:t>
      </w:r>
      <w:r>
        <w:t xml:space="preserve"> </w:t>
      </w:r>
      <w:r>
        <w:t xml:space="preserve">“</w:t>
      </w:r>
      <w:r>
        <w:t xml:space="preserve">no loopholes</w:t>
      </w:r>
      <w:r>
        <w:t xml:space="preserve">”</w:t>
      </w:r>
      <w:r>
        <w:t xml:space="preserve"> </w:t>
      </w:r>
      <w:r>
        <w:t xml:space="preserve">instruction.</w:t>
      </w:r>
      <w:r>
        <w:t xml:space="preserve"> </w:t>
      </w:r>
      <w:r>
        <w:rPr>
          <w:i/>
          <w:iCs/>
        </w:rPr>
        <w:t xml:space="preserve">Must remove threshold.</w:t>
      </w:r>
    </w:p>
    <w:p>
      <w:pPr>
        <w:pStyle w:val="Compact"/>
        <w:numPr>
          <w:ilvl w:val="0"/>
          <w:numId w:val="1006"/>
        </w:numPr>
      </w:pPr>
      <w:r>
        <w:rPr>
          <w:b/>
          <w:bCs/>
        </w:rPr>
        <w:t xml:space="preserve">Venue shift to DuPage (§ 15.2)</w:t>
      </w:r>
      <w:r>
        <w:t xml:space="preserve"> </w:t>
      </w:r>
      <w:r>
        <w:t xml:space="preserve">—</w:t>
      </w:r>
      <w:r>
        <w:t xml:space="preserve"> </w:t>
      </w:r>
      <w:r>
        <w:rPr>
          <w:b/>
          <w:bCs/>
        </w:rPr>
        <w:t xml:space="preserve">MEDIUM-HIGH.</w:t>
      </w:r>
      <w:r>
        <w:t xml:space="preserve"> </w:t>
      </w:r>
      <w:r>
        <w:t xml:space="preserve">Adverse to client’s convenience/objective.</w:t>
      </w:r>
      <w:r>
        <w:t xml:space="preserve"> </w:t>
      </w:r>
      <w:r>
        <w:rPr>
          <w:i/>
          <w:iCs/>
        </w:rPr>
        <w:t xml:space="preserve">Must restore Cook County.</w:t>
      </w:r>
    </w:p>
    <w:p>
      <w:pPr>
        <w:pStyle w:val="Compact"/>
        <w:numPr>
          <w:ilvl w:val="0"/>
          <w:numId w:val="1006"/>
        </w:numPr>
      </w:pPr>
      <w:r>
        <w:rPr>
          <w:b/>
          <w:bCs/>
        </w:rPr>
        <w:t xml:space="preserve">Sunset shortened to 7 years (§ 15.5)</w:t>
      </w:r>
      <w:r>
        <w:t xml:space="preserve"> </w:t>
      </w:r>
      <w:r>
        <w:t xml:space="preserve">—</w:t>
      </w:r>
      <w:r>
        <w:t xml:space="preserve"> </w:t>
      </w:r>
      <w:r>
        <w:rPr>
          <w:b/>
          <w:bCs/>
        </w:rPr>
        <w:t xml:space="preserve">MEDIUM-HIGH.</w:t>
      </w:r>
      <w:r>
        <w:t xml:space="preserve"> </w:t>
      </w:r>
      <w:r>
        <w:t xml:space="preserve">Expires before youngest child’s majority; no renewal.</w:t>
      </w:r>
      <w:r>
        <w:t xml:space="preserve"> </w:t>
      </w:r>
      <w:r>
        <w:rPr>
          <w:i/>
          <w:iCs/>
        </w:rPr>
        <w:t xml:space="preserve">Must restore 15-year term + renewal.</w:t>
      </w:r>
    </w:p>
    <w:p>
      <w:pPr>
        <w:pStyle w:val="Compact"/>
        <w:numPr>
          <w:ilvl w:val="0"/>
          <w:numId w:val="1006"/>
        </w:numPr>
      </w:pPr>
      <w:r>
        <w:rPr>
          <w:b/>
          <w:bCs/>
        </w:rPr>
        <w:t xml:space="preserve">Mutual attorney’s-fees waiver (§ 13.2)</w:t>
      </w:r>
      <w:r>
        <w:t xml:space="preserve"> </w:t>
      </w:r>
      <w:r>
        <w:t xml:space="preserve">—</w:t>
      </w:r>
      <w:r>
        <w:t xml:space="preserve"> </w:t>
      </w:r>
      <w:r>
        <w:rPr>
          <w:b/>
          <w:bCs/>
        </w:rPr>
        <w:t xml:space="preserve">MEDIUM.</w:t>
      </w:r>
      <w:r>
        <w:t xml:space="preserve"> </w:t>
      </w:r>
      <w:r>
        <w:t xml:space="preserve">Removes prevailing-party deterrent.</w:t>
      </w:r>
      <w:r>
        <w:t xml:space="preserve"> </w:t>
      </w:r>
      <w:r>
        <w:rPr>
          <w:i/>
          <w:iCs/>
        </w:rPr>
        <w:t xml:space="preserve">Must restore prevailing-party.</w:t>
      </w:r>
    </w:p>
    <w:p>
      <w:pPr>
        <w:pStyle w:val="Compact"/>
        <w:numPr>
          <w:ilvl w:val="0"/>
          <w:numId w:val="1006"/>
        </w:numPr>
      </w:pPr>
      <w:r>
        <w:rPr>
          <w:b/>
          <w:bCs/>
        </w:rPr>
        <w:t xml:space="preserve">Marital Residence: shorter exercise/payment periods + Husband’s reciprocal purchase right (§ 9.2)</w:t>
      </w:r>
      <w:r>
        <w:t xml:space="preserve"> </w:t>
      </w:r>
      <w:r>
        <w:t xml:space="preserve">—</w:t>
      </w:r>
      <w:r>
        <w:t xml:space="preserve"> </w:t>
      </w:r>
      <w:r>
        <w:rPr>
          <w:b/>
          <w:bCs/>
        </w:rPr>
        <w:t xml:space="preserve">MEDIUM.</w:t>
      </w:r>
      <w:r>
        <w:t xml:space="preserve"> </w:t>
      </w:r>
      <w:r>
        <w:t xml:space="preserve">Undermines client’s home-retention objective.</w:t>
      </w:r>
      <w:r>
        <w:t xml:space="preserve"> </w:t>
      </w:r>
      <w:r>
        <w:rPr>
          <w:i/>
          <w:iCs/>
        </w:rPr>
        <w:t xml:space="preserve">Must restore 60/24-day periods; reject Husband’s purchase right.</w:t>
      </w:r>
    </w:p>
    <w:p>
      <w:pPr>
        <w:pStyle w:val="Compact"/>
        <w:numPr>
          <w:ilvl w:val="0"/>
          <w:numId w:val="1006"/>
        </w:numPr>
      </w:pPr>
      <w:r>
        <w:rPr>
          <w:b/>
          <w:bCs/>
        </w:rPr>
        <w:t xml:space="preserve">Dropped fiduciary-duty acknowledgment and no-pending-proceedings representation</w:t>
      </w:r>
      <w:r>
        <w:t xml:space="preserve"> </w:t>
      </w:r>
      <w:r>
        <w:t xml:space="preserve">—</w:t>
      </w:r>
      <w:r>
        <w:t xml:space="preserve"> </w:t>
      </w:r>
      <w:r>
        <w:rPr>
          <w:b/>
          <w:bCs/>
        </w:rPr>
        <w:t xml:space="preserve">MEDIUM.</w:t>
      </w:r>
      <w:r>
        <w:t xml:space="preserve"> </w:t>
      </w:r>
      <w:r>
        <w:t xml:space="preserve">Weakens enforceability posture.</w:t>
      </w:r>
      <w:r>
        <w:t xml:space="preserve"> </w:t>
      </w:r>
      <w:r>
        <w:rPr>
          <w:i/>
          <w:iCs/>
        </w:rPr>
        <w:t xml:space="preserve">Must restore.</w:t>
      </w:r>
    </w:p>
    <w:p>
      <w:pPr>
        <w:pStyle w:val="Compact"/>
        <w:numPr>
          <w:ilvl w:val="0"/>
          <w:numId w:val="1006"/>
        </w:numPr>
      </w:pPr>
      <w:r>
        <w:rPr>
          <w:b/>
          <w:bCs/>
        </w:rPr>
        <w:t xml:space="preserve">Factual errors (custodians, account numbers, dates)</w:t>
      </w:r>
      <w:r>
        <w:t xml:space="preserve"> </w:t>
      </w:r>
      <w:r>
        <w:t xml:space="preserve">—</w:t>
      </w:r>
      <w:r>
        <w:t xml:space="preserve"> </w:t>
      </w:r>
      <w:r>
        <w:rPr>
          <w:b/>
          <w:bCs/>
        </w:rPr>
        <w:t xml:space="preserve">MEDIUM.</w:t>
      </w:r>
      <w:r>
        <w:t xml:space="preserve"> </w:t>
      </w:r>
      <w:r>
        <w:t xml:space="preserve">Must correct to match Linden &amp; Fosse disclosure.</w:t>
      </w:r>
    </w:p>
    <w:p>
      <w:r>
        <w:pict>
          <v:rect style="width:0;height:1.5pt" o:hralign="center" o:hrstd="t" o:hr="t"/>
        </w:pict>
      </w:r>
    </w:p>
    <w:bookmarkEnd w:id="45"/>
    <w:bookmarkStart w:id="46" w:name="Xecf95e84c6d806f63e03ea7c7fea984b3b384b2"/>
    <w:p>
      <w:pPr>
        <w:pStyle w:val="Heading2"/>
      </w:pPr>
      <w:r>
        <w:t xml:space="preserve">IX. Enforceability and Unconscionability Risk Assessment</w:t>
      </w:r>
    </w:p>
    <w:p>
      <w:pPr>
        <w:pStyle w:val="FirstParagraph"/>
      </w:pPr>
      <w:r>
        <w:t xml:space="preserve">Postnuptial agreements under 750 ILCS 5/502 are enforceable but subject to</w:t>
      </w:r>
      <w:r>
        <w:t xml:space="preserve"> </w:t>
      </w:r>
      <w:r>
        <w:rPr>
          <w:b/>
          <w:bCs/>
        </w:rPr>
        <w:t xml:space="preserve">heightened scrutiny</w:t>
      </w:r>
      <w:r>
        <w:t xml:space="preserve"> </w:t>
      </w:r>
      <w:r>
        <w:t xml:space="preserve">owing to the fiduciary relationship between spouses. Courts examine both procedural fairness (independent counsel, adequate time, full disclosure, absence of duress) and substantive fairness at execution. The following risks should be managed:</w:t>
      </w:r>
    </w:p>
    <w:p>
      <w:pPr>
        <w:numPr>
          <w:ilvl w:val="0"/>
          <w:numId w:val="1007"/>
        </w:numPr>
      </w:pPr>
      <w:r>
        <w:rPr>
          <w:b/>
          <w:bCs/>
        </w:rPr>
        <w:t xml:space="preserve">Substantive unconscionability from the package as a whole.</w:t>
      </w:r>
      <w:r>
        <w:t xml:space="preserve"> </w:t>
      </w:r>
      <w:r>
        <w:t xml:space="preserve">If we were to accept the redline as-is, the combination of (a) eliminating the $1,200,000 premarital reimbursement, (b) the heightened voidability barriers, and (c) the unilateral modification mechanism could support an argument that the agreement is substantively one-sided. Paradoxically, this cuts both ways: the</w:t>
      </w:r>
      <w:r>
        <w:t xml:space="preserve"> </w:t>
      </w:r>
      <w:r>
        <w:rPr>
          <w:i/>
          <w:iCs/>
        </w:rPr>
        <w:t xml:space="preserve">client</w:t>
      </w:r>
      <w:r>
        <w:t xml:space="preserve"> </w:t>
      </w:r>
      <w:r>
        <w:t xml:space="preserve">would be the party disadvantaged by (a) and (b), while</w:t>
      </w:r>
      <w:r>
        <w:t xml:space="preserve"> </w:t>
      </w:r>
      <w:r>
        <w:rPr>
          <w:i/>
          <w:iCs/>
        </w:rPr>
        <w:t xml:space="preserve">Husband</w:t>
      </w:r>
      <w:r>
        <w:t xml:space="preserve"> </w:t>
      </w:r>
      <w:r>
        <w:t xml:space="preserve">would be disadvantaged by the maintenance waiver. Restoring the client-protective provisions (reimbursement, disclosure, mutual modification) actually</w:t>
      </w:r>
      <w:r>
        <w:t xml:space="preserve"> </w:t>
      </w:r>
      <w:r>
        <w:rPr>
          <w:i/>
          <w:iCs/>
        </w:rPr>
        <w:t xml:space="preserve">improves</w:t>
      </w:r>
      <w:r>
        <w:t xml:space="preserve"> </w:t>
      </w:r>
      <w:r>
        <w:t xml:space="preserve">the agreement’s overall fairness profile and reduces unconscionability exposure for both sides.</w:t>
      </w:r>
    </w:p>
    <w:p>
      <w:pPr>
        <w:numPr>
          <w:ilvl w:val="0"/>
          <w:numId w:val="1007"/>
        </w:numPr>
      </w:pPr>
      <w:r>
        <w:rPr>
          <w:b/>
          <w:bCs/>
        </w:rPr>
        <w:t xml:space="preserve">Maintenance waiver unconscionability.</w:t>
      </w:r>
      <w:r>
        <w:t xml:space="preserve"> </w:t>
      </w:r>
      <w:r>
        <w:t xml:space="preserve">A complete, irrevocable maintenance waiver for a spouse in an 11+ year marriage may be scrutinized, though Husband’s strong financial position ($305,000 income + $3.8M inheritance) provides a fairness argument. Pairing the waiver with the Gross Income calculation base (so the fallback is reasonable) mitigates the risk. Consider whether a higher threshold or a</w:t>
      </w:r>
      <w:r>
        <w:t xml:space="preserve"> </w:t>
      </w:r>
      <w:r>
        <w:t xml:space="preserve">“</w:t>
      </w:r>
      <w:r>
        <w:t xml:space="preserve">material change in circumstances</w:t>
      </w:r>
      <w:r>
        <w:t xml:space="preserve">”</w:t>
      </w:r>
      <w:r>
        <w:t xml:space="preserve"> </w:t>
      </w:r>
      <w:r>
        <w:t xml:space="preserve">reopener would improve defensibility.</w:t>
      </w:r>
    </w:p>
    <w:p>
      <w:pPr>
        <w:numPr>
          <w:ilvl w:val="0"/>
          <w:numId w:val="1007"/>
        </w:numPr>
      </w:pPr>
      <w:r>
        <w:rPr>
          <w:b/>
          <w:bCs/>
        </w:rPr>
        <w:t xml:space="preserve">Unilateral modification enforceability.</w:t>
      </w:r>
      <w:r>
        <w:t xml:space="preserve"> </w:t>
      </w:r>
      <w:r>
        <w:t xml:space="preserve">The default-on-silence modification mechanism (§ 14.2) is questionable under 750 ILCS 5/502, which contemplates mutual assent. Even if a court declined to enforce a unilateral modification, the provision creates ambiguity and litigation cost. Rejecting it eliminates the risk entirely.</w:t>
      </w:r>
    </w:p>
    <w:p>
      <w:pPr>
        <w:numPr>
          <w:ilvl w:val="0"/>
          <w:numId w:val="1007"/>
        </w:numPr>
      </w:pPr>
      <w:r>
        <w:rPr>
          <w:b/>
          <w:bCs/>
        </w:rPr>
        <w:t xml:space="preserve">Disclosure adequacy.</w:t>
      </w:r>
      <w:r>
        <w:t xml:space="preserve"> </w:t>
      </w:r>
      <w:r>
        <w:t xml:space="preserve">The heightened voidability standard, if accepted, would make the agreement harder to challenge for non-disclosure — but it would also make the agreement</w:t>
      </w:r>
      <w:r>
        <w:t xml:space="preserve"> </w:t>
      </w:r>
      <w:r>
        <w:rPr>
          <w:i/>
          <w:iCs/>
        </w:rPr>
        <w:t xml:space="preserve">more vulnerable</w:t>
      </w:r>
      <w:r>
        <w:t xml:space="preserve"> </w:t>
      </w:r>
      <w:r>
        <w:t xml:space="preserve">to a later argument that the disclosure regime was inadequate given Husband’s concealment history, potentially undermining the very finality it seeks to achieve. The client-protective material-omission standard is both fairer and more defensible.</w:t>
      </w:r>
    </w:p>
    <w:p>
      <w:pPr>
        <w:numPr>
          <w:ilvl w:val="0"/>
          <w:numId w:val="1007"/>
        </w:numPr>
      </w:pPr>
      <w:r>
        <w:rPr>
          <w:b/>
          <w:bCs/>
        </w:rPr>
        <w:t xml:space="preserve">Factual accuracy.</w:t>
      </w:r>
      <w:r>
        <w:t xml:space="preserve"> </w:t>
      </w:r>
      <w:r>
        <w:t xml:space="preserve">The custodian/account-number/date errors in the redline (Section IV) should be corrected; inaccurate recitals can be leveraged to challenge the agreement’s reliability.</w:t>
      </w:r>
    </w:p>
    <w:p>
      <w:r>
        <w:pict>
          <v:rect style="width:0;height:1.5pt" o:hralign="center" o:hrstd="t" o:hr="t"/>
        </w:pict>
      </w:r>
    </w:p>
    <w:bookmarkEnd w:id="46"/>
    <w:bookmarkStart w:id="53" w:name="X2c60d97972e76addedcce528e3601cc7c444d76"/>
    <w:p>
      <w:pPr>
        <w:pStyle w:val="Heading2"/>
      </w:pPr>
      <w:r>
        <w:t xml:space="preserve">X. Negotiation Strategy and Recommendations</w:t>
      </w:r>
    </w:p>
    <w:bookmarkStart w:id="47" w:name="a.-guiding-principles"/>
    <w:p>
      <w:pPr>
        <w:pStyle w:val="Heading3"/>
      </w:pPr>
      <w:r>
        <w:t xml:space="preserve">A. Guiding Principles</w:t>
      </w:r>
    </w:p>
    <w:p>
      <w:pPr>
        <w:pStyle w:val="Compact"/>
        <w:numPr>
          <w:ilvl w:val="0"/>
          <w:numId w:val="1008"/>
        </w:numPr>
      </w:pPr>
      <w:r>
        <w:rPr>
          <w:b/>
          <w:bCs/>
        </w:rPr>
        <w:t xml:space="preserve">Treat the redline as a settlement position, not a clarification.</w:t>
      </w:r>
      <w:r>
        <w:t xml:space="preserve"> </w:t>
      </w:r>
      <w:r>
        <w:t xml:space="preserve">Mr. Baxter’s framing (</w:t>
      </w:r>
      <w:r>
        <w:t xml:space="preserve">“</w:t>
      </w:r>
      <w:r>
        <w:t xml:space="preserve">modest,</w:t>
      </w:r>
      <w:r>
        <w:t xml:space="preserve">”</w:t>
      </w:r>
      <w:r>
        <w:t xml:space="preserve"> </w:t>
      </w:r>
      <w:r>
        <w:t xml:space="preserve">“</w:t>
      </w:r>
      <w:r>
        <w:t xml:space="preserve">balanced,</w:t>
      </w:r>
      <w:r>
        <w:t xml:space="preserve">”</w:t>
      </w:r>
      <w:r>
        <w:t xml:space="preserve"> </w:t>
      </w:r>
      <w:r>
        <w:t xml:space="preserve">“</w:t>
      </w:r>
      <w:r>
        <w:t xml:space="preserve">not far from where we started</w:t>
      </w:r>
      <w:r>
        <w:t xml:space="preserve">”</w:t>
      </w:r>
      <w:r>
        <w:t xml:space="preserve">) is not borne out by the text. We should not be lulled into accepting adverse changes as routine.</w:t>
      </w:r>
    </w:p>
    <w:p>
      <w:pPr>
        <w:pStyle w:val="Compact"/>
        <w:numPr>
          <w:ilvl w:val="0"/>
          <w:numId w:val="1008"/>
        </w:numPr>
      </w:pPr>
      <w:r>
        <w:rPr>
          <w:b/>
          <w:bCs/>
        </w:rPr>
        <w:t xml:space="preserve">Lead with the non-negotiables.</w:t>
      </w:r>
      <w:r>
        <w:t xml:space="preserve"> </w:t>
      </w:r>
      <w:r>
        <w:t xml:space="preserve">The premarital reimbursement and the mutual-modification requirement are deal-breakers. Establish these early and unambiguously.</w:t>
      </w:r>
    </w:p>
    <w:p>
      <w:pPr>
        <w:pStyle w:val="Compact"/>
        <w:numPr>
          <w:ilvl w:val="0"/>
          <w:numId w:val="1008"/>
        </w:numPr>
      </w:pPr>
      <w:r>
        <w:rPr>
          <w:b/>
          <w:bCs/>
        </w:rPr>
        <w:t xml:space="preserve">Preserve Husband’s concessions.</w:t>
      </w:r>
      <w:r>
        <w:t xml:space="preserve"> </w:t>
      </w:r>
      <w:r>
        <w:t xml:space="preserve">The maintenance waiver, the 3-year cap, and the active/passive practice appreciation are favorable and were offered by opposing counsel. We should accept them promptly (without belaboring why they favor us) so they are not withdrawn, while managing their risks (Gross Income base; valuation-burden modifications).</w:t>
      </w:r>
    </w:p>
    <w:p>
      <w:pPr>
        <w:pStyle w:val="Compact"/>
        <w:numPr>
          <w:ilvl w:val="0"/>
          <w:numId w:val="1008"/>
        </w:numPr>
      </w:pPr>
      <w:r>
        <w:rPr>
          <w:b/>
          <w:bCs/>
        </w:rPr>
        <w:t xml:space="preserve">Use the favorable items as trade value, not as justification for the adverse items.</w:t>
      </w:r>
      <w:r>
        <w:t xml:space="preserve"> </w:t>
      </w:r>
      <w:r>
        <w:t xml:space="preserve">The $35,000–$60,000 maintenance savings and the speculative practice-appreciation benefit do not begin to offset the $600,000 premarital loss. Do not let opposing counsel argue</w:t>
      </w:r>
      <w:r>
        <w:t xml:space="preserve"> </w:t>
      </w:r>
      <w:r>
        <w:t xml:space="preserve">“</w:t>
      </w:r>
      <w:r>
        <w:t xml:space="preserve">the package is balanced.</w:t>
      </w:r>
      <w:r>
        <w:t xml:space="preserve">”</w:t>
      </w:r>
    </w:p>
    <w:p>
      <w:pPr>
        <w:pStyle w:val="Compact"/>
        <w:numPr>
          <w:ilvl w:val="0"/>
          <w:numId w:val="1008"/>
        </w:numPr>
      </w:pPr>
      <w:r>
        <w:rPr>
          <w:b/>
          <w:bCs/>
        </w:rPr>
        <w:t xml:space="preserve">Correct the factual record.</w:t>
      </w:r>
      <w:r>
        <w:t xml:space="preserve"> </w:t>
      </w:r>
      <w:r>
        <w:t xml:space="preserve">Insist that all custodian, account-number, and date references match the Linden &amp; Fosse disclosure and primary documents.</w:t>
      </w:r>
    </w:p>
    <w:bookmarkEnd w:id="47"/>
    <w:bookmarkStart w:id="48" w:name="b.-non-negotiable-items-deal-breakers"/>
    <w:p>
      <w:pPr>
        <w:pStyle w:val="Heading3"/>
      </w:pPr>
      <w:r>
        <w:t xml:space="preserve">B. Non-Negotiable Items (Deal-Breakers)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Position</w:t>
            </w:r>
          </w:p>
        </w:tc>
        <w:tc>
          <w:tcPr/>
          <w:p>
            <w:pPr>
              <w:pStyle w:val="Compact"/>
              <w:jc w:val="left"/>
            </w:pPr>
            <w:r>
              <w:t xml:space="preserve">Rationale</w:t>
            </w:r>
          </w:p>
        </w:tc>
      </w:tr>
      <w:tr>
        <w:tc>
          <w:tcPr/>
          <w:p>
            <w:pPr>
              <w:pStyle w:val="Compact"/>
              <w:jc w:val="left"/>
            </w:pPr>
            <w:r>
              <w:t xml:space="preserve">Restore § 5.2 premarital-savings reimbursement ($1,200,000, first-priority)</w:t>
            </w:r>
          </w:p>
        </w:tc>
        <w:tc>
          <w:tcPr/>
          <w:p>
            <w:pPr>
              <w:pStyle w:val="Compact"/>
              <w:jc w:val="left"/>
            </w:pPr>
            <w:r>
              <w:t xml:space="preserve">Must restore in full</w:t>
            </w:r>
          </w:p>
        </w:tc>
        <w:tc>
          <w:tcPr/>
          <w:p>
            <w:pPr>
              <w:pStyle w:val="Compact"/>
              <w:jc w:val="left"/>
            </w:pPr>
            <w:r>
              <w:t xml:space="preserve">Client’s #1, expressly non-negotiable objective; $600,000 impact; tracing documented</w:t>
            </w:r>
          </w:p>
        </w:tc>
      </w:tr>
      <w:tr>
        <w:tc>
          <w:tcPr/>
          <w:p>
            <w:pPr>
              <w:pStyle w:val="Compact"/>
              <w:jc w:val="left"/>
            </w:pPr>
            <w:r>
              <w:t xml:space="preserve">Reject § 14.2 unilateral modification; restore mutual written consent</w:t>
            </w:r>
          </w:p>
        </w:tc>
        <w:tc>
          <w:tcPr/>
          <w:p>
            <w:pPr>
              <w:pStyle w:val="Compact"/>
              <w:jc w:val="left"/>
            </w:pPr>
            <w:r>
              <w:t xml:space="preserve">Must reject entirely</w:t>
            </w:r>
          </w:p>
        </w:tc>
        <w:tc>
          <w:tcPr/>
          <w:p>
            <w:pPr>
              <w:pStyle w:val="Compact"/>
              <w:jc w:val="left"/>
            </w:pPr>
            <w:r>
              <w:t xml:space="preserve">Dangerous default-on-silence mechanism; contradicts client instruction; questionable enforceability</w:t>
            </w:r>
          </w:p>
        </w:tc>
      </w:tr>
    </w:tbl>
    <w:bookmarkEnd w:id="48"/>
    <w:bookmarkStart w:id="49" w:name="Xfdb6c36d7741b30df467d7088fd8d03e8bcd055"/>
    <w:p>
      <w:pPr>
        <w:pStyle w:val="Heading3"/>
      </w:pPr>
      <w:r>
        <w:t xml:space="preserve">C. High-Priority Items (Reject or Materially Counter)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Position</w:t>
            </w:r>
          </w:p>
        </w:tc>
        <w:tc>
          <w:tcPr/>
          <w:p>
            <w:pPr>
              <w:pStyle w:val="Compact"/>
              <w:jc w:val="left"/>
            </w:pPr>
            <w:r>
              <w:t xml:space="preserve">Rationale</w:t>
            </w:r>
          </w:p>
        </w:tc>
      </w:tr>
      <w:tr>
        <w:tc>
          <w:tcPr/>
          <w:p>
            <w:pPr>
              <w:pStyle w:val="Compact"/>
              <w:jc w:val="left"/>
            </w:pPr>
            <w:r>
              <w:t xml:space="preserve">Restore material-omission voidability standard (§ 12.2 / § 3.3); reject clear-and-convincing/intentional/$100,000/2-year</w:t>
            </w:r>
          </w:p>
        </w:tc>
        <w:tc>
          <w:tcPr/>
          <w:p>
            <w:pPr>
              <w:pStyle w:val="Compact"/>
              <w:jc w:val="left"/>
            </w:pPr>
            <w:r>
              <w:t xml:space="preserve">Restore</w:t>
            </w:r>
          </w:p>
        </w:tc>
        <w:tc>
          <w:tcPr/>
          <w:p>
            <w:pPr>
              <w:pStyle w:val="Compact"/>
              <w:jc w:val="left"/>
            </w:pPr>
            <w:r>
              <w:t xml:space="preserve">Client’s #2 objective; concealment history; intake memo recommendation</w:t>
            </w:r>
          </w:p>
        </w:tc>
      </w:tr>
      <w:tr>
        <w:tc>
          <w:tcPr/>
          <w:p>
            <w:pPr>
              <w:pStyle w:val="Compact"/>
              <w:jc w:val="left"/>
            </w:pPr>
            <w:r>
              <w:t xml:space="preserve">Restore ongoing disclosure duty (§ 3.4) and future-debt disclosure (§ 11.3)</w:t>
            </w:r>
          </w:p>
        </w:tc>
        <w:tc>
          <w:tcPr/>
          <w:p>
            <w:pPr>
              <w:pStyle w:val="Compact"/>
              <w:jc w:val="left"/>
            </w:pPr>
            <w:r>
              <w:t xml:space="preserve">Restore</w:t>
            </w:r>
          </w:p>
        </w:tc>
        <w:tc>
          <w:tcPr/>
          <w:p>
            <w:pPr>
              <w:pStyle w:val="Compact"/>
              <w:jc w:val="left"/>
            </w:pPr>
            <w:r>
              <w:t xml:space="preserve">Forward-looking protection client requested</w:t>
            </w:r>
          </w:p>
        </w:tc>
      </w:tr>
      <w:tr>
        <w:tc>
          <w:tcPr/>
          <w:p>
            <w:pPr>
              <w:pStyle w:val="Compact"/>
              <w:jc w:val="left"/>
            </w:pPr>
            <w:r>
              <w:t xml:space="preserve">Restore</w:t>
            </w:r>
            <w:r>
              <w:t xml:space="preserve"> </w:t>
            </w:r>
            <w:r>
              <w:t xml:space="preserve">“</w:t>
            </w:r>
            <w:r>
              <w:t xml:space="preserve">Gross Income</w:t>
            </w:r>
            <w:r>
              <w:t xml:space="preserve">”</w:t>
            </w:r>
            <w:r>
              <w:t xml:space="preserve"> </w:t>
            </w:r>
            <w:r>
              <w:t xml:space="preserve">definition; reject</w:t>
            </w:r>
            <w:r>
              <w:t xml:space="preserve"> </w:t>
            </w:r>
            <w:r>
              <w:t xml:space="preserve">“</w:t>
            </w:r>
            <w:r>
              <w:t xml:space="preserve">Earned Income</w:t>
            </w:r>
            <w:r>
              <w:t xml:space="preserve">”</w:t>
            </w:r>
            <w:r>
              <w:t xml:space="preserve"> </w:t>
            </w:r>
            <w:r>
              <w:t xml:space="preserve">for maintenance</w:t>
            </w:r>
          </w:p>
        </w:tc>
        <w:tc>
          <w:tcPr/>
          <w:p>
            <w:pPr>
              <w:pStyle w:val="Compact"/>
              <w:jc w:val="left"/>
            </w:pPr>
            <w:r>
              <w:t xml:space="preserve">Restore</w:t>
            </w:r>
          </w:p>
        </w:tc>
        <w:tc>
          <w:tcPr/>
          <w:p>
            <w:pPr>
              <w:pStyle w:val="Compact"/>
              <w:jc w:val="left"/>
            </w:pPr>
            <w:r>
              <w:t xml:space="preserve">Eliminates latent maintenance trap; client-protective in fallback scenario</w:t>
            </w:r>
          </w:p>
        </w:tc>
      </w:tr>
      <w:tr>
        <w:tc>
          <w:tcPr/>
          <w:p>
            <w:pPr>
              <w:pStyle w:val="Compact"/>
              <w:jc w:val="left"/>
            </w:pPr>
            <w:r>
              <w:t xml:space="preserve">Restore transmutation presumption for separate property used for joint benefit (§ 4.3)</w:t>
            </w:r>
          </w:p>
        </w:tc>
        <w:tc>
          <w:tcPr/>
          <w:p>
            <w:pPr>
              <w:pStyle w:val="Compact"/>
              <w:jc w:val="left"/>
            </w:pPr>
            <w:r>
              <w:t xml:space="preserve">Restore</w:t>
            </w:r>
          </w:p>
        </w:tc>
        <w:tc>
          <w:tcPr/>
          <w:p>
            <w:pPr>
              <w:pStyle w:val="Compact"/>
              <w:jc w:val="left"/>
            </w:pPr>
            <w:r>
              <w:t xml:space="preserve">Protects Wife’s leverage re: Husband’s inheritance deployment</w:t>
            </w:r>
          </w:p>
        </w:tc>
      </w:tr>
      <w:tr>
        <w:tc>
          <w:tcPr/>
          <w:p>
            <w:pPr>
              <w:pStyle w:val="Compact"/>
              <w:jc w:val="left"/>
            </w:pPr>
            <w:r>
              <w:t xml:space="preserve">Remove $5,000 de minimis on debt indemnification (§ 11.2)</w:t>
            </w:r>
          </w:p>
        </w:tc>
        <w:tc>
          <w:tcPr/>
          <w:p>
            <w:pPr>
              <w:pStyle w:val="Compact"/>
              <w:jc w:val="left"/>
            </w:pPr>
            <w:r>
              <w:t xml:space="preserve">Remove threshold</w:t>
            </w:r>
          </w:p>
        </w:tc>
        <w:tc>
          <w:tcPr/>
          <w:p>
            <w:pPr>
              <w:pStyle w:val="Compact"/>
              <w:jc w:val="left"/>
            </w:pPr>
            <w:r>
              <w:t xml:space="preserve">Client’s explicit</w:t>
            </w:r>
            <w:r>
              <w:t xml:space="preserve"> </w:t>
            </w:r>
            <w:r>
              <w:t xml:space="preserve">“</w:t>
            </w:r>
            <w:r>
              <w:t xml:space="preserve">no loopholes</w:t>
            </w:r>
            <w:r>
              <w:t xml:space="preserve">”</w:t>
            </w:r>
            <w:r>
              <w:t xml:space="preserve"> </w:t>
            </w:r>
            <w:r>
              <w:t xml:space="preserve">instruction</w:t>
            </w:r>
          </w:p>
        </w:tc>
      </w:tr>
      <w:tr>
        <w:tc>
          <w:tcPr/>
          <w:p>
            <w:pPr>
              <w:pStyle w:val="Compact"/>
              <w:jc w:val="left"/>
            </w:pPr>
            <w:r>
              <w:t xml:space="preserve">Restore Cook County venue (§ 15.2)</w:t>
            </w:r>
          </w:p>
        </w:tc>
        <w:tc>
          <w:tcPr/>
          <w:p>
            <w:pPr>
              <w:pStyle w:val="Compact"/>
              <w:jc w:val="left"/>
            </w:pPr>
            <w:r>
              <w:t xml:space="preserve">Restore</w:t>
            </w:r>
          </w:p>
        </w:tc>
        <w:tc>
          <w:tcPr/>
          <w:p>
            <w:pPr>
              <w:pStyle w:val="Compact"/>
              <w:jc w:val="left"/>
            </w:pPr>
            <w:r>
              <w:t xml:space="preserve">Residence, children, counsel all Cook County; client objective</w:t>
            </w:r>
          </w:p>
        </w:tc>
      </w:tr>
      <w:tr>
        <w:tc>
          <w:tcPr/>
          <w:p>
            <w:pPr>
              <w:pStyle w:val="Compact"/>
              <w:jc w:val="left"/>
            </w:pPr>
            <w:r>
              <w:t xml:space="preserve">Restore 15-year sunset + renewal (§ 15.5)</w:t>
            </w:r>
          </w:p>
        </w:tc>
        <w:tc>
          <w:tcPr/>
          <w:p>
            <w:pPr>
              <w:pStyle w:val="Compact"/>
              <w:jc w:val="left"/>
            </w:pPr>
            <w:r>
              <w:t xml:space="preserve">Restore</w:t>
            </w:r>
          </w:p>
        </w:tc>
        <w:tc>
          <w:tcPr/>
          <w:p>
            <w:pPr>
              <w:pStyle w:val="Compact"/>
              <w:jc w:val="left"/>
            </w:pPr>
            <w:r>
              <w:t xml:space="preserve">Coverage through children’s majority; client objective</w:t>
            </w:r>
          </w:p>
        </w:tc>
      </w:tr>
      <w:tr>
        <w:tc>
          <w:tcPr/>
          <w:p>
            <w:pPr>
              <w:pStyle w:val="Compact"/>
              <w:jc w:val="left"/>
            </w:pPr>
            <w:r>
              <w:t xml:space="preserve">Restore prevailing-party attorney’s fees (§ 13.2)</w:t>
            </w:r>
          </w:p>
        </w:tc>
        <w:tc>
          <w:tcPr/>
          <w:p>
            <w:pPr>
              <w:pStyle w:val="Compact"/>
              <w:jc w:val="left"/>
            </w:pPr>
            <w:r>
              <w:t xml:space="preserve">Restore</w:t>
            </w:r>
          </w:p>
        </w:tc>
        <w:tc>
          <w:tcPr/>
          <w:p>
            <w:pPr>
              <w:pStyle w:val="Compact"/>
              <w:jc w:val="left"/>
            </w:pPr>
            <w:r>
              <w:t xml:space="preserve">Deterrent to frivolous challenges; client objective</w:t>
            </w:r>
          </w:p>
        </w:tc>
      </w:tr>
    </w:tbl>
    <w:bookmarkEnd w:id="49"/>
    <w:bookmarkStart w:id="50" w:name="Xc1117e59c9ed6fc6b37e9987ea19135cc1fc94d"/>
    <w:p>
      <w:pPr>
        <w:pStyle w:val="Heading3"/>
      </w:pPr>
      <w:r>
        <w:t xml:space="preserve">D. Items to Accept or Accept with Modification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Position</w:t>
            </w:r>
          </w:p>
        </w:tc>
        <w:tc>
          <w:tcPr/>
          <w:p>
            <w:pPr>
              <w:pStyle w:val="Compact"/>
              <w:jc w:val="left"/>
            </w:pPr>
            <w:r>
              <w:t xml:space="preserve">Modification</w:t>
            </w:r>
          </w:p>
        </w:tc>
      </w:tr>
      <w:tr>
        <w:tc>
          <w:tcPr/>
          <w:p>
            <w:pPr>
              <w:pStyle w:val="Compact"/>
              <w:jc w:val="left"/>
            </w:pPr>
            <w:r>
              <w:t xml:space="preserve">Automatic maintenance waiver (§ 10.3)</w:t>
            </w:r>
          </w:p>
        </w:tc>
        <w:tc>
          <w:tcPr/>
          <w:p>
            <w:pPr>
              <w:pStyle w:val="Compact"/>
              <w:jc w:val="left"/>
            </w:pPr>
            <w:r>
              <w:t xml:space="preserve">Accept</w:t>
            </w:r>
          </w:p>
        </w:tc>
        <w:tc>
          <w:tcPr/>
          <w:p>
            <w:pPr>
              <w:pStyle w:val="Compact"/>
              <w:jc w:val="left"/>
            </w:pPr>
            <w:r>
              <w:t xml:space="preserve">Pair with Gross Income base; consider higher threshold or reopener for defensibility</w:t>
            </w:r>
          </w:p>
        </w:tc>
      </w:tr>
      <w:tr>
        <w:tc>
          <w:tcPr/>
          <w:p>
            <w:pPr>
              <w:pStyle w:val="Compact"/>
              <w:jc w:val="left"/>
            </w:pPr>
            <w:r>
              <w:t xml:space="preserve">3-year maintenance cap (§ 10.2)</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Active/passive practice appreciation (§ 6.1)</w:t>
            </w:r>
          </w:p>
        </w:tc>
        <w:tc>
          <w:tcPr/>
          <w:p>
            <w:pPr>
              <w:pStyle w:val="Compact"/>
              <w:jc w:val="left"/>
            </w:pPr>
            <w:r>
              <w:t xml:space="preserve">Accept</w:t>
            </w:r>
          </w:p>
        </w:tc>
        <w:tc>
          <w:tcPr/>
          <w:p>
            <w:pPr>
              <w:pStyle w:val="Compact"/>
              <w:jc w:val="left"/>
            </w:pPr>
            <w:r>
              <w:t xml:space="preserve">Add: same methodology as Strand; cost cap/allocation; 60/40 presumptive default; Strand as default valuator</w:t>
            </w:r>
          </w:p>
        </w:tc>
      </w:tr>
      <w:tr>
        <w:tc>
          <w:tcPr/>
          <w:p>
            <w:pPr>
              <w:pStyle w:val="Compact"/>
              <w:jc w:val="left"/>
            </w:pPr>
            <w:r>
              <w:t xml:space="preserve">RSU coverture fraction (§ 7.1)</w:t>
            </w:r>
          </w:p>
        </w:tc>
        <w:tc>
          <w:tcPr/>
          <w:p>
            <w:pPr>
              <w:pStyle w:val="Compact"/>
              <w:jc w:val="left"/>
            </w:pPr>
            <w:r>
              <w:t xml:space="preserve">Accept</w:t>
            </w:r>
          </w:p>
        </w:tc>
        <w:tc>
          <w:tcPr/>
          <w:p>
            <w:pPr>
              <w:pStyle w:val="Compact"/>
              <w:jc w:val="left"/>
            </w:pPr>
            <w:r>
              <w:t xml:space="preserve">Confirm hire-date start (favorable); accept tax provisions</w:t>
            </w:r>
          </w:p>
        </w:tc>
      </w:tr>
      <w:tr>
        <w:tc>
          <w:tcPr/>
          <w:p>
            <w:pPr>
              <w:pStyle w:val="Compact"/>
              <w:jc w:val="left"/>
            </w:pPr>
            <w:r>
              <w:t xml:space="preserve">24-month debt satisfaction + quarterly reporting (§ 11.2)</w:t>
            </w:r>
          </w:p>
        </w:tc>
        <w:tc>
          <w:tcPr/>
          <w:p>
            <w:pPr>
              <w:pStyle w:val="Compact"/>
              <w:jc w:val="left"/>
            </w:pPr>
            <w:r>
              <w:t xml:space="preserve">Accept</w:t>
            </w:r>
          </w:p>
        </w:tc>
        <w:tc>
          <w:tcPr/>
          <w:p>
            <w:pPr>
              <w:pStyle w:val="Compact"/>
              <w:jc w:val="left"/>
            </w:pPr>
            <w:r>
              <w:t xml:space="preserve">Remove de minimis threshold (see above)</w:t>
            </w:r>
          </w:p>
        </w:tc>
      </w:tr>
      <w:tr>
        <w:tc>
          <w:tcPr/>
          <w:p>
            <w:pPr>
              <w:pStyle w:val="Compact"/>
              <w:jc w:val="left"/>
            </w:pPr>
            <w:r>
              <w:t xml:space="preserve">Notarization + witness attestation (Art. XVI)</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Severability (§ 15.3) and governing-law savings clause (§ 15.1)</w:t>
            </w:r>
          </w:p>
        </w:tc>
        <w:tc>
          <w:tcPr/>
          <w:p>
            <w:pPr>
              <w:pStyle w:val="Compact"/>
              <w:jc w:val="left"/>
            </w:pPr>
            <w:r>
              <w:t xml:space="preserve">Accept</w:t>
            </w:r>
          </w:p>
        </w:tc>
        <w:tc>
          <w:tcPr/>
          <w:p>
            <w:pPr>
              <w:pStyle w:val="Compact"/>
              <w:jc w:val="left"/>
            </w:pPr>
            <w:r>
              <w:t xml:space="preserve">—</w:t>
            </w:r>
          </w:p>
        </w:tc>
      </w:tr>
      <w:tr>
        <w:tc>
          <w:tcPr/>
          <w:p>
            <w:pPr>
              <w:pStyle w:val="Compact"/>
              <w:jc w:val="left"/>
            </w:pPr>
            <w:r>
              <w:t xml:space="preserve">Marital Residence buyout lien/security (§ 9.2)</w:t>
            </w:r>
          </w:p>
        </w:tc>
        <w:tc>
          <w:tcPr/>
          <w:p>
            <w:pPr>
              <w:pStyle w:val="Compact"/>
              <w:jc w:val="left"/>
            </w:pPr>
            <w:r>
              <w:t xml:space="preserve">Accept</w:t>
            </w:r>
          </w:p>
        </w:tc>
        <w:tc>
          <w:tcPr/>
          <w:p>
            <w:pPr>
              <w:pStyle w:val="Compact"/>
              <w:jc w:val="left"/>
            </w:pPr>
            <w:r>
              <w:t xml:space="preserve">Restore 60-day exercise / 24-month payment; reject Husband’s reciprocal purchase right</w:t>
            </w:r>
          </w:p>
        </w:tc>
      </w:tr>
    </w:tbl>
    <w:bookmarkEnd w:id="50"/>
    <w:bookmarkStart w:id="51" w:name="e.-bargaining-chips-and-trade-off-logic"/>
    <w:p>
      <w:pPr>
        <w:pStyle w:val="Heading3"/>
      </w:pPr>
      <w:r>
        <w:t xml:space="preserve">E. Bargaining Chips and Trade-Off Logic</w:t>
      </w:r>
    </w:p>
    <w:p>
      <w:pPr>
        <w:pStyle w:val="FirstParagraph"/>
      </w:pPr>
      <w:r>
        <w:t xml:space="preserve">If opposing counsel resists the non-negotiables, the following trade architecture is available:</w:t>
      </w:r>
    </w:p>
    <w:p>
      <w:pPr>
        <w:pStyle w:val="Compact"/>
        <w:numPr>
          <w:ilvl w:val="0"/>
          <w:numId w:val="1009"/>
        </w:numPr>
      </w:pPr>
      <w:r>
        <w:rPr>
          <w:b/>
          <w:bCs/>
        </w:rPr>
        <w:t xml:space="preserve">The maintenance waiver is our strongest chip.</w:t>
      </w:r>
      <w:r>
        <w:t xml:space="preserve"> </w:t>
      </w:r>
      <w:r>
        <w:t xml:space="preserve">It is worth far more to Husband</w:t>
      </w:r>
      <w:r>
        <w:t xml:space="preserve"> </w:t>
      </w:r>
      <w:r>
        <w:rPr>
          <w:i/>
          <w:iCs/>
        </w:rPr>
        <w:t xml:space="preserve">not</w:t>
      </w:r>
      <w:r>
        <w:t xml:space="preserve"> </w:t>
      </w:r>
      <w:r>
        <w:t xml:space="preserve">to have it than it is worth to us in absolute dollars — but it is worth more to</w:t>
      </w:r>
      <w:r>
        <w:t xml:space="preserve"> </w:t>
      </w:r>
      <w:r>
        <w:rPr>
          <w:i/>
          <w:iCs/>
        </w:rPr>
        <w:t xml:space="preserve">us</w:t>
      </w:r>
      <w:r>
        <w:t xml:space="preserve"> </w:t>
      </w:r>
      <w:r>
        <w:t xml:space="preserve">strategically than its dollar value suggests, because it eliminates a recurring obligation. We can signal (carefully) that the waiver’s retention is contingent on restoration of the premarital reimbursement and disclosure protections. We should not threaten to</w:t>
      </w:r>
      <w:r>
        <w:t xml:space="preserve"> </w:t>
      </w:r>
      <w:r>
        <w:t xml:space="preserve">“</w:t>
      </w:r>
      <w:r>
        <w:t xml:space="preserve">give back</w:t>
      </w:r>
      <w:r>
        <w:t xml:space="preserve">”</w:t>
      </w:r>
      <w:r>
        <w:t xml:space="preserve"> </w:t>
      </w:r>
      <w:r>
        <w:t xml:space="preserve">the waiver gratuitously, but we should make clear that the package must be rebalanced.</w:t>
      </w:r>
    </w:p>
    <w:p>
      <w:pPr>
        <w:pStyle w:val="Compact"/>
        <w:numPr>
          <w:ilvl w:val="0"/>
          <w:numId w:val="1009"/>
        </w:numPr>
      </w:pPr>
      <w:r>
        <w:rPr>
          <w:b/>
          <w:bCs/>
        </w:rPr>
        <w:t xml:space="preserve">The active/passive practice appreciation</w:t>
      </w:r>
      <w:r>
        <w:t xml:space="preserve"> </w:t>
      </w:r>
      <w:r>
        <w:t xml:space="preserve">is a genuine concession to Wife. We can offer to</w:t>
      </w:r>
      <w:r>
        <w:t xml:space="preserve"> </w:t>
      </w:r>
      <w:r>
        <w:rPr>
          <w:i/>
          <w:iCs/>
        </w:rPr>
        <w:t xml:space="preserve">moderate</w:t>
      </w:r>
      <w:r>
        <w:t xml:space="preserve"> </w:t>
      </w:r>
      <w:r>
        <w:t xml:space="preserve">it (e.g., a 50/50 split of appreciation but with the Strand 60/40 passive attribution applied as a discount) in exchange for restoration of the premarital reimbursement — though this should be a last resort, as the active/passive distinction is well-supported and favorable.</w:t>
      </w:r>
    </w:p>
    <w:p>
      <w:pPr>
        <w:pStyle w:val="Compact"/>
        <w:numPr>
          <w:ilvl w:val="0"/>
          <w:numId w:val="1009"/>
        </w:numPr>
      </w:pPr>
      <w:r>
        <w:rPr>
          <w:b/>
          <w:bCs/>
        </w:rPr>
        <w:t xml:space="preserve">Venue</w:t>
      </w:r>
      <w:r>
        <w:t xml:space="preserve"> </w:t>
      </w:r>
      <w:r>
        <w:t xml:space="preserve">is a clean trade: Cook County is objectively more appropriate (residence, children, counsel); we can offer to keep DuPage only if multiple other restorations are conceded, but Cook County should be the default.</w:t>
      </w:r>
    </w:p>
    <w:p>
      <w:pPr>
        <w:pStyle w:val="Compact"/>
        <w:numPr>
          <w:ilvl w:val="0"/>
          <w:numId w:val="1009"/>
        </w:numPr>
      </w:pPr>
      <w:r>
        <w:rPr>
          <w:b/>
          <w:bCs/>
        </w:rPr>
        <w:t xml:space="preserve">The sunset term</w:t>
      </w:r>
      <w:r>
        <w:t xml:space="preserve"> </w:t>
      </w:r>
      <w:r>
        <w:t xml:space="preserve">can be traded: a 12-year term (through both children’s majority) with renewal is a reasonable compromise if 15 years is resisted.</w:t>
      </w:r>
    </w:p>
    <w:bookmarkEnd w:id="51"/>
    <w:bookmarkStart w:id="52" w:name="f.-anticipated-opposing-counsel-posture"/>
    <w:p>
      <w:pPr>
        <w:pStyle w:val="Heading3"/>
      </w:pPr>
      <w:r>
        <w:t xml:space="preserve">F. Anticipated Opposing-Counsel Posture</w:t>
      </w:r>
    </w:p>
    <w:p>
      <w:pPr>
        <w:pStyle w:val="FirstParagraph"/>
      </w:pPr>
      <w:r>
        <w:t xml:space="preserve">Based on the transmittal email and margin comments, expect Mr. Baxter to:</w:t>
      </w:r>
    </w:p>
    <w:p>
      <w:pPr>
        <w:pStyle w:val="Compact"/>
        <w:numPr>
          <w:ilvl w:val="0"/>
          <w:numId w:val="1010"/>
        </w:numPr>
      </w:pPr>
      <w:r>
        <w:t xml:space="preserve">Defend the § 5.2 deletion as</w:t>
      </w:r>
      <w:r>
        <w:t xml:space="preserve"> </w:t>
      </w:r>
      <w:r>
        <w:t xml:space="preserve">“</w:t>
      </w:r>
      <w:r>
        <w:t xml:space="preserve">duplicative</w:t>
      </w:r>
      <w:r>
        <w:t xml:space="preserve">”</w:t>
      </w:r>
      <w:r>
        <w:t xml:space="preserve"> </w:t>
      </w:r>
      <w:r>
        <w:t xml:space="preserve">— be prepared with the arithmetic ($1,535,000 vs. $935,000) and the tracing documentation to demonstrate it is not.</w:t>
      </w:r>
    </w:p>
    <w:p>
      <w:pPr>
        <w:pStyle w:val="Compact"/>
        <w:numPr>
          <w:ilvl w:val="0"/>
          <w:numId w:val="1010"/>
        </w:numPr>
      </w:pPr>
      <w:r>
        <w:t xml:space="preserve">Frame the voidability standard as</w:t>
      </w:r>
      <w:r>
        <w:t xml:space="preserve"> </w:t>
      </w:r>
      <w:r>
        <w:t xml:space="preserve">“</w:t>
      </w:r>
      <w:r>
        <w:t xml:space="preserve">standard</w:t>
      </w:r>
      <w:r>
        <w:t xml:space="preserve">”</w:t>
      </w:r>
      <w:r>
        <w:t xml:space="preserve"> </w:t>
      </w:r>
      <w:r>
        <w:t xml:space="preserve">and</w:t>
      </w:r>
      <w:r>
        <w:t xml:space="preserve"> </w:t>
      </w:r>
      <w:r>
        <w:t xml:space="preserve">“</w:t>
      </w:r>
      <w:r>
        <w:t xml:space="preserve">protective of finality</w:t>
      </w:r>
      <w:r>
        <w:t xml:space="preserve">”</w:t>
      </w:r>
      <w:r>
        <w:t xml:space="preserve"> </w:t>
      </w:r>
      <w:r>
        <w:t xml:space="preserve">— counter with the client’s concealment history and the intake memo’s explicit recommendation against a heightened standard.</w:t>
      </w:r>
    </w:p>
    <w:p>
      <w:pPr>
        <w:pStyle w:val="Compact"/>
        <w:numPr>
          <w:ilvl w:val="0"/>
          <w:numId w:val="1010"/>
        </w:numPr>
      </w:pPr>
      <w:r>
        <w:t xml:space="preserve">Frame the unilateral modification as</w:t>
      </w:r>
      <w:r>
        <w:t xml:space="preserve"> </w:t>
      </w:r>
      <w:r>
        <w:t xml:space="preserve">“</w:t>
      </w:r>
      <w:r>
        <w:t xml:space="preserve">efficient</w:t>
      </w:r>
      <w:r>
        <w:t xml:space="preserve">”</w:t>
      </w:r>
      <w:r>
        <w:t xml:space="preserve"> </w:t>
      </w:r>
      <w:r>
        <w:t xml:space="preserve">— counter with the default-on-silence risk and the client’s explicit mutual-consent instruction.</w:t>
      </w:r>
    </w:p>
    <w:p>
      <w:pPr>
        <w:pStyle w:val="Compact"/>
        <w:numPr>
          <w:ilvl w:val="0"/>
          <w:numId w:val="1010"/>
        </w:numPr>
      </w:pPr>
      <w:r>
        <w:t xml:space="preserve">Resist restoring Gross Income — note that Gross Income is the</w:t>
      </w:r>
      <w:r>
        <w:t xml:space="preserve"> </w:t>
      </w:r>
      <w:r>
        <w:rPr>
          <w:i/>
          <w:iCs/>
        </w:rPr>
        <w:t xml:space="preserve">client-protective</w:t>
      </w:r>
      <w:r>
        <w:t xml:space="preserve"> </w:t>
      </w:r>
      <w:r>
        <w:t xml:space="preserve">choice for the fallback maintenance calculation and is the broader, more accurate definition.</w:t>
      </w:r>
    </w:p>
    <w:p>
      <w:pPr>
        <w:pStyle w:val="Compact"/>
        <w:numPr>
          <w:ilvl w:val="0"/>
          <w:numId w:val="1010"/>
        </w:numPr>
      </w:pPr>
      <w:r>
        <w:t xml:space="preserve">Possibly seek to withdraw the maintenance waiver once he recognizes its effect — accept it quickly and lock it in; do not volunteer the analysis of why it favors us.</w:t>
      </w:r>
    </w:p>
    <w:p>
      <w:r>
        <w:pict>
          <v:rect style="width:0;height:1.5pt" o:hralign="center" o:hrstd="t" o:hr="t"/>
        </w:pict>
      </w:r>
    </w:p>
    <w:bookmarkEnd w:id="52"/>
    <w:bookmarkEnd w:id="53"/>
    <w:bookmarkStart w:id="54" w:name="X947c08feac921d8f79c0df016447328dd27146d"/>
    <w:p>
      <w:pPr>
        <w:pStyle w:val="Heading2"/>
      </w:pPr>
      <w:r>
        <w:t xml:space="preserve">XI. Recommended Position for the January 27, 2025 Four-Way Conference</w:t>
      </w:r>
    </w:p>
    <w:p>
      <w:pPr>
        <w:pStyle w:val="FirstParagraph"/>
      </w:pPr>
      <w:r>
        <w:t xml:space="preserve">I recommend we enter the conference with a written</w:t>
      </w:r>
      <w:r>
        <w:t xml:space="preserve"> </w:t>
      </w:r>
      <w:r>
        <w:t xml:space="preserve">“</w:t>
      </w:r>
      <w:r>
        <w:t xml:space="preserve">open items</w:t>
      </w:r>
      <w:r>
        <w:t xml:space="preserve">”</w:t>
      </w:r>
      <w:r>
        <w:t xml:space="preserve"> </w:t>
      </w:r>
      <w:r>
        <w:t xml:space="preserve">list (which I will prepare) structured as follows:</w:t>
      </w:r>
    </w:p>
    <w:p>
      <w:pPr>
        <w:pStyle w:val="Compact"/>
        <w:numPr>
          <w:ilvl w:val="0"/>
          <w:numId w:val="1011"/>
        </w:numPr>
      </w:pPr>
      <w:r>
        <w:rPr>
          <w:b/>
          <w:bCs/>
        </w:rPr>
        <w:t xml:space="preserve">Open immediately as conditions precedent:</w:t>
      </w:r>
      <w:r>
        <w:t xml:space="preserve"> </w:t>
      </w:r>
      <w:r>
        <w:t xml:space="preserve">(a) full restoration of the $1,200,000 premarital-savings reimbursement (§ 5.2); (b) rejection of the unilateral modification mechanism (§ 14.2) and restoration of mutual written consent.</w:t>
      </w:r>
    </w:p>
    <w:p>
      <w:pPr>
        <w:pStyle w:val="Compact"/>
        <w:numPr>
          <w:ilvl w:val="0"/>
          <w:numId w:val="1011"/>
        </w:numPr>
      </w:pPr>
      <w:r>
        <w:rPr>
          <w:b/>
          <w:bCs/>
        </w:rPr>
        <w:t xml:space="preserve">Open as high-priority restorations:</w:t>
      </w:r>
      <w:r>
        <w:t xml:space="preserve"> </w:t>
      </w:r>
      <w:r>
        <w:t xml:space="preserve">the material-omission voidability standard; the ongoing and future-debt disclosure duties; the Gross Income definition; the transmutation presumption; removal of the debt-indemnity de minimis threshold; Cook County venue; 15-year sunset with renewal; prevailing-party fees.</w:t>
      </w:r>
    </w:p>
    <w:p>
      <w:pPr>
        <w:pStyle w:val="Compact"/>
        <w:numPr>
          <w:ilvl w:val="0"/>
          <w:numId w:val="1011"/>
        </w:numPr>
      </w:pPr>
      <w:r>
        <w:rPr>
          <w:b/>
          <w:bCs/>
        </w:rPr>
        <w:t xml:space="preserve">Confirm acceptance (with modifications):</w:t>
      </w:r>
      <w:r>
        <w:t xml:space="preserve"> </w:t>
      </w:r>
      <w:r>
        <w:t xml:space="preserve">maintenance waiver (paired with Gross Income); 3-year cap; active/passive practice appreciation (with valuation-burden modifications); RSU coverture (hire-date start); 24-month debt satisfaction; notarization/witnesses; severability.</w:t>
      </w:r>
    </w:p>
    <w:p>
      <w:pPr>
        <w:pStyle w:val="Compact"/>
        <w:numPr>
          <w:ilvl w:val="0"/>
          <w:numId w:val="1011"/>
        </w:numPr>
      </w:pPr>
      <w:r>
        <w:rPr>
          <w:b/>
          <w:bCs/>
        </w:rPr>
        <w:t xml:space="preserve">Factual corrections:</w:t>
      </w:r>
      <w:r>
        <w:t xml:space="preserve"> </w:t>
      </w:r>
      <w:r>
        <w:t xml:space="preserve">all custodian, account-number, balance-split, and date references to match the Linden &amp; Fosse disclosure and primary documents (death certificate, birth certificates).</w:t>
      </w:r>
    </w:p>
    <w:p>
      <w:pPr>
        <w:pStyle w:val="Compact"/>
        <w:numPr>
          <w:ilvl w:val="0"/>
          <w:numId w:val="1011"/>
        </w:numPr>
      </w:pPr>
      <w:r>
        <w:rPr>
          <w:b/>
          <w:bCs/>
        </w:rPr>
        <w:t xml:space="preserve">Enforceability enhancements to restore:</w:t>
      </w:r>
      <w:r>
        <w:t xml:space="preserve"> </w:t>
      </w:r>
      <w:r>
        <w:t xml:space="preserve">fiduciary-duty/good-faith acknowledgment; no-pending-proceedings representation.</w:t>
      </w:r>
    </w:p>
    <w:p>
      <w:pPr>
        <w:pStyle w:val="FirstParagraph"/>
      </w:pPr>
      <w:r>
        <w:t xml:space="preserve">I recommend a pre-conference call with Mr. Baxter to narrow the list, as he suggested, but only after we have internally confirmed the client’s bottom line on the non-negotiables. I also recommend we confirm with the client, in advance, that she will not execute an agreement that lacks the premarital-savings reimbursement and the mutual-modification requirement, so that our negotiating posture is credible.</w:t>
      </w:r>
    </w:p>
    <w:p>
      <w:r>
        <w:pict>
          <v:rect style="width:0;height:1.5pt" o:hralign="center" o:hrstd="t" o:hr="t"/>
        </w:pict>
      </w:r>
    </w:p>
    <w:bookmarkEnd w:id="54"/>
    <w:bookmarkStart w:id="55" w:name="xii.-conclusion"/>
    <w:p>
      <w:pPr>
        <w:pStyle w:val="Heading2"/>
      </w:pPr>
      <w:r>
        <w:t xml:space="preserve">XII. Conclusion</w:t>
      </w:r>
    </w:p>
    <w:p>
      <w:pPr>
        <w:pStyle w:val="FirstParagraph"/>
      </w:pPr>
      <w:r>
        <w:t xml:space="preserve">The redline is a substantial first-round settlement position that, despite its</w:t>
      </w:r>
      <w:r>
        <w:t xml:space="preserve"> </w:t>
      </w:r>
      <w:r>
        <w:t xml:space="preserve">“</w:t>
      </w:r>
      <w:r>
        <w:t xml:space="preserve">modest clarifications</w:t>
      </w:r>
      <w:r>
        <w:t xml:space="preserve">”</w:t>
      </w:r>
      <w:r>
        <w:t xml:space="preserve"> </w:t>
      </w:r>
      <w:r>
        <w:t xml:space="preserve">framing, contains several changes that would defeat the client’s core objectives — most critically the deletion of the $1,200,000 premarital-savings reimbursement (a $600,000 certain loss and the client’s express reason for pursuing the agreement) and the insertion of a unilateral modification mechanism that contradicts her explicit instructions. At the same time, the redline offers genuine concessions (the maintenance waiver, the active/passive practice appreciation) that we should preserve. The path to a signable agreement runs through restoring the client-protective provisions, correcting the factual record, and retaining the favorable items — and it requires us to treat the January 27 conference as a substantive negotiation, not a ratification of</w:t>
      </w:r>
      <w:r>
        <w:t xml:space="preserve"> </w:t>
      </w:r>
      <w:r>
        <w:t xml:space="preserve">“</w:t>
      </w:r>
      <w:r>
        <w:t xml:space="preserve">clarifications.</w:t>
      </w:r>
      <w:r>
        <w:t xml:space="preserve">”</w:t>
      </w:r>
    </w:p>
    <w:p>
      <w:pPr>
        <w:pStyle w:val="BodyText"/>
      </w:pPr>
      <w:r>
        <w:t xml:space="preserve">I am available to discuss this analysis at your convenience and to prepare the open-items list and any redline revisions in advance of the conference.</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attorney work product doctrine. It should not be disclosed to any person outside the firm without prior authorization from the supervising partner.</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2026-06-29T01:00:01Z</dcterms:created>
  <dcterms:modified xsi:type="dcterms:W3CDTF">2026-06-29T01:00:01Z</dcterms:modified>
</cp:coreProperties>
</file>

<file path=docProps/custom.xml><?xml version="1.0" encoding="utf-8"?>
<Properties xmlns="http://schemas.openxmlformats.org/officeDocument/2006/custom-properties" xmlns:vt="http://schemas.openxmlformats.org/officeDocument/2006/docPropsVTypes"/>
</file>