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nternal-memorandum"/>
    <w:p>
      <w:pPr>
        <w:pStyle w:val="Heading1"/>
      </w:pPr>
      <w:r>
        <w:t xml:space="preserve">INTERNAL MEMORANDUM</w:t>
      </w:r>
    </w:p>
    <w:p>
      <w:pPr>
        <w:pStyle w:val="FirstParagraph"/>
      </w:pPr>
      <w:r>
        <w:rPr>
          <w:b/>
          <w:bCs/>
        </w:rPr>
        <w:t xml:space="preserve">TO:</w:t>
      </w:r>
      <w:r>
        <w:t xml:space="preserve"> </w:t>
      </w:r>
      <w:r>
        <w:t xml:space="preserve">Sarah Whitfield, Esq.; Jordan Reeves</w:t>
      </w:r>
      <w:r>
        <w:t xml:space="preserve"> </w:t>
      </w:r>
      <w:r>
        <w:rPr>
          <w:b/>
          <w:bCs/>
        </w:rPr>
        <w:t xml:space="preserve">FROM:</w:t>
      </w:r>
      <w:r>
        <w:t xml:space="preserve"> </w:t>
      </w:r>
      <w:r>
        <w:t xml:space="preserve">[Reviewing Associate], Calloway &amp; Birch LLP</w:t>
      </w:r>
      <w:r>
        <w:t xml:space="preserve"> </w:t>
      </w:r>
      <w:r>
        <w:rPr>
          <w:b/>
          <w:bCs/>
        </w:rPr>
        <w:t xml:space="preserve">DATE:</w:t>
      </w:r>
      <w:r>
        <w:t xml:space="preserve"> </w:t>
      </w:r>
      <w:r>
        <w:t xml:space="preserve">October 8, 2024</w:t>
      </w:r>
      <w:r>
        <w:t xml:space="preserve"> </w:t>
      </w:r>
      <w:r>
        <w:rPr>
          <w:b/>
          <w:bCs/>
        </w:rPr>
        <w:t xml:space="preserve">RE:</w:t>
      </w:r>
      <w:r>
        <w:t xml:space="preserve"> </w:t>
      </w:r>
      <w:r>
        <w:rPr>
          <w:i/>
          <w:iCs/>
        </w:rPr>
        <w:t xml:space="preserve">Torres-Kwan v. Kwan</w:t>
      </w:r>
      <w:r>
        <w:t xml:space="preserve">, Case No. 2024-DR-01847 (Cir. Ct. Fairview County, Columbia; Hon. Patricia Yoon-Callahan) — Review of Respondent Darren Kwan’s Document Production (First Request for Production, Nos. 1–22) and Identification of Follow-Up Discovery</w:t>
      </w:r>
      <w:r>
        <w:t xml:space="preserve"> </w:t>
      </w:r>
      <w:r>
        <w:rPr>
          <w:b/>
          <w:bCs/>
        </w:rPr>
        <w:t xml:space="preserve">PRIVILEGED &amp; CONFIDENTIAL — ATTORNEY WORK PRODUCT</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catalogs, summarizes, and analyzes the document production served by Respondent Darren Kwan (</w:t>
      </w:r>
      <w:r>
        <w:t xml:space="preserve">“</w:t>
      </w:r>
      <w:r>
        <w:t xml:space="preserve">Respondent</w:t>
      </w:r>
      <w:r>
        <w:t xml:space="preserve">”</w:t>
      </w:r>
      <w:r>
        <w:t xml:space="preserve">) through his counsel, Raymond Fossett of Hargrove Fossett &amp; Yates LLP, in response to Petitioner Melinda Torres-Kwan’s First Request for Production of Documents, Nos. 1–22. The production consists of a transmittal email (cover letter) and seven (7) document sets, accompanied by a summary privilege log identifying four (4) withheld items.</w:t>
      </w:r>
    </w:p>
    <w:p>
      <w:pPr>
        <w:pStyle w:val="BodyText"/>
      </w:pPr>
      <w:r>
        <w:t xml:space="preserve">Our review cross-references Respondent’s Sworn Financial Declaration (PROD-001) against the supporting records produced (PROD-002 through PROD-007). That cross-reference reveals a number of material discrepancies, omissions, and transactions warranting follow-up. The most significant are: (1) an</w:t>
      </w:r>
      <w:r>
        <w:t xml:space="preserve"> </w:t>
      </w:r>
      <w:r>
        <w:rPr>
          <w:b/>
          <w:bCs/>
        </w:rPr>
        <w:t xml:space="preserve">undisclosed rental property</w:t>
      </w:r>
      <w:r>
        <w:t xml:space="preserve"> </w:t>
      </w:r>
      <w:r>
        <w:t xml:space="preserve">at 1035 Elm Street, Unit C, Fairview, Columbia 20147, titled solely in Respondent’s name and carrying an undisclosed mortgage of approximately $241,281; (2) a</w:t>
      </w:r>
      <w:r>
        <w:t xml:space="preserve"> </w:t>
      </w:r>
      <w:r>
        <w:rPr>
          <w:b/>
          <w:bCs/>
        </w:rPr>
        <w:t xml:space="preserve">$193,200 understatement of pass-through business income</w:t>
      </w:r>
      <w:r>
        <w:t xml:space="preserve"> </w:t>
      </w:r>
      <w:r>
        <w:t xml:space="preserve">(Respondent reported K-1</w:t>
      </w:r>
      <w:r>
        <w:t xml:space="preserve"> </w:t>
      </w:r>
      <w:r>
        <w:rPr>
          <w:i/>
          <w:iCs/>
        </w:rPr>
        <w:t xml:space="preserve">distributions</w:t>
      </w:r>
      <w:r>
        <w:t xml:space="preserve"> </w:t>
      </w:r>
      <w:r>
        <w:t xml:space="preserve">of $174,000 as</w:t>
      </w:r>
      <w:r>
        <w:t xml:space="preserve"> </w:t>
      </w:r>
      <w:r>
        <w:t xml:space="preserve">“</w:t>
      </w:r>
      <w:r>
        <w:t xml:space="preserve">K-1 income</w:t>
      </w:r>
      <w:r>
        <w:t xml:space="preserve">”</w:t>
      </w:r>
      <w:r>
        <w:t xml:space="preserve"> </w:t>
      </w:r>
      <w:r>
        <w:t xml:space="preserve">when the K-1</w:t>
      </w:r>
      <w:r>
        <w:t xml:space="preserve"> </w:t>
      </w:r>
      <w:r>
        <w:rPr>
          <w:i/>
          <w:iCs/>
        </w:rPr>
        <w:t xml:space="preserve">ordinary business income</w:t>
      </w:r>
      <w:r>
        <w:t xml:space="preserve"> </w:t>
      </w:r>
      <w:r>
        <w:t xml:space="preserve">was $367,200); (3) an</w:t>
      </w:r>
      <w:r>
        <w:t xml:space="preserve"> </w:t>
      </w:r>
      <w:r>
        <w:rPr>
          <w:b/>
          <w:bCs/>
        </w:rPr>
        <w:t xml:space="preserve">$85,000 wire transfer</w:t>
      </w:r>
      <w:r>
        <w:t xml:space="preserve"> </w:t>
      </w:r>
      <w:r>
        <w:t xml:space="preserve">from the Crestline brokerage account on June 15, 2024 to an undisclosed account at Harborstone Financial Group; and (4)</w:t>
      </w:r>
      <w:r>
        <w:t xml:space="preserve"> </w:t>
      </w:r>
      <w:r>
        <w:rPr>
          <w:b/>
          <w:bCs/>
        </w:rPr>
        <w:t xml:space="preserve">recurring transfers totaling $14,600</w:t>
      </w:r>
      <w:r>
        <w:t xml:space="preserve"> </w:t>
      </w:r>
      <w:r>
        <w:t xml:space="preserve">to an unidentified individual (</w:t>
      </w:r>
      <w:r>
        <w:t xml:space="preserve">“</w:t>
      </w:r>
      <w:r>
        <w:t xml:space="preserve">Kiera M.</w:t>
      </w:r>
      <w:r>
        <w:t xml:space="preserve">”</w:t>
      </w:r>
      <w:r>
        <w:t xml:space="preserve">).</w:t>
      </w:r>
    </w:p>
    <w:p>
      <w:pPr>
        <w:pStyle w:val="BodyText"/>
      </w:pPr>
      <w:r>
        <w:t xml:space="preserve">This memorandum is organized as follows: Section II catalogs the exhibits; Section III summarizes the key figures; Section IV flags inconsistencies and red flags; Section V recommends follow-up discovery; and Section VI concludes.</w:t>
      </w:r>
    </w:p>
    <w:p>
      <w:r>
        <w:pict>
          <v:rect style="width:0;height:1.5pt" o:hralign="center" o:hrstd="t" o:hr="t"/>
        </w:pict>
      </w:r>
    </w:p>
    <w:bookmarkEnd w:id="20"/>
    <w:bookmarkStart w:id="21" w:name="ii.-exhibit-catalog"/>
    <w:p>
      <w:pPr>
        <w:pStyle w:val="Heading2"/>
      </w:pPr>
      <w:r>
        <w:t xml:space="preserve">II. Exhibit Catalog</w:t>
      </w:r>
    </w:p>
    <w:p>
      <w:pPr>
        <w:pStyle w:val="FirstParagraph"/>
      </w:pPr>
      <w:r>
        <w:t xml:space="preserve">The production comprises seven document sets. Bates-numbering is inconsistent across the production (two prefixes —</w:t>
      </w:r>
      <w:r>
        <w:t xml:space="preserve"> </w:t>
      </w:r>
      <w:r>
        <w:t xml:space="preserve">“</w:t>
      </w:r>
      <w:r>
        <w:t xml:space="preserve">DK-PROD-</w:t>
      </w:r>
      <w:r>
        <w:t xml:space="preserve">”</w:t>
      </w:r>
      <w:r>
        <w:t xml:space="preserve"> </w:t>
      </w:r>
      <w:r>
        <w:t xml:space="preserve">and</w:t>
      </w:r>
      <w:r>
        <w:t xml:space="preserve"> </w:t>
      </w:r>
      <w:r>
        <w:t xml:space="preserve">“</w:t>
      </w:r>
      <w:r>
        <w:t xml:space="preserve">KWAN_PROD_</w:t>
      </w:r>
      <w:r>
        <w:t xml:space="preserve">”</w:t>
      </w:r>
      <w:r>
        <w:t xml:space="preserve"> </w:t>
      </w:r>
      <w:r>
        <w:t xml:space="preserve">— and non-sequential ranges), which is addressed in Section IV.G.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 No.</w:t>
            </w:r>
          </w:p>
        </w:tc>
        <w:tc>
          <w:tcPr/>
          <w:p>
            <w:pPr>
              <w:pStyle w:val="Compact"/>
              <w:jc w:val="left"/>
            </w:pPr>
            <w:r>
              <w:t xml:space="preserve">Document / File</w:t>
            </w:r>
          </w:p>
        </w:tc>
        <w:tc>
          <w:tcPr/>
          <w:p>
            <w:pPr>
              <w:pStyle w:val="Compact"/>
              <w:jc w:val="left"/>
            </w:pPr>
            <w:r>
              <w:t xml:space="preserve">Bates Range</w:t>
            </w:r>
          </w:p>
        </w:tc>
        <w:tc>
          <w:tcPr/>
          <w:p>
            <w:pPr>
              <w:pStyle w:val="Compact"/>
              <w:jc w:val="left"/>
            </w:pPr>
            <w:r>
              <w:t xml:space="preserve">Period Covered</w:t>
            </w:r>
          </w:p>
        </w:tc>
        <w:tc>
          <w:tcPr/>
          <w:p>
            <w:pPr>
              <w:pStyle w:val="Compact"/>
              <w:jc w:val="left"/>
            </w:pPr>
            <w:r>
              <w:t xml:space="preserve">Responsive RFP Nos.</w:t>
            </w:r>
          </w:p>
        </w:tc>
      </w:tr>
      <w:tr>
        <w:tc>
          <w:tcPr/>
          <w:p>
            <w:pPr>
              <w:pStyle w:val="Compact"/>
              <w:jc w:val="left"/>
            </w:pPr>
            <w:r>
              <w:t xml:space="preserve">PROD-001</w:t>
            </w:r>
          </w:p>
        </w:tc>
        <w:tc>
          <w:tcPr/>
          <w:p>
            <w:pPr>
              <w:pStyle w:val="Compact"/>
              <w:jc w:val="left"/>
            </w:pPr>
            <w:r>
              <w:t xml:space="preserve">Respondent’s Sworn Financial Declaration (filed Sept. 20, 2024 per document; cover letter states</w:t>
            </w:r>
            <w:r>
              <w:t xml:space="preserve"> </w:t>
            </w:r>
            <w:r>
              <w:t xml:space="preserve">“</w:t>
            </w:r>
            <w:r>
              <w:t xml:space="preserve">on or about Oct. 4, 2024</w:t>
            </w:r>
            <w:r>
              <w:t xml:space="preserve">”</w:t>
            </w:r>
            <w:r>
              <w:t xml:space="preserve">)</w:t>
            </w:r>
          </w:p>
        </w:tc>
        <w:tc>
          <w:tcPr/>
          <w:p>
            <w:pPr>
              <w:pStyle w:val="Compact"/>
              <w:jc w:val="left"/>
            </w:pPr>
            <w:r>
              <w:t xml:space="preserve">None (court filing)</w:t>
            </w:r>
          </w:p>
        </w:tc>
        <w:tc>
          <w:tcPr/>
          <w:p>
            <w:pPr>
              <w:pStyle w:val="Compact"/>
              <w:jc w:val="left"/>
            </w:pPr>
            <w:r>
              <w:t xml:space="preserve">As of Sept. 20, 2024</w:t>
            </w:r>
          </w:p>
        </w:tc>
        <w:tc>
          <w:tcPr/>
          <w:p>
            <w:pPr>
              <w:pStyle w:val="Compact"/>
              <w:jc w:val="left"/>
            </w:pPr>
            <w:r>
              <w:t xml:space="preserve">1, 2, 3</w:t>
            </w:r>
          </w:p>
        </w:tc>
      </w:tr>
      <w:tr>
        <w:tc>
          <w:tcPr/>
          <w:p>
            <w:pPr>
              <w:pStyle w:val="Compact"/>
              <w:jc w:val="left"/>
            </w:pPr>
            <w:r>
              <w:t xml:space="preserve">PROD-002</w:t>
            </w:r>
          </w:p>
        </w:tc>
        <w:tc>
          <w:tcPr/>
          <w:p>
            <w:pPr>
              <w:pStyle w:val="Compact"/>
              <w:jc w:val="left"/>
            </w:pPr>
            <w:r>
              <w:t xml:space="preserve">2023 Form 1040 excerpts (MFJ), incl. Schedule E (Parts I &amp; II) and Schedule K-1 for NovaBridge Solutions LLC</w:t>
            </w:r>
          </w:p>
        </w:tc>
        <w:tc>
          <w:tcPr/>
          <w:p>
            <w:pPr>
              <w:pStyle w:val="Compact"/>
              <w:jc w:val="left"/>
            </w:pPr>
            <w:r>
              <w:t xml:space="preserve">DK-PROD-0045 – DK-PROD-0058</w:t>
            </w:r>
          </w:p>
        </w:tc>
        <w:tc>
          <w:tcPr/>
          <w:p>
            <w:pPr>
              <w:pStyle w:val="Compact"/>
              <w:jc w:val="left"/>
            </w:pPr>
            <w:r>
              <w:t xml:space="preserve">Tax Year 2023</w:t>
            </w:r>
          </w:p>
        </w:tc>
        <w:tc>
          <w:tcPr/>
          <w:p>
            <w:pPr>
              <w:pStyle w:val="Compact"/>
              <w:jc w:val="left"/>
            </w:pPr>
            <w:r>
              <w:t xml:space="preserve">4, 5, 8</w:t>
            </w:r>
          </w:p>
        </w:tc>
      </w:tr>
      <w:tr>
        <w:tc>
          <w:tcPr/>
          <w:p>
            <w:pPr>
              <w:pStyle w:val="Compact"/>
              <w:jc w:val="left"/>
            </w:pPr>
            <w:r>
              <w:t xml:space="preserve">PROD-003</w:t>
            </w:r>
          </w:p>
        </w:tc>
        <w:tc>
          <w:tcPr/>
          <w:p>
            <w:pPr>
              <w:pStyle w:val="Compact"/>
              <w:jc w:val="left"/>
            </w:pPr>
            <w:r>
              <w:t xml:space="preserve">Crestline Wealth Advisors brokerage statements, acct. ending 9956</w:t>
            </w:r>
          </w:p>
        </w:tc>
        <w:tc>
          <w:tcPr/>
          <w:p>
            <w:pPr>
              <w:pStyle w:val="Compact"/>
              <w:jc w:val="left"/>
            </w:pPr>
            <w:r>
              <w:t xml:space="preserve">KWAN_PROD_00142 – KWAN_PROD_00158</w:t>
            </w:r>
          </w:p>
        </w:tc>
        <w:tc>
          <w:tcPr/>
          <w:p>
            <w:pPr>
              <w:pStyle w:val="Compact"/>
              <w:jc w:val="left"/>
            </w:pPr>
            <w:r>
              <w:t xml:space="preserve">Jan. 1 – Aug. 1, 2024</w:t>
            </w:r>
          </w:p>
        </w:tc>
        <w:tc>
          <w:tcPr/>
          <w:p>
            <w:pPr>
              <w:pStyle w:val="Compact"/>
              <w:jc w:val="left"/>
            </w:pPr>
            <w:r>
              <w:t xml:space="preserve">6, 7</w:t>
            </w:r>
          </w:p>
        </w:tc>
      </w:tr>
      <w:tr>
        <w:tc>
          <w:tcPr/>
          <w:p>
            <w:pPr>
              <w:pStyle w:val="Compact"/>
              <w:jc w:val="left"/>
            </w:pPr>
            <w:r>
              <w:t xml:space="preserve">PROD-004</w:t>
            </w:r>
          </w:p>
        </w:tc>
        <w:tc>
          <w:tcPr/>
          <w:p>
            <w:pPr>
              <w:pStyle w:val="Compact"/>
              <w:jc w:val="left"/>
            </w:pPr>
            <w:r>
              <w:t xml:space="preserve">Fairview Community Bank statements, individual checking 7703 and individual savings 7704</w:t>
            </w:r>
          </w:p>
        </w:tc>
        <w:tc>
          <w:tcPr/>
          <w:p>
            <w:pPr>
              <w:pStyle w:val="Compact"/>
              <w:jc w:val="left"/>
            </w:pPr>
            <w:r>
              <w:t xml:space="preserve">KWAN_PROD_0401 – KWAN_PROD_0424</w:t>
            </w:r>
          </w:p>
        </w:tc>
        <w:tc>
          <w:tcPr/>
          <w:p>
            <w:pPr>
              <w:pStyle w:val="Compact"/>
              <w:jc w:val="left"/>
            </w:pPr>
            <w:r>
              <w:t xml:space="preserve">Mar. 1 – Aug. 1, 2024</w:t>
            </w:r>
          </w:p>
        </w:tc>
        <w:tc>
          <w:tcPr/>
          <w:p>
            <w:pPr>
              <w:pStyle w:val="Compact"/>
              <w:jc w:val="left"/>
            </w:pPr>
            <w:r>
              <w:t xml:space="preserve">6, 7</w:t>
            </w:r>
          </w:p>
        </w:tc>
      </w:tr>
      <w:tr>
        <w:tc>
          <w:tcPr/>
          <w:p>
            <w:pPr>
              <w:pStyle w:val="Compact"/>
              <w:jc w:val="left"/>
            </w:pPr>
            <w:r>
              <w:t xml:space="preserve">PROD-005</w:t>
            </w:r>
          </w:p>
        </w:tc>
        <w:tc>
          <w:tcPr/>
          <w:p>
            <w:pPr>
              <w:pStyle w:val="Compact"/>
              <w:jc w:val="left"/>
            </w:pPr>
            <w:r>
              <w:t xml:space="preserve">Meridian Home Lending mortgage statements, Loan No. 7842-0163-ELM (1035 Elm Street, Unit C)</w:t>
            </w:r>
          </w:p>
        </w:tc>
        <w:tc>
          <w:tcPr/>
          <w:p>
            <w:pPr>
              <w:pStyle w:val="Compact"/>
              <w:jc w:val="left"/>
            </w:pPr>
            <w:r>
              <w:t xml:space="preserve">None stated</w:t>
            </w:r>
          </w:p>
        </w:tc>
        <w:tc>
          <w:tcPr/>
          <w:p>
            <w:pPr>
              <w:pStyle w:val="Compact"/>
              <w:jc w:val="left"/>
            </w:pPr>
            <w:r>
              <w:t xml:space="preserve">June – Aug. 2024</w:t>
            </w:r>
          </w:p>
        </w:tc>
        <w:tc>
          <w:tcPr/>
          <w:p>
            <w:pPr>
              <w:pStyle w:val="Compact"/>
              <w:jc w:val="left"/>
            </w:pPr>
            <w:r>
              <w:t xml:space="preserve">9, 10</w:t>
            </w:r>
          </w:p>
        </w:tc>
      </w:tr>
      <w:tr>
        <w:tc>
          <w:tcPr/>
          <w:p>
            <w:pPr>
              <w:pStyle w:val="Compact"/>
              <w:jc w:val="left"/>
            </w:pPr>
            <w:r>
              <w:t xml:space="preserve">PROD-006</w:t>
            </w:r>
          </w:p>
        </w:tc>
        <w:tc>
          <w:tcPr/>
          <w:p>
            <w:pPr>
              <w:pStyle w:val="Compact"/>
              <w:jc w:val="left"/>
            </w:pPr>
            <w:r>
              <w:t xml:space="preserve">Platinum Visa credit card statements, acct. ending 8316 (Fairview Community Bank)</w:t>
            </w:r>
          </w:p>
        </w:tc>
        <w:tc>
          <w:tcPr/>
          <w:p>
            <w:pPr>
              <w:pStyle w:val="Compact"/>
              <w:jc w:val="left"/>
            </w:pPr>
            <w:r>
              <w:t xml:space="preserve">None stated</w:t>
            </w:r>
          </w:p>
        </w:tc>
        <w:tc>
          <w:tcPr/>
          <w:p>
            <w:pPr>
              <w:pStyle w:val="Compact"/>
              <w:jc w:val="left"/>
            </w:pPr>
            <w:r>
              <w:t xml:space="preserve">May – Aug. 2024</w:t>
            </w:r>
          </w:p>
        </w:tc>
        <w:tc>
          <w:tcPr/>
          <w:p>
            <w:pPr>
              <w:pStyle w:val="Compact"/>
              <w:jc w:val="left"/>
            </w:pPr>
            <w:r>
              <w:t xml:space="preserve">6, 7, 11</w:t>
            </w:r>
          </w:p>
        </w:tc>
      </w:tr>
      <w:tr>
        <w:tc>
          <w:tcPr/>
          <w:p>
            <w:pPr>
              <w:pStyle w:val="Compact"/>
              <w:jc w:val="left"/>
            </w:pPr>
            <w:r>
              <w:t xml:space="preserve">PROD-007</w:t>
            </w:r>
          </w:p>
        </w:tc>
        <w:tc>
          <w:tcPr/>
          <w:p>
            <w:pPr>
              <w:pStyle w:val="Compact"/>
              <w:jc w:val="left"/>
            </w:pPr>
            <w:r>
              <w:t xml:space="preserve">NovaBridge Solutions LLC expense reimbursement reports for Darren Kwan</w:t>
            </w:r>
          </w:p>
        </w:tc>
        <w:tc>
          <w:tcPr/>
          <w:p>
            <w:pPr>
              <w:pStyle w:val="Compact"/>
              <w:jc w:val="left"/>
            </w:pPr>
            <w:r>
              <w:t xml:space="preserve">KWAN_PROD_00187 – KWAN_PROD_00193</w:t>
            </w:r>
          </w:p>
        </w:tc>
        <w:tc>
          <w:tcPr/>
          <w:p>
            <w:pPr>
              <w:pStyle w:val="Compact"/>
              <w:jc w:val="left"/>
            </w:pPr>
            <w:r>
              <w:t xml:space="preserve">Q1–Q2 2024 (Jan. 1 – June 30)</w:t>
            </w:r>
          </w:p>
        </w:tc>
        <w:tc>
          <w:tcPr/>
          <w:p>
            <w:pPr>
              <w:pStyle w:val="Compact"/>
              <w:jc w:val="left"/>
            </w:pPr>
            <w:r>
              <w:t xml:space="preserve">5, 8, 12</w:t>
            </w:r>
          </w:p>
        </w:tc>
      </w:tr>
    </w:tbl>
    <w:p>
      <w:pPr>
        <w:pStyle w:val="BodyText"/>
      </w:pPr>
      <w:r>
        <w:rPr>
          <w:b/>
          <w:bCs/>
        </w:rPr>
        <w:t xml:space="preserve">Privilege log (withheld).</w:t>
      </w:r>
      <w:r>
        <w:t xml:space="preserve"> </w:t>
      </w:r>
      <w:r>
        <w:t xml:space="preserve">Four items withheld on attorney-client / work-product grounds: PRIV-001 (email, Kwan→Fossett, Aug. 5, 2024); PRIV-002 (email chain, Aug. 12–14, 2024); PRIV-003 (memorandum, Fossett→Kwan, Aug. 20, 2024,</w:t>
      </w:r>
      <w:r>
        <w:t xml:space="preserve"> </w:t>
      </w:r>
      <w:r>
        <w:t xml:space="preserve">“</w:t>
      </w:r>
      <w:r>
        <w:t xml:space="preserve">Preliminary analysis of marital estate</w:t>
      </w:r>
      <w:r>
        <w:t xml:space="preserve">”</w:t>
      </w:r>
      <w:r>
        <w:t xml:space="preserve">); PRIV-004 (email, Kwan→Fossett, Sept. 8, 2024). A formal privilege log is</w:t>
      </w:r>
      <w:r>
        <w:t xml:space="preserve"> </w:t>
      </w:r>
      <w:r>
        <w:t xml:space="preserve">“</w:t>
      </w:r>
      <w:r>
        <w:t xml:space="preserve">forthcoming</w:t>
      </w:r>
      <w:r>
        <w:t xml:space="preserve">”</w:t>
      </w:r>
      <w:r>
        <w:t xml:space="preserve"> </w:t>
      </w:r>
      <w:r>
        <w:t xml:space="preserve">within ten (10) business days. Request Nos. 16–22 (NovaBridge corporate records, operating agreement, entity-level financials) are</w:t>
      </w:r>
      <w:r>
        <w:t xml:space="preserve"> </w:t>
      </w:r>
      <w:r>
        <w:rPr>
          <w:b/>
          <w:bCs/>
        </w:rPr>
        <w:t xml:space="preserve">not yet produced</w:t>
      </w:r>
      <w:r>
        <w:t xml:space="preserve">; Respondent states he is</w:t>
      </w:r>
      <w:r>
        <w:t xml:space="preserve"> </w:t>
      </w:r>
      <w:r>
        <w:t xml:space="preserve">“</w:t>
      </w:r>
      <w:r>
        <w:t xml:space="preserve">continuing to coordinate</w:t>
      </w:r>
      <w:r>
        <w:t xml:space="preserve">”</w:t>
      </w:r>
      <w:r>
        <w:t xml:space="preserve"> </w:t>
      </w:r>
      <w:r>
        <w:t xml:space="preserve">with NovaBridge and co-member Jared Ostrowski and will supplement.</w:t>
      </w:r>
    </w:p>
    <w:p>
      <w:r>
        <w:pict>
          <v:rect style="width:0;height:1.5pt" o:hralign="center" o:hrstd="t" o:hr="t"/>
        </w:pict>
      </w:r>
    </w:p>
    <w:bookmarkEnd w:id="21"/>
    <w:bookmarkStart w:id="28" w:name="iii.-summary-of-key-figures"/>
    <w:p>
      <w:pPr>
        <w:pStyle w:val="Heading2"/>
      </w:pPr>
      <w:r>
        <w:t xml:space="preserve">III. Summary of Key Figures</w:t>
      </w:r>
    </w:p>
    <w:bookmarkStart w:id="22" w:name="X9c37999a317196985e28622c9db96330b673890"/>
    <w:p>
      <w:pPr>
        <w:pStyle w:val="Heading3"/>
      </w:pPr>
      <w:r>
        <w:t xml:space="preserve">A. Income (2023, per tax return PROD-002 vs. Financial Declaration PROD-001)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Per Tax Return (PROD-002)</w:t>
            </w:r>
          </w:p>
        </w:tc>
        <w:tc>
          <w:tcPr/>
          <w:p>
            <w:pPr>
              <w:pStyle w:val="Compact"/>
              <w:jc w:val="left"/>
            </w:pPr>
            <w:r>
              <w:t xml:space="preserve">Per Financial Declaration (PROD-001)</w:t>
            </w:r>
          </w:p>
        </w:tc>
        <w:tc>
          <w:tcPr/>
          <w:p>
            <w:pPr>
              <w:pStyle w:val="Compact"/>
              <w:jc w:val="left"/>
            </w:pPr>
            <w:r>
              <w:t xml:space="preserve">Variance</w:t>
            </w:r>
          </w:p>
        </w:tc>
      </w:tr>
      <w:tr>
        <w:tc>
          <w:tcPr/>
          <w:p>
            <w:pPr>
              <w:pStyle w:val="Compact"/>
              <w:jc w:val="left"/>
            </w:pPr>
            <w:r>
              <w:t xml:space="preserve">W-2 wages (Respondent, NovaBridge)</w:t>
            </w:r>
          </w:p>
        </w:tc>
        <w:tc>
          <w:tcPr/>
          <w:p>
            <w:pPr>
              <w:pStyle w:val="Compact"/>
              <w:jc w:val="left"/>
            </w:pPr>
            <w:r>
              <w:t xml:space="preserve">$185,000</w:t>
            </w:r>
          </w:p>
        </w:tc>
        <w:tc>
          <w:tcPr/>
          <w:p>
            <w:pPr>
              <w:pStyle w:val="Compact"/>
              <w:jc w:val="left"/>
            </w:pPr>
            <w:r>
              <w:t xml:space="preserve">$185,000</w:t>
            </w:r>
          </w:p>
        </w:tc>
        <w:tc>
          <w:tcPr/>
          <w:p>
            <w:pPr>
              <w:pStyle w:val="Compact"/>
              <w:jc w:val="left"/>
            </w:pPr>
            <w:r>
              <w:t xml:space="preserve">None</w:t>
            </w:r>
          </w:p>
        </w:tc>
      </w:tr>
      <w:tr>
        <w:tc>
          <w:tcPr/>
          <w:p>
            <w:pPr>
              <w:pStyle w:val="Compact"/>
              <w:jc w:val="left"/>
            </w:pPr>
            <w:r>
              <w:t xml:space="preserve">K-1 ordinary business income (NovaBridge, 60%)</w:t>
            </w:r>
          </w:p>
        </w:tc>
        <w:tc>
          <w:tcPr/>
          <w:p>
            <w:pPr>
              <w:pStyle w:val="Compact"/>
              <w:jc w:val="left"/>
            </w:pPr>
            <w:r>
              <w:t xml:space="preserve">$367,200</w:t>
            </w:r>
          </w:p>
        </w:tc>
        <w:tc>
          <w:tcPr/>
          <w:p>
            <w:pPr>
              <w:pStyle w:val="Compact"/>
              <w:jc w:val="left"/>
            </w:pPr>
            <w:r>
              <w:t xml:space="preserve">$174,000 (labeled</w:t>
            </w:r>
            <w:r>
              <w:t xml:space="preserve"> </w:t>
            </w:r>
            <w:r>
              <w:t xml:space="preserve">“</w:t>
            </w:r>
            <w:r>
              <w:t xml:space="preserve">K-1 Income / Distributions</w:t>
            </w:r>
            <w:r>
              <w:t xml:space="preserve">”</w:t>
            </w:r>
            <w:r>
              <w:t xml:space="preserve">)</w:t>
            </w:r>
          </w:p>
        </w:tc>
        <w:tc>
          <w:tcPr/>
          <w:p>
            <w:pPr>
              <w:pStyle w:val="Compact"/>
              <w:jc w:val="left"/>
            </w:pPr>
            <w:r>
              <w:rPr>
                <w:b/>
                <w:bCs/>
              </w:rPr>
              <w:t xml:space="preserve">+$193,200 understated</w:t>
            </w:r>
          </w:p>
        </w:tc>
      </w:tr>
      <w:tr>
        <w:tc>
          <w:tcPr/>
          <w:p>
            <w:pPr>
              <w:pStyle w:val="Compact"/>
              <w:jc w:val="left"/>
            </w:pPr>
            <w:r>
              <w:t xml:space="preserve">Net rental real estate income (1035 Elm St.)</w:t>
            </w:r>
          </w:p>
        </w:tc>
        <w:tc>
          <w:tcPr/>
          <w:p>
            <w:pPr>
              <w:pStyle w:val="Compact"/>
              <w:jc w:val="left"/>
            </w:pPr>
            <w:r>
              <w:t xml:space="preserve">$2,940</w:t>
            </w:r>
          </w:p>
        </w:tc>
        <w:tc>
          <w:tcPr/>
          <w:p>
            <w:pPr>
              <w:pStyle w:val="Compact"/>
              <w:jc w:val="left"/>
            </w:pPr>
            <w:r>
              <w:t xml:space="preserve">$0 (</w:t>
            </w:r>
            <w:r>
              <w:t xml:space="preserve">“</w:t>
            </w:r>
            <w:r>
              <w:t xml:space="preserve">None</w:t>
            </w:r>
            <w:r>
              <w:t xml:space="preserve">”</w:t>
            </w:r>
            <w:r>
              <w:t xml:space="preserve">)</w:t>
            </w:r>
          </w:p>
        </w:tc>
        <w:tc>
          <w:tcPr/>
          <w:p>
            <w:pPr>
              <w:pStyle w:val="Compact"/>
              <w:jc w:val="left"/>
            </w:pPr>
            <w:r>
              <w:rPr>
                <w:b/>
                <w:bCs/>
              </w:rPr>
              <w:t xml:space="preserve">+$2,940 omitted</w:t>
            </w:r>
          </w:p>
        </w:tc>
      </w:tr>
      <w:tr>
        <w:tc>
          <w:tcPr/>
          <w:p>
            <w:pPr>
              <w:pStyle w:val="Compact"/>
              <w:jc w:val="left"/>
            </w:pPr>
            <w:r>
              <w:t xml:space="preserve">Taxable interest</w:t>
            </w:r>
          </w:p>
        </w:tc>
        <w:tc>
          <w:tcPr/>
          <w:p>
            <w:pPr>
              <w:pStyle w:val="Compact"/>
              <w:jc w:val="left"/>
            </w:pPr>
            <w:r>
              <w:t xml:space="preserve">$1,840</w:t>
            </w:r>
          </w:p>
        </w:tc>
        <w:tc>
          <w:tcPr/>
          <w:p>
            <w:pPr>
              <w:pStyle w:val="Compact"/>
              <w:jc w:val="left"/>
            </w:pPr>
            <w:r>
              <w:t xml:space="preserve">$0 (</w:t>
            </w:r>
            <w:r>
              <w:t xml:space="preserve">“</w:t>
            </w:r>
            <w:r>
              <w:t xml:space="preserve">None</w:t>
            </w:r>
            <w:r>
              <w:t xml:space="preserve">”</w:t>
            </w:r>
            <w:r>
              <w:t xml:space="preserve">)</w:t>
            </w:r>
          </w:p>
        </w:tc>
        <w:tc>
          <w:tcPr/>
          <w:p>
            <w:pPr>
              <w:pStyle w:val="Compact"/>
              <w:jc w:val="left"/>
            </w:pPr>
            <w:r>
              <w:rPr>
                <w:b/>
                <w:bCs/>
              </w:rPr>
              <w:t xml:space="preserve">+$1,840 omitted</w:t>
            </w:r>
          </w:p>
        </w:tc>
      </w:tr>
      <w:tr>
        <w:tc>
          <w:tcPr/>
          <w:p>
            <w:pPr>
              <w:pStyle w:val="Compact"/>
              <w:jc w:val="left"/>
            </w:pPr>
            <w:r>
              <w:t xml:space="preserve">Ordinary dividends</w:t>
            </w:r>
          </w:p>
        </w:tc>
        <w:tc>
          <w:tcPr/>
          <w:p>
            <w:pPr>
              <w:pStyle w:val="Compact"/>
              <w:jc w:val="left"/>
            </w:pPr>
            <w:r>
              <w:t xml:space="preserve">$6,310</w:t>
            </w:r>
          </w:p>
        </w:tc>
        <w:tc>
          <w:tcPr/>
          <w:p>
            <w:pPr>
              <w:pStyle w:val="Compact"/>
              <w:jc w:val="left"/>
            </w:pPr>
            <w:r>
              <w:t xml:space="preserve">$0 (</w:t>
            </w:r>
            <w:r>
              <w:t xml:space="preserve">“</w:t>
            </w:r>
            <w:r>
              <w:t xml:space="preserve">None</w:t>
            </w:r>
            <w:r>
              <w:t xml:space="preserve">”</w:t>
            </w:r>
            <w:r>
              <w:t xml:space="preserve">)</w:t>
            </w:r>
          </w:p>
        </w:tc>
        <w:tc>
          <w:tcPr/>
          <w:p>
            <w:pPr>
              <w:pStyle w:val="Compact"/>
              <w:jc w:val="left"/>
            </w:pPr>
            <w:r>
              <w:rPr>
                <w:b/>
                <w:bCs/>
              </w:rPr>
              <w:t xml:space="preserve">+$6,310 omitted</w:t>
            </w:r>
          </w:p>
        </w:tc>
      </w:tr>
      <w:tr>
        <w:tc>
          <w:tcPr/>
          <w:p>
            <w:pPr>
              <w:pStyle w:val="Compact"/>
              <w:jc w:val="left"/>
            </w:pPr>
            <w:r>
              <w:t xml:space="preserve">Capital gains (Schedule D)</w:t>
            </w:r>
          </w:p>
        </w:tc>
        <w:tc>
          <w:tcPr/>
          <w:p>
            <w:pPr>
              <w:pStyle w:val="Compact"/>
              <w:jc w:val="left"/>
            </w:pPr>
            <w:r>
              <w:t xml:space="preserve">$8,450</w:t>
            </w:r>
          </w:p>
        </w:tc>
        <w:tc>
          <w:tcPr/>
          <w:p>
            <w:pPr>
              <w:pStyle w:val="Compact"/>
              <w:jc w:val="left"/>
            </w:pPr>
            <w:r>
              <w:t xml:space="preserve">$0 (</w:t>
            </w:r>
            <w:r>
              <w:t xml:space="preserve">“</w:t>
            </w:r>
            <w:r>
              <w:t xml:space="preserve">None</w:t>
            </w:r>
            <w:r>
              <w:t xml:space="preserve">”</w:t>
            </w:r>
            <w:r>
              <w:t xml:space="preserve">)</w:t>
            </w:r>
          </w:p>
        </w:tc>
        <w:tc>
          <w:tcPr/>
          <w:p>
            <w:pPr>
              <w:pStyle w:val="Compact"/>
              <w:jc w:val="left"/>
            </w:pPr>
            <w:r>
              <w:rPr>
                <w:b/>
                <w:bCs/>
              </w:rPr>
              <w:t xml:space="preserve">+$8,450 omitted</w:t>
            </w:r>
          </w:p>
        </w:tc>
      </w:tr>
      <w:tr>
        <w:tc>
          <w:tcPr/>
          <w:p>
            <w:pPr>
              <w:pStyle w:val="Compact"/>
              <w:jc w:val="left"/>
            </w:pPr>
            <w:r>
              <w:t xml:space="preserve">Vehicle allowance (W-2 Box 14, $800/mo)</w:t>
            </w:r>
          </w:p>
        </w:tc>
        <w:tc>
          <w:tcPr/>
          <w:p>
            <w:pPr>
              <w:pStyle w:val="Compact"/>
              <w:jc w:val="left"/>
            </w:pPr>
            <w:r>
              <w:t xml:space="preserve">$9,600</w:t>
            </w:r>
          </w:p>
        </w:tc>
        <w:tc>
          <w:tcPr/>
          <w:p>
            <w:pPr>
              <w:pStyle w:val="Compact"/>
              <w:jc w:val="left"/>
            </w:pPr>
            <w:r>
              <w:t xml:space="preserve">Not separately disclosed</w:t>
            </w:r>
          </w:p>
        </w:tc>
        <w:tc>
          <w:tcPr/>
          <w:p>
            <w:pPr>
              <w:pStyle w:val="Compact"/>
              <w:jc w:val="left"/>
            </w:pPr>
            <w:r>
              <w:t xml:space="preserve">Verify inclusion in Box 1 wages</w:t>
            </w:r>
          </w:p>
        </w:tc>
      </w:tr>
      <w:tr>
        <w:tc>
          <w:tcPr/>
          <w:p>
            <w:pPr>
              <w:pStyle w:val="Compact"/>
              <w:jc w:val="left"/>
            </w:pPr>
            <w:r>
              <w:rPr>
                <w:b/>
                <w:bCs/>
              </w:rPr>
              <w:t xml:space="preserve">Respondent income per tax return (W-2 + K-1 + rental + investment income; jointly reported)</w:t>
            </w:r>
          </w:p>
        </w:tc>
        <w:tc>
          <w:tcPr/>
          <w:p>
            <w:pPr>
              <w:pStyle w:val="Compact"/>
              <w:jc w:val="left"/>
            </w:pPr>
            <w:r>
              <w:rPr>
                <w:b/>
                <w:bCs/>
              </w:rPr>
              <w:t xml:space="preserve">$571,740</w:t>
            </w:r>
          </w:p>
        </w:tc>
        <w:tc>
          <w:tcPr/>
          <w:p>
            <w:pPr>
              <w:pStyle w:val="Compact"/>
              <w:jc w:val="left"/>
            </w:pPr>
            <w:r>
              <w:rPr>
                <w:b/>
                <w:bCs/>
              </w:rPr>
              <w:t xml:space="preserve">$359,000</w:t>
            </w:r>
          </w:p>
        </w:tc>
        <w:tc>
          <w:tcPr/>
          <w:p>
            <w:pPr>
              <w:pStyle w:val="Compact"/>
              <w:jc w:val="left"/>
            </w:pPr>
            <w:r>
              <w:rPr>
                <w:b/>
                <w:bCs/>
              </w:rPr>
              <w:t xml:space="preserve">~$212,740 understated</w:t>
            </w:r>
          </w:p>
        </w:tc>
      </w:tr>
    </w:tbl>
    <w:p>
      <w:pPr>
        <w:pStyle w:val="BodyText"/>
      </w:pPr>
      <w:r>
        <w:t xml:space="preserve">Joint return totals (for reference): total income $638,940; AGI $612,960; taxable income $564,240; total tax $148,240; refund $8,640. Petitioner’s W-2 wages (Fairview Regional School District) were $67,200, consistent with the Financial Declaration’s estimate.</w:t>
      </w:r>
    </w:p>
    <w:bookmarkEnd w:id="22"/>
    <w:bookmarkStart w:id="23" w:name="X2bdd39524abc49d9f21f14b2a853dabac9067b3"/>
    <w:p>
      <w:pPr>
        <w:pStyle w:val="Heading3"/>
      </w:pPr>
      <w:r>
        <w:t xml:space="preserve">B. NovaBridge Solutions LLC — Entity-Level (2023, per PROD-002)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2023</w:t>
            </w:r>
          </w:p>
        </w:tc>
        <w:tc>
          <w:tcPr/>
          <w:p>
            <w:pPr>
              <w:pStyle w:val="Compact"/>
              <w:jc w:val="left"/>
            </w:pPr>
            <w:r>
              <w:t xml:space="preserve">2022 (comparative)</w:t>
            </w:r>
          </w:p>
        </w:tc>
      </w:tr>
      <w:tr>
        <w:tc>
          <w:tcPr/>
          <w:p>
            <w:pPr>
              <w:pStyle w:val="Compact"/>
              <w:jc w:val="left"/>
            </w:pPr>
            <w:r>
              <w:t xml:space="preserve">Gross revenue</w:t>
            </w:r>
          </w:p>
        </w:tc>
        <w:tc>
          <w:tcPr/>
          <w:p>
            <w:pPr>
              <w:pStyle w:val="Compact"/>
              <w:jc w:val="left"/>
            </w:pPr>
            <w:r>
              <w:t xml:space="preserve">$4,280,000</w:t>
            </w:r>
          </w:p>
        </w:tc>
        <w:tc>
          <w:tcPr/>
          <w:p>
            <w:pPr>
              <w:pStyle w:val="Compact"/>
              <w:jc w:val="left"/>
            </w:pPr>
            <w:r>
              <w:t xml:space="preserve">$3,915,000</w:t>
            </w:r>
          </w:p>
        </w:tc>
      </w:tr>
      <w:tr>
        <w:tc>
          <w:tcPr/>
          <w:p>
            <w:pPr>
              <w:pStyle w:val="Compact"/>
              <w:jc w:val="left"/>
            </w:pPr>
            <w:r>
              <w:t xml:space="preserve">Cost of services</w:t>
            </w:r>
          </w:p>
        </w:tc>
        <w:tc>
          <w:tcPr/>
          <w:p>
            <w:pPr>
              <w:pStyle w:val="Compact"/>
              <w:jc w:val="left"/>
            </w:pPr>
            <w:r>
              <w:t xml:space="preserve">$2,614,000</w:t>
            </w:r>
          </w:p>
        </w:tc>
        <w:tc>
          <w:tcPr/>
          <w:p>
            <w:pPr>
              <w:pStyle w:val="Compact"/>
              <w:jc w:val="left"/>
            </w:pPr>
            <w:r>
              <w:t xml:space="preserve">—</w:t>
            </w:r>
          </w:p>
        </w:tc>
      </w:tr>
      <w:tr>
        <w:tc>
          <w:tcPr/>
          <w:p>
            <w:pPr>
              <w:pStyle w:val="Compact"/>
              <w:jc w:val="left"/>
            </w:pPr>
            <w:r>
              <w:t xml:space="preserve">Gross profit</w:t>
            </w:r>
          </w:p>
        </w:tc>
        <w:tc>
          <w:tcPr/>
          <w:p>
            <w:pPr>
              <w:pStyle w:val="Compact"/>
              <w:jc w:val="left"/>
            </w:pPr>
            <w:r>
              <w:t xml:space="preserve">$1,666,000</w:t>
            </w:r>
          </w:p>
        </w:tc>
        <w:tc>
          <w:tcPr/>
          <w:p>
            <w:pPr>
              <w:pStyle w:val="Compact"/>
              <w:jc w:val="left"/>
            </w:pPr>
            <w:r>
              <w:t xml:space="preserve">—</w:t>
            </w:r>
          </w:p>
        </w:tc>
      </w:tr>
      <w:tr>
        <w:tc>
          <w:tcPr/>
          <w:p>
            <w:pPr>
              <w:pStyle w:val="Compact"/>
              <w:jc w:val="left"/>
            </w:pPr>
            <w:r>
              <w:t xml:space="preserve">Total deductions (incl. owner W-2 of $350,000)</w:t>
            </w:r>
          </w:p>
        </w:tc>
        <w:tc>
          <w:tcPr/>
          <w:p>
            <w:pPr>
              <w:pStyle w:val="Compact"/>
              <w:jc w:val="left"/>
            </w:pPr>
            <w:r>
              <w:t xml:space="preserve">$1,054,000</w:t>
            </w:r>
          </w:p>
        </w:tc>
        <w:tc>
          <w:tcPr/>
          <w:p>
            <w:pPr>
              <w:pStyle w:val="Compact"/>
              <w:jc w:val="left"/>
            </w:pPr>
            <w:r>
              <w:t xml:space="preserve">—</w:t>
            </w:r>
          </w:p>
        </w:tc>
      </w:tr>
      <w:tr>
        <w:tc>
          <w:tcPr/>
          <w:p>
            <w:pPr>
              <w:pStyle w:val="Compact"/>
              <w:jc w:val="left"/>
            </w:pPr>
            <w:r>
              <w:t xml:space="preserve">Ordinary business income (Form 1065, Line 22)</w:t>
            </w:r>
          </w:p>
        </w:tc>
        <w:tc>
          <w:tcPr/>
          <w:p>
            <w:pPr>
              <w:pStyle w:val="Compact"/>
              <w:jc w:val="left"/>
            </w:pPr>
            <w:r>
              <w:t xml:space="preserve">$612,000</w:t>
            </w:r>
          </w:p>
        </w:tc>
        <w:tc>
          <w:tcPr/>
          <w:p>
            <w:pPr>
              <w:pStyle w:val="Compact"/>
              <w:jc w:val="left"/>
            </w:pPr>
            <w:r>
              <w:t xml:space="preserve">$548,000</w:t>
            </w:r>
          </w:p>
        </w:tc>
      </w:tr>
      <w:tr>
        <w:tc>
          <w:tcPr/>
          <w:p>
            <w:pPr>
              <w:pStyle w:val="Compact"/>
              <w:jc w:val="left"/>
            </w:pPr>
            <w:r>
              <w:t xml:space="preserve">Total partner distributions</w:t>
            </w:r>
          </w:p>
        </w:tc>
        <w:tc>
          <w:tcPr/>
          <w:p>
            <w:pPr>
              <w:pStyle w:val="Compact"/>
              <w:jc w:val="left"/>
            </w:pPr>
            <w:r>
              <w:t xml:space="preserve">$290,000</w:t>
            </w:r>
          </w:p>
        </w:tc>
        <w:tc>
          <w:tcPr/>
          <w:p>
            <w:pPr>
              <w:pStyle w:val="Compact"/>
              <w:jc w:val="left"/>
            </w:pPr>
            <w:r>
              <w:t xml:space="preserve">$260,000</w:t>
            </w:r>
          </w:p>
        </w:tc>
      </w:tr>
      <w:tr>
        <w:tc>
          <w:tcPr/>
          <w:p>
            <w:pPr>
              <w:pStyle w:val="Compact"/>
              <w:jc w:val="left"/>
            </w:pPr>
            <w:r>
              <w:t xml:space="preserve">Retained earnings at entity level</w:t>
            </w:r>
          </w:p>
        </w:tc>
        <w:tc>
          <w:tcPr/>
          <w:p>
            <w:pPr>
              <w:pStyle w:val="Compact"/>
              <w:jc w:val="left"/>
            </w:pPr>
            <w:r>
              <w:t xml:space="preserve">$322,000</w:t>
            </w:r>
          </w:p>
        </w:tc>
        <w:tc>
          <w:tcPr/>
          <w:p>
            <w:pPr>
              <w:pStyle w:val="Compact"/>
              <w:jc w:val="left"/>
            </w:pPr>
            <w:r>
              <w:t xml:space="preserve">—</w:t>
            </w:r>
          </w:p>
        </w:tc>
      </w:tr>
      <w:tr>
        <w:tc>
          <w:tcPr/>
          <w:p>
            <w:pPr>
              <w:pStyle w:val="Compact"/>
              <w:jc w:val="left"/>
            </w:pPr>
            <w:r>
              <w:t xml:space="preserve">Respondent’s 60% share of retained earnings</w:t>
            </w:r>
          </w:p>
        </w:tc>
        <w:tc>
          <w:tcPr/>
          <w:p>
            <w:pPr>
              <w:pStyle w:val="Compact"/>
              <w:jc w:val="left"/>
            </w:pPr>
            <w:r>
              <w:t xml:space="preserve">$193,200</w:t>
            </w:r>
          </w:p>
        </w:tc>
        <w:tc>
          <w:tcPr/>
          <w:p>
            <w:pPr>
              <w:pStyle w:val="Compact"/>
              <w:jc w:val="left"/>
            </w:pPr>
            <w:r>
              <w:t xml:space="preserve">—</w:t>
            </w:r>
          </w:p>
        </w:tc>
      </w:tr>
    </w:tbl>
    <w:p>
      <w:pPr>
        <w:pStyle w:val="BodyText"/>
      </w:pPr>
      <w:r>
        <w:t xml:space="preserve">Respondent’s capital account: beginning $482,600; + income $367,200; − distributions $174,000;</w:t>
      </w:r>
      <w:r>
        <w:t xml:space="preserve"> </w:t>
      </w:r>
      <w:r>
        <w:rPr>
          <w:b/>
          <w:bCs/>
        </w:rPr>
        <w:t xml:space="preserve">ending $675,800</w:t>
      </w:r>
      <w:r>
        <w:t xml:space="preserve">. Respondent’s share of recourse liabilities: $36,400. Ownership: Darren Kwan 60% (CTO/Managing Member), Jared Ostrowski 40% (CEO).</w:t>
      </w:r>
      <w:r>
        <w:t xml:space="preserve"> </w:t>
      </w:r>
      <w:r>
        <w:rPr>
          <w:b/>
          <w:bCs/>
        </w:rPr>
        <w:t xml:space="preserve">No business valuation has been performed.</w:t>
      </w:r>
    </w:p>
    <w:bookmarkEnd w:id="23"/>
    <w:bookmarkStart w:id="24" w:name="Xb9e307331ac3e62e6f6b72da6cfd44a67ebbd21"/>
    <w:p>
      <w:pPr>
        <w:pStyle w:val="Heading3"/>
      </w:pPr>
      <w:r>
        <w:t xml:space="preserve">C. Assets (per Financial Declaration PROD-001)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Stated Value</w:t>
            </w:r>
          </w:p>
        </w:tc>
        <w:tc>
          <w:tcPr/>
          <w:p>
            <w:pPr>
              <w:pStyle w:val="Compact"/>
              <w:jc w:val="left"/>
            </w:pPr>
            <w:r>
              <w:t xml:space="preserve">Notes</w:t>
            </w:r>
          </w:p>
        </w:tc>
      </w:tr>
      <w:tr>
        <w:tc>
          <w:tcPr/>
          <w:p>
            <w:pPr>
              <w:pStyle w:val="Compact"/>
              <w:jc w:val="left"/>
            </w:pPr>
            <w:r>
              <w:t xml:space="preserve">Marital residence — 418 Birchwood Lane</w:t>
            </w:r>
          </w:p>
        </w:tc>
        <w:tc>
          <w:tcPr/>
          <w:p>
            <w:pPr>
              <w:pStyle w:val="Compact"/>
              <w:jc w:val="left"/>
            </w:pPr>
            <w:r>
              <w:t xml:space="preserve">$715,000 (est.; no appraisal)</w:t>
            </w:r>
          </w:p>
        </w:tc>
        <w:tc>
          <w:tcPr/>
          <w:p>
            <w:pPr>
              <w:pStyle w:val="Compact"/>
              <w:jc w:val="left"/>
            </w:pPr>
            <w:r>
              <w:t xml:space="preserve">Joint tenancy; mortgage $218,400; equity $496,600</w:t>
            </w:r>
          </w:p>
        </w:tc>
      </w:tr>
      <w:tr>
        <w:tc>
          <w:tcPr/>
          <w:p>
            <w:pPr>
              <w:pStyle w:val="Compact"/>
              <w:jc w:val="left"/>
            </w:pPr>
            <w:r>
              <w:t xml:space="preserve">Joint checking (FCB 4821)</w:t>
            </w:r>
          </w:p>
        </w:tc>
        <w:tc>
          <w:tcPr/>
          <w:p>
            <w:pPr>
              <w:pStyle w:val="Compact"/>
              <w:jc w:val="left"/>
            </w:pPr>
            <w:r>
              <w:t xml:space="preserve">$12,340</w:t>
            </w:r>
          </w:p>
        </w:tc>
        <w:tc>
          <w:tcPr/>
          <w:p>
            <w:pPr>
              <w:pStyle w:val="Compact"/>
              <w:jc w:val="left"/>
            </w:pPr>
            <w:r>
              <w:t xml:space="preserve">No statement produced</w:t>
            </w:r>
          </w:p>
        </w:tc>
      </w:tr>
      <w:tr>
        <w:tc>
          <w:tcPr/>
          <w:p>
            <w:pPr>
              <w:pStyle w:val="Compact"/>
              <w:jc w:val="left"/>
            </w:pPr>
            <w:r>
              <w:t xml:space="preserve">Joint savings (FCB 4822)</w:t>
            </w:r>
          </w:p>
        </w:tc>
        <w:tc>
          <w:tcPr/>
          <w:p>
            <w:pPr>
              <w:pStyle w:val="Compact"/>
              <w:jc w:val="left"/>
            </w:pPr>
            <w:r>
              <w:t xml:space="preserve">$28,750</w:t>
            </w:r>
          </w:p>
        </w:tc>
        <w:tc>
          <w:tcPr/>
          <w:p>
            <w:pPr>
              <w:pStyle w:val="Compact"/>
              <w:jc w:val="left"/>
            </w:pPr>
            <w:r>
              <w:t xml:space="preserve">No statement produced</w:t>
            </w:r>
          </w:p>
        </w:tc>
      </w:tr>
      <w:tr>
        <w:tc>
          <w:tcPr/>
          <w:p>
            <w:pPr>
              <w:pStyle w:val="Compact"/>
              <w:jc w:val="left"/>
            </w:pPr>
            <w:r>
              <w:t xml:space="preserve">Individual checking (FCB 7703)</w:t>
            </w:r>
          </w:p>
        </w:tc>
        <w:tc>
          <w:tcPr/>
          <w:p>
            <w:pPr>
              <w:pStyle w:val="Compact"/>
              <w:jc w:val="left"/>
            </w:pPr>
            <w:r>
              <w:t xml:space="preserve">$8,215</w:t>
            </w:r>
          </w:p>
        </w:tc>
        <w:tc>
          <w:tcPr/>
          <w:p>
            <w:pPr>
              <w:pStyle w:val="Compact"/>
              <w:jc w:val="left"/>
            </w:pPr>
            <w:r>
              <w:t xml:space="preserve">Confirmed by PROD-004 (08/01/2024)</w:t>
            </w:r>
          </w:p>
        </w:tc>
      </w:tr>
      <w:tr>
        <w:tc>
          <w:tcPr/>
          <w:p>
            <w:pPr>
              <w:pStyle w:val="Compact"/>
              <w:jc w:val="left"/>
            </w:pPr>
            <w:r>
              <w:t xml:space="preserve">Individual savings (FCB 7704)</w:t>
            </w:r>
          </w:p>
        </w:tc>
        <w:tc>
          <w:tcPr/>
          <w:p>
            <w:pPr>
              <w:pStyle w:val="Compact"/>
              <w:jc w:val="left"/>
            </w:pPr>
            <w:r>
              <w:t xml:space="preserve">$42,680</w:t>
            </w:r>
          </w:p>
        </w:tc>
        <w:tc>
          <w:tcPr/>
          <w:p>
            <w:pPr>
              <w:pStyle w:val="Compact"/>
              <w:jc w:val="left"/>
            </w:pPr>
            <w:r>
              <w:t xml:space="preserve">Confirmed by PROD-004 (08/01/2024)</w:t>
            </w:r>
          </w:p>
        </w:tc>
      </w:tr>
      <w:tr>
        <w:tc>
          <w:tcPr/>
          <w:p>
            <w:pPr>
              <w:pStyle w:val="Compact"/>
              <w:jc w:val="left"/>
            </w:pPr>
            <w:r>
              <w:t xml:space="preserve">Crestline brokerage (9956)</w:t>
            </w:r>
          </w:p>
        </w:tc>
        <w:tc>
          <w:tcPr/>
          <w:p>
            <w:pPr>
              <w:pStyle w:val="Compact"/>
              <w:jc w:val="left"/>
            </w:pPr>
            <w:r>
              <w:t xml:space="preserve">$387,450</w:t>
            </w:r>
          </w:p>
        </w:tc>
        <w:tc>
          <w:tcPr/>
          <w:p>
            <w:pPr>
              <w:pStyle w:val="Compact"/>
              <w:jc w:val="left"/>
            </w:pPr>
            <w:r>
              <w:t xml:space="preserve">Confirmed by PROD-003 (08/01/2024)</w:t>
            </w:r>
          </w:p>
        </w:tc>
      </w:tr>
      <w:tr>
        <w:tc>
          <w:tcPr/>
          <w:p>
            <w:pPr>
              <w:pStyle w:val="Compact"/>
              <w:jc w:val="left"/>
            </w:pPr>
            <w:r>
              <w:t xml:space="preserve">401(k) — Pinnacle (3310)</w:t>
            </w:r>
          </w:p>
        </w:tc>
        <w:tc>
          <w:tcPr/>
          <w:p>
            <w:pPr>
              <w:pStyle w:val="Compact"/>
              <w:jc w:val="left"/>
            </w:pPr>
            <w:r>
              <w:t xml:space="preserve">$412,800</w:t>
            </w:r>
          </w:p>
        </w:tc>
        <w:tc>
          <w:tcPr/>
          <w:p>
            <w:pPr>
              <w:pStyle w:val="Compact"/>
              <w:jc w:val="left"/>
            </w:pPr>
            <w:r>
              <w:t xml:space="preserve">No statement produced</w:t>
            </w:r>
          </w:p>
        </w:tc>
      </w:tr>
      <w:tr>
        <w:tc>
          <w:tcPr/>
          <w:p>
            <w:pPr>
              <w:pStyle w:val="Compact"/>
              <w:jc w:val="left"/>
            </w:pPr>
            <w:r>
              <w:t xml:space="preserve">403(b) — Petitioner (5587)</w:t>
            </w:r>
          </w:p>
        </w:tc>
        <w:tc>
          <w:tcPr/>
          <w:p>
            <w:pPr>
              <w:pStyle w:val="Compact"/>
              <w:jc w:val="left"/>
            </w:pPr>
            <w:r>
              <w:t xml:space="preserve">$89,200</w:t>
            </w:r>
          </w:p>
        </w:tc>
        <w:tc>
          <w:tcPr/>
          <w:p>
            <w:pPr>
              <w:pStyle w:val="Compact"/>
              <w:jc w:val="left"/>
            </w:pPr>
            <w:r>
              <w:t xml:space="preserve">Petitioner’s; no statement produced</w:t>
            </w:r>
          </w:p>
        </w:tc>
      </w:tr>
      <w:tr>
        <w:tc>
          <w:tcPr/>
          <w:p>
            <w:pPr>
              <w:pStyle w:val="Compact"/>
              <w:jc w:val="left"/>
            </w:pPr>
            <w:r>
              <w:t xml:space="preserve">2022 BMW X5</w:t>
            </w:r>
          </w:p>
        </w:tc>
        <w:tc>
          <w:tcPr/>
          <w:p>
            <w:pPr>
              <w:pStyle w:val="Compact"/>
              <w:jc w:val="left"/>
            </w:pPr>
            <w:r>
              <w:t xml:space="preserve">$48,500 (loan $22,100; equity $26,400)</w:t>
            </w:r>
          </w:p>
        </w:tc>
        <w:tc>
          <w:tcPr/>
          <w:p>
            <w:pPr>
              <w:pStyle w:val="Compact"/>
              <w:jc w:val="left"/>
            </w:pPr>
            <w:r>
              <w:t xml:space="preserve">Titled to Respondent</w:t>
            </w:r>
          </w:p>
        </w:tc>
      </w:tr>
      <w:tr>
        <w:tc>
          <w:tcPr/>
          <w:p>
            <w:pPr>
              <w:pStyle w:val="Compact"/>
              <w:jc w:val="left"/>
            </w:pPr>
            <w:r>
              <w:t xml:space="preserve">2020 Honda CR-V</w:t>
            </w:r>
          </w:p>
        </w:tc>
        <w:tc>
          <w:tcPr/>
          <w:p>
            <w:pPr>
              <w:pStyle w:val="Compact"/>
              <w:jc w:val="left"/>
            </w:pPr>
            <w:r>
              <w:t xml:space="preserve">$24,800 (no loan)</w:t>
            </w:r>
          </w:p>
        </w:tc>
        <w:tc>
          <w:tcPr/>
          <w:p>
            <w:pPr>
              <w:pStyle w:val="Compact"/>
              <w:jc w:val="left"/>
            </w:pPr>
            <w:r>
              <w:t xml:space="preserve">Titled to Petitioner</w:t>
            </w:r>
          </w:p>
        </w:tc>
      </w:tr>
      <w:tr>
        <w:tc>
          <w:tcPr/>
          <w:p>
            <w:pPr>
              <w:pStyle w:val="Compact"/>
              <w:jc w:val="left"/>
            </w:pPr>
            <w:r>
              <w:t xml:space="preserve">Household personal property</w:t>
            </w:r>
          </w:p>
        </w:tc>
        <w:tc>
          <w:tcPr/>
          <w:p>
            <w:pPr>
              <w:pStyle w:val="Compact"/>
              <w:jc w:val="left"/>
            </w:pPr>
            <w:r>
              <w:t xml:space="preserve">~$30,000</w:t>
            </w:r>
          </w:p>
        </w:tc>
        <w:tc>
          <w:tcPr/>
          <w:p>
            <w:pPr>
              <w:pStyle w:val="Compact"/>
              <w:jc w:val="left"/>
            </w:pPr>
            <w:r>
              <w:t xml:space="preserve">—</w:t>
            </w:r>
          </w:p>
        </w:tc>
      </w:tr>
      <w:tr>
        <w:tc>
          <w:tcPr/>
          <w:p>
            <w:pPr>
              <w:pStyle w:val="Compact"/>
              <w:jc w:val="left"/>
            </w:pPr>
            <w:r>
              <w:t xml:space="preserve">NovaBridge 60% interest</w:t>
            </w:r>
          </w:p>
        </w:tc>
        <w:tc>
          <w:tcPr/>
          <w:p>
            <w:pPr>
              <w:pStyle w:val="Compact"/>
              <w:jc w:val="left"/>
            </w:pPr>
            <w:r>
              <w:t xml:space="preserve">Not valued</w:t>
            </w:r>
          </w:p>
        </w:tc>
        <w:tc>
          <w:tcPr/>
          <w:p>
            <w:pPr>
              <w:pStyle w:val="Compact"/>
              <w:jc w:val="left"/>
            </w:pPr>
            <w:r>
              <w:t xml:space="preserve">No appraisal</w:t>
            </w:r>
          </w:p>
        </w:tc>
      </w:tr>
      <w:tr>
        <w:tc>
          <w:tcPr/>
          <w:p>
            <w:pPr>
              <w:pStyle w:val="Compact"/>
              <w:jc w:val="left"/>
            </w:pPr>
            <w:r>
              <w:rPr>
                <w:b/>
                <w:bCs/>
              </w:rPr>
              <w:t xml:space="preserve">Total financial accounts</w:t>
            </w:r>
          </w:p>
        </w:tc>
        <w:tc>
          <w:tcPr/>
          <w:p>
            <w:pPr>
              <w:pStyle w:val="Compact"/>
              <w:jc w:val="left"/>
            </w:pPr>
            <w:r>
              <w:rPr>
                <w:b/>
                <w:bCs/>
              </w:rPr>
              <w:t xml:space="preserve">$981,435</w:t>
            </w:r>
          </w:p>
        </w:tc>
        <w:tc>
          <w:tcPr/>
          <w:p>
            <w:pPr>
              <w:pStyle w:val="Compact"/>
              <w:jc w:val="left"/>
            </w:pPr>
            <w:r>
              <w:t xml:space="preserve">—</w:t>
            </w:r>
          </w:p>
        </w:tc>
      </w:tr>
      <w:tr>
        <w:tc>
          <w:tcPr/>
          <w:p>
            <w:pPr>
              <w:pStyle w:val="Compact"/>
              <w:jc w:val="left"/>
            </w:pPr>
            <w:r>
              <w:rPr>
                <w:b/>
                <w:bCs/>
              </w:rPr>
              <w:t xml:space="preserve">Undisclosed: 1035 Elm Street, Unit C</w:t>
            </w:r>
          </w:p>
        </w:tc>
        <w:tc>
          <w:tcPr/>
          <w:p>
            <w:pPr>
              <w:pStyle w:val="Compact"/>
              <w:jc w:val="left"/>
            </w:pPr>
            <w:r>
              <w:rPr>
                <w:b/>
                <w:bCs/>
              </w:rPr>
              <w:t xml:space="preserve">Unknown (no appraisal)</w:t>
            </w:r>
          </w:p>
        </w:tc>
        <w:tc>
          <w:tcPr/>
          <w:p>
            <w:pPr>
              <w:pStyle w:val="Compact"/>
              <w:jc w:val="left"/>
            </w:pPr>
            <w:r>
              <w:rPr>
                <w:b/>
                <w:bCs/>
              </w:rPr>
              <w:t xml:space="preserve">Rental condo; sole title Respondent; see §IV.A</w:t>
            </w:r>
          </w:p>
        </w:tc>
      </w:tr>
    </w:tbl>
    <w:bookmarkEnd w:id="24"/>
    <w:bookmarkStart w:id="25" w:name="X4cc360e425641e9288d6fbacc26348c58c031bb"/>
    <w:p>
      <w:pPr>
        <w:pStyle w:val="Heading3"/>
      </w:pPr>
      <w:r>
        <w:t xml:space="preserve">D. Liabilities (per Financial Declaration PROD-001)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Liability</w:t>
            </w:r>
          </w:p>
        </w:tc>
        <w:tc>
          <w:tcPr/>
          <w:p>
            <w:pPr>
              <w:pStyle w:val="Compact"/>
              <w:jc w:val="left"/>
            </w:pPr>
            <w:r>
              <w:t xml:space="preserve">Stated Balance</w:t>
            </w:r>
          </w:p>
        </w:tc>
        <w:tc>
          <w:tcPr/>
          <w:p>
            <w:pPr>
              <w:pStyle w:val="Compact"/>
              <w:jc w:val="left"/>
            </w:pPr>
            <w:r>
              <w:t xml:space="preserve">Notes</w:t>
            </w:r>
          </w:p>
        </w:tc>
      </w:tr>
      <w:tr>
        <w:tc>
          <w:tcPr/>
          <w:p>
            <w:pPr>
              <w:pStyle w:val="Compact"/>
              <w:jc w:val="left"/>
            </w:pPr>
            <w:r>
              <w:t xml:space="preserve">Mortgage — 418 Birchwood (Meridian)</w:t>
            </w:r>
          </w:p>
        </w:tc>
        <w:tc>
          <w:tcPr/>
          <w:p>
            <w:pPr>
              <w:pStyle w:val="Compact"/>
              <w:jc w:val="left"/>
            </w:pPr>
            <w:r>
              <w:t xml:space="preserve">$218,400</w:t>
            </w:r>
          </w:p>
        </w:tc>
        <w:tc>
          <w:tcPr/>
          <w:p>
            <w:pPr>
              <w:pStyle w:val="Compact"/>
              <w:jc w:val="left"/>
            </w:pPr>
            <w:r>
              <w:t xml:space="preserve">$1,842/mo PITI; joint</w:t>
            </w:r>
          </w:p>
        </w:tc>
      </w:tr>
      <w:tr>
        <w:tc>
          <w:tcPr/>
          <w:p>
            <w:pPr>
              <w:pStyle w:val="Compact"/>
              <w:jc w:val="left"/>
            </w:pPr>
            <w:r>
              <w:t xml:space="preserve">Auto loan — 2022 BMW X5 (FCB Auto Finance)</w:t>
            </w:r>
          </w:p>
        </w:tc>
        <w:tc>
          <w:tcPr/>
          <w:p>
            <w:pPr>
              <w:pStyle w:val="Compact"/>
              <w:jc w:val="left"/>
            </w:pPr>
            <w:r>
              <w:t xml:space="preserve">$22,100</w:t>
            </w:r>
          </w:p>
        </w:tc>
        <w:tc>
          <w:tcPr/>
          <w:p>
            <w:pPr>
              <w:pStyle w:val="Compact"/>
              <w:jc w:val="left"/>
            </w:pPr>
            <w:r>
              <w:t xml:space="preserve">$425/mo; Respondent only</w:t>
            </w:r>
          </w:p>
        </w:tc>
      </w:tr>
      <w:tr>
        <w:tc>
          <w:tcPr/>
          <w:p>
            <w:pPr>
              <w:pStyle w:val="Compact"/>
              <w:jc w:val="left"/>
            </w:pPr>
            <w:r>
              <w:t xml:space="preserve">Credit card — Platinum Visa</w:t>
            </w:r>
          </w:p>
        </w:tc>
        <w:tc>
          <w:tcPr/>
          <w:p>
            <w:pPr>
              <w:pStyle w:val="Compact"/>
              <w:jc w:val="left"/>
            </w:pPr>
            <w:r>
              <w:t xml:space="preserve">~$8,500 (</w:t>
            </w:r>
            <w:r>
              <w:t xml:space="preserve">“</w:t>
            </w:r>
            <w:r>
              <w:t xml:space="preserve">revolving</w:t>
            </w:r>
            <w:r>
              <w:t xml:space="preserve">”</w:t>
            </w:r>
            <w:r>
              <w:t xml:space="preserve">)</w:t>
            </w:r>
          </w:p>
        </w:tc>
        <w:tc>
          <w:tcPr/>
          <w:p>
            <w:pPr>
              <w:pStyle w:val="Compact"/>
              <w:jc w:val="left"/>
            </w:pPr>
            <w:r>
              <w:t xml:space="preserve">See §IV.F (creditor &amp; balance issues)</w:t>
            </w:r>
          </w:p>
        </w:tc>
      </w:tr>
      <w:tr>
        <w:tc>
          <w:tcPr/>
          <w:p>
            <w:pPr>
              <w:pStyle w:val="Compact"/>
              <w:jc w:val="left"/>
            </w:pPr>
            <w:r>
              <w:rPr>
                <w:b/>
                <w:bCs/>
              </w:rPr>
              <w:t xml:space="preserve">Total disclosed</w:t>
            </w:r>
          </w:p>
        </w:tc>
        <w:tc>
          <w:tcPr/>
          <w:p>
            <w:pPr>
              <w:pStyle w:val="Compact"/>
              <w:jc w:val="left"/>
            </w:pPr>
            <w:r>
              <w:rPr>
                <w:b/>
                <w:bCs/>
              </w:rPr>
              <w:t xml:space="preserve">~$249,000</w:t>
            </w:r>
          </w:p>
        </w:tc>
        <w:tc>
          <w:tcPr/>
          <w:p>
            <w:pPr>
              <w:pStyle w:val="Compact"/>
              <w:jc w:val="left"/>
            </w:pPr>
            <w:r>
              <w:t xml:space="preserve">—</w:t>
            </w:r>
          </w:p>
        </w:tc>
      </w:tr>
      <w:tr>
        <w:tc>
          <w:tcPr/>
          <w:p>
            <w:pPr>
              <w:pStyle w:val="Compact"/>
              <w:jc w:val="left"/>
            </w:pPr>
            <w:r>
              <w:rPr>
                <w:b/>
                <w:bCs/>
              </w:rPr>
              <w:t xml:space="preserve">Undisclosed: mortgage — 1035 Elm Street (Meridian)</w:t>
            </w:r>
          </w:p>
        </w:tc>
        <w:tc>
          <w:tcPr/>
          <w:p>
            <w:pPr>
              <w:pStyle w:val="Compact"/>
              <w:jc w:val="left"/>
            </w:pPr>
            <w:r>
              <w:rPr>
                <w:b/>
                <w:bCs/>
              </w:rPr>
              <w:t xml:space="preserve">~$241,281</w:t>
            </w:r>
          </w:p>
        </w:tc>
        <w:tc>
          <w:tcPr/>
          <w:p>
            <w:pPr>
              <w:pStyle w:val="Compact"/>
              <w:jc w:val="left"/>
            </w:pPr>
            <w:r>
              <w:rPr>
                <w:b/>
                <w:bCs/>
              </w:rPr>
              <w:t xml:space="preserve">Loan 7842-0163-ELM; sole borrower; see §IV.A</w:t>
            </w:r>
          </w:p>
        </w:tc>
      </w:tr>
      <w:tr>
        <w:tc>
          <w:tcPr/>
          <w:p>
            <w:pPr>
              <w:pStyle w:val="Compact"/>
              <w:jc w:val="left"/>
            </w:pPr>
            <w:r>
              <w:t xml:space="preserve">Lease — 2200 Harbor Point Dr., Unit 14B</w:t>
            </w:r>
          </w:p>
        </w:tc>
        <w:tc>
          <w:tcPr/>
          <w:p>
            <w:pPr>
              <w:pStyle w:val="Compact"/>
              <w:jc w:val="left"/>
            </w:pPr>
            <w:r>
              <w:t xml:space="preserve">$4,750/mo (recurring)</w:t>
            </w:r>
          </w:p>
        </w:tc>
        <w:tc>
          <w:tcPr/>
          <w:p>
            <w:pPr>
              <w:pStyle w:val="Compact"/>
              <w:jc w:val="left"/>
            </w:pPr>
            <w:r>
              <w:t xml:space="preserve">Disclosed as recurring obligation</w:t>
            </w:r>
          </w:p>
        </w:tc>
      </w:tr>
    </w:tbl>
    <w:bookmarkEnd w:id="25"/>
    <w:bookmarkStart w:id="26" w:name="X802beb2454beeefc8c954d4a75667c55394ed04"/>
    <w:p>
      <w:pPr>
        <w:pStyle w:val="Heading3"/>
      </w:pPr>
      <w:r>
        <w:t xml:space="preserve">E. Monthly Expenses (per Financial Declaration PROD-001)</w:t>
      </w:r>
    </w:p>
    <w:p>
      <w:pPr>
        <w:pStyle w:val="FirstParagraph"/>
      </w:pPr>
      <w:r>
        <w:t xml:space="preserve">Personal monthly expenses total</w:t>
      </w:r>
      <w:r>
        <w:t xml:space="preserve"> </w:t>
      </w:r>
      <w:r>
        <w:rPr>
          <w:b/>
          <w:bCs/>
        </w:rPr>
        <w:t xml:space="preserve">$8,885</w:t>
      </w:r>
      <w:r>
        <w:t xml:space="preserve">; plus voluntary contribution to marital household</w:t>
      </w:r>
      <w:r>
        <w:t xml:space="preserve"> </w:t>
      </w:r>
      <w:r>
        <w:rPr>
          <w:b/>
          <w:bCs/>
        </w:rPr>
        <w:t xml:space="preserve">$3,500</w:t>
      </w:r>
      <w:r>
        <w:t xml:space="preserve">; total stated outlay</w:t>
      </w:r>
      <w:r>
        <w:t xml:space="preserve"> </w:t>
      </w:r>
      <w:r>
        <w:rPr>
          <w:b/>
          <w:bCs/>
        </w:rPr>
        <w:t xml:space="preserve">$12,385/month</w:t>
      </w:r>
      <w:r>
        <w:t xml:space="preserve">. Actual spending reflected in the produced bank and credit-card records is substantially higher (see §IV.D).</w:t>
      </w:r>
    </w:p>
    <w:bookmarkEnd w:id="26"/>
    <w:bookmarkStart w:id="27" w:name="Xca6a3745ec55771a2c4ac9d4a505d95d534ed47"/>
    <w:p>
      <w:pPr>
        <w:pStyle w:val="Heading3"/>
      </w:pPr>
      <w:r>
        <w:t xml:space="preserve">F. Crestline Brokerage Account (9956) — Movement (PROD-003)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Market Value</w:t>
            </w:r>
          </w:p>
        </w:tc>
        <w:tc>
          <w:tcPr/>
          <w:p>
            <w:pPr>
              <w:pStyle w:val="Compact"/>
              <w:jc w:val="left"/>
            </w:pPr>
            <w:r>
              <w:t xml:space="preserve">Notable</w:t>
            </w:r>
          </w:p>
        </w:tc>
      </w:tr>
      <w:tr>
        <w:tc>
          <w:tcPr/>
          <w:p>
            <w:pPr>
              <w:pStyle w:val="Compact"/>
              <w:jc w:val="left"/>
            </w:pPr>
            <w:r>
              <w:t xml:space="preserve">Jan. 1, 2024</w:t>
            </w:r>
          </w:p>
        </w:tc>
        <w:tc>
          <w:tcPr/>
          <w:p>
            <w:pPr>
              <w:pStyle w:val="Compact"/>
              <w:jc w:val="left"/>
            </w:pPr>
            <w:r>
              <w:t xml:space="preserve">$472,450</w:t>
            </w:r>
          </w:p>
        </w:tc>
        <w:tc>
          <w:tcPr/>
          <w:p>
            <w:pPr>
              <w:pStyle w:val="Compact"/>
              <w:jc w:val="left"/>
            </w:pPr>
            <w:r>
              <w:t xml:space="preserve">Opening</w:t>
            </w:r>
          </w:p>
        </w:tc>
      </w:tr>
      <w:tr>
        <w:tc>
          <w:tcPr/>
          <w:p>
            <w:pPr>
              <w:pStyle w:val="Compact"/>
              <w:jc w:val="left"/>
            </w:pPr>
            <w:r>
              <w:t xml:space="preserve">Apr. 15, 2024</w:t>
            </w:r>
          </w:p>
        </w:tc>
        <w:tc>
          <w:tcPr/>
          <w:p>
            <w:pPr>
              <w:pStyle w:val="Compact"/>
              <w:jc w:val="left"/>
            </w:pPr>
            <w:r>
              <w:t xml:space="preserve">—</w:t>
            </w:r>
          </w:p>
        </w:tc>
        <w:tc>
          <w:tcPr/>
          <w:p>
            <w:pPr>
              <w:pStyle w:val="Compact"/>
              <w:jc w:val="left"/>
            </w:pPr>
            <w:r>
              <w:t xml:space="preserve">EFT to IRS (est. tax Q1): −$10,550</w:t>
            </w:r>
          </w:p>
        </w:tc>
      </w:tr>
      <w:tr>
        <w:tc>
          <w:tcPr/>
          <w:p>
            <w:pPr>
              <w:pStyle w:val="Compact"/>
              <w:jc w:val="left"/>
            </w:pPr>
            <w:r>
              <w:t xml:space="preserve">June 15, 2024</w:t>
            </w:r>
          </w:p>
        </w:tc>
        <w:tc>
          <w:tcPr/>
          <w:p>
            <w:pPr>
              <w:pStyle w:val="Compact"/>
              <w:jc w:val="left"/>
            </w:pPr>
            <w:r>
              <w:t xml:space="preserve">—</w:t>
            </w:r>
          </w:p>
        </w:tc>
        <w:tc>
          <w:tcPr/>
          <w:p>
            <w:pPr>
              <w:pStyle w:val="Compact"/>
              <w:jc w:val="left"/>
            </w:pPr>
            <w:r>
              <w:rPr>
                <w:b/>
                <w:bCs/>
              </w:rPr>
              <w:t xml:space="preserve">Wire transfer out: −$85,000 to Harborstone Financial Group, acct. 2291</w:t>
            </w:r>
          </w:p>
        </w:tc>
      </w:tr>
      <w:tr>
        <w:tc>
          <w:tcPr/>
          <w:p>
            <w:pPr>
              <w:pStyle w:val="Compact"/>
              <w:jc w:val="left"/>
            </w:pPr>
            <w:r>
              <w:t xml:space="preserve">Aug. 1, 2024</w:t>
            </w:r>
          </w:p>
        </w:tc>
        <w:tc>
          <w:tcPr/>
          <w:p>
            <w:pPr>
              <w:pStyle w:val="Compact"/>
              <w:jc w:val="left"/>
            </w:pPr>
            <w:r>
              <w:t xml:space="preserve">$387,450</w:t>
            </w:r>
          </w:p>
        </w:tc>
        <w:tc>
          <w:tcPr/>
          <w:p>
            <w:pPr>
              <w:pStyle w:val="Compact"/>
              <w:jc w:val="left"/>
            </w:pPr>
            <w:r>
              <w:t xml:space="preserve">Closing (matches Financial Declaration)</w:t>
            </w:r>
          </w:p>
        </w:tc>
      </w:tr>
    </w:tbl>
    <w:p>
      <w:pPr>
        <w:pStyle w:val="BodyText"/>
      </w:pPr>
      <w:r>
        <w:t xml:space="preserve">Year-to-date withdrawals totaled $97,300 (advisory fees $1,750; IRS estimated tax $10,550; the $85,000 wire; etc.). The account declined $85,100 net over the period, driven principally by the $85,000 wire.</w:t>
      </w:r>
    </w:p>
    <w:p>
      <w:r>
        <w:pict>
          <v:rect style="width:0;height:1.5pt" o:hralign="center" o:hrstd="t" o:hr="t"/>
        </w:pict>
      </w:r>
    </w:p>
    <w:bookmarkEnd w:id="27"/>
    <w:bookmarkEnd w:id="28"/>
    <w:bookmarkStart w:id="36" w:name="X88d628a9e8105075c4601aa1b56bd0ed9013913"/>
    <w:p>
      <w:pPr>
        <w:pStyle w:val="Heading2"/>
      </w:pPr>
      <w:r>
        <w:t xml:space="preserve">IV. Flagged Inconsistencies and Red Flags</w:t>
      </w:r>
    </w:p>
    <w:bookmarkStart w:id="29" w:name="X4e310de76be0ca77e6e1bde6f06993e5c07fc22"/>
    <w:p>
      <w:pPr>
        <w:pStyle w:val="Heading3"/>
      </w:pPr>
      <w:r>
        <w:t xml:space="preserve">A. Undisclosed Real Property and Mortgage (1035 Elm Street, Unit C)</w:t>
      </w:r>
    </w:p>
    <w:p>
      <w:pPr>
        <w:pStyle w:val="FirstParagraph"/>
      </w:pPr>
      <w:r>
        <w:t xml:space="preserve">This is the most significant single finding. The 2023 tax return (PROD-002, Schedule E, Part I) and the Meridian mortgage statements (PROD-005) both establish that Respondent owns a rental condominium at</w:t>
      </w:r>
      <w:r>
        <w:t xml:space="preserve"> </w:t>
      </w:r>
      <w:r>
        <w:rPr>
          <w:b/>
          <w:bCs/>
        </w:rPr>
        <w:t xml:space="preserve">1035 Elm Street, Unit C, Fairview, Columbia 20147</w:t>
      </w:r>
      <w:r>
        <w:t xml:space="preserve">, titled solely in his name. The property generated $25,200 in gross rents ($2,100/month) and $2,940 in net rental income in 2023, and carries a Meridian Home Lending mortgage (Loan No. 7842-0163-ELM; original amount $279,000; originated Oct. 8, 2019; current principal balance</w:t>
      </w:r>
      <w:r>
        <w:t xml:space="preserve"> </w:t>
      </w:r>
      <w:r>
        <w:rPr>
          <w:b/>
          <w:bCs/>
        </w:rPr>
        <w:t xml:space="preserve">$241,281.19</w:t>
      </w:r>
      <w:r>
        <w:t xml:space="preserve"> </w:t>
      </w:r>
      <w:r>
        <w:t xml:space="preserve">as of Aug. 1, 2024; $1,680/month PITI).</w:t>
      </w:r>
    </w:p>
    <w:p>
      <w:pPr>
        <w:pStyle w:val="BodyText"/>
      </w:pPr>
      <w:r>
        <w:t xml:space="preserve">The Financial Declaration (PROD-001)</w:t>
      </w:r>
      <w:r>
        <w:t xml:space="preserve"> </w:t>
      </w:r>
      <w:r>
        <w:rPr>
          <w:b/>
          <w:bCs/>
        </w:rPr>
        <w:t xml:space="preserve">omits this property entirely</w:t>
      </w:r>
      <w:r>
        <w:t xml:space="preserve">:</w:t>
      </w:r>
    </w:p>
    <w:p>
      <w:pPr>
        <w:pStyle w:val="Compact"/>
        <w:numPr>
          <w:ilvl w:val="0"/>
          <w:numId w:val="1001"/>
        </w:numPr>
      </w:pPr>
      <w:r>
        <w:rPr>
          <w:b/>
          <w:bCs/>
        </w:rPr>
        <w:t xml:space="preserve">Assets — ¶23:</w:t>
      </w:r>
      <w:r>
        <w:t xml:space="preserve"> </w:t>
      </w:r>
      <w:r>
        <w:t xml:space="preserve">“</w:t>
      </w:r>
      <w:r>
        <w:t xml:space="preserve">Respondent does not hold any ownership interest, whether sole or joint, in any other real property.</w:t>
      </w:r>
      <w:r>
        <w:t xml:space="preserve">”</w:t>
      </w:r>
      <w:r>
        <w:t xml:space="preserve"> </w:t>
      </w:r>
      <w:r>
        <w:t xml:space="preserve">This is directly contradicted by the tax return and mortgage statements.</w:t>
      </w:r>
    </w:p>
    <w:p>
      <w:pPr>
        <w:pStyle w:val="Compact"/>
        <w:numPr>
          <w:ilvl w:val="0"/>
          <w:numId w:val="1001"/>
        </w:numPr>
      </w:pPr>
      <w:r>
        <w:rPr>
          <w:b/>
          <w:bCs/>
        </w:rPr>
        <w:t xml:space="preserve">Income — ¶19:</w:t>
      </w:r>
      <w:r>
        <w:t xml:space="preserve"> </w:t>
      </w:r>
      <w:r>
        <w:t xml:space="preserve">Respondent represents he has</w:t>
      </w:r>
      <w:r>
        <w:t xml:space="preserve"> </w:t>
      </w:r>
      <w:r>
        <w:t xml:space="preserve">“</w:t>
      </w:r>
      <w:r>
        <w:t xml:space="preserve">no other sources of income, including but not limited to … rental income.</w:t>
      </w:r>
      <w:r>
        <w:t xml:space="preserve">”</w:t>
      </w:r>
      <w:r>
        <w:t xml:space="preserve"> </w:t>
      </w:r>
      <w:r>
        <w:t xml:space="preserve">Contradicted by the $2,940 net rental income on Schedule E.</w:t>
      </w:r>
    </w:p>
    <w:p>
      <w:pPr>
        <w:pStyle w:val="Compact"/>
        <w:numPr>
          <w:ilvl w:val="0"/>
          <w:numId w:val="1001"/>
        </w:numPr>
      </w:pPr>
      <w:r>
        <w:rPr>
          <w:b/>
          <w:bCs/>
        </w:rPr>
        <w:t xml:space="preserve">Liabilities — Section IV:</w:t>
      </w:r>
      <w:r>
        <w:t xml:space="preserve"> </w:t>
      </w:r>
      <w:r>
        <w:t xml:space="preserve">Only the 418 Birchwood mortgage ($218,400) is listed. The Elm Street mortgage (~$241,281) is omitted, understating total liabilities by roughly $241,000.</w:t>
      </w:r>
    </w:p>
    <w:p>
      <w:pPr>
        <w:pStyle w:val="FirstParagraph"/>
      </w:pPr>
      <w:r>
        <w:t xml:space="preserve">The Elm Street mortgage was originated October 8, 2019 —</w:t>
      </w:r>
      <w:r>
        <w:t xml:space="preserve"> </w:t>
      </w:r>
      <w:r>
        <w:rPr>
          <w:b/>
          <w:bCs/>
        </w:rPr>
        <w:t xml:space="preserve">during the marriage</w:t>
      </w:r>
      <w:r>
        <w:t xml:space="preserve"> </w:t>
      </w:r>
      <w:r>
        <w:t xml:space="preserve">— making both the property and the indebtedness presumptively marital. Notably, Respondent produced mortgage statements for the</w:t>
      </w:r>
      <w:r>
        <w:t xml:space="preserve"> </w:t>
      </w:r>
      <w:r>
        <w:rPr>
          <w:i/>
          <w:iCs/>
        </w:rPr>
        <w:t xml:space="preserve">undisclosed</w:t>
      </w:r>
      <w:r>
        <w:t xml:space="preserve"> </w:t>
      </w:r>
      <w:r>
        <w:t xml:space="preserve">Elm Street property (PROD-005) but did</w:t>
      </w:r>
      <w:r>
        <w:t xml:space="preserve"> </w:t>
      </w:r>
      <w:r>
        <w:rPr>
          <w:b/>
          <w:bCs/>
        </w:rPr>
        <w:t xml:space="preserve">not</w:t>
      </w:r>
      <w:r>
        <w:t xml:space="preserve"> </w:t>
      </w:r>
      <w:r>
        <w:t xml:space="preserve">produce statements for the disclosed marital residence at 418 Birchwood Lane. The bank records (PROD-004) corroborate the Elm Street obligation: Respondent’s individual checking account shows two monthly Meridian ACH payments — $1,842 (Birchwood) and $1,680 (Elm Street) — and recurring $2,100</w:t>
      </w:r>
      <w:r>
        <w:t xml:space="preserve"> </w:t>
      </w:r>
      <w:r>
        <w:t xml:space="preserve">“</w:t>
      </w:r>
      <w:r>
        <w:t xml:space="preserve">Tenant Rent Payment</w:t>
      </w:r>
      <w:r>
        <w:t xml:space="preserve">”</w:t>
      </w:r>
      <w:r>
        <w:t xml:space="preserve"> </w:t>
      </w:r>
      <w:r>
        <w:t xml:space="preserve">ACH deposits beginning April 2024.</w:t>
      </w:r>
    </w:p>
    <w:bookmarkEnd w:id="29"/>
    <w:bookmarkStart w:id="30" w:name="Xf5ea709106c20a3bc5b2423f1ed5b6db1a8ec04"/>
    <w:p>
      <w:pPr>
        <w:pStyle w:val="Heading3"/>
      </w:pPr>
      <w:r>
        <w:t xml:space="preserve">B. Income Understatement — K-1 Distributions vs. K-1 Ordinary Business Income</w:t>
      </w:r>
    </w:p>
    <w:p>
      <w:pPr>
        <w:pStyle w:val="FirstParagraph"/>
      </w:pPr>
      <w:r>
        <w:t xml:space="preserve">The Financial Declaration reports</w:t>
      </w:r>
      <w:r>
        <w:t xml:space="preserve"> </w:t>
      </w:r>
      <w:r>
        <w:t xml:space="preserve">“</w:t>
      </w:r>
      <w:r>
        <w:t xml:space="preserve">K-1 Income / Distributions (NovaBridge Solutions LLC)</w:t>
      </w:r>
      <w:r>
        <w:t xml:space="preserve">”</w:t>
      </w:r>
      <w:r>
        <w:t xml:space="preserve"> </w:t>
      </w:r>
      <w:r>
        <w:t xml:space="preserve">of</w:t>
      </w:r>
      <w:r>
        <w:t xml:space="preserve"> </w:t>
      </w:r>
      <w:r>
        <w:rPr>
          <w:b/>
          <w:bCs/>
        </w:rPr>
        <w:t xml:space="preserve">$174,000</w:t>
      </w:r>
      <w:r>
        <w:t xml:space="preserve"> </w:t>
      </w:r>
      <w:r>
        <w:t xml:space="preserve">and represents this as Respondent’s business income (¶15–16). The Schedule K-1 (PROD-002) tells a different story:</w:t>
      </w:r>
    </w:p>
    <w:p>
      <w:pPr>
        <w:pStyle w:val="Compact"/>
        <w:numPr>
          <w:ilvl w:val="0"/>
          <w:numId w:val="1002"/>
        </w:numPr>
      </w:pPr>
      <w:r>
        <w:rPr>
          <w:b/>
          <w:bCs/>
        </w:rPr>
        <w:t xml:space="preserve">Box 1 — Ordinary business income: $367,200</w:t>
      </w:r>
      <w:r>
        <w:t xml:space="preserve"> </w:t>
      </w:r>
      <w:r>
        <w:t xml:space="preserve">(the actual pass-through income taxable to Respondent).</w:t>
      </w:r>
    </w:p>
    <w:p>
      <w:pPr>
        <w:pStyle w:val="Compact"/>
        <w:numPr>
          <w:ilvl w:val="0"/>
          <w:numId w:val="1002"/>
        </w:numPr>
      </w:pPr>
      <w:r>
        <w:rPr>
          <w:b/>
          <w:bCs/>
        </w:rPr>
        <w:t xml:space="preserve">Box 19a — Distributions (cash): $174,000</w:t>
      </w:r>
      <w:r>
        <w:t xml:space="preserve"> </w:t>
      </w:r>
      <w:r>
        <w:t xml:space="preserve">(what Respondent reported as</w:t>
      </w:r>
      <w:r>
        <w:t xml:space="preserve"> </w:t>
      </w:r>
      <w:r>
        <w:t xml:space="preserve">“</w:t>
      </w:r>
      <w:r>
        <w:t xml:space="preserve">income</w:t>
      </w:r>
      <w:r>
        <w:t xml:space="preserve">”</w:t>
      </w:r>
      <w:r>
        <w:t xml:space="preserve">).</w:t>
      </w:r>
    </w:p>
    <w:p>
      <w:pPr>
        <w:pStyle w:val="FirstParagraph"/>
      </w:pPr>
      <w:r>
        <w:t xml:space="preserve">Distributions are not income; they are a return of capital/cash flow. For purposes of support and equitable distribution, the economically relevant figure is the $367,200 of ordinary business income, not the $174,000 cash distribution. Reporting the distribution as</w:t>
      </w:r>
      <w:r>
        <w:t xml:space="preserve"> </w:t>
      </w:r>
      <w:r>
        <w:t xml:space="preserve">“</w:t>
      </w:r>
      <w:r>
        <w:t xml:space="preserve">K-1 income</w:t>
      </w:r>
      <w:r>
        <w:t xml:space="preserve">”</w:t>
      </w:r>
      <w:r>
        <w:t xml:space="preserve"> </w:t>
      </w:r>
      <w:r>
        <w:rPr>
          <w:b/>
          <w:bCs/>
        </w:rPr>
        <w:t xml:space="preserve">understates Respondent’s pass-through income by $193,200</w:t>
      </w:r>
      <w:r>
        <w:t xml:space="preserve">. The Financial Declaration further omits interest ($1,840), dividends ($6,310), capital gains ($8,450), and net rental income ($2,940) — all jointly reported on the MFJ return but absent from the Declaration’s</w:t>
      </w:r>
      <w:r>
        <w:t xml:space="preserve"> </w:t>
      </w:r>
      <w:r>
        <w:t xml:space="preserve">“</w:t>
      </w:r>
      <w:r>
        <w:t xml:space="preserve">no other income</w:t>
      </w:r>
      <w:r>
        <w:t xml:space="preserve">”</w:t>
      </w:r>
      <w:r>
        <w:t xml:space="preserve"> </w:t>
      </w:r>
      <w:r>
        <w:t xml:space="preserve">representation. In aggregate, the tax return reflects $571,740 of Respondent-attributable income (W-2 $185,000 + K-1 $367,200 + rental $2,940 + interest $1,840 + dividends $6,310 + capital gains $8,450), exceeding the $359,000 declared by approximately</w:t>
      </w:r>
      <w:r>
        <w:t xml:space="preserve"> </w:t>
      </w:r>
      <w:r>
        <w:rPr>
          <w:b/>
          <w:bCs/>
        </w:rPr>
        <w:t xml:space="preserve">$212,740</w:t>
      </w:r>
      <w:r>
        <w:t xml:space="preserve"> </w:t>
      </w:r>
      <w:r>
        <w:t xml:space="preserve">— driven principally by the $193,200 K-1 understatement. A $9,600 vehicle allowance (W-2 Box 14) is additional compensation whose inclusion in Box 1 wages should be verified.</w:t>
      </w:r>
    </w:p>
    <w:p>
      <w:pPr>
        <w:pStyle w:val="BodyText"/>
      </w:pPr>
      <w:r>
        <w:t xml:space="preserve">The K-1 also reflects an</w:t>
      </w:r>
      <w:r>
        <w:t xml:space="preserve"> </w:t>
      </w:r>
      <w:r>
        <w:rPr>
          <w:b/>
          <w:bCs/>
        </w:rPr>
        <w:t xml:space="preserve">ending capital account of $675,800</w:t>
      </w:r>
      <w:r>
        <w:t xml:space="preserve"> </w:t>
      </w:r>
      <w:r>
        <w:t xml:space="preserve">(beginning $482,600 + $367,200 income − $174,000 distributions) and $36,400 of recourse liabilities — figures relevant to the valuation of Respondent’s 60% membership interest, which remains unappraised.</w:t>
      </w:r>
    </w:p>
    <w:bookmarkEnd w:id="30"/>
    <w:bookmarkStart w:id="31" w:name="X640534e5144b759a747e0f411f1df60d1d276a8"/>
    <w:p>
      <w:pPr>
        <w:pStyle w:val="Heading3"/>
      </w:pPr>
      <w:r>
        <w:t xml:space="preserve">C. Suspicious Transfers and Potential Dissipation</w:t>
      </w:r>
    </w:p>
    <w:p>
      <w:pPr>
        <w:numPr>
          <w:ilvl w:val="0"/>
          <w:numId w:val="1003"/>
        </w:numPr>
      </w:pPr>
      <w:r>
        <w:rPr>
          <w:b/>
          <w:bCs/>
        </w:rPr>
        <w:t xml:space="preserve">$85,000 wire transfer (June 15, 2024).</w:t>
      </w:r>
      <w:r>
        <w:t xml:space="preserve"> </w:t>
      </w:r>
      <w:r>
        <w:t xml:space="preserve">The Crestline brokerage account (PROD-003) shows an outgoing wire of $85,000 to</w:t>
      </w:r>
      <w:r>
        <w:t xml:space="preserve"> </w:t>
      </w:r>
      <w:r>
        <w:rPr>
          <w:b/>
          <w:bCs/>
        </w:rPr>
        <w:t xml:space="preserve">Harborstone Financial Group, account ending 2291</w:t>
      </w:r>
      <w:r>
        <w:t xml:space="preserve"> </w:t>
      </w:r>
      <w:r>
        <w:t xml:space="preserve">(Ref. WT-2024-061524-0087), authorized by the account holder. This transfer occurred two weeks after the Financial Declaration’s stated separation date of June 1, 2024. The Harborstone account is</w:t>
      </w:r>
      <w:r>
        <w:t xml:space="preserve"> </w:t>
      </w:r>
      <w:r>
        <w:rPr>
          <w:b/>
          <w:bCs/>
        </w:rPr>
        <w:t xml:space="preserve">not disclosed</w:t>
      </w:r>
      <w:r>
        <w:t xml:space="preserve"> </w:t>
      </w:r>
      <w:r>
        <w:t xml:space="preserve">anywhere in the Financial Declaration’s account schedule (¶24–33). The source of funds included proceeds from a sale of Crestline Strategic Equity Fund shares on June 10, 2024. This is a candidate for marital dissipation / asset concealment and must be traced.</w:t>
      </w:r>
    </w:p>
    <w:p>
      <w:pPr>
        <w:numPr>
          <w:ilvl w:val="0"/>
          <w:numId w:val="1003"/>
        </w:numPr>
      </w:pPr>
      <w:r>
        <w:rPr>
          <w:b/>
          <w:bCs/>
        </w:rPr>
        <w:t xml:space="preserve">Recurring Venmo transfers to</w:t>
      </w:r>
      <w:r>
        <w:rPr>
          <w:b/>
          <w:bCs/>
        </w:rPr>
        <w:t xml:space="preserve"> </w:t>
      </w:r>
      <w:r>
        <w:rPr>
          <w:b/>
          <w:bCs/>
        </w:rPr>
        <w:t xml:space="preserve">“</w:t>
      </w:r>
      <w:r>
        <w:rPr>
          <w:b/>
          <w:bCs/>
        </w:rPr>
        <w:t xml:space="preserve">Kiera M.</w:t>
      </w:r>
      <w:r>
        <w:rPr>
          <w:b/>
          <w:bCs/>
        </w:rPr>
        <w:t xml:space="preserve">”</w:t>
      </w:r>
      <w:r>
        <w:t xml:space="preserve"> </w:t>
      </w:r>
      <w:r>
        <w:t xml:space="preserve">The individual checking account (PROD-004) shows recurring Venmo transfers to an unidentified</w:t>
      </w:r>
      <w:r>
        <w:t xml:space="preserve"> </w:t>
      </w:r>
      <w:r>
        <w:t xml:space="preserve">“</w:t>
      </w:r>
      <w:r>
        <w:t xml:space="preserve">Kiera M.</w:t>
      </w:r>
      <w:r>
        <w:t xml:space="preserve">”</w:t>
      </w:r>
      <w:r>
        <w:t xml:space="preserve">: $2,800 (3/15), $3,100 (4/22), $2,500 (5/10), $3,200 (6/18), and $3,000 (7/14) —</w:t>
      </w:r>
      <w:r>
        <w:t xml:space="preserve"> </w:t>
      </w:r>
      <w:r>
        <w:rPr>
          <w:b/>
          <w:bCs/>
        </w:rPr>
        <w:t xml:space="preserve">totaling $14,600</w:t>
      </w:r>
      <w:r>
        <w:t xml:space="preserve"> </w:t>
      </w:r>
      <w:r>
        <w:t xml:space="preserve">over March–July 2024, at a rate of roughly $2,500–$3,200/month. The recipient’s identity and the purpose of these transfers are unknown. The pattern (regular, substantial, to a single individual) is consistent with support of a third party, repayment of an undisclosed obligation, or dissipation.</w:t>
      </w:r>
    </w:p>
    <w:p>
      <w:pPr>
        <w:numPr>
          <w:ilvl w:val="0"/>
          <w:numId w:val="1003"/>
        </w:numPr>
      </w:pPr>
      <w:r>
        <w:rPr>
          <w:b/>
          <w:bCs/>
        </w:rPr>
        <w:t xml:space="preserve">$6,200 travel charge (July 8, 2024).</w:t>
      </w:r>
      <w:r>
        <w:t xml:space="preserve"> </w:t>
      </w:r>
      <w:r>
        <w:t xml:space="preserve">The credit card (PROD-006) shows a $6,200 charge to</w:t>
      </w:r>
      <w:r>
        <w:t xml:space="preserve"> </w:t>
      </w:r>
      <w:r>
        <w:t xml:space="preserve">“</w:t>
      </w:r>
      <w:r>
        <w:t xml:space="preserve">Sapphire Sky Travel</w:t>
      </w:r>
      <w:r>
        <w:t xml:space="preserve">”</w:t>
      </w:r>
      <w:r>
        <w:t xml:space="preserve"> </w:t>
      </w:r>
      <w:r>
        <w:t xml:space="preserve">in July 2024 — post-separation — with no corresponding entry in the Financial Declaration’s expense schedule. (Sapphire Sky Travel also appears on the NovaBridge expense report as a $3,400</w:t>
      </w:r>
      <w:r>
        <w:t xml:space="preserve"> </w:t>
      </w:r>
      <w:r>
        <w:t xml:space="preserve">“</w:t>
      </w:r>
      <w:r>
        <w:t xml:space="preserve">client appreciation event planning</w:t>
      </w:r>
      <w:r>
        <w:t xml:space="preserve">”</w:t>
      </w:r>
      <w:r>
        <w:t xml:space="preserve"> </w:t>
      </w:r>
      <w:r>
        <w:t xml:space="preserve">reimbursement in April 2024; see §IV.E.)</w:t>
      </w:r>
    </w:p>
    <w:p>
      <w:pPr>
        <w:numPr>
          <w:ilvl w:val="0"/>
          <w:numId w:val="1003"/>
        </w:numPr>
      </w:pPr>
      <w:r>
        <w:rPr>
          <w:b/>
          <w:bCs/>
        </w:rPr>
        <w:t xml:space="preserve">Anomalous 401(k) payment (Aug. 1, 2024).</w:t>
      </w:r>
      <w:r>
        <w:t xml:space="preserve"> </w:t>
      </w:r>
      <w:r>
        <w:t xml:space="preserve">The checking account shows regular 401(k) ACH contributions of $1,437.50/month (March–July), followed by a single</w:t>
      </w:r>
      <w:r>
        <w:t xml:space="preserve"> </w:t>
      </w:r>
      <w:r>
        <w:rPr>
          <w:b/>
          <w:bCs/>
        </w:rPr>
        <w:t xml:space="preserve">$14,644.60</w:t>
      </w:r>
      <w:r>
        <w:t xml:space="preserve"> </w:t>
      </w:r>
      <w:r>
        <w:t xml:space="preserve">ACH to Pinnacle Retirement Services 401(k) on August 1, 2024 — roughly ten times the usual monthly amount and occurring immediately after separation. This may reflect a lump-sum catch-up contribution or an attempt to shelter funds in a retirement account; the source and characterization should be examined.</w:t>
      </w:r>
    </w:p>
    <w:bookmarkEnd w:id="31"/>
    <w:bookmarkStart w:id="32" w:name="d.-lifestyle-expense-understatement"/>
    <w:p>
      <w:pPr>
        <w:pStyle w:val="Heading3"/>
      </w:pPr>
      <w:r>
        <w:t xml:space="preserve">D. Lifestyle / Expense Understatement</w:t>
      </w:r>
    </w:p>
    <w:p>
      <w:pPr>
        <w:pStyle w:val="FirstParagraph"/>
      </w:pPr>
      <w:r>
        <w:t xml:space="preserve">The Financial Declaration’s monthly expense schedule ($8,885 personal; $12,385 total) substantially understates Respondent’s actual spending as reflected in PROD-004 and PROD-006:</w:t>
      </w:r>
    </w:p>
    <w:p>
      <w:pPr>
        <w:pStyle w:val="Compact"/>
        <w:numPr>
          <w:ilvl w:val="0"/>
          <w:numId w:val="1004"/>
        </w:numPr>
      </w:pPr>
      <w:r>
        <w:rPr>
          <w:b/>
          <w:bCs/>
        </w:rPr>
        <w:t xml:space="preserve">Credit-card spending</w:t>
      </w:r>
      <w:r>
        <w:t xml:space="preserve"> </w:t>
      </w:r>
      <w:r>
        <w:t xml:space="preserve">averaged roughly $8,500/month in new charges (May $7,038; June $8,124; July $12,487; August $6,419), including recurring</w:t>
      </w:r>
      <w:r>
        <w:t xml:space="preserve"> </w:t>
      </w:r>
      <w:r>
        <w:rPr>
          <w:b/>
          <w:bCs/>
        </w:rPr>
        <w:t xml:space="preserve">Fairview Country Club dues ($425/month)</w:t>
      </w:r>
      <w:r>
        <w:t xml:space="preserve">,</w:t>
      </w:r>
      <w:r>
        <w:t xml:space="preserve"> </w:t>
      </w:r>
      <w:r>
        <w:rPr>
          <w:b/>
          <w:bCs/>
        </w:rPr>
        <w:t xml:space="preserve">Monarch Fine Clothiers</w:t>
      </w:r>
      <w:r>
        <w:t xml:space="preserve"> </w:t>
      </w:r>
      <w:r>
        <w:t xml:space="preserve">($1,420–$2,340/month),</w:t>
      </w:r>
      <w:r>
        <w:t xml:space="preserve"> </w:t>
      </w:r>
      <w:r>
        <w:rPr>
          <w:b/>
          <w:bCs/>
        </w:rPr>
        <w:t xml:space="preserve">Aura Salon &amp; Spa</w:t>
      </w:r>
      <w:r>
        <w:t xml:space="preserve"> </w:t>
      </w:r>
      <w:r>
        <w:t xml:space="preserve">($295–$485/month), and frequent high-end dining (The Capital Grille, Ridgeline Steakhouse, Bella Notte). The Financial Declaration allocates only $600/month to</w:t>
      </w:r>
      <w:r>
        <w:t xml:space="preserve"> </w:t>
      </w:r>
      <w:r>
        <w:t xml:space="preserve">“</w:t>
      </w:r>
      <w:r>
        <w:t xml:space="preserve">dining out and entertainment,</w:t>
      </w:r>
      <w:r>
        <w:t xml:space="preserve">”</w:t>
      </w:r>
      <w:r>
        <w:t xml:space="preserve"> </w:t>
      </w:r>
      <w:r>
        <w:t xml:space="preserve">$200/month to</w:t>
      </w:r>
      <w:r>
        <w:t xml:space="preserve"> </w:t>
      </w:r>
      <w:r>
        <w:t xml:space="preserve">“</w:t>
      </w:r>
      <w:r>
        <w:t xml:space="preserve">clothing and apparel,</w:t>
      </w:r>
      <w:r>
        <w:t xml:space="preserve">”</w:t>
      </w:r>
      <w:r>
        <w:t xml:space="preserve"> </w:t>
      </w:r>
      <w:r>
        <w:t xml:space="preserve">and $100/month to</w:t>
      </w:r>
      <w:r>
        <w:t xml:space="preserve"> </w:t>
      </w:r>
      <w:r>
        <w:t xml:space="preserve">“</w:t>
      </w:r>
      <w:r>
        <w:t xml:space="preserve">personal care,</w:t>
      </w:r>
      <w:r>
        <w:t xml:space="preserve">”</w:t>
      </w:r>
      <w:r>
        <w:t xml:space="preserve"> </w:t>
      </w:r>
      <w:r>
        <w:t xml:space="preserve">and omits country-club dues entirely.</w:t>
      </w:r>
    </w:p>
    <w:p>
      <w:pPr>
        <w:pStyle w:val="Compact"/>
        <w:numPr>
          <w:ilvl w:val="0"/>
          <w:numId w:val="1004"/>
        </w:numPr>
      </w:pPr>
      <w:r>
        <w:rPr>
          <w:b/>
          <w:bCs/>
        </w:rPr>
        <w:t xml:space="preserve">Auto insurance:</w:t>
      </w:r>
      <w:r>
        <w:t xml:space="preserve"> </w:t>
      </w:r>
      <w:r>
        <w:t xml:space="preserve">Financial Declaration states $210/month; bank records show Progressive Auto Insurance ACH of</w:t>
      </w:r>
      <w:r>
        <w:t xml:space="preserve"> </w:t>
      </w:r>
      <w:r>
        <w:rPr>
          <w:b/>
          <w:bCs/>
        </w:rPr>
        <w:t xml:space="preserve">$312/month</w:t>
      </w:r>
      <w:r>
        <w:t xml:space="preserve">.</w:t>
      </w:r>
    </w:p>
    <w:p>
      <w:pPr>
        <w:pStyle w:val="Compact"/>
        <w:numPr>
          <w:ilvl w:val="0"/>
          <w:numId w:val="1004"/>
        </w:numPr>
      </w:pPr>
      <w:r>
        <w:rPr>
          <w:b/>
          <w:bCs/>
        </w:rPr>
        <w:t xml:space="preserve">Auto loan payment:</w:t>
      </w:r>
      <w:r>
        <w:t xml:space="preserve"> </w:t>
      </w:r>
      <w:r>
        <w:t xml:space="preserve">The Financial Declaration states a $425/month BMW auto-loan payment (¶45), but</w:t>
      </w:r>
      <w:r>
        <w:t xml:space="preserve"> </w:t>
      </w:r>
      <w:r>
        <w:rPr>
          <w:b/>
          <w:bCs/>
        </w:rPr>
        <w:t xml:space="preserve">no auto-loan payment appears in the produced individual checking account</w:t>
      </w:r>
      <w:r>
        <w:t xml:space="preserve"> </w:t>
      </w:r>
      <w:r>
        <w:t xml:space="preserve">(PROD-004, March–August 2024). The source of the auto-loan payment should be identified.</w:t>
      </w:r>
    </w:p>
    <w:p>
      <w:pPr>
        <w:pStyle w:val="Compact"/>
        <w:numPr>
          <w:ilvl w:val="0"/>
          <w:numId w:val="1004"/>
        </w:numPr>
      </w:pPr>
      <w:r>
        <w:rPr>
          <w:b/>
          <w:bCs/>
        </w:rPr>
        <w:t xml:space="preserve">Voluntary contribution characterization:</w:t>
      </w:r>
      <w:r>
        <w:t xml:space="preserve"> </w:t>
      </w:r>
      <w:r>
        <w:t xml:space="preserve">The Financial Declaration states Respondent voluntarily contributes $3,500/month</w:t>
      </w:r>
      <w:r>
        <w:t xml:space="preserve"> </w:t>
      </w:r>
      <w:r>
        <w:t xml:space="preserve">“</w:t>
      </w:r>
      <w:r>
        <w:t xml:space="preserve">toward the marital home mortgage payment and household expenses</w:t>
      </w:r>
      <w:r>
        <w:t xml:space="preserve">”</w:t>
      </w:r>
      <w:r>
        <w:t xml:space="preserve"> </w:t>
      </w:r>
      <w:r>
        <w:t xml:space="preserve">(¶51). The bank records show Respondent pays</w:t>
      </w:r>
      <w:r>
        <w:t xml:space="preserve"> </w:t>
      </w:r>
      <w:r>
        <w:rPr>
          <w:b/>
          <w:bCs/>
        </w:rPr>
        <w:t xml:space="preserve">two</w:t>
      </w:r>
      <w:r>
        <w:t xml:space="preserve"> </w:t>
      </w:r>
      <w:r>
        <w:t xml:space="preserve">Meridian mortgages from his individual checking — $1,842 (Birchwood) and $1,680 (Elm Street) — totaling $3,522/month. The $1,680 Elm Street payment services the undisclosed rental property, not the marital household, suggesting the</w:t>
      </w:r>
      <w:r>
        <w:t xml:space="preserve"> </w:t>
      </w:r>
      <w:r>
        <w:t xml:space="preserve">“</w:t>
      </w:r>
      <w:r>
        <w:t xml:space="preserve">voluntary contribution</w:t>
      </w:r>
      <w:r>
        <w:t xml:space="preserve">”</w:t>
      </w:r>
      <w:r>
        <w:t xml:space="preserve"> </w:t>
      </w:r>
      <w:r>
        <w:t xml:space="preserve">figure conflates the two mortgage obligations.</w:t>
      </w:r>
    </w:p>
    <w:bookmarkEnd w:id="32"/>
    <w:bookmarkStart w:id="33" w:name="X48d2fbd23a2d69486b536e6272872c9be5f64b6"/>
    <w:p>
      <w:pPr>
        <w:pStyle w:val="Heading3"/>
      </w:pPr>
      <w:r>
        <w:t xml:space="preserve">E. Business Governance and Expense-Report Concerns (PROD-007)</w:t>
      </w:r>
    </w:p>
    <w:p>
      <w:pPr>
        <w:numPr>
          <w:ilvl w:val="0"/>
          <w:numId w:val="1005"/>
        </w:numPr>
      </w:pPr>
      <w:r>
        <w:rPr>
          <w:b/>
          <w:bCs/>
        </w:rPr>
        <w:t xml:space="preserve">Self-approval of expenses.</w:t>
      </w:r>
      <w:r>
        <w:t xml:space="preserve"> </w:t>
      </w:r>
      <w:r>
        <w:t xml:space="preserve">The NovaBridge expense report states that, pursuant to</w:t>
      </w:r>
      <w:r>
        <w:t xml:space="preserve"> </w:t>
      </w:r>
      <w:r>
        <w:rPr>
          <w:b/>
          <w:bCs/>
        </w:rPr>
        <w:t xml:space="preserve">Section 5.3 of the Operating Agreement</w:t>
      </w:r>
      <w:r>
        <w:t xml:space="preserve">, a Managing Member holding a majority interest (≥60%) may approve his own expense reimbursements</w:t>
      </w:r>
      <w:r>
        <w:t xml:space="preserve"> </w:t>
      </w:r>
      <w:r>
        <w:t xml:space="preserve">“</w:t>
      </w:r>
      <w:r>
        <w:t xml:space="preserve">without requirement of separate board or member approval.</w:t>
      </w:r>
      <w:r>
        <w:t xml:space="preserve">”</w:t>
      </w:r>
      <w:r>
        <w:t xml:space="preserve"> </w:t>
      </w:r>
      <w:r>
        <w:t xml:space="preserve">Co-member Jared Ostrowski’s review is marked</w:t>
      </w:r>
      <w:r>
        <w:t xml:space="preserve"> </w:t>
      </w:r>
      <w:r>
        <w:t xml:space="preserve">“</w:t>
      </w:r>
      <w:r>
        <w:t xml:space="preserve">N/A — Review not required.</w:t>
      </w:r>
      <w:r>
        <w:t xml:space="preserve">”</w:t>
      </w:r>
      <w:r>
        <w:t xml:space="preserve"> </w:t>
      </w:r>
      <w:r>
        <w:t xml:space="preserve">Respondent thus has</w:t>
      </w:r>
      <w:r>
        <w:t xml:space="preserve"> </w:t>
      </w:r>
      <w:r>
        <w:rPr>
          <w:b/>
          <w:bCs/>
        </w:rPr>
        <w:t xml:space="preserve">unilateral, unreviewed control</w:t>
      </w:r>
      <w:r>
        <w:t xml:space="preserve"> </w:t>
      </w:r>
      <w:r>
        <w:t xml:space="preserve">over his own reimbursements. This bears on both the credibility of the reported expenses and the compensation/valuation analysis for NovaBridge.</w:t>
      </w:r>
    </w:p>
    <w:p>
      <w:pPr>
        <w:numPr>
          <w:ilvl w:val="0"/>
          <w:numId w:val="1005"/>
        </w:numPr>
      </w:pPr>
      <w:r>
        <w:rPr>
          <w:b/>
          <w:bCs/>
        </w:rPr>
        <w:t xml:space="preserve">Personal electronics reimbursed as business expense.</w:t>
      </w:r>
      <w:r>
        <w:t xml:space="preserve"> </w:t>
      </w:r>
      <w:r>
        <w:t xml:space="preserve">On May 17, 2024, Respondent’s personal credit card (PROD-006) shows a $2,149.50 charge at</w:t>
      </w:r>
      <w:r>
        <w:t xml:space="preserve"> </w:t>
      </w:r>
      <w:r>
        <w:t xml:space="preserve">“</w:t>
      </w:r>
      <w:r>
        <w:t xml:space="preserve">Pinnacle Electronics — Personal Devices.</w:t>
      </w:r>
      <w:r>
        <w:t xml:space="preserve">”</w:t>
      </w:r>
      <w:r>
        <w:t xml:space="preserve"> </w:t>
      </w:r>
      <w:r>
        <w:t xml:space="preserve">The NovaBridge expense report (PROD-007) shows a $2,150.00 reimbursement on the same date (May 17, 2024) for</w:t>
      </w:r>
      <w:r>
        <w:t xml:space="preserve"> </w:t>
      </w:r>
      <w:r>
        <w:t xml:space="preserve">“</w:t>
      </w:r>
      <w:r>
        <w:t xml:space="preserve">TechVault Solutions — Technology Equipment — Personal Devices — Tablet, smartphone, and accessories.</w:t>
      </w:r>
      <w:r>
        <w:t xml:space="preserve">”</w:t>
      </w:r>
      <w:r>
        <w:t xml:space="preserve"> </w:t>
      </w:r>
      <w:r>
        <w:t xml:space="preserve">The matching date, amount, and</w:t>
      </w:r>
      <w:r>
        <w:t xml:space="preserve"> </w:t>
      </w:r>
      <w:r>
        <w:t xml:space="preserve">“</w:t>
      </w:r>
      <w:r>
        <w:t xml:space="preserve">Personal Devices</w:t>
      </w:r>
      <w:r>
        <w:t xml:space="preserve">”</w:t>
      </w:r>
      <w:r>
        <w:t xml:space="preserve"> </w:t>
      </w:r>
      <w:r>
        <w:t xml:space="preserve">description strongly suggest Respondent charged personal electronics to his personal card and obtained business reimbursement under a different vendor name — i.e., personal spending run through the company.</w:t>
      </w:r>
    </w:p>
    <w:p>
      <w:pPr>
        <w:numPr>
          <w:ilvl w:val="0"/>
          <w:numId w:val="1005"/>
        </w:numPr>
      </w:pPr>
      <w:r>
        <w:rPr>
          <w:b/>
          <w:bCs/>
        </w:rPr>
        <w:t xml:space="preserve">Sapphire Sky Travel — dual treatment.</w:t>
      </w:r>
      <w:r>
        <w:t xml:space="preserve"> </w:t>
      </w:r>
      <w:r>
        <w:t xml:space="preserve">Sapphire Sky Travel appears both as a $3,400 business</w:t>
      </w:r>
      <w:r>
        <w:t xml:space="preserve"> </w:t>
      </w:r>
      <w:r>
        <w:t xml:space="preserve">“</w:t>
      </w:r>
      <w:r>
        <w:t xml:space="preserve">client appreciation event planning</w:t>
      </w:r>
      <w:r>
        <w:t xml:space="preserve">”</w:t>
      </w:r>
      <w:r>
        <w:t xml:space="preserve"> </w:t>
      </w:r>
      <w:r>
        <w:t xml:space="preserve">reimbursement (April 2024, PROD-007) and as a $6,200 personal credit-card charge (July 2024, PROD-006). The relationship between these entries should be examined.</w:t>
      </w:r>
    </w:p>
    <w:p>
      <w:pPr>
        <w:numPr>
          <w:ilvl w:val="0"/>
          <w:numId w:val="1005"/>
        </w:numPr>
      </w:pPr>
      <w:r>
        <w:rPr>
          <w:b/>
          <w:bCs/>
        </w:rPr>
        <w:t xml:space="preserve">Reimbursement reconciliation.</w:t>
      </w:r>
      <w:r>
        <w:t xml:space="preserve"> </w:t>
      </w:r>
      <w:r>
        <w:t xml:space="preserve">The expense report states H1 2024 reimbursements of $12,662 (Q1 $3,373; Q2 $9,289). The produced checking account (PROD-004) reflects only two</w:t>
      </w:r>
      <w:r>
        <w:t xml:space="preserve"> </w:t>
      </w:r>
      <w:r>
        <w:t xml:space="preserve">“</w:t>
      </w:r>
      <w:r>
        <w:t xml:space="preserve">NovaBridge Solutions LLC Expense Reimb.</w:t>
      </w:r>
      <w:r>
        <w:t xml:space="preserve">”</w:t>
      </w:r>
      <w:r>
        <w:t xml:space="preserve"> </w:t>
      </w:r>
      <w:r>
        <w:t xml:space="preserve">ACH deposits — $3,400 (4/10) and $2,150 (5/20), totaling $5,550. The Q2 reimbursement ($9,289, approved July 3, 2024) does not appear in the produced checking account, and $7,112 of reported reimbursements are not reconciled to the produced bank records. The deposit account for the balance should be identified.</w:t>
      </w:r>
    </w:p>
    <w:bookmarkEnd w:id="33"/>
    <w:bookmarkStart w:id="34" w:name="X20b75c4836f8cd0731a88331444976139f99555"/>
    <w:p>
      <w:pPr>
        <w:pStyle w:val="Heading3"/>
      </w:pPr>
      <w:r>
        <w:t xml:space="preserve">F. Internal Inconsistencies Within and Between Produced Documents</w:t>
      </w:r>
    </w:p>
    <w:p>
      <w:pPr>
        <w:numPr>
          <w:ilvl w:val="0"/>
          <w:numId w:val="1006"/>
        </w:numPr>
      </w:pPr>
      <w:r>
        <w:rPr>
          <w:b/>
          <w:bCs/>
        </w:rPr>
        <w:t xml:space="preserve">Date of separation.</w:t>
      </w:r>
      <w:r>
        <w:t xml:space="preserve"> </w:t>
      </w:r>
      <w:r>
        <w:t xml:space="preserve">The Financial Declaration states separation</w:t>
      </w:r>
      <w:r>
        <w:t xml:space="preserve"> </w:t>
      </w:r>
      <w:r>
        <w:t xml:space="preserve">“</w:t>
      </w:r>
      <w:r>
        <w:t xml:space="preserve">on or about</w:t>
      </w:r>
      <w:r>
        <w:t xml:space="preserve"> </w:t>
      </w:r>
      <w:r>
        <w:rPr>
          <w:b/>
          <w:bCs/>
        </w:rPr>
        <w:t xml:space="preserve">June 1, 2024</w:t>
      </w:r>
      <w:r>
        <w:t xml:space="preserve">”</w:t>
      </w:r>
      <w:r>
        <w:t xml:space="preserve"> </w:t>
      </w:r>
      <w:r>
        <w:t xml:space="preserve">(¶5). The cover-letter privilege log repeatedly references separation</w:t>
      </w:r>
      <w:r>
        <w:t xml:space="preserve"> </w:t>
      </w:r>
      <w:r>
        <w:t xml:space="preserve">“</w:t>
      </w:r>
      <w:r>
        <w:rPr>
          <w:b/>
          <w:bCs/>
        </w:rPr>
        <w:t xml:space="preserve">August 1, 2024</w:t>
      </w:r>
      <w:r>
        <w:t xml:space="preserve">”</w:t>
      </w:r>
      <w:r>
        <w:t xml:space="preserve"> </w:t>
      </w:r>
      <w:r>
        <w:t xml:space="preserve">(PRIV-001:</w:t>
      </w:r>
      <w:r>
        <w:t xml:space="preserve"> </w:t>
      </w:r>
      <w:r>
        <w:t xml:space="preserve">“</w:t>
      </w:r>
      <w:r>
        <w:t xml:space="preserve">following the parties’ separation on August 1, 2024</w:t>
      </w:r>
      <w:r>
        <w:t xml:space="preserve">”</w:t>
      </w:r>
      <w:r>
        <w:t xml:space="preserve">; PRIV-002:</w:t>
      </w:r>
      <w:r>
        <w:t xml:space="preserve"> </w:t>
      </w:r>
      <w:r>
        <w:t xml:space="preserve">“</w:t>
      </w:r>
      <w:r>
        <w:t xml:space="preserve">post-separation August 1, 2024</w:t>
      </w:r>
      <w:r>
        <w:t xml:space="preserve">”</w:t>
      </w:r>
      <w:r>
        <w:t xml:space="preserve">). This two-month discrepancy is material: it affects characterization of the $85,000 wire (June 15), the marital estate cutoff, and the marital-residence occupancy analysis.</w:t>
      </w:r>
    </w:p>
    <w:p>
      <w:pPr>
        <w:numPr>
          <w:ilvl w:val="0"/>
          <w:numId w:val="1006"/>
        </w:numPr>
      </w:pPr>
      <w:r>
        <w:rPr>
          <w:b/>
          <w:bCs/>
        </w:rPr>
        <w:t xml:space="preserve">Filing date of the Financial Declaration.</w:t>
      </w:r>
      <w:r>
        <w:t xml:space="preserve"> </w:t>
      </w:r>
      <w:r>
        <w:t xml:space="preserve">The document itself is dated, verified, notarized, and certified as served on</w:t>
      </w:r>
      <w:r>
        <w:t xml:space="preserve"> </w:t>
      </w:r>
      <w:r>
        <w:rPr>
          <w:b/>
          <w:bCs/>
        </w:rPr>
        <w:t xml:space="preserve">September 20, 2024</w:t>
      </w:r>
      <w:r>
        <w:t xml:space="preserve">. The cover letter describes PROD-001 as</w:t>
      </w:r>
      <w:r>
        <w:t xml:space="preserve"> </w:t>
      </w:r>
      <w:r>
        <w:t xml:space="preserve">“</w:t>
      </w:r>
      <w:r>
        <w:t xml:space="preserve">filed with the Court on or about</w:t>
      </w:r>
      <w:r>
        <w:t xml:space="preserve"> </w:t>
      </w:r>
      <w:r>
        <w:rPr>
          <w:b/>
          <w:bCs/>
        </w:rPr>
        <w:t xml:space="preserve">October 4, 2024</w:t>
      </w:r>
      <w:r>
        <w:t xml:space="preserve">.</w:t>
      </w:r>
      <w:r>
        <w:t xml:space="preserve">”</w:t>
      </w:r>
      <w:r>
        <w:t xml:space="preserve"> </w:t>
      </w:r>
      <w:r>
        <w:t xml:space="preserve">The discrepancy should be clarified.</w:t>
      </w:r>
    </w:p>
    <w:p>
      <w:pPr>
        <w:numPr>
          <w:ilvl w:val="0"/>
          <w:numId w:val="1006"/>
        </w:numPr>
      </w:pPr>
      <w:r>
        <w:rPr>
          <w:b/>
          <w:bCs/>
        </w:rPr>
        <w:t xml:space="preserve">Credit-card creditor.</w:t>
      </w:r>
      <w:r>
        <w:t xml:space="preserve"> </w:t>
      </w:r>
      <w:r>
        <w:t xml:space="preserve">The Financial Declaration (¶46) identifies the credit-card creditor as</w:t>
      </w:r>
      <w:r>
        <w:t xml:space="preserve"> </w:t>
      </w:r>
      <w:r>
        <w:t xml:space="preserve">“</w:t>
      </w:r>
      <w:r>
        <w:rPr>
          <w:b/>
          <w:bCs/>
        </w:rPr>
        <w:t xml:space="preserve">First National Card Services</w:t>
      </w:r>
      <w:r>
        <w:t xml:space="preserve">.</w:t>
      </w:r>
      <w:r>
        <w:t xml:space="preserve">”</w:t>
      </w:r>
      <w:r>
        <w:t xml:space="preserve"> </w:t>
      </w:r>
      <w:r>
        <w:t xml:space="preserve">The produced statements (PROD-006) are</w:t>
      </w:r>
      <w:r>
        <w:t xml:space="preserve"> </w:t>
      </w:r>
      <w:r>
        <w:t xml:space="preserve">“</w:t>
      </w:r>
      <w:r>
        <w:rPr>
          <w:b/>
          <w:bCs/>
        </w:rPr>
        <w:t xml:space="preserve">Fairview Community Bank</w:t>
      </w:r>
      <w:r>
        <w:t xml:space="preserve"> </w:t>
      </w:r>
      <w:r>
        <w:t xml:space="preserve">Platinum Visa</w:t>
      </w:r>
      <w:r>
        <w:t xml:space="preserve">”</w:t>
      </w:r>
      <w:r>
        <w:t xml:space="preserve"> </w:t>
      </w:r>
      <w:r>
        <w:t xml:space="preserve">(account ending 8316; Card Services 1-800-555-0147). The creditor is misidentified in the Financial Declaration.</w:t>
      </w:r>
    </w:p>
    <w:p>
      <w:pPr>
        <w:numPr>
          <w:ilvl w:val="0"/>
          <w:numId w:val="1006"/>
        </w:numPr>
      </w:pPr>
      <w:r>
        <w:rPr>
          <w:b/>
          <w:bCs/>
        </w:rPr>
        <w:t xml:space="preserve">Credit-card balance.</w:t>
      </w:r>
      <w:r>
        <w:t xml:space="preserve"> </w:t>
      </w:r>
      <w:r>
        <w:t xml:space="preserve">The Financial Declaration represents an</w:t>
      </w:r>
      <w:r>
        <w:t xml:space="preserve"> </w:t>
      </w:r>
      <w:r>
        <w:t xml:space="preserve">“</w:t>
      </w:r>
      <w:r>
        <w:t xml:space="preserve">~$8,500 approximate revolving balance</w:t>
      </w:r>
      <w:r>
        <w:t xml:space="preserve">”</w:t>
      </w:r>
      <w:r>
        <w:t xml:space="preserve"> </w:t>
      </w:r>
      <w:r>
        <w:t xml:space="preserve">(¶46). The statements show the card is</w:t>
      </w:r>
      <w:r>
        <w:t xml:space="preserve"> </w:t>
      </w:r>
      <w:r>
        <w:rPr>
          <w:b/>
          <w:bCs/>
        </w:rPr>
        <w:t xml:space="preserve">paid in full each month</w:t>
      </w:r>
      <w:r>
        <w:t xml:space="preserve"> </w:t>
      </w:r>
      <w:r>
        <w:t xml:space="preserve">(each month’s payment equals the prior balance), with statement balances ranging $6,418.50–$12,486.75. There is no carried</w:t>
      </w:r>
      <w:r>
        <w:t xml:space="preserve"> </w:t>
      </w:r>
      <w:r>
        <w:t xml:space="preserve">“</w:t>
      </w:r>
      <w:r>
        <w:t xml:space="preserve">revolving balance</w:t>
      </w:r>
      <w:r>
        <w:t xml:space="preserve">”</w:t>
      </w:r>
      <w:r>
        <w:t xml:space="preserve"> </w:t>
      </w:r>
      <w:r>
        <w:t xml:space="preserve">of $8,500; the figure does not correspond to any statement balance.</w:t>
      </w:r>
    </w:p>
    <w:p>
      <w:pPr>
        <w:numPr>
          <w:ilvl w:val="0"/>
          <w:numId w:val="1006"/>
        </w:numPr>
      </w:pPr>
      <w:r>
        <w:rPr>
          <w:b/>
          <w:bCs/>
        </w:rPr>
        <w:t xml:space="preserve">Credit-card payment source.</w:t>
      </w:r>
      <w:r>
        <w:t xml:space="preserve"> </w:t>
      </w:r>
      <w:r>
        <w:t xml:space="preserve">The credit-card statements reflect payments of $3,240.18 (May), $7,038.45 (June), $8,124.30 (July), and $12,486.75 (August), received on the 1st of each month. The produced individual checking account (7703) shows separate mid-month</w:t>
      </w:r>
      <w:r>
        <w:t xml:space="preserve"> </w:t>
      </w:r>
      <w:r>
        <w:t xml:space="preserve">“</w:t>
      </w:r>
      <w:r>
        <w:t xml:space="preserve">Fairview Community Bank Visa</w:t>
      </w:r>
      <w:r>
        <w:t xml:space="preserve">”</w:t>
      </w:r>
      <w:r>
        <w:t xml:space="preserve"> </w:t>
      </w:r>
      <w:r>
        <w:t xml:space="preserve">ACH outflows of $1,450–$5,480 that do</w:t>
      </w:r>
      <w:r>
        <w:t xml:space="preserve"> </w:t>
      </w:r>
      <w:r>
        <w:rPr>
          <w:b/>
          <w:bCs/>
        </w:rPr>
        <w:t xml:space="preserve">not</w:t>
      </w:r>
      <w:r>
        <w:t xml:space="preserve"> </w:t>
      </w:r>
      <w:r>
        <w:t xml:space="preserve">reconcile to the statement payments. The account from which the credit card is paid is not evident from the produced records (possibly the unproduced joint checking account 4821).</w:t>
      </w:r>
    </w:p>
    <w:p>
      <w:pPr>
        <w:numPr>
          <w:ilvl w:val="0"/>
          <w:numId w:val="1006"/>
        </w:numPr>
      </w:pPr>
      <w:r>
        <w:rPr>
          <w:b/>
          <w:bCs/>
        </w:rPr>
        <w:t xml:space="preserve">Brokerage account tax ID.</w:t>
      </w:r>
      <w:r>
        <w:t xml:space="preserve"> </w:t>
      </w:r>
      <w:r>
        <w:t xml:space="preserve">The Crestline statements (PROD-003) list the account tax ID as ●●●-●●-</w:t>
      </w:r>
      <w:r>
        <w:rPr>
          <w:b/>
          <w:bCs/>
        </w:rPr>
        <w:t xml:space="preserve">8341</w:t>
      </w:r>
      <w:r>
        <w:t xml:space="preserve">. Respondent’s SSN on the tax return (PROD-002) is XXX-XX-</w:t>
      </w:r>
      <w:r>
        <w:rPr>
          <w:b/>
          <w:bCs/>
        </w:rPr>
        <w:t xml:space="preserve">4718</w:t>
      </w:r>
      <w:r>
        <w:t xml:space="preserve">; the minor child Ethan Kwan’s SSN is XXX-XX-</w:t>
      </w:r>
      <w:r>
        <w:rPr>
          <w:b/>
          <w:bCs/>
        </w:rPr>
        <w:t xml:space="preserve">8341</w:t>
      </w:r>
      <w:r>
        <w:t xml:space="preserve">. The account is titled</w:t>
      </w:r>
      <w:r>
        <w:t xml:space="preserve"> </w:t>
      </w:r>
      <w:r>
        <w:t xml:space="preserve">“</w:t>
      </w:r>
      <w:r>
        <w:t xml:space="preserve">Darren Kwan, Individual Taxable Brokerage,</w:t>
      </w:r>
      <w:r>
        <w:t xml:space="preserve">”</w:t>
      </w:r>
      <w:r>
        <w:t xml:space="preserve"> </w:t>
      </w:r>
      <w:r>
        <w:t xml:space="preserve">yet the tax ID matches the minor child’s SSN. This should be verified (possible custodial/UTMA characterization, titling error, or redaction artifact).</w:t>
      </w:r>
    </w:p>
    <w:p>
      <w:pPr>
        <w:numPr>
          <w:ilvl w:val="0"/>
          <w:numId w:val="1006"/>
        </w:numPr>
      </w:pPr>
      <w:r>
        <w:rPr>
          <w:b/>
          <w:bCs/>
        </w:rPr>
        <w:t xml:space="preserve">Counsel contact information.</w:t>
      </w:r>
      <w:r>
        <w:t xml:space="preserve"> </w:t>
      </w:r>
      <w:r>
        <w:t xml:space="preserve">The Financial Declaration’s prepared-by block lists telephone (571) 555-0184 / fax 555-0185 / email rfossett@</w:t>
      </w:r>
      <w:r>
        <w:rPr>
          <w:b/>
          <w:bCs/>
        </w:rPr>
        <w:t xml:space="preserve">hfylaw.com</w:t>
      </w:r>
      <w:r>
        <w:t xml:space="preserve">. The cover letter lists telephone (571) 555-4200 / fax 555-4201 / email rfossett@</w:t>
      </w:r>
      <w:r>
        <w:rPr>
          <w:b/>
          <w:bCs/>
        </w:rPr>
        <w:t xml:space="preserve">hfy-law.com</w:t>
      </w:r>
      <w:r>
        <w:t xml:space="preserve">. Minor, but the inconsistency should be noted for service purposes.</w:t>
      </w:r>
    </w:p>
    <w:bookmarkEnd w:id="34"/>
    <w:bookmarkStart w:id="35" w:name="g.-production-deficiencies"/>
    <w:p>
      <w:pPr>
        <w:pStyle w:val="Heading3"/>
      </w:pPr>
      <w:r>
        <w:t xml:space="preserve">G. Production Deficiencies</w:t>
      </w:r>
    </w:p>
    <w:p>
      <w:pPr>
        <w:numPr>
          <w:ilvl w:val="0"/>
          <w:numId w:val="1007"/>
        </w:numPr>
      </w:pPr>
      <w:r>
        <w:rPr>
          <w:b/>
          <w:bCs/>
        </w:rPr>
        <w:t xml:space="preserve">Joint accounts not produced.</w:t>
      </w:r>
      <w:r>
        <w:t xml:space="preserve"> </w:t>
      </w:r>
      <w:r>
        <w:t xml:space="preserve">The Financial Declaration discloses a joint checking account (FCB 4821, $12,340) and joint savings account (FCB 4822, $28,750). No statements for either were produced. The cover letter’s objection to producing</w:t>
      </w:r>
      <w:r>
        <w:t xml:space="preserve"> </w:t>
      </w:r>
      <w:r>
        <w:t xml:space="preserve">“</w:t>
      </w:r>
      <w:r>
        <w:t xml:space="preserve">accounts held solely by Petitioner</w:t>
      </w:r>
      <w:r>
        <w:t xml:space="preserve">”</w:t>
      </w:r>
      <w:r>
        <w:t xml:space="preserve"> </w:t>
      </w:r>
      <w:r>
        <w:t xml:space="preserve">does not extend to</w:t>
      </w:r>
      <w:r>
        <w:t xml:space="preserve"> </w:t>
      </w:r>
      <w:r>
        <w:rPr>
          <w:b/>
          <w:bCs/>
        </w:rPr>
        <w:t xml:space="preserve">joint</w:t>
      </w:r>
      <w:r>
        <w:t xml:space="preserve"> </w:t>
      </w:r>
      <w:r>
        <w:t xml:space="preserve">accounts, which are within Respondent’s possession, custody, or control. The joint accounts are also the likely source of the credit-card payments and possibly the auto-loan payment (see §IV.D, §IV.F.5).</w:t>
      </w:r>
    </w:p>
    <w:p>
      <w:pPr>
        <w:numPr>
          <w:ilvl w:val="0"/>
          <w:numId w:val="1007"/>
        </w:numPr>
      </w:pPr>
      <w:r>
        <w:rPr>
          <w:b/>
          <w:bCs/>
        </w:rPr>
        <w:t xml:space="preserve">401(k) account not produced.</w:t>
      </w:r>
      <w:r>
        <w:t xml:space="preserve"> </w:t>
      </w:r>
      <w:r>
        <w:t xml:space="preserve">The Financial Declaration discloses a 401(k) through Pinnacle Retirement Services (account 3310, $412,800). No statement was produced, despite the bank records showing substantial 401(k) contributions (including the anomalous $14,644.60 payment on Aug. 1, 2024).</w:t>
      </w:r>
    </w:p>
    <w:p>
      <w:pPr>
        <w:numPr>
          <w:ilvl w:val="0"/>
          <w:numId w:val="1007"/>
        </w:numPr>
      </w:pPr>
      <w:r>
        <w:rPr>
          <w:b/>
          <w:bCs/>
        </w:rPr>
        <w:t xml:space="preserve">Marital-residence mortgage not produced.</w:t>
      </w:r>
      <w:r>
        <w:t xml:space="preserve"> </w:t>
      </w:r>
      <w:r>
        <w:t xml:space="preserve">Respondent produced mortgage statements for the undisclosed Elm Street property (PROD-005) but</w:t>
      </w:r>
      <w:r>
        <w:t xml:space="preserve"> </w:t>
      </w:r>
      <w:r>
        <w:rPr>
          <w:b/>
          <w:bCs/>
        </w:rPr>
        <w:t xml:space="preserve">not</w:t>
      </w:r>
      <w:r>
        <w:t xml:space="preserve"> </w:t>
      </w:r>
      <w:r>
        <w:t xml:space="preserve">for the disclosed marital residence at 418 Birchwood Lane. Statements for the Birchwood mortgage (Meridian) should be produced.</w:t>
      </w:r>
    </w:p>
    <w:p>
      <w:pPr>
        <w:numPr>
          <w:ilvl w:val="0"/>
          <w:numId w:val="1007"/>
        </w:numPr>
      </w:pPr>
      <w:r>
        <w:rPr>
          <w:b/>
          <w:bCs/>
        </w:rPr>
        <w:t xml:space="preserve">Harborstone Financial Group account not produced.</w:t>
      </w:r>
      <w:r>
        <w:t xml:space="preserve"> </w:t>
      </w:r>
      <w:r>
        <w:t xml:space="preserve">The $85,000 wire recipient (Harborstone Financial Group, account ending 2291) is not among the produced accounts. Statements for this account are essential to trace the transferred funds.</w:t>
      </w:r>
    </w:p>
    <w:p>
      <w:pPr>
        <w:numPr>
          <w:ilvl w:val="0"/>
          <w:numId w:val="1007"/>
        </w:numPr>
      </w:pPr>
      <w:r>
        <w:rPr>
          <w:b/>
          <w:bCs/>
        </w:rPr>
        <w:t xml:space="preserve">NovaBridge corporate records outstanding (RFP Nos. 16–22).</w:t>
      </w:r>
      <w:r>
        <w:t xml:space="preserve"> </w:t>
      </w:r>
      <w:r>
        <w:t xml:space="preserve">The Operating Agreement (including §5.3, governing self-approval of expenses and buyout/transfer restrictions), entity-level financial statements, Form 1065, and additional entity-level records have not been produced. Respondent states supplementation is forthcoming.</w:t>
      </w:r>
    </w:p>
    <w:p>
      <w:pPr>
        <w:numPr>
          <w:ilvl w:val="0"/>
          <w:numId w:val="1007"/>
        </w:numPr>
      </w:pPr>
      <w:r>
        <w:rPr>
          <w:b/>
          <w:bCs/>
        </w:rPr>
        <w:t xml:space="preserve">Tax return is excerpted only.</w:t>
      </w:r>
      <w:r>
        <w:t xml:space="preserve"> </w:t>
      </w:r>
      <w:r>
        <w:t xml:space="preserve">PROD-002 comprises 14 of 47 pages. Schedule A, Schedule B, Schedule D, Schedule SE, and Form 8995 are referenced but not produced. The complete return (and prior years 2021–2022) should be obtained.</w:t>
      </w:r>
    </w:p>
    <w:p>
      <w:pPr>
        <w:numPr>
          <w:ilvl w:val="0"/>
          <w:numId w:val="1007"/>
        </w:numPr>
      </w:pPr>
      <w:r>
        <w:rPr>
          <w:b/>
          <w:bCs/>
        </w:rPr>
        <w:t xml:space="preserve">Privilege log incomplete.</w:t>
      </w:r>
      <w:r>
        <w:t xml:space="preserve"> </w:t>
      </w:r>
      <w:r>
        <w:t xml:space="preserve">Only a summary privilege log was provided; a formal, compliant log is</w:t>
      </w:r>
      <w:r>
        <w:t xml:space="preserve"> </w:t>
      </w:r>
      <w:r>
        <w:t xml:space="preserve">“</w:t>
      </w:r>
      <w:r>
        <w:t xml:space="preserve">forthcoming.</w:t>
      </w:r>
      <w:r>
        <w:t xml:space="preserve">”</w:t>
      </w:r>
      <w:r>
        <w:t xml:space="preserve"> </w:t>
      </w:r>
      <w:r>
        <w:t xml:space="preserve">PRIV-003 (counsel’s</w:t>
      </w:r>
      <w:r>
        <w:t xml:space="preserve"> </w:t>
      </w:r>
      <w:r>
        <w:t xml:space="preserve">“</w:t>
      </w:r>
      <w:r>
        <w:t xml:space="preserve">Preliminary analysis of the marital estate,</w:t>
      </w:r>
      <w:r>
        <w:t xml:space="preserve">”</w:t>
      </w:r>
      <w:r>
        <w:t xml:space="preserve"> </w:t>
      </w:r>
      <w:r>
        <w:t xml:space="preserve">Aug. 20, 2024) is potentially relevant and its privilege designation should be scrutinized.</w:t>
      </w:r>
    </w:p>
    <w:p>
      <w:pPr>
        <w:numPr>
          <w:ilvl w:val="0"/>
          <w:numId w:val="1007"/>
        </w:numPr>
      </w:pPr>
      <w:r>
        <w:rPr>
          <w:b/>
          <w:bCs/>
        </w:rPr>
        <w:t xml:space="preserve">Bates-numbering irregularities.</w:t>
      </w:r>
      <w:r>
        <w:t xml:space="preserve"> </w:t>
      </w:r>
      <w:r>
        <w:t xml:space="preserve">The production uses two inconsistent prefixes (</w:t>
      </w:r>
      <w:r>
        <w:t xml:space="preserve">“</w:t>
      </w:r>
      <w:r>
        <w:t xml:space="preserve">DK-PROD-</w:t>
      </w:r>
      <w:r>
        <w:t xml:space="preserve">”</w:t>
      </w:r>
      <w:r>
        <w:t xml:space="preserve"> </w:t>
      </w:r>
      <w:r>
        <w:t xml:space="preserve">for PROD-002;</w:t>
      </w:r>
      <w:r>
        <w:t xml:space="preserve"> </w:t>
      </w:r>
      <w:r>
        <w:t xml:space="preserve">“</w:t>
      </w:r>
      <w:r>
        <w:t xml:space="preserve">KWAN_PROD_</w:t>
      </w:r>
      <w:r>
        <w:t xml:space="preserve">”</w:t>
      </w:r>
      <w:r>
        <w:t xml:space="preserve"> </w:t>
      </w:r>
      <w:r>
        <w:t xml:space="preserve">for PROD-003, -004, -007) and non-sequential ranges (00142–00158; 00187–00193; 0401–0424). PROD-005 and PROD-006 bear no Bates stamps. The bank-statement production stamp also misstates the case as</w:t>
      </w:r>
      <w:r>
        <w:t xml:space="preserve"> </w:t>
      </w:r>
      <w:r>
        <w:t xml:space="preserve">“</w:t>
      </w:r>
      <w:r>
        <w:rPr>
          <w:i/>
          <w:iCs/>
        </w:rPr>
        <w:t xml:space="preserve">In re Marriage of Kwan</w:t>
      </w:r>
      <w:r>
        <w:t xml:space="preserve">, Case No. 2024-DR-</w:t>
      </w:r>
      <w:r>
        <w:rPr>
          <w:b/>
          <w:bCs/>
        </w:rPr>
        <w:t xml:space="preserve">00847</w:t>
      </w:r>
      <w:r>
        <w:t xml:space="preserve">, Circuit Court of Columbia, Fairview County</w:t>
      </w:r>
      <w:r>
        <w:t xml:space="preserve">”</w:t>
      </w:r>
      <w:r>
        <w:t xml:space="preserve"> </w:t>
      </w:r>
      <w:r>
        <w:t xml:space="preserve">— a transposed case number and incorrect caption (correct:</w:t>
      </w:r>
      <w:r>
        <w:t xml:space="preserve"> </w:t>
      </w:r>
      <w:r>
        <w:rPr>
          <w:i/>
          <w:iCs/>
        </w:rPr>
        <w:t xml:space="preserve">Torres-Kwan v. Kwan</w:t>
      </w:r>
      <w:r>
        <w:t xml:space="preserve">, No. 2024-DR-</w:t>
      </w:r>
      <w:r>
        <w:rPr>
          <w:b/>
          <w:bCs/>
        </w:rPr>
        <w:t xml:space="preserve">01847</w:t>
      </w:r>
      <w:r>
        <w:t xml:space="preserve">, Circuit Court of Fairview County, Columbia). These irregularities complicate completeness verification and should be raised with opposing counsel.</w:t>
      </w:r>
    </w:p>
    <w:p>
      <w:pPr>
        <w:numPr>
          <w:ilvl w:val="0"/>
          <w:numId w:val="1007"/>
        </w:numPr>
      </w:pPr>
      <w:r>
        <w:rPr>
          <w:b/>
          <w:bCs/>
        </w:rPr>
        <w:t xml:space="preserve">Coverage gaps.</w:t>
      </w:r>
      <w:r>
        <w:t xml:space="preserve"> </w:t>
      </w:r>
      <w:r>
        <w:t xml:space="preserve">Bank statements begin March 2024 (not January); credit-card statements begin May 2024; no pay stubs were produced (the Financial Declaration states these</w:t>
      </w:r>
      <w:r>
        <w:t xml:space="preserve"> </w:t>
      </w:r>
      <w:r>
        <w:t xml:space="preserve">“</w:t>
      </w:r>
      <w:r>
        <w:t xml:space="preserve">have been or will be produced</w:t>
      </w:r>
      <w:r>
        <w:t xml:space="preserve">”</w:t>
      </w:r>
      <w:r>
        <w:t xml:space="preserve">); no appraisals or business valuation have been provided.</w:t>
      </w:r>
    </w:p>
    <w:p>
      <w:r>
        <w:pict>
          <v:rect style="width:0;height:1.5pt" o:hralign="center" o:hrstd="t" o:hr="t"/>
        </w:pict>
      </w:r>
    </w:p>
    <w:bookmarkEnd w:id="35"/>
    <w:bookmarkEnd w:id="36"/>
    <w:bookmarkStart w:id="41" w:name="v.-recommended-follow-up-discovery"/>
    <w:p>
      <w:pPr>
        <w:pStyle w:val="Heading2"/>
      </w:pPr>
      <w:r>
        <w:t xml:space="preserve">V. Recommended Follow-Up Discovery</w:t>
      </w:r>
    </w:p>
    <w:p>
      <w:pPr>
        <w:pStyle w:val="FirstParagraph"/>
      </w:pPr>
      <w:r>
        <w:t xml:space="preserve">The following actions are recommended, in approximate priority order:</w:t>
      </w:r>
    </w:p>
    <w:bookmarkStart w:id="37" w:name="X1252965df557f04aaa6a1e1b64cec0dbe3a5294"/>
    <w:p>
      <w:pPr>
        <w:pStyle w:val="Heading3"/>
      </w:pPr>
      <w:r>
        <w:t xml:space="preserve">A. Immediate Document Demands (Meet-and-Confer / Supplemental Production)</w:t>
      </w:r>
    </w:p>
    <w:p>
      <w:pPr>
        <w:pStyle w:val="Compact"/>
        <w:numPr>
          <w:ilvl w:val="0"/>
          <w:numId w:val="1008"/>
        </w:numPr>
      </w:pPr>
      <w:r>
        <w:rPr>
          <w:b/>
          <w:bCs/>
        </w:rPr>
        <w:t xml:space="preserve">Statements for the Harborstone Financial Group account (ending 2291)</w:t>
      </w:r>
      <w:r>
        <w:t xml:space="preserve"> </w:t>
      </w:r>
      <w:r>
        <w:t xml:space="preserve">— to trace the $85,000 wire of June 15, 2024 and establish current balance and any further transfers.</w:t>
      </w:r>
    </w:p>
    <w:p>
      <w:pPr>
        <w:pStyle w:val="Compact"/>
        <w:numPr>
          <w:ilvl w:val="0"/>
          <w:numId w:val="1008"/>
        </w:numPr>
      </w:pPr>
      <w:r>
        <w:rPr>
          <w:b/>
          <w:bCs/>
        </w:rPr>
        <w:t xml:space="preserve">Statements for the joint FCB accounts (4821 and 4822)</w:t>
      </w:r>
      <w:r>
        <w:t xml:space="preserve"> </w:t>
      </w:r>
      <w:r>
        <w:t xml:space="preserve">— for the period January 2020 through present, to identify the credit-card and auto-loan payment source and to examine joint-account activity around separation.</w:t>
      </w:r>
    </w:p>
    <w:p>
      <w:pPr>
        <w:pStyle w:val="Compact"/>
        <w:numPr>
          <w:ilvl w:val="0"/>
          <w:numId w:val="1008"/>
        </w:numPr>
      </w:pPr>
      <w:r>
        <w:rPr>
          <w:b/>
          <w:bCs/>
        </w:rPr>
        <w:t xml:space="preserve">Statements for the 401(k) account (Pinnacle, ending 3310)</w:t>
      </w:r>
      <w:r>
        <w:t xml:space="preserve"> </w:t>
      </w:r>
      <w:r>
        <w:t xml:space="preserve">— including loan/withdrawal history and the basis for the $14,644.60 payment of August 1, 2024.</w:t>
      </w:r>
    </w:p>
    <w:p>
      <w:pPr>
        <w:pStyle w:val="Compact"/>
        <w:numPr>
          <w:ilvl w:val="0"/>
          <w:numId w:val="1008"/>
        </w:numPr>
      </w:pPr>
      <w:r>
        <w:rPr>
          <w:b/>
          <w:bCs/>
        </w:rPr>
        <w:t xml:space="preserve">Mortgage statements and loan documents for 418 Birchwood Lane</w:t>
      </w:r>
      <w:r>
        <w:t xml:space="preserve"> </w:t>
      </w:r>
      <w:r>
        <w:t xml:space="preserve">(Meridian) — to confirm balance, payment history, and title.</w:t>
      </w:r>
    </w:p>
    <w:p>
      <w:pPr>
        <w:pStyle w:val="Compact"/>
        <w:numPr>
          <w:ilvl w:val="0"/>
          <w:numId w:val="1008"/>
        </w:numPr>
      </w:pPr>
      <w:r>
        <w:rPr>
          <w:b/>
          <w:bCs/>
        </w:rPr>
        <w:t xml:space="preserve">Complete 2023 Form 1040 with all schedules</w:t>
      </w:r>
      <w:r>
        <w:t xml:space="preserve"> </w:t>
      </w:r>
      <w:r>
        <w:t xml:space="preserve">(A, B, D, SE, 8995) and</w:t>
      </w:r>
      <w:r>
        <w:t xml:space="preserve"> </w:t>
      </w:r>
      <w:r>
        <w:rPr>
          <w:b/>
          <w:bCs/>
        </w:rPr>
        <w:t xml:space="preserve">tax returns for 2021 and 2022</w:t>
      </w:r>
      <w:r>
        <w:t xml:space="preserve">.</w:t>
      </w:r>
    </w:p>
    <w:p>
      <w:pPr>
        <w:pStyle w:val="Compact"/>
        <w:numPr>
          <w:ilvl w:val="0"/>
          <w:numId w:val="1008"/>
        </w:numPr>
      </w:pPr>
      <w:r>
        <w:rPr>
          <w:b/>
          <w:bCs/>
        </w:rPr>
        <w:t xml:space="preserve">NovaBridge Operating Agreement</w:t>
      </w:r>
      <w:r>
        <w:t xml:space="preserve"> </w:t>
      </w:r>
      <w:r>
        <w:t xml:space="preserve">(with all amendments) and</w:t>
      </w:r>
      <w:r>
        <w:t xml:space="preserve"> </w:t>
      </w:r>
      <w:r>
        <w:rPr>
          <w:b/>
          <w:bCs/>
        </w:rPr>
        <w:t xml:space="preserve">entity-level records</w:t>
      </w:r>
      <w:r>
        <w:t xml:space="preserve">: Form 1065 for 2021–2023, financial statements, general ledger, and member capital-account ledgers (RFP Nos. 16–22).</w:t>
      </w:r>
    </w:p>
    <w:p>
      <w:pPr>
        <w:pStyle w:val="Compact"/>
        <w:numPr>
          <w:ilvl w:val="0"/>
          <w:numId w:val="1008"/>
        </w:numPr>
      </w:pPr>
      <w:r>
        <w:rPr>
          <w:b/>
          <w:bCs/>
        </w:rPr>
        <w:t xml:space="preserve">Deed, purchase documents, and lease/rental records for 1035 Elm Street, Unit C</w:t>
      </w:r>
      <w:r>
        <w:t xml:space="preserve"> </w:t>
      </w:r>
      <w:r>
        <w:t xml:space="preserve">— including the tenant identity, lease terms, and rent-payment history.</w:t>
      </w:r>
    </w:p>
    <w:p>
      <w:pPr>
        <w:pStyle w:val="Compact"/>
        <w:numPr>
          <w:ilvl w:val="0"/>
          <w:numId w:val="1008"/>
        </w:numPr>
      </w:pPr>
      <w:r>
        <w:rPr>
          <w:b/>
          <w:bCs/>
        </w:rPr>
        <w:t xml:space="preserve">Pay stubs</w:t>
      </w:r>
      <w:r>
        <w:t xml:space="preserve"> </w:t>
      </w:r>
      <w:r>
        <w:t xml:space="preserve">for 2024 (the Financial Declaration represents these</w:t>
      </w:r>
      <w:r>
        <w:t xml:space="preserve"> </w:t>
      </w:r>
      <w:r>
        <w:t xml:space="preserve">“</w:t>
      </w:r>
      <w:r>
        <w:t xml:space="preserve">have been or will be produced</w:t>
      </w:r>
      <w:r>
        <w:t xml:space="preserve">”</w:t>
      </w:r>
      <w:r>
        <w:t xml:space="preserve">).</w:t>
      </w:r>
    </w:p>
    <w:p>
      <w:pPr>
        <w:pStyle w:val="Compact"/>
        <w:numPr>
          <w:ilvl w:val="0"/>
          <w:numId w:val="1008"/>
        </w:numPr>
      </w:pPr>
      <w:r>
        <w:rPr>
          <w:b/>
          <w:bCs/>
        </w:rPr>
        <w:t xml:space="preserve">Complete bank and credit-card records</w:t>
      </w:r>
      <w:r>
        <w:t xml:space="preserve"> </w:t>
      </w:r>
      <w:r>
        <w:t xml:space="preserve">back to January 2024 (or earlier) to close the coverage gap.</w:t>
      </w:r>
    </w:p>
    <w:p>
      <w:pPr>
        <w:pStyle w:val="Compact"/>
        <w:numPr>
          <w:ilvl w:val="0"/>
          <w:numId w:val="1008"/>
        </w:numPr>
      </w:pPr>
      <w:r>
        <w:rPr>
          <w:b/>
          <w:bCs/>
        </w:rPr>
        <w:t xml:space="preserve">Formal privilege log</w:t>
      </w:r>
      <w:r>
        <w:t xml:space="preserve"> </w:t>
      </w:r>
      <w:r>
        <w:t xml:space="preserve">in compliance with the applicable rules, with particular attention to PRIV-003.</w:t>
      </w:r>
    </w:p>
    <w:bookmarkEnd w:id="37"/>
    <w:bookmarkStart w:id="38" w:name="b.-interrogatories-deposition-topics"/>
    <w:p>
      <w:pPr>
        <w:pStyle w:val="Heading3"/>
      </w:pPr>
      <w:r>
        <w:t xml:space="preserve">B. Interrogatories / Deposition Topics</w:t>
      </w:r>
    </w:p>
    <w:p>
      <w:pPr>
        <w:pStyle w:val="Compact"/>
        <w:numPr>
          <w:ilvl w:val="0"/>
          <w:numId w:val="1009"/>
        </w:numPr>
      </w:pPr>
      <w:r>
        <w:rPr>
          <w:b/>
          <w:bCs/>
        </w:rPr>
        <w:t xml:space="preserve">Identity of</w:t>
      </w:r>
      <w:r>
        <w:rPr>
          <w:b/>
          <w:bCs/>
        </w:rPr>
        <w:t xml:space="preserve"> </w:t>
      </w:r>
      <w:r>
        <w:rPr>
          <w:b/>
          <w:bCs/>
        </w:rPr>
        <w:t xml:space="preserve">“</w:t>
      </w:r>
      <w:r>
        <w:rPr>
          <w:b/>
          <w:bCs/>
        </w:rPr>
        <w:t xml:space="preserve">Kiera M.</w:t>
      </w:r>
      <w:r>
        <w:rPr>
          <w:b/>
          <w:bCs/>
        </w:rPr>
        <w:t xml:space="preserve">”</w:t>
      </w:r>
      <w:r>
        <w:t xml:space="preserve"> </w:t>
      </w:r>
      <w:r>
        <w:t xml:space="preserve">— relationship to Respondent, purpose of the recurring Venmo transfers ($14,600), and whether the transfers constitute support, loan repayment, or dissipation.</w:t>
      </w:r>
    </w:p>
    <w:p>
      <w:pPr>
        <w:pStyle w:val="Compact"/>
        <w:numPr>
          <w:ilvl w:val="0"/>
          <w:numId w:val="1009"/>
        </w:numPr>
      </w:pPr>
      <w:r>
        <w:rPr>
          <w:b/>
          <w:bCs/>
        </w:rPr>
        <w:t xml:space="preserve">The $85,000 wire transfer</w:t>
      </w:r>
      <w:r>
        <w:t xml:space="preserve"> </w:t>
      </w:r>
      <w:r>
        <w:t xml:space="preserve">— purpose, authorization, and current disposition of funds at Harborstone Financial Group; whether any portion was transferred onward.</w:t>
      </w:r>
    </w:p>
    <w:p>
      <w:pPr>
        <w:pStyle w:val="Compact"/>
        <w:numPr>
          <w:ilvl w:val="0"/>
          <w:numId w:val="1009"/>
        </w:numPr>
      </w:pPr>
      <w:r>
        <w:rPr>
          <w:b/>
          <w:bCs/>
        </w:rPr>
        <w:t xml:space="preserve">1035 Elm Street, Unit C</w:t>
      </w:r>
      <w:r>
        <w:t xml:space="preserve"> </w:t>
      </w:r>
      <w:r>
        <w:t xml:space="preserve">— date and source of acquisition, purchase price, title history, rental history, and the reason for its omission from the Financial Declaration.</w:t>
      </w:r>
    </w:p>
    <w:p>
      <w:pPr>
        <w:pStyle w:val="Compact"/>
        <w:numPr>
          <w:ilvl w:val="0"/>
          <w:numId w:val="1009"/>
        </w:numPr>
      </w:pPr>
      <w:r>
        <w:rPr>
          <w:b/>
          <w:bCs/>
        </w:rPr>
        <w:t xml:space="preserve">Income characterization</w:t>
      </w:r>
      <w:r>
        <w:t xml:space="preserve"> </w:t>
      </w:r>
      <w:r>
        <w:t xml:space="preserve">— why K-1</w:t>
      </w:r>
      <w:r>
        <w:t xml:space="preserve"> </w:t>
      </w:r>
      <w:r>
        <w:rPr>
          <w:i/>
          <w:iCs/>
        </w:rPr>
        <w:t xml:space="preserve">distributions</w:t>
      </w:r>
      <w:r>
        <w:t xml:space="preserve"> </w:t>
      </w:r>
      <w:r>
        <w:t xml:space="preserve">($174,000) were reported as</w:t>
      </w:r>
      <w:r>
        <w:t xml:space="preserve"> </w:t>
      </w:r>
      <w:r>
        <w:t xml:space="preserve">“</w:t>
      </w:r>
      <w:r>
        <w:t xml:space="preserve">K-1 income</w:t>
      </w:r>
      <w:r>
        <w:t xml:space="preserve">”</w:t>
      </w:r>
      <w:r>
        <w:t xml:space="preserve"> </w:t>
      </w:r>
      <w:r>
        <w:t xml:space="preserve">rather than K-1</w:t>
      </w:r>
      <w:r>
        <w:t xml:space="preserve"> </w:t>
      </w:r>
      <w:r>
        <w:rPr>
          <w:i/>
          <w:iCs/>
        </w:rPr>
        <w:t xml:space="preserve">ordinary business income</w:t>
      </w:r>
      <w:r>
        <w:t xml:space="preserve"> </w:t>
      </w:r>
      <w:r>
        <w:t xml:space="preserve">($367,200); explanation for omission of interest, dividend, capital-gain, rental, and vehicle-allowance income.</w:t>
      </w:r>
    </w:p>
    <w:p>
      <w:pPr>
        <w:pStyle w:val="Compact"/>
        <w:numPr>
          <w:ilvl w:val="0"/>
          <w:numId w:val="1009"/>
        </w:numPr>
      </w:pPr>
      <w:r>
        <w:rPr>
          <w:b/>
          <w:bCs/>
        </w:rPr>
        <w:t xml:space="preserve">NovaBridge expense reimbursements</w:t>
      </w:r>
      <w:r>
        <w:t xml:space="preserve"> </w:t>
      </w:r>
      <w:r>
        <w:t xml:space="preserve">— the self-approval framework under Operating Agreement §5.3; the</w:t>
      </w:r>
      <w:r>
        <w:t xml:space="preserve"> </w:t>
      </w:r>
      <w:r>
        <w:t xml:space="preserve">“</w:t>
      </w:r>
      <w:r>
        <w:t xml:space="preserve">Personal Devices</w:t>
      </w:r>
      <w:r>
        <w:t xml:space="preserve">”</w:t>
      </w:r>
      <w:r>
        <w:t xml:space="preserve"> </w:t>
      </w:r>
      <w:r>
        <w:t xml:space="preserve">$2,150 reimbursement; the Sapphire Sky Travel entries; and the unreconciled $7,112 of reimbursements.</w:t>
      </w:r>
    </w:p>
    <w:p>
      <w:pPr>
        <w:pStyle w:val="Compact"/>
        <w:numPr>
          <w:ilvl w:val="0"/>
          <w:numId w:val="1009"/>
        </w:numPr>
      </w:pPr>
      <w:r>
        <w:rPr>
          <w:b/>
          <w:bCs/>
        </w:rPr>
        <w:t xml:space="preserve">Date of separation</w:t>
      </w:r>
      <w:r>
        <w:t xml:space="preserve"> </w:t>
      </w:r>
      <w:r>
        <w:t xml:space="preserve">— reconcile the June 1, 2024 date in the Financial Declaration with the August 1, 2024 date in the privilege log.</w:t>
      </w:r>
    </w:p>
    <w:p>
      <w:pPr>
        <w:pStyle w:val="Compact"/>
        <w:numPr>
          <w:ilvl w:val="0"/>
          <w:numId w:val="1009"/>
        </w:numPr>
      </w:pPr>
      <w:r>
        <w:rPr>
          <w:b/>
          <w:bCs/>
        </w:rPr>
        <w:t xml:space="preserve">Credit card</w:t>
      </w:r>
      <w:r>
        <w:t xml:space="preserve"> </w:t>
      </w:r>
      <w:r>
        <w:t xml:space="preserve">— reconcile the</w:t>
      </w:r>
      <w:r>
        <w:t xml:space="preserve"> </w:t>
      </w:r>
      <w:r>
        <w:t xml:space="preserve">“</w:t>
      </w:r>
      <w:r>
        <w:t xml:space="preserve">First National Card Services</w:t>
      </w:r>
      <w:r>
        <w:t xml:space="preserve">”</w:t>
      </w:r>
      <w:r>
        <w:t xml:space="preserve"> </w:t>
      </w:r>
      <w:r>
        <w:t xml:space="preserve">creditor and</w:t>
      </w:r>
      <w:r>
        <w:t xml:space="preserve"> </w:t>
      </w:r>
      <w:r>
        <w:t xml:space="preserve">“</w:t>
      </w:r>
      <w:r>
        <w:t xml:space="preserve">$8,500 revolving balance</w:t>
      </w:r>
      <w:r>
        <w:t xml:space="preserve">”</w:t>
      </w:r>
      <w:r>
        <w:t xml:space="preserve"> </w:t>
      </w:r>
      <w:r>
        <w:t xml:space="preserve">in the Financial Declaration with the Fairview Community Bank statements showing payment in full monthly.</w:t>
      </w:r>
    </w:p>
    <w:bookmarkEnd w:id="38"/>
    <w:bookmarkStart w:id="39" w:name="c.-third-party-subpoenas-as-needed"/>
    <w:p>
      <w:pPr>
        <w:pStyle w:val="Heading3"/>
      </w:pPr>
      <w:r>
        <w:t xml:space="preserve">C. Third-Party Subpoenas (as needed)</w:t>
      </w:r>
    </w:p>
    <w:p>
      <w:pPr>
        <w:pStyle w:val="Compact"/>
        <w:numPr>
          <w:ilvl w:val="0"/>
          <w:numId w:val="1010"/>
        </w:numPr>
      </w:pPr>
      <w:r>
        <w:rPr>
          <w:b/>
          <w:bCs/>
        </w:rPr>
        <w:t xml:space="preserve">Harborstone Financial Group</w:t>
      </w:r>
      <w:r>
        <w:t xml:space="preserve"> </w:t>
      </w:r>
      <w:r>
        <w:t xml:space="preserve">— account records for account ending 2291.</w:t>
      </w:r>
    </w:p>
    <w:p>
      <w:pPr>
        <w:pStyle w:val="Compact"/>
        <w:numPr>
          <w:ilvl w:val="0"/>
          <w:numId w:val="1010"/>
        </w:numPr>
      </w:pPr>
      <w:r>
        <w:rPr>
          <w:b/>
          <w:bCs/>
        </w:rPr>
        <w:t xml:space="preserve">Crestline Wealth Advisors / Nathan Greer, CFP</w:t>
      </w:r>
      <w:r>
        <w:t xml:space="preserve"> </w:t>
      </w:r>
      <w:r>
        <w:t xml:space="preserve">— confirm account titling and tax ID (the 8341 discrepancy), and any communications regarding the June 15, 2024 wire.</w:t>
      </w:r>
    </w:p>
    <w:p>
      <w:pPr>
        <w:pStyle w:val="Compact"/>
        <w:numPr>
          <w:ilvl w:val="0"/>
          <w:numId w:val="1010"/>
        </w:numPr>
      </w:pPr>
      <w:r>
        <w:rPr>
          <w:b/>
          <w:bCs/>
        </w:rPr>
        <w:t xml:space="preserve">Meridian Home Lending</w:t>
      </w:r>
      <w:r>
        <w:t xml:space="preserve"> </w:t>
      </w:r>
      <w:r>
        <w:t xml:space="preserve">— loan history and payoff statements for both the 418 Birchwood and 1035 Elm Street loans.</w:t>
      </w:r>
    </w:p>
    <w:p>
      <w:pPr>
        <w:pStyle w:val="Compact"/>
        <w:numPr>
          <w:ilvl w:val="0"/>
          <w:numId w:val="1010"/>
        </w:numPr>
      </w:pPr>
      <w:r>
        <w:rPr>
          <w:b/>
          <w:bCs/>
        </w:rPr>
        <w:t xml:space="preserve">Pinnacle Retirement Services</w:t>
      </w:r>
      <w:r>
        <w:t xml:space="preserve"> </w:t>
      </w:r>
      <w:r>
        <w:t xml:space="preserve">— 401(k) statements, loan/withdrawal records, and contribution history for account 3310.</w:t>
      </w:r>
    </w:p>
    <w:p>
      <w:pPr>
        <w:pStyle w:val="Compact"/>
        <w:numPr>
          <w:ilvl w:val="0"/>
          <w:numId w:val="1010"/>
        </w:numPr>
      </w:pPr>
      <w:r>
        <w:rPr>
          <w:b/>
          <w:bCs/>
        </w:rPr>
        <w:t xml:space="preserve">Venmo / PayPal</w:t>
      </w:r>
      <w:r>
        <w:t xml:space="preserve"> </w:t>
      </w:r>
      <w:r>
        <w:t xml:space="preserve">— records identifying the recipient</w:t>
      </w:r>
      <w:r>
        <w:t xml:space="preserve"> </w:t>
      </w:r>
      <w:r>
        <w:t xml:space="preserve">“</w:t>
      </w:r>
      <w:r>
        <w:t xml:space="preserve">Kiera M.</w:t>
      </w:r>
      <w:r>
        <w:t xml:space="preserve">”</w:t>
      </w:r>
      <w:r>
        <w:t xml:space="preserve"> </w:t>
      </w:r>
      <w:r>
        <w:t xml:space="preserve">and transfer history (subject to applicable privacy procedures).</w:t>
      </w:r>
    </w:p>
    <w:p>
      <w:pPr>
        <w:pStyle w:val="Compact"/>
        <w:numPr>
          <w:ilvl w:val="0"/>
          <w:numId w:val="1010"/>
        </w:numPr>
      </w:pPr>
      <w:r>
        <w:rPr>
          <w:b/>
          <w:bCs/>
        </w:rPr>
        <w:t xml:space="preserve">Archer &amp; Linden CPAs</w:t>
      </w:r>
      <w:r>
        <w:t xml:space="preserve"> </w:t>
      </w:r>
      <w:r>
        <w:t xml:space="preserve">— the complete 2023 return and workpapers, and prior-year returns (to the extent not privileged).</w:t>
      </w:r>
    </w:p>
    <w:bookmarkEnd w:id="39"/>
    <w:bookmarkStart w:id="40" w:name="d.-expert-evidentiary-steps"/>
    <w:p>
      <w:pPr>
        <w:pStyle w:val="Heading3"/>
      </w:pPr>
      <w:r>
        <w:t xml:space="preserve">D. Expert / Evidentiary Steps</w:t>
      </w:r>
    </w:p>
    <w:p>
      <w:pPr>
        <w:pStyle w:val="Compact"/>
        <w:numPr>
          <w:ilvl w:val="0"/>
          <w:numId w:val="1011"/>
        </w:numPr>
      </w:pPr>
      <w:r>
        <w:rPr>
          <w:b/>
          <w:bCs/>
        </w:rPr>
        <w:t xml:space="preserve">Business valuation</w:t>
      </w:r>
      <w:r>
        <w:t xml:space="preserve"> </w:t>
      </w:r>
      <w:r>
        <w:t xml:space="preserve">of Respondent’s 60% NovaBridge interest (the $675,800 capital account, $193,200 retained-earnings share, and $36,400 recourse liabilities provide a starting point; the Operating Agreement’s transfer/buyout restrictions must be obtained).</w:t>
      </w:r>
    </w:p>
    <w:p>
      <w:pPr>
        <w:pStyle w:val="Compact"/>
        <w:numPr>
          <w:ilvl w:val="0"/>
          <w:numId w:val="1011"/>
        </w:numPr>
      </w:pPr>
      <w:r>
        <w:rPr>
          <w:b/>
          <w:bCs/>
        </w:rPr>
        <w:t xml:space="preserve">Real-estate appraisals</w:t>
      </w:r>
      <w:r>
        <w:t xml:space="preserve"> </w:t>
      </w:r>
      <w:r>
        <w:t xml:space="preserve">of both 418 Birchwood Lane and 1035 Elm Street, Unit C (the Financial Declaration’s $715,000 Birchwood value is an unappraised online estimate).</w:t>
      </w:r>
    </w:p>
    <w:p>
      <w:pPr>
        <w:pStyle w:val="Compact"/>
        <w:numPr>
          <w:ilvl w:val="0"/>
          <w:numId w:val="1011"/>
        </w:numPr>
      </w:pPr>
      <w:r>
        <w:rPr>
          <w:b/>
          <w:bCs/>
        </w:rPr>
        <w:t xml:space="preserve">Forensic accounting / dissipation analysis</w:t>
      </w:r>
      <w:r>
        <w:t xml:space="preserve"> </w:t>
      </w:r>
      <w:r>
        <w:t xml:space="preserve">tracing the $85,000 wire, the Venmo transfers, the $6,200 travel charge, and the anomalous 401(k) payment, and reconstructing actual monthly cash flow versus the declared $12,385.</w:t>
      </w:r>
    </w:p>
    <w:p>
      <w:pPr>
        <w:pStyle w:val="Compact"/>
        <w:numPr>
          <w:ilvl w:val="0"/>
          <w:numId w:val="1011"/>
        </w:numPr>
      </w:pPr>
      <w:r>
        <w:rPr>
          <w:b/>
          <w:bCs/>
        </w:rPr>
        <w:t xml:space="preserve">Consider a motion to compel</w:t>
      </w:r>
      <w:r>
        <w:t xml:space="preserve"> </w:t>
      </w:r>
      <w:r>
        <w:t xml:space="preserve">if the RFP Nos. 16–22 supplementation and the formal privilege log are not timely produced;</w:t>
      </w:r>
      <w:r>
        <w:t xml:space="preserve"> </w:t>
      </w:r>
      <w:r>
        <w:rPr>
          <w:b/>
          <w:bCs/>
        </w:rPr>
        <w:t xml:space="preserve">consider a motion regarding the Financial Declaration’s omissions</w:t>
      </w:r>
      <w:r>
        <w:t xml:space="preserve"> </w:t>
      </w:r>
      <w:r>
        <w:t xml:space="preserve">given the material misstatements identified (undisclosed property, undisclosed mortgage, income understatement, undisclosed account).</w:t>
      </w:r>
    </w:p>
    <w:p>
      <w:r>
        <w:pict>
          <v:rect style="width:0;height:1.5pt" o:hralign="center" o:hrstd="t" o:hr="t"/>
        </w:pict>
      </w:r>
    </w:p>
    <w:bookmarkEnd w:id="40"/>
    <w:bookmarkEnd w:id="41"/>
    <w:bookmarkStart w:id="42" w:name="vi.-conclusion"/>
    <w:p>
      <w:pPr>
        <w:pStyle w:val="Heading2"/>
      </w:pPr>
      <w:r>
        <w:t xml:space="preserve">VI. Conclusion</w:t>
      </w:r>
    </w:p>
    <w:p>
      <w:pPr>
        <w:pStyle w:val="FirstParagraph"/>
      </w:pPr>
      <w:r>
        <w:t xml:space="preserve">The production, on its face, appears responsive to many of the enumerated requests, and the three individual account balances produced (checking $8,215; savings $42,680; brokerage $387,450) reconcile to the Financial Declaration as of August 1, 2024. However, cross-referencing the Financial Declaration against the supporting records reveals</w:t>
      </w:r>
      <w:r>
        <w:t xml:space="preserve"> </w:t>
      </w:r>
      <w:r>
        <w:rPr>
          <w:b/>
          <w:bCs/>
        </w:rPr>
        <w:t xml:space="preserve">material omissions and inconsistencies</w:t>
      </w:r>
      <w:r>
        <w:t xml:space="preserve"> </w:t>
      </w:r>
      <w:r>
        <w:t xml:space="preserve">that significantly affect the marital estate and support analyses: an undisclosed rental property and mortgage (~$241,281 liability), a ~$193,200 understatement of pass-through business income (with additional omitted investment/rental income), an $85,000 transfer to an undisclosed account at separation, $14,600 in recurring transfers to an unidentified individual, and a pattern of lifestyle spending well above the declared expense schedule. Several produced accounts (joint accounts, 401(k), marital-residence mortgage) and the entirety of the NovaBridge corporate records remain outstanding.</w:t>
      </w:r>
    </w:p>
    <w:p>
      <w:pPr>
        <w:pStyle w:val="BodyText"/>
      </w:pPr>
      <w:r>
        <w:t xml:space="preserve">We recommend proceeding with the document demands, interrogatories, and third-party subpoenas outlined in Section V, prioritizing the Harborstone account, the joint accounts, the NovaBridge Operating Agreement and entity financials, and the Elm Street property records, and calendaring a meet-and-confer on the production deficiencies identified in Section IV.G. We are available to discuss strategy and timing.</w:t>
      </w:r>
    </w:p>
    <w:p>
      <w:r>
        <w:pict>
          <v:rect style="width:0;height:1.5pt" o:hralign="center" o:hrstd="t" o:hr="t"/>
        </w:pict>
      </w:r>
    </w:p>
    <w:p>
      <w:pPr>
        <w:pStyle w:val="FirstParagraph"/>
      </w:pPr>
      <w:r>
        <w:rPr>
          <w:i/>
          <w:iCs/>
        </w:rPr>
        <w:t xml:space="preserve">Prepared by Calloway &amp; Birch LLP, counsel for Petitioner Melinda Torres-Kwan. This memorandum is privileged and confidential attorney work product prepared in anticipation of litigation and is not to be disclosed to third parties.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2026-06-28T09:55:58Z</dcterms:created>
  <dcterms:modified xsi:type="dcterms:W3CDTF">2026-06-28T09:55:58Z</dcterms:modified>
</cp:coreProperties>
</file>

<file path=docProps/custom.xml><?xml version="1.0" encoding="utf-8"?>
<Properties xmlns="http://schemas.openxmlformats.org/officeDocument/2006/custom-properties" xmlns:vt="http://schemas.openxmlformats.org/officeDocument/2006/docPropsVTypes"/>
</file>