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Sarah Whitfield, Esq.</w:t>
      </w:r>
      <w:r>
        <w:t xml:space="preserve"> </w:t>
      </w:r>
      <w:r>
        <w:rPr>
          <w:b/>
          <w:bCs/>
        </w:rPr>
        <w:t xml:space="preserve">FROM:</w:t>
      </w:r>
      <w:r>
        <w:t xml:space="preserve"> </w:t>
      </w:r>
      <w:r>
        <w:t xml:space="preserve">Jordan Reeves, Associate</w:t>
      </w:r>
      <w:r>
        <w:t xml:space="preserve"> </w:t>
      </w:r>
      <w:r>
        <w:rPr>
          <w:b/>
          <w:bCs/>
        </w:rPr>
        <w:t xml:space="preserve">DATE:</w:t>
      </w:r>
      <w:r>
        <w:t xml:space="preserve"> </w:t>
      </w:r>
      <w:r>
        <w:t xml:space="preserve">October 14, 2024</w:t>
      </w:r>
      <w:r>
        <w:t xml:space="preserve"> </w:t>
      </w:r>
      <w:r>
        <w:rPr>
          <w:b/>
          <w:bCs/>
        </w:rPr>
        <w:t xml:space="preserve">RE:</w:t>
      </w:r>
      <w:r>
        <w:t xml:space="preserve"> </w:t>
      </w:r>
      <w:r>
        <w:t xml:space="preserve">Review of Respondent Darren Kwan’s Document Production —</w:t>
      </w:r>
      <w:r>
        <w:t xml:space="preserve"> </w:t>
      </w:r>
      <w:r>
        <w:rPr>
          <w:i/>
          <w:iCs/>
        </w:rPr>
        <w:t xml:space="preserve">Torres-Kwan v. Kwan</w:t>
      </w:r>
      <w:r>
        <w:t xml:space="preserve">, Case No. 2024-DR-01847 (Circuit Court of Fairview County, Columbia; Hon. Patricia Yoon-Callahan)</w:t>
      </w:r>
      <w:r>
        <w:t xml:space="preserve"> </w:t>
      </w:r>
      <w:r>
        <w:rPr>
          <w:b/>
          <w:bCs/>
        </w:rPr>
        <w:t xml:space="preserve">PRIVILEGED &amp; CONFIDENTIAL — ATTORNEY WORK PRODUCT</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catalogs and analyzes the document production served by Respondent Darren Kwan (</w:t>
      </w:r>
      <w:r>
        <w:t xml:space="preserve">“</w:t>
      </w:r>
      <w:r>
        <w:t xml:space="preserve">Respondent</w:t>
      </w:r>
      <w:r>
        <w:t xml:space="preserve">”</w:t>
      </w:r>
      <w:r>
        <w:t xml:space="preserve">) through his counsel, Raymond Fossett of Hargrove Fossett &amp; Yates LLP, in response to Petitioner Melinda Torres-Kwan’s First Request for Production of Documents, Nos. 1–22. The production consists of a cover letter, seven (7) produced document sets (PROD-001 through PROD-007), and a summary privilege log identifying four (4) withheld items (PRIV-001 through PRIV-004).</w:t>
      </w:r>
    </w:p>
    <w:p>
      <w:pPr>
        <w:pStyle w:val="BodyText"/>
      </w:pPr>
      <w:r>
        <w:t xml:space="preserve">The purpose of this memorandum is to (A) catalog the exhibits produced; (B) summarize the key financial figures disclosed; (C) flag inconsistencies, omissions, and red flags identified during cross-referencing of the production; and (D) recommend follow-up discovery.</w:t>
      </w:r>
      <w:r>
        <w:t xml:space="preserve"> </w:t>
      </w:r>
      <w:r>
        <w:rPr>
          <w:b/>
          <w:bCs/>
        </w:rPr>
        <w:t xml:space="preserve">Our central conclusion is that the Respondent’s Sworn Financial Declaration is materially incomplete and, in several respects, directly contradicted by the very records Respondent simultaneously produced.</w:t>
      </w:r>
      <w:r>
        <w:t xml:space="preserve"> </w:t>
      </w:r>
      <w:r>
        <w:t xml:space="preserve">Most notably, the Declaration omits an entire real property (a rental condominium at 1035 Elm Street, Unit C) and its approximately $241,281 mortgage, understates Respondent’s business income by roughly $193,000, and fails to account for an $85,000 wire transfer made on June 15, 2024 to an undisclosed institution. These items warrant immediate supplemental discovery and likely a motion to compel an amended financial declaration.</w:t>
      </w:r>
    </w:p>
    <w:p>
      <w:r>
        <w:pict>
          <v:rect style="width:0;height:1.5pt" o:hralign="center" o:hrstd="t" o:hr="t"/>
        </w:pict>
      </w:r>
    </w:p>
    <w:bookmarkEnd w:id="20"/>
    <w:bookmarkStart w:id="21" w:name="ii.-exhibit-catalog"/>
    <w:p>
      <w:pPr>
        <w:pStyle w:val="Heading2"/>
      </w:pPr>
      <w:r>
        <w:t xml:space="preserve">II. Exhibit Catalog</w:t>
      </w:r>
    </w:p>
    <w:p>
      <w:pPr>
        <w:pStyle w:val="FirstParagraph"/>
      </w:pPr>
      <w:r>
        <w:t xml:space="preserve">The following table catalogs every item in the production. Bates ranges are reproduced as stamped on the face of each document; where no range is stamped, that is noted.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 ID</w:t>
            </w:r>
          </w:p>
        </w:tc>
        <w:tc>
          <w:tcPr/>
          <w:p>
            <w:pPr>
              <w:pStyle w:val="Compact"/>
              <w:jc w:val="left"/>
            </w:pPr>
            <w:r>
              <w:t xml:space="preserve">Document</w:t>
            </w:r>
          </w:p>
        </w:tc>
        <w:tc>
          <w:tcPr/>
          <w:p>
            <w:pPr>
              <w:pStyle w:val="Compact"/>
              <w:jc w:val="left"/>
            </w:pPr>
            <w:r>
              <w:t xml:space="preserve">Source File</w:t>
            </w:r>
          </w:p>
        </w:tc>
        <w:tc>
          <w:tcPr/>
          <w:p>
            <w:pPr>
              <w:pStyle w:val="Compact"/>
              <w:jc w:val="left"/>
            </w:pPr>
            <w:r>
              <w:t xml:space="preserve">Date / Period Covered</w:t>
            </w:r>
          </w:p>
        </w:tc>
        <w:tc>
          <w:tcPr/>
          <w:p>
            <w:pPr>
              <w:pStyle w:val="Compact"/>
              <w:jc w:val="left"/>
            </w:pPr>
            <w:r>
              <w:t xml:space="preserve">Bates Range</w:t>
            </w:r>
          </w:p>
        </w:tc>
        <w:tc>
          <w:tcPr/>
          <w:p>
            <w:pPr>
              <w:pStyle w:val="Compact"/>
              <w:jc w:val="left"/>
            </w:pPr>
            <w:r>
              <w:t xml:space="preserve">Responsive RFP Nos.</w:t>
            </w:r>
          </w:p>
        </w:tc>
      </w:tr>
      <w:tr>
        <w:tc>
          <w:tcPr/>
          <w:p>
            <w:pPr>
              <w:pStyle w:val="Compact"/>
              <w:jc w:val="left"/>
            </w:pPr>
            <w:r>
              <w:t xml:space="preserve">Cover Letter</w:t>
            </w:r>
          </w:p>
        </w:tc>
        <w:tc>
          <w:tcPr/>
          <w:p>
            <w:pPr>
              <w:pStyle w:val="Compact"/>
              <w:jc w:val="left"/>
            </w:pPr>
            <w:r>
              <w:t xml:space="preserve">Production cover letter (R. Fossett to S. Whitfield)</w:t>
            </w:r>
          </w:p>
        </w:tc>
        <w:tc>
          <w:tcPr/>
          <w:p>
            <w:pPr>
              <w:pStyle w:val="Compact"/>
              <w:jc w:val="left"/>
            </w:pPr>
            <w:r>
              <w:t xml:space="preserve">production-cover-letter.eml</w:t>
            </w:r>
          </w:p>
        </w:tc>
        <w:tc>
          <w:tcPr/>
          <w:p>
            <w:pPr>
              <w:pStyle w:val="Compact"/>
              <w:jc w:val="left"/>
            </w:pPr>
            <w:r>
              <w:t xml:space="preserve">Undated</w:t>
            </w:r>
          </w:p>
        </w:tc>
        <w:tc>
          <w:tcPr/>
          <w:p>
            <w:pPr>
              <w:pStyle w:val="Compact"/>
              <w:jc w:val="left"/>
            </w:pPr>
            <w:r>
              <w:t xml:space="preserve">—</w:t>
            </w:r>
          </w:p>
        </w:tc>
        <w:tc>
          <w:tcPr/>
          <w:p>
            <w:pPr>
              <w:pStyle w:val="Compact"/>
              <w:jc w:val="left"/>
            </w:pPr>
            <w:r>
              <w:t xml:space="preserve">1–22 (transmittal)</w:t>
            </w:r>
          </w:p>
        </w:tc>
      </w:tr>
      <w:tr>
        <w:tc>
          <w:tcPr/>
          <w:p>
            <w:pPr>
              <w:pStyle w:val="Compact"/>
              <w:jc w:val="left"/>
            </w:pPr>
            <w:r>
              <w:t xml:space="preserve">PROD-001</w:t>
            </w:r>
          </w:p>
        </w:tc>
        <w:tc>
          <w:tcPr/>
          <w:p>
            <w:pPr>
              <w:pStyle w:val="Compact"/>
              <w:jc w:val="left"/>
            </w:pPr>
            <w:r>
              <w:t xml:space="preserve">Respondent’s Sworn Financial Declaration</w:t>
            </w:r>
          </w:p>
        </w:tc>
        <w:tc>
          <w:tcPr/>
          <w:p>
            <w:pPr>
              <w:pStyle w:val="Compact"/>
              <w:jc w:val="left"/>
            </w:pPr>
            <w:r>
              <w:t xml:space="preserve">financial-declaration-darren-kwan.docx</w:t>
            </w:r>
          </w:p>
        </w:tc>
        <w:tc>
          <w:tcPr/>
          <w:p>
            <w:pPr>
              <w:pStyle w:val="Compact"/>
              <w:jc w:val="left"/>
            </w:pPr>
            <w:r>
              <w:t xml:space="preserve">Filed 9/20/2024 (cover letter states</w:t>
            </w:r>
            <w:r>
              <w:t xml:space="preserve"> </w:t>
            </w:r>
            <w:r>
              <w:t xml:space="preserve">“</w:t>
            </w:r>
            <w:r>
              <w:t xml:space="preserve">on or about 10/4/2024</w:t>
            </w:r>
            <w:r>
              <w:t xml:space="preserve">”</w:t>
            </w:r>
            <w:r>
              <w:t xml:space="preserve">)</w:t>
            </w:r>
          </w:p>
        </w:tc>
        <w:tc>
          <w:tcPr/>
          <w:p>
            <w:pPr>
              <w:pStyle w:val="Compact"/>
              <w:jc w:val="left"/>
            </w:pPr>
            <w:r>
              <w:t xml:space="preserve">Not stamped</w:t>
            </w:r>
          </w:p>
        </w:tc>
        <w:tc>
          <w:tcPr/>
          <w:p>
            <w:pPr>
              <w:pStyle w:val="Compact"/>
              <w:jc w:val="left"/>
            </w:pPr>
            <w:r>
              <w:t xml:space="preserve">1, 2, 3</w:t>
            </w:r>
          </w:p>
        </w:tc>
      </w:tr>
      <w:tr>
        <w:tc>
          <w:tcPr/>
          <w:p>
            <w:pPr>
              <w:pStyle w:val="Compact"/>
              <w:jc w:val="left"/>
            </w:pPr>
            <w:r>
              <w:t xml:space="preserve">PROD-002</w:t>
            </w:r>
          </w:p>
        </w:tc>
        <w:tc>
          <w:tcPr/>
          <w:p>
            <w:pPr>
              <w:pStyle w:val="Compact"/>
              <w:jc w:val="left"/>
            </w:pPr>
            <w:r>
              <w:t xml:space="preserve">2023 Form 1040 excerpts (MFJ): Form 1040, W-2s, Schedule E (Parts I &amp; II), Schedule K-1, entity-level summary</w:t>
            </w:r>
          </w:p>
        </w:tc>
        <w:tc>
          <w:tcPr/>
          <w:p>
            <w:pPr>
              <w:pStyle w:val="Compact"/>
              <w:jc w:val="left"/>
            </w:pPr>
            <w:r>
              <w:t xml:space="preserve">2023-tax-return-excerpts.docx</w:t>
            </w:r>
          </w:p>
        </w:tc>
        <w:tc>
          <w:tcPr/>
          <w:p>
            <w:pPr>
              <w:pStyle w:val="Compact"/>
              <w:jc w:val="left"/>
            </w:pPr>
            <w:r>
              <w:t xml:space="preserve">Tax Year 2023</w:t>
            </w:r>
          </w:p>
        </w:tc>
        <w:tc>
          <w:tcPr/>
          <w:p>
            <w:pPr>
              <w:pStyle w:val="Compact"/>
              <w:jc w:val="left"/>
            </w:pPr>
            <w:r>
              <w:t xml:space="preserve">DK-PROD-0045 – DK-PROD-0058</w:t>
            </w:r>
          </w:p>
        </w:tc>
        <w:tc>
          <w:tcPr/>
          <w:p>
            <w:pPr>
              <w:pStyle w:val="Compact"/>
              <w:jc w:val="left"/>
            </w:pPr>
            <w:r>
              <w:t xml:space="preserve">4, 5, 8</w:t>
            </w:r>
          </w:p>
        </w:tc>
      </w:tr>
      <w:tr>
        <w:tc>
          <w:tcPr/>
          <w:p>
            <w:pPr>
              <w:pStyle w:val="Compact"/>
              <w:jc w:val="left"/>
            </w:pPr>
            <w:r>
              <w:t xml:space="preserve">PROD-003</w:t>
            </w:r>
          </w:p>
        </w:tc>
        <w:tc>
          <w:tcPr/>
          <w:p>
            <w:pPr>
              <w:pStyle w:val="Compact"/>
              <w:jc w:val="left"/>
            </w:pPr>
            <w:r>
              <w:t xml:space="preserve">Crestline Wealth Advisors brokerage statements, acct. ending 9956</w:t>
            </w:r>
          </w:p>
        </w:tc>
        <w:tc>
          <w:tcPr/>
          <w:p>
            <w:pPr>
              <w:pStyle w:val="Compact"/>
              <w:jc w:val="left"/>
            </w:pPr>
            <w:r>
              <w:t xml:space="preserve">crestline-brokerage-statements.docx</w:t>
            </w:r>
          </w:p>
        </w:tc>
        <w:tc>
          <w:tcPr/>
          <w:p>
            <w:pPr>
              <w:pStyle w:val="Compact"/>
              <w:jc w:val="left"/>
            </w:pPr>
            <w:r>
              <w:t xml:space="preserve">Jan. 1, 2024 – Aug. 1, 2024</w:t>
            </w:r>
          </w:p>
        </w:tc>
        <w:tc>
          <w:tcPr/>
          <w:p>
            <w:pPr>
              <w:pStyle w:val="Compact"/>
              <w:jc w:val="left"/>
            </w:pPr>
            <w:r>
              <w:t xml:space="preserve">KWAN_PROD_00142 – KWAN_PROD_00158</w:t>
            </w:r>
          </w:p>
        </w:tc>
        <w:tc>
          <w:tcPr/>
          <w:p>
            <w:pPr>
              <w:pStyle w:val="Compact"/>
              <w:jc w:val="left"/>
            </w:pPr>
            <w:r>
              <w:t xml:space="preserve">6, 7</w:t>
            </w:r>
          </w:p>
        </w:tc>
      </w:tr>
      <w:tr>
        <w:tc>
          <w:tcPr/>
          <w:p>
            <w:pPr>
              <w:pStyle w:val="Compact"/>
              <w:jc w:val="left"/>
            </w:pPr>
            <w:r>
              <w:t xml:space="preserve">PROD-004</w:t>
            </w:r>
          </w:p>
        </w:tc>
        <w:tc>
          <w:tcPr/>
          <w:p>
            <w:pPr>
              <w:pStyle w:val="Compact"/>
              <w:jc w:val="left"/>
            </w:pPr>
            <w:r>
              <w:t xml:space="preserve">Fairview Community Bank individual checking (7703) &amp; savings (7704)</w:t>
            </w:r>
          </w:p>
        </w:tc>
        <w:tc>
          <w:tcPr/>
          <w:p>
            <w:pPr>
              <w:pStyle w:val="Compact"/>
              <w:jc w:val="left"/>
            </w:pPr>
            <w:r>
              <w:t xml:space="preserve">fcb-individual-bank-statements.docx</w:t>
            </w:r>
          </w:p>
        </w:tc>
        <w:tc>
          <w:tcPr/>
          <w:p>
            <w:pPr>
              <w:pStyle w:val="Compact"/>
              <w:jc w:val="left"/>
            </w:pPr>
            <w:r>
              <w:t xml:space="preserve">Mar. 1, 2024 – Aug. 1, 2024</w:t>
            </w:r>
          </w:p>
        </w:tc>
        <w:tc>
          <w:tcPr/>
          <w:p>
            <w:pPr>
              <w:pStyle w:val="Compact"/>
              <w:jc w:val="left"/>
            </w:pPr>
            <w:r>
              <w:t xml:space="preserve">KWAN_PROD_0401 – KWAN_PROD_0424</w:t>
            </w:r>
          </w:p>
        </w:tc>
        <w:tc>
          <w:tcPr/>
          <w:p>
            <w:pPr>
              <w:pStyle w:val="Compact"/>
              <w:jc w:val="left"/>
            </w:pPr>
            <w:r>
              <w:t xml:space="preserve">6, 7</w:t>
            </w:r>
          </w:p>
        </w:tc>
      </w:tr>
      <w:tr>
        <w:tc>
          <w:tcPr/>
          <w:p>
            <w:pPr>
              <w:pStyle w:val="Compact"/>
              <w:jc w:val="left"/>
            </w:pPr>
            <w:r>
              <w:t xml:space="preserve">PROD-005</w:t>
            </w:r>
          </w:p>
        </w:tc>
        <w:tc>
          <w:tcPr/>
          <w:p>
            <w:pPr>
              <w:pStyle w:val="Compact"/>
              <w:jc w:val="left"/>
            </w:pPr>
            <w:r>
              <w:t xml:space="preserve">Meridian Home Lending mortgage statements</w:t>
            </w:r>
          </w:p>
        </w:tc>
        <w:tc>
          <w:tcPr/>
          <w:p>
            <w:pPr>
              <w:pStyle w:val="Compact"/>
              <w:jc w:val="left"/>
            </w:pPr>
            <w:r>
              <w:t xml:space="preserve">elm-street-mortgage-statements.docx</w:t>
            </w:r>
          </w:p>
        </w:tc>
        <w:tc>
          <w:tcPr/>
          <w:p>
            <w:pPr>
              <w:pStyle w:val="Compact"/>
              <w:jc w:val="left"/>
            </w:pPr>
            <w:r>
              <w:t xml:space="preserve">Jun., Jul., Aug. 2024</w:t>
            </w:r>
          </w:p>
        </w:tc>
        <w:tc>
          <w:tcPr/>
          <w:p>
            <w:pPr>
              <w:pStyle w:val="Compact"/>
              <w:jc w:val="left"/>
            </w:pPr>
            <w:r>
              <w:t xml:space="preserve">Not stamped on face</w:t>
            </w:r>
          </w:p>
        </w:tc>
        <w:tc>
          <w:tcPr/>
          <w:p>
            <w:pPr>
              <w:pStyle w:val="Compact"/>
              <w:jc w:val="left"/>
            </w:pPr>
            <w:r>
              <w:t xml:space="preserve">9, 10</w:t>
            </w:r>
          </w:p>
        </w:tc>
      </w:tr>
      <w:tr>
        <w:tc>
          <w:tcPr/>
          <w:p>
            <w:pPr>
              <w:pStyle w:val="Compact"/>
              <w:jc w:val="left"/>
            </w:pPr>
            <w:r>
              <w:t xml:space="preserve">PROD-006</w:t>
            </w:r>
          </w:p>
        </w:tc>
        <w:tc>
          <w:tcPr/>
          <w:p>
            <w:pPr>
              <w:pStyle w:val="Compact"/>
              <w:jc w:val="left"/>
            </w:pPr>
            <w:r>
              <w:t xml:space="preserve">Fairview Community Bank Platinum Visa statements, acct. ending 8316</w:t>
            </w:r>
          </w:p>
        </w:tc>
        <w:tc>
          <w:tcPr/>
          <w:p>
            <w:pPr>
              <w:pStyle w:val="Compact"/>
              <w:jc w:val="left"/>
            </w:pPr>
            <w:r>
              <w:t xml:space="preserve">credit-card-statements-darren.docx</w:t>
            </w:r>
          </w:p>
        </w:tc>
        <w:tc>
          <w:tcPr/>
          <w:p>
            <w:pPr>
              <w:pStyle w:val="Compact"/>
              <w:jc w:val="left"/>
            </w:pPr>
            <w:r>
              <w:t xml:space="preserve">May – Aug. 2024</w:t>
            </w:r>
          </w:p>
        </w:tc>
        <w:tc>
          <w:tcPr/>
          <w:p>
            <w:pPr>
              <w:pStyle w:val="Compact"/>
              <w:jc w:val="left"/>
            </w:pPr>
            <w:r>
              <w:t xml:space="preserve">Not stamped on face</w:t>
            </w:r>
          </w:p>
        </w:tc>
        <w:tc>
          <w:tcPr/>
          <w:p>
            <w:pPr>
              <w:pStyle w:val="Compact"/>
              <w:jc w:val="left"/>
            </w:pPr>
            <w:r>
              <w:t xml:space="preserve">6, 7, 11</w:t>
            </w:r>
          </w:p>
        </w:tc>
      </w:tr>
      <w:tr>
        <w:tc>
          <w:tcPr/>
          <w:p>
            <w:pPr>
              <w:pStyle w:val="Compact"/>
              <w:jc w:val="left"/>
            </w:pPr>
            <w:r>
              <w:t xml:space="preserve">PROD-007</w:t>
            </w:r>
          </w:p>
        </w:tc>
        <w:tc>
          <w:tcPr/>
          <w:p>
            <w:pPr>
              <w:pStyle w:val="Compact"/>
              <w:jc w:val="left"/>
            </w:pPr>
            <w:r>
              <w:t xml:space="preserve">NovaBridge Solutions LLC expense reimbursement reports (D. Kwan)</w:t>
            </w:r>
          </w:p>
        </w:tc>
        <w:tc>
          <w:tcPr/>
          <w:p>
            <w:pPr>
              <w:pStyle w:val="Compact"/>
              <w:jc w:val="left"/>
            </w:pPr>
            <w:r>
              <w:t xml:space="preserve">novabridge-expense-reports.docx</w:t>
            </w:r>
          </w:p>
        </w:tc>
        <w:tc>
          <w:tcPr/>
          <w:p>
            <w:pPr>
              <w:pStyle w:val="Compact"/>
              <w:jc w:val="left"/>
            </w:pPr>
            <w:r>
              <w:t xml:space="preserve">Q1–Q2 2024 (Jan. 1 – Jun. 30, 2024)</w:t>
            </w:r>
          </w:p>
        </w:tc>
        <w:tc>
          <w:tcPr/>
          <w:p>
            <w:pPr>
              <w:pStyle w:val="Compact"/>
              <w:jc w:val="left"/>
            </w:pPr>
            <w:r>
              <w:t xml:space="preserve">KWAN_PROD_00187 – KWAN_PROD_00193</w:t>
            </w:r>
          </w:p>
        </w:tc>
        <w:tc>
          <w:tcPr/>
          <w:p>
            <w:pPr>
              <w:pStyle w:val="Compact"/>
              <w:jc w:val="left"/>
            </w:pPr>
            <w:r>
              <w:t xml:space="preserve">5, 8, 12</w:t>
            </w:r>
          </w:p>
        </w:tc>
      </w:tr>
      <w:tr>
        <w:tc>
          <w:tcPr/>
          <w:p>
            <w:pPr>
              <w:pStyle w:val="Compact"/>
              <w:jc w:val="left"/>
            </w:pPr>
            <w:r>
              <w:t xml:space="preserve">PRIV-001</w:t>
            </w:r>
          </w:p>
        </w:tc>
        <w:tc>
          <w:tcPr/>
          <w:p>
            <w:pPr>
              <w:pStyle w:val="Compact"/>
              <w:jc w:val="left"/>
            </w:pPr>
            <w:r>
              <w:t xml:space="preserve">Email, D. Kwan to R. Fossett (8/5/2024), re: financial obligations post-separation</w:t>
            </w:r>
          </w:p>
        </w:tc>
        <w:tc>
          <w:tcPr/>
          <w:p>
            <w:pPr>
              <w:pStyle w:val="Compact"/>
              <w:jc w:val="left"/>
            </w:pPr>
            <w:r>
              <w:t xml:space="preserve">Withheld</w:t>
            </w:r>
          </w:p>
        </w:tc>
        <w:tc>
          <w:tcPr/>
          <w:p>
            <w:pPr>
              <w:pStyle w:val="Compact"/>
              <w:jc w:val="left"/>
            </w:pPr>
            <w:r>
              <w:t xml:space="preserve">Aug. 5, 2024</w:t>
            </w:r>
          </w:p>
        </w:tc>
        <w:tc>
          <w:tcPr/>
          <w:p>
            <w:pPr>
              <w:pStyle w:val="Compact"/>
              <w:jc w:val="left"/>
            </w:pPr>
            <w:r>
              <w:t xml:space="preserve">—</w:t>
            </w:r>
          </w:p>
        </w:tc>
        <w:tc>
          <w:tcPr/>
          <w:p>
            <w:pPr>
              <w:pStyle w:val="Compact"/>
              <w:jc w:val="left"/>
            </w:pPr>
            <w:r>
              <w:t xml:space="preserve">13, 14, 15, 18</w:t>
            </w:r>
          </w:p>
        </w:tc>
      </w:tr>
      <w:tr>
        <w:tc>
          <w:tcPr/>
          <w:p>
            <w:pPr>
              <w:pStyle w:val="Compact"/>
              <w:jc w:val="left"/>
            </w:pPr>
            <w:r>
              <w:t xml:space="preserve">PRIV-002</w:t>
            </w:r>
          </w:p>
        </w:tc>
        <w:tc>
          <w:tcPr/>
          <w:p>
            <w:pPr>
              <w:pStyle w:val="Compact"/>
              <w:jc w:val="left"/>
            </w:pPr>
            <w:r>
              <w:t xml:space="preserve">Email chain (8/12–14/2024), re: document preservation/disclosure post-separation</w:t>
            </w:r>
          </w:p>
        </w:tc>
        <w:tc>
          <w:tcPr/>
          <w:p>
            <w:pPr>
              <w:pStyle w:val="Compact"/>
              <w:jc w:val="left"/>
            </w:pPr>
            <w:r>
              <w:t xml:space="preserve">Withheld</w:t>
            </w:r>
          </w:p>
        </w:tc>
        <w:tc>
          <w:tcPr/>
          <w:p>
            <w:pPr>
              <w:pStyle w:val="Compact"/>
              <w:jc w:val="left"/>
            </w:pPr>
            <w:r>
              <w:t xml:space="preserve">Aug. 12–14, 2024</w:t>
            </w:r>
          </w:p>
        </w:tc>
        <w:tc>
          <w:tcPr/>
          <w:p>
            <w:pPr>
              <w:pStyle w:val="Compact"/>
              <w:jc w:val="left"/>
            </w:pPr>
            <w:r>
              <w:t xml:space="preserve">—</w:t>
            </w:r>
          </w:p>
        </w:tc>
        <w:tc>
          <w:tcPr/>
          <w:p>
            <w:pPr>
              <w:pStyle w:val="Compact"/>
              <w:jc w:val="left"/>
            </w:pPr>
            <w:r>
              <w:t xml:space="preserve">13, 14, 15, 18</w:t>
            </w:r>
          </w:p>
        </w:tc>
      </w:tr>
      <w:tr>
        <w:tc>
          <w:tcPr/>
          <w:p>
            <w:pPr>
              <w:pStyle w:val="Compact"/>
              <w:jc w:val="left"/>
            </w:pPr>
            <w:r>
              <w:t xml:space="preserve">PRIV-003</w:t>
            </w:r>
          </w:p>
        </w:tc>
        <w:tc>
          <w:tcPr/>
          <w:p>
            <w:pPr>
              <w:pStyle w:val="Compact"/>
              <w:jc w:val="left"/>
            </w:pPr>
            <w:r>
              <w:t xml:space="preserve">Memorandum (8/20/2024), R. Fossett to D. Kwan, re:</w:t>
            </w:r>
            <w:r>
              <w:t xml:space="preserve"> </w:t>
            </w:r>
            <w:r>
              <w:t xml:space="preserve">“</w:t>
            </w:r>
            <w:r>
              <w:t xml:space="preserve">Preliminary analysis of marital estate</w:t>
            </w:r>
            <w:r>
              <w:t xml:space="preserve">”</w:t>
            </w:r>
          </w:p>
        </w:tc>
        <w:tc>
          <w:tcPr/>
          <w:p>
            <w:pPr>
              <w:pStyle w:val="Compact"/>
              <w:jc w:val="left"/>
            </w:pPr>
            <w:r>
              <w:t xml:space="preserve">Withheld</w:t>
            </w:r>
          </w:p>
        </w:tc>
        <w:tc>
          <w:tcPr/>
          <w:p>
            <w:pPr>
              <w:pStyle w:val="Compact"/>
              <w:jc w:val="left"/>
            </w:pPr>
            <w:r>
              <w:t xml:space="preserve">Aug. 20, 2024</w:t>
            </w:r>
          </w:p>
        </w:tc>
        <w:tc>
          <w:tcPr/>
          <w:p>
            <w:pPr>
              <w:pStyle w:val="Compact"/>
              <w:jc w:val="left"/>
            </w:pPr>
            <w:r>
              <w:t xml:space="preserve">—</w:t>
            </w:r>
          </w:p>
        </w:tc>
        <w:tc>
          <w:tcPr/>
          <w:p>
            <w:pPr>
              <w:pStyle w:val="Compact"/>
              <w:jc w:val="left"/>
            </w:pPr>
            <w:r>
              <w:t xml:space="preserve">13, 14, 15, 18</w:t>
            </w:r>
          </w:p>
        </w:tc>
      </w:tr>
      <w:tr>
        <w:tc>
          <w:tcPr/>
          <w:p>
            <w:pPr>
              <w:pStyle w:val="Compact"/>
              <w:jc w:val="left"/>
            </w:pPr>
            <w:r>
              <w:t xml:space="preserve">PRIV-004</w:t>
            </w:r>
          </w:p>
        </w:tc>
        <w:tc>
          <w:tcPr/>
          <w:p>
            <w:pPr>
              <w:pStyle w:val="Compact"/>
              <w:jc w:val="left"/>
            </w:pPr>
            <w:r>
              <w:t xml:space="preserve">Email (9/8/2024), D. Kwan to R. Fossett, re:</w:t>
            </w:r>
            <w:r>
              <w:t xml:space="preserve"> </w:t>
            </w:r>
            <w:r>
              <w:t xml:space="preserve">“</w:t>
            </w:r>
            <w:r>
              <w:t xml:space="preserve">Response to petition</w:t>
            </w:r>
            <w:r>
              <w:t xml:space="preserve">”</w:t>
            </w:r>
          </w:p>
        </w:tc>
        <w:tc>
          <w:tcPr/>
          <w:p>
            <w:pPr>
              <w:pStyle w:val="Compact"/>
              <w:jc w:val="left"/>
            </w:pPr>
            <w:r>
              <w:t xml:space="preserve">Withheld</w:t>
            </w:r>
          </w:p>
        </w:tc>
        <w:tc>
          <w:tcPr/>
          <w:p>
            <w:pPr>
              <w:pStyle w:val="Compact"/>
              <w:jc w:val="left"/>
            </w:pPr>
            <w:r>
              <w:t xml:space="preserve">Sep. 8, 2024</w:t>
            </w:r>
          </w:p>
        </w:tc>
        <w:tc>
          <w:tcPr/>
          <w:p>
            <w:pPr>
              <w:pStyle w:val="Compact"/>
              <w:jc w:val="left"/>
            </w:pPr>
            <w:r>
              <w:t xml:space="preserve">—</w:t>
            </w:r>
          </w:p>
        </w:tc>
        <w:tc>
          <w:tcPr/>
          <w:p>
            <w:pPr>
              <w:pStyle w:val="Compact"/>
              <w:jc w:val="left"/>
            </w:pPr>
            <w:r>
              <w:t xml:space="preserve">13, 14, 15, 18</w:t>
            </w:r>
          </w:p>
        </w:tc>
      </w:tr>
    </w:tbl>
    <w:p>
      <w:pPr>
        <w:pStyle w:val="BodyText"/>
      </w:pPr>
      <w:r>
        <w:rPr>
          <w:b/>
          <w:bCs/>
        </w:rPr>
        <w:t xml:space="preserve">Production-hygiene observations.</w:t>
      </w:r>
      <w:r>
        <w:t xml:space="preserve"> </w:t>
      </w:r>
      <w:r>
        <w:t xml:space="preserve">(1) The cover letter is undated. (2) Bates-stamping conventions are inconsistent across the production: the tax return uses the prefix</w:t>
      </w:r>
      <w:r>
        <w:t xml:space="preserve"> </w:t>
      </w:r>
      <w:r>
        <w:t xml:space="preserve">“</w:t>
      </w:r>
      <w:r>
        <w:t xml:space="preserve">DK-PROD-####,</w:t>
      </w:r>
      <w:r>
        <w:t xml:space="preserve">”</w:t>
      </w:r>
      <w:r>
        <w:t xml:space="preserve"> </w:t>
      </w:r>
      <w:r>
        <w:t xml:space="preserve">while the brokerage, bank, and expense records use</w:t>
      </w:r>
      <w:r>
        <w:t xml:space="preserve"> </w:t>
      </w:r>
      <w:r>
        <w:t xml:space="preserve">“</w:t>
      </w:r>
      <w:r>
        <w:t xml:space="preserve">KWAN_PROD_#####</w:t>
      </w:r>
      <w:r>
        <w:t xml:space="preserve">”</w:t>
      </w:r>
      <w:r>
        <w:t xml:space="preserve"> </w:t>
      </w:r>
      <w:r>
        <w:t xml:space="preserve">or</w:t>
      </w:r>
      <w:r>
        <w:t xml:space="preserve"> </w:t>
      </w:r>
      <w:r>
        <w:t xml:space="preserve">“</w:t>
      </w:r>
      <w:r>
        <w:t xml:space="preserve">KWAN*PROD*####,</w:t>
      </w:r>
      <w:r>
        <w:t xml:space="preserve">”</w:t>
      </w:r>
      <w:r>
        <w:t xml:space="preserve"> </w:t>
      </w:r>
      <w:r>
        <w:t xml:space="preserve">and the ranges are non-sequential (e.g., 00142–00158, 00187–00193, 0401–0424, 0045–0058). (3) The bank-statement production stamp bears an</w:t>
      </w:r>
      <w:r>
        <w:t xml:space="preserve"> </w:t>
      </w:r>
      <w:r>
        <w:rPr>
          <w:b/>
          <w:bCs/>
        </w:rPr>
        <w:t xml:space="preserve">incorrect case number and caption</w:t>
      </w:r>
      <w:r>
        <w:t xml:space="preserve"> </w:t>
      </w:r>
      <w:r>
        <w:t xml:space="preserve">—</w:t>
      </w:r>
      <w:r>
        <w:t xml:space="preserve"> </w:t>
      </w:r>
      <w:r>
        <w:t xml:space="preserve">“</w:t>
      </w:r>
      <w:r>
        <w:t xml:space="preserve">Case No. 2024-DR-00847</w:t>
      </w:r>
      <w:r>
        <w:t xml:space="preserve">”</w:t>
      </w:r>
      <w:r>
        <w:t xml:space="preserve"> </w:t>
      </w:r>
      <w:r>
        <w:t xml:space="preserve">and</w:t>
      </w:r>
      <w:r>
        <w:t xml:space="preserve"> </w:t>
      </w:r>
      <w:r>
        <w:t xml:space="preserve">“</w:t>
      </w:r>
      <w:r>
        <w:t xml:space="preserve">In re Marriage of Kwan</w:t>
      </w:r>
      <w:r>
        <w:t xml:space="preserve">”</w:t>
      </w:r>
      <w:r>
        <w:t xml:space="preserve"> </w:t>
      </w:r>
      <w:r>
        <w:t xml:space="preserve">— rather than the correct</w:t>
      </w:r>
      <w:r>
        <w:t xml:space="preserve"> </w:t>
      </w:r>
      <w:r>
        <w:t xml:space="preserve">“</w:t>
      </w:r>
      <w:r>
        <w:t xml:space="preserve">Case No. 2024-DR-01847</w:t>
      </w:r>
      <w:r>
        <w:t xml:space="preserve">”</w:t>
      </w:r>
      <w:r>
        <w:t xml:space="preserve"> </w:t>
      </w:r>
      <w:r>
        <w:t xml:space="preserve">and</w:t>
      </w:r>
      <w:r>
        <w:t xml:space="preserve"> </w:t>
      </w:r>
      <w:r>
        <w:t xml:space="preserve">“</w:t>
      </w:r>
      <w:r>
        <w:rPr>
          <w:i/>
          <w:iCs/>
        </w:rPr>
        <w:t xml:space="preserve">Torres-Kwan v. Kwan</w:t>
      </w:r>
      <w:r>
        <w:t xml:space="preserve">.</w:t>
      </w:r>
      <w:r>
        <w:t xml:space="preserve">”</w:t>
      </w:r>
      <w:r>
        <w:t xml:space="preserve"> </w:t>
      </w:r>
      <w:r>
        <w:t xml:space="preserve">(4) A formal, rule-compliant privilege log has not yet been served; counsel states it is</w:t>
      </w:r>
      <w:r>
        <w:t xml:space="preserve"> </w:t>
      </w:r>
      <w:r>
        <w:t xml:space="preserve">“</w:t>
      </w:r>
      <w:r>
        <w:t xml:space="preserve">forthcoming</w:t>
      </w:r>
      <w:r>
        <w:t xml:space="preserve">”</w:t>
      </w:r>
      <w:r>
        <w:t xml:space="preserve"> </w:t>
      </w:r>
      <w:r>
        <w:t xml:space="preserve">within ten (10) business days.</w:t>
      </w:r>
    </w:p>
    <w:p>
      <w:r>
        <w:pict>
          <v:rect style="width:0;height:1.5pt" o:hralign="center" o:hrstd="t" o:hr="t"/>
        </w:pict>
      </w:r>
    </w:p>
    <w:bookmarkEnd w:id="21"/>
    <w:bookmarkStart w:id="27" w:name="iii.-summary-of-key-figures"/>
    <w:p>
      <w:pPr>
        <w:pStyle w:val="Heading2"/>
      </w:pPr>
      <w:r>
        <w:t xml:space="preserve">III. Summary of Key Figures</w:t>
      </w:r>
    </w:p>
    <w:bookmarkStart w:id="22" w:name="a.-income-tax-year-2023"/>
    <w:p>
      <w:pPr>
        <w:pStyle w:val="Heading3"/>
      </w:pPr>
      <w:r>
        <w:t xml:space="preserve">A. Income (Tax Year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Respondent W-2 wages (NovaBridge)</w:t>
            </w:r>
          </w:p>
        </w:tc>
        <w:tc>
          <w:tcPr/>
          <w:p>
            <w:pPr>
              <w:pStyle w:val="Compact"/>
              <w:jc w:val="left"/>
            </w:pPr>
            <w:r>
              <w:t xml:space="preserve">$185,000</w:t>
            </w:r>
          </w:p>
        </w:tc>
        <w:tc>
          <w:tcPr/>
          <w:p>
            <w:pPr>
              <w:pStyle w:val="Compact"/>
              <w:jc w:val="left"/>
            </w:pPr>
            <w:r>
              <w:t xml:space="preserve">W-2 #1; Decl. ¶14</w:t>
            </w:r>
          </w:p>
        </w:tc>
      </w:tr>
      <w:tr>
        <w:tc>
          <w:tcPr/>
          <w:p>
            <w:pPr>
              <w:pStyle w:val="Compact"/>
              <w:jc w:val="left"/>
            </w:pPr>
            <w:r>
              <w:t xml:space="preserve">Petitioner W-2 wages (Fairview Regional SD)</w:t>
            </w:r>
          </w:p>
        </w:tc>
        <w:tc>
          <w:tcPr/>
          <w:p>
            <w:pPr>
              <w:pStyle w:val="Compact"/>
              <w:jc w:val="left"/>
            </w:pPr>
            <w:r>
              <w:t xml:space="preserve">$67,200</w:t>
            </w:r>
          </w:p>
        </w:tc>
        <w:tc>
          <w:tcPr/>
          <w:p>
            <w:pPr>
              <w:pStyle w:val="Compact"/>
              <w:jc w:val="left"/>
            </w:pPr>
            <w:r>
              <w:t xml:space="preserve">W-2 #2; Decl. ¶18</w:t>
            </w:r>
          </w:p>
        </w:tc>
      </w:tr>
      <w:tr>
        <w:tc>
          <w:tcPr/>
          <w:p>
            <w:pPr>
              <w:pStyle w:val="Compact"/>
              <w:jc w:val="left"/>
            </w:pPr>
            <w:r>
              <w:t xml:space="preserve">Combined W-2 wages (Form 1040, Line 1a)</w:t>
            </w:r>
          </w:p>
        </w:tc>
        <w:tc>
          <w:tcPr/>
          <w:p>
            <w:pPr>
              <w:pStyle w:val="Compact"/>
              <w:jc w:val="left"/>
            </w:pPr>
            <w:r>
              <w:t xml:space="preserve">$252,200</w:t>
            </w:r>
          </w:p>
        </w:tc>
        <w:tc>
          <w:tcPr/>
          <w:p>
            <w:pPr>
              <w:pStyle w:val="Compact"/>
              <w:jc w:val="left"/>
            </w:pPr>
            <w:r>
              <w:t xml:space="preserve">Form 1040</w:t>
            </w:r>
          </w:p>
        </w:tc>
      </w:tr>
      <w:tr>
        <w:tc>
          <w:tcPr/>
          <w:p>
            <w:pPr>
              <w:pStyle w:val="Compact"/>
              <w:jc w:val="left"/>
            </w:pPr>
            <w:r>
              <w:t xml:space="preserve">Respondent K-1 ordinary business income (taxable)</w:t>
            </w:r>
          </w:p>
        </w:tc>
        <w:tc>
          <w:tcPr/>
          <w:p>
            <w:pPr>
              <w:pStyle w:val="Compact"/>
              <w:jc w:val="left"/>
            </w:pPr>
            <w:r>
              <w:t xml:space="preserve">$367,200</w:t>
            </w:r>
          </w:p>
        </w:tc>
        <w:tc>
          <w:tcPr/>
          <w:p>
            <w:pPr>
              <w:pStyle w:val="Compact"/>
              <w:jc w:val="left"/>
            </w:pPr>
            <w:r>
              <w:t xml:space="preserve">K-1 Box 1; Sch. E Part II</w:t>
            </w:r>
          </w:p>
        </w:tc>
      </w:tr>
      <w:tr>
        <w:tc>
          <w:tcPr/>
          <w:p>
            <w:pPr>
              <w:pStyle w:val="Compact"/>
              <w:jc w:val="left"/>
            </w:pPr>
            <w:r>
              <w:t xml:space="preserve">Respondent K-1 cash distributions</w:t>
            </w:r>
          </w:p>
        </w:tc>
        <w:tc>
          <w:tcPr/>
          <w:p>
            <w:pPr>
              <w:pStyle w:val="Compact"/>
              <w:jc w:val="left"/>
            </w:pPr>
            <w:r>
              <w:t xml:space="preserve">$174,000</w:t>
            </w:r>
          </w:p>
        </w:tc>
        <w:tc>
          <w:tcPr/>
          <w:p>
            <w:pPr>
              <w:pStyle w:val="Compact"/>
              <w:jc w:val="left"/>
            </w:pPr>
            <w:r>
              <w:t xml:space="preserve">K-1 Box 19a</w:t>
            </w:r>
          </w:p>
        </w:tc>
      </w:tr>
      <w:tr>
        <w:tc>
          <w:tcPr/>
          <w:p>
            <w:pPr>
              <w:pStyle w:val="Compact"/>
              <w:jc w:val="left"/>
            </w:pPr>
            <w:r>
              <w:t xml:space="preserve">Net rental real estate income (1035 Elm St., Unit C)</w:t>
            </w:r>
          </w:p>
        </w:tc>
        <w:tc>
          <w:tcPr/>
          <w:p>
            <w:pPr>
              <w:pStyle w:val="Compact"/>
              <w:jc w:val="left"/>
            </w:pPr>
            <w:r>
              <w:t xml:space="preserve">$2,940</w:t>
            </w:r>
          </w:p>
        </w:tc>
        <w:tc>
          <w:tcPr/>
          <w:p>
            <w:pPr>
              <w:pStyle w:val="Compact"/>
              <w:jc w:val="left"/>
            </w:pPr>
            <w:r>
              <w:t xml:space="preserve">Schedule E, Part I</w:t>
            </w:r>
          </w:p>
        </w:tc>
      </w:tr>
      <w:tr>
        <w:tc>
          <w:tcPr/>
          <w:p>
            <w:pPr>
              <w:pStyle w:val="Compact"/>
              <w:jc w:val="left"/>
            </w:pPr>
            <w:r>
              <w:t xml:space="preserve">Taxable interest</w:t>
            </w:r>
          </w:p>
        </w:tc>
        <w:tc>
          <w:tcPr/>
          <w:p>
            <w:pPr>
              <w:pStyle w:val="Compact"/>
              <w:jc w:val="left"/>
            </w:pPr>
            <w:r>
              <w:t xml:space="preserve">$1,840</w:t>
            </w:r>
          </w:p>
        </w:tc>
        <w:tc>
          <w:tcPr/>
          <w:p>
            <w:pPr>
              <w:pStyle w:val="Compact"/>
              <w:jc w:val="left"/>
            </w:pPr>
            <w:r>
              <w:t xml:space="preserve">Form 1040, Line 2b</w:t>
            </w:r>
          </w:p>
        </w:tc>
      </w:tr>
      <w:tr>
        <w:tc>
          <w:tcPr/>
          <w:p>
            <w:pPr>
              <w:pStyle w:val="Compact"/>
              <w:jc w:val="left"/>
            </w:pPr>
            <w:r>
              <w:t xml:space="preserve">Ordinary dividends</w:t>
            </w:r>
          </w:p>
        </w:tc>
        <w:tc>
          <w:tcPr/>
          <w:p>
            <w:pPr>
              <w:pStyle w:val="Compact"/>
              <w:jc w:val="left"/>
            </w:pPr>
            <w:r>
              <w:t xml:space="preserve">$6,310</w:t>
            </w:r>
          </w:p>
        </w:tc>
        <w:tc>
          <w:tcPr/>
          <w:p>
            <w:pPr>
              <w:pStyle w:val="Compact"/>
              <w:jc w:val="left"/>
            </w:pPr>
            <w:r>
              <w:t xml:space="preserve">Form 1040, Line 3b</w:t>
            </w:r>
          </w:p>
        </w:tc>
      </w:tr>
      <w:tr>
        <w:tc>
          <w:tcPr/>
          <w:p>
            <w:pPr>
              <w:pStyle w:val="Compact"/>
              <w:jc w:val="left"/>
            </w:pPr>
            <w:r>
              <w:t xml:space="preserve">Capital gain</w:t>
            </w:r>
          </w:p>
        </w:tc>
        <w:tc>
          <w:tcPr/>
          <w:p>
            <w:pPr>
              <w:pStyle w:val="Compact"/>
              <w:jc w:val="left"/>
            </w:pPr>
            <w:r>
              <w:t xml:space="preserve">$8,450</w:t>
            </w:r>
          </w:p>
        </w:tc>
        <w:tc>
          <w:tcPr/>
          <w:p>
            <w:pPr>
              <w:pStyle w:val="Compact"/>
              <w:jc w:val="left"/>
            </w:pPr>
            <w:r>
              <w:t xml:space="preserve">Form 1040, Line 7</w:t>
            </w:r>
          </w:p>
        </w:tc>
      </w:tr>
      <w:tr>
        <w:tc>
          <w:tcPr/>
          <w:p>
            <w:pPr>
              <w:pStyle w:val="Compact"/>
              <w:jc w:val="left"/>
            </w:pPr>
            <w:r>
              <w:rPr>
                <w:b/>
                <w:bCs/>
              </w:rPr>
              <w:t xml:space="preserve">Total income (MFJ, Form 1040 Line 9)</w:t>
            </w:r>
          </w:p>
        </w:tc>
        <w:tc>
          <w:tcPr/>
          <w:p>
            <w:pPr>
              <w:pStyle w:val="Compact"/>
              <w:jc w:val="left"/>
            </w:pPr>
            <w:r>
              <w:rPr>
                <w:b/>
                <w:bCs/>
              </w:rPr>
              <w:t xml:space="preserve">$638,940</w:t>
            </w:r>
          </w:p>
        </w:tc>
        <w:tc>
          <w:tcPr/>
          <w:p>
            <w:pPr>
              <w:pStyle w:val="Compact"/>
              <w:jc w:val="left"/>
            </w:pPr>
            <w:r>
              <w:t xml:space="preserve">Form 1040</w:t>
            </w:r>
          </w:p>
        </w:tc>
      </w:tr>
      <w:tr>
        <w:tc>
          <w:tcPr/>
          <w:p>
            <w:pPr>
              <w:pStyle w:val="Compact"/>
              <w:jc w:val="left"/>
            </w:pPr>
            <w:r>
              <w:t xml:space="preserve">Adjusted gross income</w:t>
            </w:r>
          </w:p>
        </w:tc>
        <w:tc>
          <w:tcPr/>
          <w:p>
            <w:pPr>
              <w:pStyle w:val="Compact"/>
              <w:jc w:val="left"/>
            </w:pPr>
            <w:r>
              <w:t xml:space="preserve">$612,960</w:t>
            </w:r>
          </w:p>
        </w:tc>
        <w:tc>
          <w:tcPr/>
          <w:p>
            <w:pPr>
              <w:pStyle w:val="Compact"/>
              <w:jc w:val="left"/>
            </w:pPr>
            <w:r>
              <w:t xml:space="preserve">Form 1040, Line 11</w:t>
            </w:r>
          </w:p>
        </w:tc>
      </w:tr>
      <w:tr>
        <w:tc>
          <w:tcPr/>
          <w:p>
            <w:pPr>
              <w:pStyle w:val="Compact"/>
              <w:jc w:val="left"/>
            </w:pPr>
            <w:r>
              <w:t xml:space="preserve">Total tax</w:t>
            </w:r>
          </w:p>
        </w:tc>
        <w:tc>
          <w:tcPr/>
          <w:p>
            <w:pPr>
              <w:pStyle w:val="Compact"/>
              <w:jc w:val="left"/>
            </w:pPr>
            <w:r>
              <w:t xml:space="preserve">$148,240</w:t>
            </w:r>
          </w:p>
        </w:tc>
        <w:tc>
          <w:tcPr/>
          <w:p>
            <w:pPr>
              <w:pStyle w:val="Compact"/>
              <w:jc w:val="left"/>
            </w:pPr>
            <w:r>
              <w:t xml:space="preserve">Form 1040, Line 24</w:t>
            </w:r>
          </w:p>
        </w:tc>
      </w:tr>
      <w:tr>
        <w:tc>
          <w:tcPr/>
          <w:p>
            <w:pPr>
              <w:pStyle w:val="Compact"/>
              <w:jc w:val="left"/>
            </w:pPr>
            <w:r>
              <w:rPr>
                <w:b/>
                <w:bCs/>
              </w:rPr>
              <w:t xml:space="preserve">Respondent’s</w:t>
            </w:r>
            <w:r>
              <w:rPr>
                <w:b/>
                <w:bCs/>
              </w:rPr>
              <w:t xml:space="preserve"> </w:t>
            </w:r>
            <w:r>
              <w:rPr>
                <w:b/>
                <w:bCs/>
              </w:rPr>
              <w:t xml:space="preserve">“</w:t>
            </w:r>
            <w:r>
              <w:rPr>
                <w:b/>
                <w:bCs/>
              </w:rPr>
              <w:t xml:space="preserve">Total Annual Income</w:t>
            </w:r>
            <w:r>
              <w:rPr>
                <w:b/>
                <w:bCs/>
              </w:rPr>
              <w:t xml:space="preserve">”</w:t>
            </w:r>
            <w:r>
              <w:rPr>
                <w:b/>
                <w:bCs/>
              </w:rPr>
              <w:t xml:space="preserve"> </w:t>
            </w:r>
            <w:r>
              <w:rPr>
                <w:b/>
                <w:bCs/>
              </w:rPr>
              <w:t xml:space="preserve">per Decl. ¶16</w:t>
            </w:r>
          </w:p>
        </w:tc>
        <w:tc>
          <w:tcPr/>
          <w:p>
            <w:pPr>
              <w:pStyle w:val="Compact"/>
              <w:jc w:val="left"/>
            </w:pPr>
            <w:r>
              <w:rPr>
                <w:b/>
                <w:bCs/>
              </w:rPr>
              <w:t xml:space="preserve">$359,000</w:t>
            </w:r>
          </w:p>
        </w:tc>
        <w:tc>
          <w:tcPr/>
          <w:p>
            <w:pPr>
              <w:pStyle w:val="Compact"/>
              <w:jc w:val="left"/>
            </w:pPr>
            <w:r>
              <w:t xml:space="preserve">Decl. (W-2 $185,000 +</w:t>
            </w:r>
            <w:r>
              <w:t xml:space="preserve"> </w:t>
            </w:r>
            <w:r>
              <w:t xml:space="preserve">“</w:t>
            </w:r>
            <w:r>
              <w:t xml:space="preserve">K-1</w:t>
            </w:r>
            <w:r>
              <w:t xml:space="preserve">”</w:t>
            </w:r>
            <w:r>
              <w:t xml:space="preserve"> </w:t>
            </w:r>
            <w:r>
              <w:t xml:space="preserve">$174,000)</w:t>
            </w:r>
          </w:p>
        </w:tc>
      </w:tr>
    </w:tbl>
    <w:p>
      <w:pPr>
        <w:pStyle w:val="BodyText"/>
      </w:pPr>
      <w:r>
        <w:t xml:space="preserve">The Declaration’s $359,000 figure counts only the</w:t>
      </w:r>
      <w:r>
        <w:t xml:space="preserve"> </w:t>
      </w:r>
      <w:r>
        <w:rPr>
          <w:b/>
          <w:bCs/>
        </w:rPr>
        <w:t xml:space="preserve">cash distribution</w:t>
      </w:r>
      <w:r>
        <w:t xml:space="preserve"> </w:t>
      </w:r>
      <w:r>
        <w:t xml:space="preserve">($174,000), not the</w:t>
      </w:r>
      <w:r>
        <w:t xml:space="preserve"> </w:t>
      </w:r>
      <w:r>
        <w:rPr>
          <w:b/>
          <w:bCs/>
        </w:rPr>
        <w:t xml:space="preserve">taxable K-1 ordinary business income</w:t>
      </w:r>
      <w:r>
        <w:t xml:space="preserve"> </w:t>
      </w:r>
      <w:r>
        <w:t xml:space="preserve">($367,200). The difference—$193,200—was retained at the entity level (Respondent’s 60% share of NovaBridge’s 2023 retained earnings of $322,000) and increased his capital account from $482,600 to $675,800. See Section IV.D.</w:t>
      </w:r>
    </w:p>
    <w:bookmarkEnd w:id="22"/>
    <w:bookmarkStart w:id="23" w:name="X1473f96d5d2b2443c9636e37b39835864c1eda4"/>
    <w:p>
      <w:pPr>
        <w:pStyle w:val="Heading3"/>
      </w:pPr>
      <w:r>
        <w:t xml:space="preserve">B. Assets (as represented in the Declaration)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Decl. Value</w:t>
            </w:r>
          </w:p>
        </w:tc>
        <w:tc>
          <w:tcPr/>
          <w:p>
            <w:pPr>
              <w:pStyle w:val="Compact"/>
              <w:jc w:val="left"/>
            </w:pPr>
            <w:r>
              <w:t xml:space="preserve">Status / Notes</w:t>
            </w:r>
          </w:p>
        </w:tc>
      </w:tr>
      <w:tr>
        <w:tc>
          <w:tcPr/>
          <w:p>
            <w:pPr>
              <w:pStyle w:val="Compact"/>
              <w:jc w:val="left"/>
            </w:pPr>
            <w:r>
              <w:t xml:space="preserve">Marital residence — 418 Birchwood Lane</w:t>
            </w:r>
          </w:p>
        </w:tc>
        <w:tc>
          <w:tcPr/>
          <w:p>
            <w:pPr>
              <w:pStyle w:val="Compact"/>
              <w:jc w:val="left"/>
            </w:pPr>
            <w:r>
              <w:t xml:space="preserve">$715,000 (equity $496,600)</w:t>
            </w:r>
          </w:p>
        </w:tc>
        <w:tc>
          <w:tcPr/>
          <w:p>
            <w:pPr>
              <w:pStyle w:val="Compact"/>
              <w:jc w:val="left"/>
            </w:pPr>
            <w:r>
              <w:t xml:space="preserve">Online estimate; no appraisal; mortgage $218,400</w:t>
            </w:r>
          </w:p>
        </w:tc>
      </w:tr>
      <w:tr>
        <w:tc>
          <w:tcPr/>
          <w:p>
            <w:pPr>
              <w:pStyle w:val="Compact"/>
              <w:jc w:val="left"/>
            </w:pPr>
            <w:r>
              <w:t xml:space="preserve">Rental condo — 1035 Elm Street, Unit C</w:t>
            </w:r>
          </w:p>
        </w:tc>
        <w:tc>
          <w:tcPr/>
          <w:p>
            <w:pPr>
              <w:pStyle w:val="Compact"/>
              <w:jc w:val="left"/>
            </w:pPr>
            <w:r>
              <w:rPr>
                <w:b/>
                <w:bCs/>
              </w:rPr>
              <w:t xml:space="preserve">NOT DISCLOSED</w:t>
            </w:r>
          </w:p>
        </w:tc>
        <w:tc>
          <w:tcPr/>
          <w:p>
            <w:pPr>
              <w:pStyle w:val="Compact"/>
              <w:jc w:val="left"/>
            </w:pPr>
            <w:r>
              <w:t xml:space="preserve">Titled in D. Kwan; ~$241,281 mortgage; $25,200/yr rent — omitted</w:t>
            </w:r>
          </w:p>
        </w:tc>
      </w:tr>
      <w:tr>
        <w:tc>
          <w:tcPr/>
          <w:p>
            <w:pPr>
              <w:pStyle w:val="Compact"/>
              <w:jc w:val="left"/>
            </w:pPr>
            <w:r>
              <w:t xml:space="preserve">Joint checking (FCB 4821)</w:t>
            </w:r>
          </w:p>
        </w:tc>
        <w:tc>
          <w:tcPr/>
          <w:p>
            <w:pPr>
              <w:pStyle w:val="Compact"/>
              <w:jc w:val="left"/>
            </w:pPr>
            <w:r>
              <w:t xml:space="preserve">$12,340</w:t>
            </w:r>
          </w:p>
        </w:tc>
        <w:tc>
          <w:tcPr/>
          <w:p>
            <w:pPr>
              <w:pStyle w:val="Compact"/>
              <w:jc w:val="left"/>
            </w:pPr>
            <w:r>
              <w:t xml:space="preserve">Statements not produced</w:t>
            </w:r>
          </w:p>
        </w:tc>
      </w:tr>
      <w:tr>
        <w:tc>
          <w:tcPr/>
          <w:p>
            <w:pPr>
              <w:pStyle w:val="Compact"/>
              <w:jc w:val="left"/>
            </w:pPr>
            <w:r>
              <w:t xml:space="preserve">Joint savings (FCB 4822)</w:t>
            </w:r>
          </w:p>
        </w:tc>
        <w:tc>
          <w:tcPr/>
          <w:p>
            <w:pPr>
              <w:pStyle w:val="Compact"/>
              <w:jc w:val="left"/>
            </w:pPr>
            <w:r>
              <w:t xml:space="preserve">$28,750</w:t>
            </w:r>
          </w:p>
        </w:tc>
        <w:tc>
          <w:tcPr/>
          <w:p>
            <w:pPr>
              <w:pStyle w:val="Compact"/>
              <w:jc w:val="left"/>
            </w:pPr>
            <w:r>
              <w:t xml:space="preserve">Statements not produced</w:t>
            </w:r>
          </w:p>
        </w:tc>
      </w:tr>
      <w:tr>
        <w:tc>
          <w:tcPr/>
          <w:p>
            <w:pPr>
              <w:pStyle w:val="Compact"/>
              <w:jc w:val="left"/>
            </w:pPr>
            <w:r>
              <w:t xml:space="preserve">Individual checking (FCB 7703)</w:t>
            </w:r>
          </w:p>
        </w:tc>
        <w:tc>
          <w:tcPr/>
          <w:p>
            <w:pPr>
              <w:pStyle w:val="Compact"/>
              <w:jc w:val="left"/>
            </w:pPr>
            <w:r>
              <w:t xml:space="preserve">$8,215</w:t>
            </w:r>
          </w:p>
        </w:tc>
        <w:tc>
          <w:tcPr/>
          <w:p>
            <w:pPr>
              <w:pStyle w:val="Compact"/>
              <w:jc w:val="left"/>
            </w:pPr>
            <w:r>
              <w:t xml:space="preserve">Equals 8/1/2024 balance</w:t>
            </w:r>
          </w:p>
        </w:tc>
      </w:tr>
      <w:tr>
        <w:tc>
          <w:tcPr/>
          <w:p>
            <w:pPr>
              <w:pStyle w:val="Compact"/>
              <w:jc w:val="left"/>
            </w:pPr>
            <w:r>
              <w:t xml:space="preserve">Individual savings (FCB 7704)</w:t>
            </w:r>
          </w:p>
        </w:tc>
        <w:tc>
          <w:tcPr/>
          <w:p>
            <w:pPr>
              <w:pStyle w:val="Compact"/>
              <w:jc w:val="left"/>
            </w:pPr>
            <w:r>
              <w:t xml:space="preserve">$42,680</w:t>
            </w:r>
          </w:p>
        </w:tc>
        <w:tc>
          <w:tcPr/>
          <w:p>
            <w:pPr>
              <w:pStyle w:val="Compact"/>
              <w:jc w:val="left"/>
            </w:pPr>
            <w:r>
              <w:t xml:space="preserve">Equals 8/1/2024 balance</w:t>
            </w:r>
          </w:p>
        </w:tc>
      </w:tr>
      <w:tr>
        <w:tc>
          <w:tcPr/>
          <w:p>
            <w:pPr>
              <w:pStyle w:val="Compact"/>
              <w:jc w:val="left"/>
            </w:pPr>
            <w:r>
              <w:t xml:space="preserve">Crestline brokerage (9956)</w:t>
            </w:r>
          </w:p>
        </w:tc>
        <w:tc>
          <w:tcPr/>
          <w:p>
            <w:pPr>
              <w:pStyle w:val="Compact"/>
              <w:jc w:val="left"/>
            </w:pPr>
            <w:r>
              <w:t xml:space="preserve">$387,450</w:t>
            </w:r>
          </w:p>
        </w:tc>
        <w:tc>
          <w:tcPr/>
          <w:p>
            <w:pPr>
              <w:pStyle w:val="Compact"/>
              <w:jc w:val="left"/>
            </w:pPr>
            <w:r>
              <w:t xml:space="preserve">Equals 8/1/2024 valuation; was $472,450 on 1/1/2024</w:t>
            </w:r>
          </w:p>
        </w:tc>
      </w:tr>
      <w:tr>
        <w:tc>
          <w:tcPr/>
          <w:p>
            <w:pPr>
              <w:pStyle w:val="Compact"/>
              <w:jc w:val="left"/>
            </w:pPr>
            <w:r>
              <w:t xml:space="preserve">401(k) — Pinnacle (3310)</w:t>
            </w:r>
          </w:p>
        </w:tc>
        <w:tc>
          <w:tcPr/>
          <w:p>
            <w:pPr>
              <w:pStyle w:val="Compact"/>
              <w:jc w:val="left"/>
            </w:pPr>
            <w:r>
              <w:t xml:space="preserve">$412,800</w:t>
            </w:r>
          </w:p>
        </w:tc>
        <w:tc>
          <w:tcPr/>
          <w:p>
            <w:pPr>
              <w:pStyle w:val="Compact"/>
              <w:jc w:val="left"/>
            </w:pPr>
            <w:r>
              <w:t xml:space="preserve">Statements not produced</w:t>
            </w:r>
          </w:p>
        </w:tc>
      </w:tr>
      <w:tr>
        <w:tc>
          <w:tcPr/>
          <w:p>
            <w:pPr>
              <w:pStyle w:val="Compact"/>
              <w:jc w:val="left"/>
            </w:pPr>
            <w:r>
              <w:t xml:space="preserve">403(b) — Petitioner (5587)</w:t>
            </w:r>
          </w:p>
        </w:tc>
        <w:tc>
          <w:tcPr/>
          <w:p>
            <w:pPr>
              <w:pStyle w:val="Compact"/>
              <w:jc w:val="left"/>
            </w:pPr>
            <w:r>
              <w:t xml:space="preserve">$89,200</w:t>
            </w:r>
          </w:p>
        </w:tc>
        <w:tc>
          <w:tcPr/>
          <w:p>
            <w:pPr>
              <w:pStyle w:val="Compact"/>
              <w:jc w:val="left"/>
            </w:pPr>
            <w:r>
              <w:t xml:space="preserve">Not in Respondent’s possession</w:t>
            </w:r>
          </w:p>
        </w:tc>
      </w:tr>
      <w:tr>
        <w:tc>
          <w:tcPr/>
          <w:p>
            <w:pPr>
              <w:pStyle w:val="Compact"/>
              <w:jc w:val="left"/>
            </w:pPr>
            <w:r>
              <w:t xml:space="preserve">NovaBridge 60% membership interest</w:t>
            </w:r>
          </w:p>
        </w:tc>
        <w:tc>
          <w:tcPr/>
          <w:p>
            <w:pPr>
              <w:pStyle w:val="Compact"/>
              <w:jc w:val="left"/>
            </w:pPr>
            <w:r>
              <w:rPr>
                <w:b/>
                <w:bCs/>
              </w:rPr>
              <w:t xml:space="preserve">NOT VALUED</w:t>
            </w:r>
          </w:p>
        </w:tc>
        <w:tc>
          <w:tcPr/>
          <w:p>
            <w:pPr>
              <w:pStyle w:val="Compact"/>
              <w:jc w:val="left"/>
            </w:pPr>
            <w:r>
              <w:t xml:space="preserve">K-1 capital account $675,800 (tax basis); no appraisal</w:t>
            </w:r>
          </w:p>
        </w:tc>
      </w:tr>
      <w:tr>
        <w:tc>
          <w:tcPr/>
          <w:p>
            <w:pPr>
              <w:pStyle w:val="Compact"/>
              <w:jc w:val="left"/>
            </w:pPr>
            <w:r>
              <w:t xml:space="preserve">Vehicles (2022 BMW X5 + 2020 Honda CR-V)</w:t>
            </w:r>
          </w:p>
        </w:tc>
        <w:tc>
          <w:tcPr/>
          <w:p>
            <w:pPr>
              <w:pStyle w:val="Compact"/>
              <w:jc w:val="left"/>
            </w:pPr>
            <w:r>
              <w:t xml:space="preserve">$73,300 (equity $51,200)</w:t>
            </w:r>
          </w:p>
        </w:tc>
        <w:tc>
          <w:tcPr/>
          <w:p>
            <w:pPr>
              <w:pStyle w:val="Compact"/>
              <w:jc w:val="left"/>
            </w:pPr>
            <w:r>
              <w:t xml:space="preserve">BMW loan $22,100</w:t>
            </w:r>
          </w:p>
        </w:tc>
      </w:tr>
      <w:tr>
        <w:tc>
          <w:tcPr/>
          <w:p>
            <w:pPr>
              <w:pStyle w:val="Compact"/>
              <w:jc w:val="left"/>
            </w:pPr>
            <w:r>
              <w:t xml:space="preserve">Household contents / personal property</w:t>
            </w:r>
          </w:p>
        </w:tc>
        <w:tc>
          <w:tcPr/>
          <w:p>
            <w:pPr>
              <w:pStyle w:val="Compact"/>
              <w:jc w:val="left"/>
            </w:pPr>
            <w:r>
              <w:t xml:space="preserve">$30,000</w:t>
            </w:r>
          </w:p>
        </w:tc>
        <w:tc>
          <w:tcPr/>
          <w:p>
            <w:pPr>
              <w:pStyle w:val="Compact"/>
              <w:jc w:val="left"/>
            </w:pPr>
            <w:r>
              <w:t xml:space="preserve">Estimate</w:t>
            </w:r>
          </w:p>
        </w:tc>
      </w:tr>
      <w:tr>
        <w:tc>
          <w:tcPr/>
          <w:p>
            <w:pPr>
              <w:pStyle w:val="Compact"/>
              <w:jc w:val="left"/>
            </w:pPr>
            <w:r>
              <w:rPr>
                <w:b/>
                <w:bCs/>
              </w:rPr>
              <w:t xml:space="preserve">Total financial accounts (Decl. ¶32)</w:t>
            </w:r>
          </w:p>
        </w:tc>
        <w:tc>
          <w:tcPr/>
          <w:p>
            <w:pPr>
              <w:pStyle w:val="Compact"/>
              <w:jc w:val="left"/>
            </w:pPr>
            <w:r>
              <w:rPr>
                <w:b/>
                <w:bCs/>
              </w:rPr>
              <w:t xml:space="preserve">$981,435</w:t>
            </w:r>
          </w:p>
        </w:tc>
        <w:tc>
          <w:tcPr/>
          <w:p>
            <w:pPr>
              <w:pStyle w:val="Compact"/>
            </w:pPr>
          </w:p>
        </w:tc>
      </w:tr>
    </w:tbl>
    <w:bookmarkEnd w:id="23"/>
    <w:bookmarkStart w:id="24" w:name="X56ccb9af07b1bb084328553692aafba83df5218"/>
    <w:p>
      <w:pPr>
        <w:pStyle w:val="Heading3"/>
      </w:pPr>
      <w:r>
        <w:t xml:space="preserve">C. Liabilities (as represented in the Declaration)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Decl. Amount</w:t>
            </w:r>
          </w:p>
        </w:tc>
        <w:tc>
          <w:tcPr/>
          <w:p>
            <w:pPr>
              <w:pStyle w:val="Compact"/>
              <w:jc w:val="left"/>
            </w:pPr>
            <w:r>
              <w:t xml:space="preserve">Status / Notes</w:t>
            </w:r>
          </w:p>
        </w:tc>
      </w:tr>
      <w:tr>
        <w:tc>
          <w:tcPr/>
          <w:p>
            <w:pPr>
              <w:pStyle w:val="Compact"/>
              <w:jc w:val="left"/>
            </w:pPr>
            <w:r>
              <w:t xml:space="preserve">Mortgage — 418 Birchwood Lane (Meridian)</w:t>
            </w:r>
          </w:p>
        </w:tc>
        <w:tc>
          <w:tcPr/>
          <w:p>
            <w:pPr>
              <w:pStyle w:val="Compact"/>
              <w:jc w:val="left"/>
            </w:pPr>
            <w:r>
              <w:t xml:space="preserve">$218,400</w:t>
            </w:r>
          </w:p>
        </w:tc>
        <w:tc>
          <w:tcPr/>
          <w:p>
            <w:pPr>
              <w:pStyle w:val="Compact"/>
              <w:jc w:val="left"/>
            </w:pPr>
            <w:r>
              <w:t xml:space="preserve">Statements not produced</w:t>
            </w:r>
          </w:p>
        </w:tc>
      </w:tr>
      <w:tr>
        <w:tc>
          <w:tcPr/>
          <w:p>
            <w:pPr>
              <w:pStyle w:val="Compact"/>
              <w:jc w:val="left"/>
            </w:pPr>
            <w:r>
              <w:t xml:space="preserve">Mortgage — 1035 Elm Street, Unit C (Meridian)</w:t>
            </w:r>
          </w:p>
        </w:tc>
        <w:tc>
          <w:tcPr/>
          <w:p>
            <w:pPr>
              <w:pStyle w:val="Compact"/>
              <w:jc w:val="left"/>
            </w:pPr>
            <w:r>
              <w:rPr>
                <w:b/>
                <w:bCs/>
              </w:rPr>
              <w:t xml:space="preserve">NOT DISCLOSED</w:t>
            </w:r>
          </w:p>
        </w:tc>
        <w:tc>
          <w:tcPr/>
          <w:p>
            <w:pPr>
              <w:pStyle w:val="Compact"/>
              <w:jc w:val="left"/>
            </w:pPr>
            <w:r>
              <w:t xml:space="preserve">~$241,281 as of 8/1/2024 (PROD-005)</w:t>
            </w:r>
          </w:p>
        </w:tc>
      </w:tr>
      <w:tr>
        <w:tc>
          <w:tcPr/>
          <w:p>
            <w:pPr>
              <w:pStyle w:val="Compact"/>
              <w:jc w:val="left"/>
            </w:pPr>
            <w:r>
              <w:t xml:space="preserve">Auto loan — 2022 BMW X5 (FCB Auto Finance)</w:t>
            </w:r>
          </w:p>
        </w:tc>
        <w:tc>
          <w:tcPr/>
          <w:p>
            <w:pPr>
              <w:pStyle w:val="Compact"/>
              <w:jc w:val="left"/>
            </w:pPr>
            <w:r>
              <w:t xml:space="preserve">$22,100</w:t>
            </w:r>
          </w:p>
        </w:tc>
        <w:tc>
          <w:tcPr/>
          <w:p>
            <w:pPr>
              <w:pStyle w:val="Compact"/>
              <w:jc w:val="left"/>
            </w:pPr>
            <w:r>
              <w:t xml:space="preserve">No statements produced</w:t>
            </w:r>
          </w:p>
        </w:tc>
      </w:tr>
      <w:tr>
        <w:tc>
          <w:tcPr/>
          <w:p>
            <w:pPr>
              <w:pStyle w:val="Compact"/>
              <w:jc w:val="left"/>
            </w:pPr>
            <w:r>
              <w:t xml:space="preserve">Credit card — Platinum Visa</w:t>
            </w:r>
          </w:p>
        </w:tc>
        <w:tc>
          <w:tcPr/>
          <w:p>
            <w:pPr>
              <w:pStyle w:val="Compact"/>
              <w:jc w:val="left"/>
            </w:pPr>
            <w:r>
              <w:t xml:space="preserve">$8,500 (</w:t>
            </w:r>
            <w:r>
              <w:t xml:space="preserve">“</w:t>
            </w:r>
            <w:r>
              <w:t xml:space="preserve">revolving</w:t>
            </w:r>
            <w:r>
              <w:t xml:space="preserve">”</w:t>
            </w:r>
            <w:r>
              <w:t xml:space="preserve">)</w:t>
            </w:r>
          </w:p>
        </w:tc>
        <w:tc>
          <w:tcPr/>
          <w:p>
            <w:pPr>
              <w:pStyle w:val="Compact"/>
              <w:jc w:val="left"/>
            </w:pPr>
            <w:r>
              <w:t xml:space="preserve">Card is paid in full monthly; issuer misstated</w:t>
            </w:r>
          </w:p>
        </w:tc>
      </w:tr>
      <w:tr>
        <w:tc>
          <w:tcPr/>
          <w:p>
            <w:pPr>
              <w:pStyle w:val="Compact"/>
              <w:jc w:val="left"/>
            </w:pPr>
            <w:r>
              <w:t xml:space="preserve">K-1 recourse liabilities (NovaBridge)</w:t>
            </w:r>
          </w:p>
        </w:tc>
        <w:tc>
          <w:tcPr/>
          <w:p>
            <w:pPr>
              <w:pStyle w:val="Compact"/>
              <w:jc w:val="left"/>
            </w:pPr>
            <w:r>
              <w:rPr>
                <w:b/>
                <w:bCs/>
              </w:rPr>
              <w:t xml:space="preserve">NOT DISCLOSED</w:t>
            </w:r>
          </w:p>
        </w:tc>
        <w:tc>
          <w:tcPr/>
          <w:p>
            <w:pPr>
              <w:pStyle w:val="Compact"/>
              <w:jc w:val="left"/>
            </w:pPr>
            <w:r>
              <w:t xml:space="preserve">$36,400 per K-1</w:t>
            </w:r>
          </w:p>
        </w:tc>
      </w:tr>
      <w:tr>
        <w:tc>
          <w:tcPr/>
          <w:p>
            <w:pPr>
              <w:pStyle w:val="Compact"/>
              <w:jc w:val="left"/>
            </w:pPr>
            <w:r>
              <w:rPr>
                <w:b/>
                <w:bCs/>
              </w:rPr>
              <w:t xml:space="preserve">Total liabilities (Decl. ¶43)</w:t>
            </w:r>
          </w:p>
        </w:tc>
        <w:tc>
          <w:tcPr/>
          <w:p>
            <w:pPr>
              <w:pStyle w:val="Compact"/>
              <w:jc w:val="left"/>
            </w:pPr>
            <w:r>
              <w:rPr>
                <w:b/>
                <w:bCs/>
              </w:rPr>
              <w:t xml:space="preserve">$249,000</w:t>
            </w:r>
          </w:p>
        </w:tc>
        <w:tc>
          <w:tcPr/>
          <w:p>
            <w:pPr>
              <w:pStyle w:val="Compact"/>
              <w:jc w:val="left"/>
            </w:pPr>
            <w:r>
              <w:t xml:space="preserve">Omits Elm St. mortgage and K-1 recourse debt</w:t>
            </w:r>
          </w:p>
        </w:tc>
      </w:tr>
    </w:tbl>
    <w:bookmarkEnd w:id="24"/>
    <w:bookmarkStart w:id="25" w:name="Xc4dc04177b4a9ec5e53b9786a73037f78fba9aa"/>
    <w:p>
      <w:pPr>
        <w:pStyle w:val="Heading3"/>
      </w:pPr>
      <w:r>
        <w:t xml:space="preserve">D. NovaBridge Solutions LLC (Entity-Level,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receipts (2023)</w:t>
            </w:r>
          </w:p>
        </w:tc>
        <w:tc>
          <w:tcPr/>
          <w:p>
            <w:pPr>
              <w:pStyle w:val="Compact"/>
              <w:jc w:val="left"/>
            </w:pPr>
            <w:r>
              <w:t xml:space="preserve">$4,280,000</w:t>
            </w:r>
          </w:p>
        </w:tc>
      </w:tr>
      <w:tr>
        <w:tc>
          <w:tcPr/>
          <w:p>
            <w:pPr>
              <w:pStyle w:val="Compact"/>
              <w:jc w:val="left"/>
            </w:pPr>
            <w:r>
              <w:t xml:space="preserve">Gross receipts (2022, comparative)</w:t>
            </w:r>
          </w:p>
        </w:tc>
        <w:tc>
          <w:tcPr/>
          <w:p>
            <w:pPr>
              <w:pStyle w:val="Compact"/>
              <w:jc w:val="left"/>
            </w:pPr>
            <w:r>
              <w:t xml:space="preserve">$3,915,000</w:t>
            </w:r>
          </w:p>
        </w:tc>
      </w:tr>
      <w:tr>
        <w:tc>
          <w:tcPr/>
          <w:p>
            <w:pPr>
              <w:pStyle w:val="Compact"/>
              <w:jc w:val="left"/>
            </w:pPr>
            <w:r>
              <w:t xml:space="preserve">Ordinary business income (Form 1065, Line 22)</w:t>
            </w:r>
          </w:p>
        </w:tc>
        <w:tc>
          <w:tcPr/>
          <w:p>
            <w:pPr>
              <w:pStyle w:val="Compact"/>
              <w:jc w:val="left"/>
            </w:pPr>
            <w:r>
              <w:t xml:space="preserve">$612,000</w:t>
            </w:r>
          </w:p>
        </w:tc>
      </w:tr>
      <w:tr>
        <w:tc>
          <w:tcPr/>
          <w:p>
            <w:pPr>
              <w:pStyle w:val="Compact"/>
              <w:jc w:val="left"/>
            </w:pPr>
            <w:r>
              <w:t xml:space="preserve">Total partner distributions (2023)</w:t>
            </w:r>
          </w:p>
        </w:tc>
        <w:tc>
          <w:tcPr/>
          <w:p>
            <w:pPr>
              <w:pStyle w:val="Compact"/>
              <w:jc w:val="left"/>
            </w:pPr>
            <w:r>
              <w:t xml:space="preserve">$290,000 (Kwan $174,000 / Ostrowski $116,000)</w:t>
            </w:r>
          </w:p>
        </w:tc>
      </w:tr>
      <w:tr>
        <w:tc>
          <w:tcPr/>
          <w:p>
            <w:pPr>
              <w:pStyle w:val="Compact"/>
              <w:jc w:val="left"/>
            </w:pPr>
            <w:r>
              <w:t xml:space="preserve">Entity-level retained earnings (2023)</w:t>
            </w:r>
          </w:p>
        </w:tc>
        <w:tc>
          <w:tcPr/>
          <w:p>
            <w:pPr>
              <w:pStyle w:val="Compact"/>
              <w:jc w:val="left"/>
            </w:pPr>
            <w:r>
              <w:t xml:space="preserve">$322,000</w:t>
            </w:r>
          </w:p>
        </w:tc>
      </w:tr>
      <w:tr>
        <w:tc>
          <w:tcPr/>
          <w:p>
            <w:pPr>
              <w:pStyle w:val="Compact"/>
              <w:jc w:val="left"/>
            </w:pPr>
            <w:r>
              <w:t xml:space="preserve">Respondent’s 60% share of retained earnings</w:t>
            </w:r>
          </w:p>
        </w:tc>
        <w:tc>
          <w:tcPr/>
          <w:p>
            <w:pPr>
              <w:pStyle w:val="Compact"/>
              <w:jc w:val="left"/>
            </w:pPr>
            <w:r>
              <w:t xml:space="preserve">$193,200</w:t>
            </w:r>
          </w:p>
        </w:tc>
      </w:tr>
      <w:tr>
        <w:tc>
          <w:tcPr/>
          <w:p>
            <w:pPr>
              <w:pStyle w:val="Compact"/>
              <w:jc w:val="left"/>
            </w:pPr>
            <w:r>
              <w:t xml:space="preserve">Respondent’s ending capital account (tax basis)</w:t>
            </w:r>
          </w:p>
        </w:tc>
        <w:tc>
          <w:tcPr/>
          <w:p>
            <w:pPr>
              <w:pStyle w:val="Compact"/>
              <w:jc w:val="left"/>
            </w:pPr>
            <w:r>
              <w:t xml:space="preserve">$675,800</w:t>
            </w:r>
          </w:p>
        </w:tc>
      </w:tr>
      <w:tr>
        <w:tc>
          <w:tcPr/>
          <w:p>
            <w:pPr>
              <w:pStyle w:val="Compact"/>
              <w:jc w:val="left"/>
            </w:pPr>
            <w:r>
              <w:t xml:space="preserve">Ownership</w:t>
            </w:r>
          </w:p>
        </w:tc>
        <w:tc>
          <w:tcPr/>
          <w:p>
            <w:pPr>
              <w:pStyle w:val="Compact"/>
              <w:jc w:val="left"/>
            </w:pPr>
            <w:r>
              <w:t xml:space="preserve">Darren Kwan 60% (CTO/Managing Member); Jared Ostrowski 40% (CEO)</w:t>
            </w:r>
          </w:p>
        </w:tc>
      </w:tr>
    </w:tbl>
    <w:bookmarkEnd w:id="25"/>
    <w:bookmarkStart w:id="26" w:name="X4573624bdae9f509a168d0bc86e322236d3b047"/>
    <w:p>
      <w:pPr>
        <w:pStyle w:val="Heading3"/>
      </w:pPr>
      <w:r>
        <w:t xml:space="preserve">E. Monthly Cash Flow Observed in Bank Records (PROD-004)</w:t>
      </w:r>
    </w:p>
    <w:p>
      <w:pPr>
        <w:pStyle w:val="FirstParagraph"/>
      </w:pPr>
      <w:r>
        <w:t xml:space="preserve">The individual checking account (7703) reflects the following recurring monthly items, several of which are absent from the Declaration’s expense budget: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Recurring item</w:t>
            </w:r>
          </w:p>
        </w:tc>
        <w:tc>
          <w:tcPr/>
          <w:p>
            <w:pPr>
              <w:pStyle w:val="Compact"/>
              <w:jc w:val="left"/>
            </w:pPr>
            <w:r>
              <w:t xml:space="preserve">Observed amount</w:t>
            </w:r>
          </w:p>
        </w:tc>
        <w:tc>
          <w:tcPr/>
          <w:p>
            <w:pPr>
              <w:pStyle w:val="Compact"/>
              <w:jc w:val="left"/>
            </w:pPr>
            <w:r>
              <w:t xml:space="preserve">In Decl. budget?</w:t>
            </w:r>
          </w:p>
        </w:tc>
      </w:tr>
      <w:tr>
        <w:tc>
          <w:tcPr/>
          <w:p>
            <w:pPr>
              <w:pStyle w:val="Compact"/>
              <w:jc w:val="left"/>
            </w:pPr>
            <w:r>
              <w:t xml:space="preserve">NovaBridge payroll (net, 2×/mo)</w:t>
            </w:r>
          </w:p>
        </w:tc>
        <w:tc>
          <w:tcPr/>
          <w:p>
            <w:pPr>
              <w:pStyle w:val="Compact"/>
              <w:jc w:val="left"/>
            </w:pPr>
            <w:r>
              <w:t xml:space="preserve">$7,115.38 × 2 = $14,230.76</w:t>
            </w:r>
          </w:p>
        </w:tc>
        <w:tc>
          <w:tcPr/>
          <w:p>
            <w:pPr>
              <w:pStyle w:val="Compact"/>
              <w:jc w:val="left"/>
            </w:pPr>
            <w:r>
              <w:t xml:space="preserve">n/a (income)</w:t>
            </w:r>
          </w:p>
        </w:tc>
      </w:tr>
      <w:tr>
        <w:tc>
          <w:tcPr/>
          <w:p>
            <w:pPr>
              <w:pStyle w:val="Compact"/>
              <w:jc w:val="left"/>
            </w:pPr>
            <w:r>
              <w:t xml:space="preserve">Tenant rent deposit (Elm St.)</w:t>
            </w:r>
          </w:p>
        </w:tc>
        <w:tc>
          <w:tcPr/>
          <w:p>
            <w:pPr>
              <w:pStyle w:val="Compact"/>
              <w:jc w:val="left"/>
            </w:pPr>
            <w:r>
              <w:t xml:space="preserve">$2,100.00</w:t>
            </w:r>
          </w:p>
        </w:tc>
        <w:tc>
          <w:tcPr/>
          <w:p>
            <w:pPr>
              <w:pStyle w:val="Compact"/>
              <w:jc w:val="left"/>
            </w:pPr>
            <w:r>
              <w:t xml:space="preserve">No (rental income omitted)</w:t>
            </w:r>
          </w:p>
        </w:tc>
      </w:tr>
      <w:tr>
        <w:tc>
          <w:tcPr/>
          <w:p>
            <w:pPr>
              <w:pStyle w:val="Compact"/>
              <w:jc w:val="left"/>
            </w:pPr>
            <w:r>
              <w:t xml:space="preserve">Meridian mortgage — Birchwood</w:t>
            </w:r>
          </w:p>
        </w:tc>
        <w:tc>
          <w:tcPr/>
          <w:p>
            <w:pPr>
              <w:pStyle w:val="Compact"/>
              <w:jc w:val="left"/>
            </w:pPr>
            <w:r>
              <w:t xml:space="preserve">$1,842.00</w:t>
            </w:r>
          </w:p>
        </w:tc>
        <w:tc>
          <w:tcPr/>
          <w:p>
            <w:pPr>
              <w:pStyle w:val="Compact"/>
              <w:jc w:val="left"/>
            </w:pPr>
            <w:r>
              <w:t xml:space="preserve">Partially (via $3,500</w:t>
            </w:r>
            <w:r>
              <w:t xml:space="preserve"> </w:t>
            </w:r>
            <w:r>
              <w:t xml:space="preserve">“</w:t>
            </w:r>
            <w:r>
              <w:t xml:space="preserve">voluntary contribution</w:t>
            </w:r>
            <w:r>
              <w:t xml:space="preserve">”</w:t>
            </w:r>
            <w:r>
              <w:t xml:space="preserve">)</w:t>
            </w:r>
          </w:p>
        </w:tc>
      </w:tr>
      <w:tr>
        <w:tc>
          <w:tcPr/>
          <w:p>
            <w:pPr>
              <w:pStyle w:val="Compact"/>
              <w:jc w:val="left"/>
            </w:pPr>
            <w:r>
              <w:t xml:space="preserve">Meridian mortgage — Elm Street</w:t>
            </w:r>
          </w:p>
        </w:tc>
        <w:tc>
          <w:tcPr/>
          <w:p>
            <w:pPr>
              <w:pStyle w:val="Compact"/>
              <w:jc w:val="left"/>
            </w:pPr>
            <w:r>
              <w:t xml:space="preserve">$1,680.00</w:t>
            </w:r>
          </w:p>
        </w:tc>
        <w:tc>
          <w:tcPr/>
          <w:p>
            <w:pPr>
              <w:pStyle w:val="Compact"/>
              <w:jc w:val="left"/>
            </w:pPr>
            <w:r>
              <w:rPr>
                <w:b/>
                <w:bCs/>
              </w:rPr>
              <w:t xml:space="preserve">No (property/mortgage omitted)</w:t>
            </w:r>
          </w:p>
        </w:tc>
      </w:tr>
      <w:tr>
        <w:tc>
          <w:tcPr/>
          <w:p>
            <w:pPr>
              <w:pStyle w:val="Compact"/>
              <w:jc w:val="left"/>
            </w:pPr>
            <w:r>
              <w:t xml:space="preserve">Fairview Community Bank Visa payment</w:t>
            </w:r>
          </w:p>
        </w:tc>
        <w:tc>
          <w:tcPr/>
          <w:p>
            <w:pPr>
              <w:pStyle w:val="Compact"/>
              <w:jc w:val="left"/>
            </w:pPr>
            <w:r>
              <w:t xml:space="preserve">$1,450 → $5,480 (rising)</w:t>
            </w:r>
          </w:p>
        </w:tc>
        <w:tc>
          <w:tcPr/>
          <w:p>
            <w:pPr>
              <w:pStyle w:val="Compact"/>
              <w:jc w:val="left"/>
            </w:pPr>
            <w:r>
              <w:t xml:space="preserve">No (Decl. states $500–$1,000)</w:t>
            </w:r>
          </w:p>
        </w:tc>
      </w:tr>
      <w:tr>
        <w:tc>
          <w:tcPr/>
          <w:p>
            <w:pPr>
              <w:pStyle w:val="Compact"/>
              <w:jc w:val="left"/>
            </w:pPr>
            <w:r>
              <w:t xml:space="preserve">Venmo to</w:t>
            </w:r>
            <w:r>
              <w:t xml:space="preserve"> </w:t>
            </w:r>
            <w:r>
              <w:t xml:space="preserve">“</w:t>
            </w:r>
            <w:r>
              <w:t xml:space="preserve">Kiera M.</w:t>
            </w:r>
            <w:r>
              <w:t xml:space="preserve">”</w:t>
            </w:r>
          </w:p>
        </w:tc>
        <w:tc>
          <w:tcPr/>
          <w:p>
            <w:pPr>
              <w:pStyle w:val="Compact"/>
              <w:jc w:val="left"/>
            </w:pPr>
            <w:r>
              <w:t xml:space="preserve">$2,500–$3,200</w:t>
            </w:r>
          </w:p>
        </w:tc>
        <w:tc>
          <w:tcPr/>
          <w:p>
            <w:pPr>
              <w:pStyle w:val="Compact"/>
              <w:jc w:val="left"/>
            </w:pPr>
            <w:r>
              <w:rPr>
                <w:b/>
                <w:bCs/>
              </w:rPr>
              <w:t xml:space="preserve">No (undisclosed recipient)</w:t>
            </w:r>
          </w:p>
        </w:tc>
      </w:tr>
      <w:tr>
        <w:tc>
          <w:tcPr/>
          <w:p>
            <w:pPr>
              <w:pStyle w:val="Compact"/>
              <w:jc w:val="left"/>
            </w:pPr>
            <w:r>
              <w:t xml:space="preserve">401(k) contribution (Pinnacle)</w:t>
            </w:r>
          </w:p>
        </w:tc>
        <w:tc>
          <w:tcPr/>
          <w:p>
            <w:pPr>
              <w:pStyle w:val="Compact"/>
              <w:jc w:val="left"/>
            </w:pPr>
            <w:r>
              <w:t xml:space="preserve">$1,437.50 (regular);</w:t>
            </w:r>
            <w:r>
              <w:t xml:space="preserve"> </w:t>
            </w:r>
            <w:r>
              <w:rPr>
                <w:b/>
                <w:bCs/>
              </w:rPr>
              <w:t xml:space="preserve">$14,644.60 on 8/1/2024</w:t>
            </w:r>
          </w:p>
        </w:tc>
        <w:tc>
          <w:tcPr/>
          <w:p>
            <w:pPr>
              <w:pStyle w:val="Compact"/>
              <w:jc w:val="left"/>
            </w:pPr>
            <w:r>
              <w:t xml:space="preserve">No</w:t>
            </w:r>
          </w:p>
        </w:tc>
      </w:tr>
      <w:tr>
        <w:tc>
          <w:tcPr/>
          <w:p>
            <w:pPr>
              <w:pStyle w:val="Compact"/>
              <w:jc w:val="left"/>
            </w:pPr>
            <w:r>
              <w:t xml:space="preserve">Progressive auto insurance</w:t>
            </w:r>
          </w:p>
        </w:tc>
        <w:tc>
          <w:tcPr/>
          <w:p>
            <w:pPr>
              <w:pStyle w:val="Compact"/>
              <w:jc w:val="left"/>
            </w:pPr>
            <w:r>
              <w:t xml:space="preserve">$312.00</w:t>
            </w:r>
          </w:p>
        </w:tc>
        <w:tc>
          <w:tcPr/>
          <w:p>
            <w:pPr>
              <w:pStyle w:val="Compact"/>
              <w:jc w:val="left"/>
            </w:pPr>
            <w:r>
              <w:t xml:space="preserve">Decl. states $210.00</w:t>
            </w:r>
          </w:p>
        </w:tc>
      </w:tr>
      <w:tr>
        <w:tc>
          <w:tcPr/>
          <w:p>
            <w:pPr>
              <w:pStyle w:val="Compact"/>
              <w:jc w:val="left"/>
            </w:pPr>
            <w:r>
              <w:t xml:space="preserve">Harbor Point rent</w:t>
            </w:r>
          </w:p>
        </w:tc>
        <w:tc>
          <w:tcPr/>
          <w:p>
            <w:pPr>
              <w:pStyle w:val="Compact"/>
              <w:jc w:val="left"/>
            </w:pPr>
            <w:r>
              <w:t xml:space="preserve">$4,750.00 (first paid 7/30/2024)</w:t>
            </w:r>
          </w:p>
        </w:tc>
        <w:tc>
          <w:tcPr/>
          <w:p>
            <w:pPr>
              <w:pStyle w:val="Compact"/>
              <w:jc w:val="left"/>
            </w:pPr>
            <w:r>
              <w:t xml:space="preserve">Yes ($4,750)</w:t>
            </w:r>
          </w:p>
        </w:tc>
      </w:tr>
    </w:tbl>
    <w:p>
      <w:r>
        <w:pict>
          <v:rect style="width:0;height:1.5pt" o:hralign="center" o:hrstd="t" o:hr="t"/>
        </w:pict>
      </w:r>
    </w:p>
    <w:bookmarkEnd w:id="26"/>
    <w:bookmarkEnd w:id="27"/>
    <w:bookmarkStart w:id="39" w:name="X2efe0c8403a8222bd6ec5b343d256352d31234d"/>
    <w:p>
      <w:pPr>
        <w:pStyle w:val="Heading2"/>
      </w:pPr>
      <w:r>
        <w:t xml:space="preserve">IV. Flagged Inconsistencies, Omissions, and Red Flags</w:t>
      </w:r>
    </w:p>
    <w:p>
      <w:pPr>
        <w:pStyle w:val="FirstParagraph"/>
      </w:pPr>
      <w:r>
        <w:t xml:space="preserve">The inconsistencies below are organized by materiality. Each is supported by cross-referencing the produced records against the Sworn Financial Declaration.</w:t>
      </w:r>
    </w:p>
    <w:bookmarkStart w:id="28" w:name="X1abd7841ccc024a6bfd6ff01981914fb64bc3a3"/>
    <w:p>
      <w:pPr>
        <w:pStyle w:val="Heading3"/>
      </w:pPr>
      <w:r>
        <w:t xml:space="preserve">A. [HIGH] Date of Separation — Material Internal Conflict</w:t>
      </w:r>
    </w:p>
    <w:p>
      <w:pPr>
        <w:pStyle w:val="FirstParagraph"/>
      </w:pPr>
      <w:r>
        <w:t xml:space="preserve">The date of separation is consequential: it governs the marital-vs.-separate characterization of assets, debts, and transactions, including the $85,000 wire transfer discussed in Section IV.C.</w:t>
      </w:r>
    </w:p>
    <w:p>
      <w:pPr>
        <w:pStyle w:val="Compact"/>
        <w:numPr>
          <w:ilvl w:val="0"/>
          <w:numId w:val="1001"/>
        </w:numPr>
      </w:pPr>
      <w:r>
        <w:rPr>
          <w:b/>
          <w:bCs/>
        </w:rPr>
        <w:t xml:space="preserve">Financial Declaration (¶5, ¶56):</w:t>
      </w:r>
      <w:r>
        <w:t xml:space="preserve"> </w:t>
      </w:r>
      <w:r>
        <w:t xml:space="preserve">separation</w:t>
      </w:r>
      <w:r>
        <w:t xml:space="preserve"> </w:t>
      </w:r>
      <w:r>
        <w:t xml:space="preserve">“</w:t>
      </w:r>
      <w:r>
        <w:t xml:space="preserve">on or about</w:t>
      </w:r>
      <w:r>
        <w:t xml:space="preserve"> </w:t>
      </w:r>
      <w:r>
        <w:rPr>
          <w:b/>
          <w:bCs/>
        </w:rPr>
        <w:t xml:space="preserve">June 1, 2024</w:t>
      </w:r>
      <w:r>
        <w:t xml:space="preserve">”</w:t>
      </w:r>
      <w:r>
        <w:t xml:space="preserve">; all account balances represented as of that date.</w:t>
      </w:r>
    </w:p>
    <w:p>
      <w:pPr>
        <w:pStyle w:val="Compact"/>
        <w:numPr>
          <w:ilvl w:val="0"/>
          <w:numId w:val="1001"/>
        </w:numPr>
      </w:pPr>
      <w:r>
        <w:rPr>
          <w:b/>
          <w:bCs/>
        </w:rPr>
        <w:t xml:space="preserve">Cover letter / Privilege Log (PRIV-001, PRIV-002):</w:t>
      </w:r>
      <w:r>
        <w:t xml:space="preserve"> </w:t>
      </w:r>
      <w:r>
        <w:t xml:space="preserve">“</w:t>
      </w:r>
      <w:r>
        <w:t xml:space="preserve">the parties’ separation on</w:t>
      </w:r>
      <w:r>
        <w:t xml:space="preserve"> </w:t>
      </w:r>
      <w:r>
        <w:rPr>
          <w:b/>
          <w:bCs/>
        </w:rPr>
        <w:t xml:space="preserve">August 1, 2024</w:t>
      </w:r>
      <w:r>
        <w:t xml:space="preserve">.</w:t>
      </w:r>
      <w:r>
        <w:t xml:space="preserve">”</w:t>
      </w:r>
    </w:p>
    <w:p>
      <w:pPr>
        <w:pStyle w:val="Compact"/>
        <w:numPr>
          <w:ilvl w:val="0"/>
          <w:numId w:val="1001"/>
        </w:numPr>
      </w:pPr>
      <w:r>
        <w:rPr>
          <w:b/>
          <w:bCs/>
        </w:rPr>
        <w:t xml:space="preserve">Bank records (PROD-004):</w:t>
      </w:r>
      <w:r>
        <w:t xml:space="preserve"> </w:t>
      </w:r>
      <w:r>
        <w:t xml:space="preserve">the first rent payment to Harbor Point Realty Mgmt. ($4,750) appears on</w:t>
      </w:r>
      <w:r>
        <w:t xml:space="preserve"> </w:t>
      </w:r>
      <w:r>
        <w:rPr>
          <w:b/>
          <w:bCs/>
        </w:rPr>
        <w:t xml:space="preserve">July 30, 2024</w:t>
      </w:r>
      <w:r>
        <w:t xml:space="preserve"> </w:t>
      </w:r>
      <w:r>
        <w:t xml:space="preserve">(Check #4038) and August 1, 2024 (ACH). No Harbor Point rent payment appears in the March–June 2024 statements— inconsistent with a June 1 lease commencement.</w:t>
      </w:r>
    </w:p>
    <w:p>
      <w:pPr>
        <w:pStyle w:val="Compact"/>
        <w:numPr>
          <w:ilvl w:val="0"/>
          <w:numId w:val="1001"/>
        </w:numPr>
      </w:pPr>
      <w:r>
        <w:rPr>
          <w:b/>
          <w:bCs/>
        </w:rPr>
        <w:t xml:space="preserve">Credit card (PROD-006):</w:t>
      </w:r>
      <w:r>
        <w:t xml:space="preserve"> </w:t>
      </w:r>
      <w:r>
        <w:t xml:space="preserve">the mailing address changes from 418 Birchwood Lane to 2200 Harbor Point Drive, Unit 14B effective the</w:t>
      </w:r>
      <w:r>
        <w:t xml:space="preserve"> </w:t>
      </w:r>
      <w:r>
        <w:rPr>
          <w:b/>
          <w:bCs/>
        </w:rPr>
        <w:t xml:space="preserve">July 2024</w:t>
      </w:r>
      <w:r>
        <w:t xml:space="preserve"> </w:t>
      </w:r>
      <w:r>
        <w:t xml:space="preserve">statement cycle (</w:t>
      </w:r>
      <w:r>
        <w:t xml:space="preserve">“</w:t>
      </w:r>
      <w:r>
        <w:t xml:space="preserve">Address change processed effective this statement cycle</w:t>
      </w:r>
      <w:r>
        <w:t xml:space="preserve">”</w:t>
      </w:r>
      <w:r>
        <w:t xml:space="preserve">).</w:t>
      </w:r>
    </w:p>
    <w:p>
      <w:pPr>
        <w:pStyle w:val="Compact"/>
        <w:numPr>
          <w:ilvl w:val="0"/>
          <w:numId w:val="1001"/>
        </w:numPr>
      </w:pPr>
      <w:r>
        <w:rPr>
          <w:b/>
          <w:bCs/>
        </w:rPr>
        <w:t xml:space="preserve">Internal arithmetic:</w:t>
      </w:r>
      <w:r>
        <w:t xml:space="preserve"> </w:t>
      </w:r>
      <w:r>
        <w:t xml:space="preserve">the Declaration’s stated account balances ($8,215 checking; $42,680 savings; $387,450 brokerage) match the</w:t>
      </w:r>
      <w:r>
        <w:t xml:space="preserve"> </w:t>
      </w:r>
      <w:r>
        <w:rPr>
          <w:b/>
          <w:bCs/>
        </w:rPr>
        <w:t xml:space="preserve">August 1, 2024</w:t>
      </w:r>
      <w:r>
        <w:t xml:space="preserve"> </w:t>
      </w:r>
      <w:r>
        <w:t xml:space="preserve">statement values, not June 1, 2024 values (e.g., checking was $27,750.24 on 6/30/2024; brokerage was ~$468,695 on 5/31/2024 before the June 15 wire).</w:t>
      </w:r>
    </w:p>
    <w:p>
      <w:pPr>
        <w:pStyle w:val="FirstParagraph"/>
      </w:pPr>
      <w:r>
        <w:rPr>
          <w:b/>
          <w:bCs/>
        </w:rPr>
        <w:t xml:space="preserve">Assessment:</w:t>
      </w:r>
      <w:r>
        <w:t xml:space="preserve"> </w:t>
      </w:r>
      <w:r>
        <w:t xml:space="preserve">The records do not support a June 1, 2024 separation and are more consistent with a transition in late June/July 2024, and with the August 1, 2024 date stated in the cover letter. The conflict must be resolved by interrogatory and deposition, because it determines whether the June 15, 2024 $85,000 wire and other June transactions were made during the marriage (potential dissipation) or after separation.</w:t>
      </w:r>
    </w:p>
    <w:bookmarkEnd w:id="28"/>
    <w:bookmarkStart w:id="29" w:name="X1d244570b280c281600ad0a3582ae44cbeb550f"/>
    <w:p>
      <w:pPr>
        <w:pStyle w:val="Heading3"/>
      </w:pPr>
      <w:r>
        <w:t xml:space="preserve">B. [HIGH] Undisclosed Real Property and Mortgage — 1035 Elm Street, Unit C</w:t>
      </w:r>
    </w:p>
    <w:p>
      <w:pPr>
        <w:pStyle w:val="FirstParagraph"/>
      </w:pPr>
      <w:r>
        <w:t xml:space="preserve">The Declaration affirmatively states that Respondent</w:t>
      </w:r>
      <w:r>
        <w:t xml:space="preserve"> </w:t>
      </w:r>
      <w:r>
        <w:t xml:space="preserve">“</w:t>
      </w:r>
      <w:r>
        <w:t xml:space="preserve">does not hold any ownership interest, whether sole or joint, in any other real property</w:t>
      </w:r>
      <w:r>
        <w:t xml:space="preserve">”</w:t>
      </w:r>
      <w:r>
        <w:t xml:space="preserve"> </w:t>
      </w:r>
      <w:r>
        <w:t xml:space="preserve">(¶23). The produced records directly contradict this:</w:t>
      </w:r>
    </w:p>
    <w:p>
      <w:pPr>
        <w:pStyle w:val="Compact"/>
        <w:numPr>
          <w:ilvl w:val="0"/>
          <w:numId w:val="1002"/>
        </w:numPr>
      </w:pPr>
      <w:r>
        <w:rPr>
          <w:b/>
          <w:bCs/>
        </w:rPr>
        <w:t xml:space="preserve">Tax return (PROD-002), Schedule E, Part I:</w:t>
      </w:r>
      <w:r>
        <w:t xml:space="preserve"> </w:t>
      </w:r>
      <w:r>
        <w:t xml:space="preserve">reports rental real estate at</w:t>
      </w:r>
      <w:r>
        <w:t xml:space="preserve"> </w:t>
      </w:r>
      <w:r>
        <w:rPr>
          <w:b/>
          <w:bCs/>
        </w:rPr>
        <w:t xml:space="preserve">1035 Elm Street, Unit C, Fairview, Columbia 20147</w:t>
      </w:r>
      <w:r>
        <w:t xml:space="preserve">,</w:t>
      </w:r>
      <w:r>
        <w:t xml:space="preserve"> </w:t>
      </w:r>
      <w:r>
        <w:t xml:space="preserve">“</w:t>
      </w:r>
      <w:r>
        <w:t xml:space="preserve">Property titled in the name of Darren Kwan,</w:t>
      </w:r>
      <w:r>
        <w:t xml:space="preserve">”</w:t>
      </w:r>
      <w:r>
        <w:t xml:space="preserve"> </w:t>
      </w:r>
      <w:r>
        <w:t xml:space="preserve">365 rental days / 0 personal use, rents received $25,200, mortgage interest $11,280 paid to Meridian Home Lending, net rental income $2,940.</w:t>
      </w:r>
    </w:p>
    <w:p>
      <w:pPr>
        <w:pStyle w:val="Compact"/>
        <w:numPr>
          <w:ilvl w:val="0"/>
          <w:numId w:val="1002"/>
        </w:numPr>
      </w:pPr>
      <w:r>
        <w:rPr>
          <w:b/>
          <w:bCs/>
        </w:rPr>
        <w:t xml:space="preserve">Mortgage statements (PROD-005):</w:t>
      </w:r>
      <w:r>
        <w:t xml:space="preserve"> </w:t>
      </w:r>
      <w:r>
        <w:t xml:space="preserve">Meridian Home Lending Loan No. 7842-0163-ELM, borrower Darren Kwan (sole; no co-borrower), property 1035 Elm Street, Unit C, original loan $279,000 dated October 8, 2019, 4.875% fixed 30-year, PITI $1,680.00/month,</w:t>
      </w:r>
      <w:r>
        <w:t xml:space="preserve"> </w:t>
      </w:r>
      <w:r>
        <w:rPr>
          <w:b/>
          <w:bCs/>
        </w:rPr>
        <w:t xml:space="preserve">current principal balance $241,281.19 as of 8/1/2024</w:t>
      </w:r>
      <w:r>
        <w:t xml:space="preserve">.</w:t>
      </w:r>
    </w:p>
    <w:p>
      <w:pPr>
        <w:pStyle w:val="Compact"/>
        <w:numPr>
          <w:ilvl w:val="0"/>
          <w:numId w:val="1002"/>
        </w:numPr>
      </w:pPr>
      <w:r>
        <w:rPr>
          <w:b/>
          <w:bCs/>
        </w:rPr>
        <w:t xml:space="preserve">Bank statements (PROD-004):</w:t>
      </w:r>
      <w:r>
        <w:t xml:space="preserve"> </w:t>
      </w:r>
      <w:r>
        <w:t xml:space="preserve">a recurring $1,680.00 ACH to</w:t>
      </w:r>
      <w:r>
        <w:t xml:space="preserve"> </w:t>
      </w:r>
      <w:r>
        <w:t xml:space="preserve">“</w:t>
      </w:r>
      <w:r>
        <w:t xml:space="preserve">Meridian Home Lending</w:t>
      </w:r>
      <w:r>
        <w:t xml:space="preserve">”</w:t>
      </w:r>
      <w:r>
        <w:t xml:space="preserve"> </w:t>
      </w:r>
      <w:r>
        <w:t xml:space="preserve">and recurring $2,100.00</w:t>
      </w:r>
      <w:r>
        <w:t xml:space="preserve"> </w:t>
      </w:r>
      <w:r>
        <w:t xml:space="preserve">“</w:t>
      </w:r>
      <w:r>
        <w:t xml:space="preserve">Tenant Rent Payment</w:t>
      </w:r>
      <w:r>
        <w:t xml:space="preserve">”</w:t>
      </w:r>
      <w:r>
        <w:t xml:space="preserve"> </w:t>
      </w:r>
      <w:r>
        <w:t xml:space="preserve">deposits each month confirm the property and its financing.</w:t>
      </w:r>
    </w:p>
    <w:p>
      <w:pPr>
        <w:pStyle w:val="FirstParagraph"/>
      </w:pPr>
      <w:r>
        <w:t xml:space="preserve">The Elm Street condominium is a marital asset (acquired during the marriage, October 2019) that is omitted from the Declaration’s asset schedule (¶20–23), its liability schedule (¶43–44), and its income statement (¶19, which represents</w:t>
      </w:r>
      <w:r>
        <w:t xml:space="preserve"> </w:t>
      </w:r>
      <w:r>
        <w:t xml:space="preserve">“</w:t>
      </w:r>
      <w:r>
        <w:t xml:space="preserve">None</w:t>
      </w:r>
      <w:r>
        <w:t xml:space="preserve">”</w:t>
      </w:r>
      <w:r>
        <w:t xml:space="preserve"> </w:t>
      </w:r>
      <w:r>
        <w:t xml:space="preserve">for rental income). The omission also affects the Declaration’s expense budget, which excludes the $1,680/month Elm Street mortgage payment.</w:t>
      </w:r>
      <w:r>
        <w:t xml:space="preserve"> </w:t>
      </w:r>
      <w:r>
        <w:rPr>
          <w:b/>
          <w:bCs/>
        </w:rPr>
        <w:t xml:space="preserve">This is a material omission that exposes Respondent to sanctions and requires an amended declaration.</w:t>
      </w:r>
    </w:p>
    <w:bookmarkEnd w:id="29"/>
    <w:bookmarkStart w:id="30" w:name="X2eb3e88fa539972ab07db4395b5762cb3ba346d"/>
    <w:p>
      <w:pPr>
        <w:pStyle w:val="Heading3"/>
      </w:pPr>
      <w:r>
        <w:t xml:space="preserve">C. [HIGH] $85,000 Wire Transfer to an Undisclosed Institution</w:t>
      </w:r>
    </w:p>
    <w:p>
      <w:pPr>
        <w:pStyle w:val="Compact"/>
        <w:numPr>
          <w:ilvl w:val="0"/>
          <w:numId w:val="1003"/>
        </w:numPr>
      </w:pPr>
      <w:r>
        <w:rPr>
          <w:b/>
          <w:bCs/>
        </w:rPr>
        <w:t xml:space="preserve">Crestline brokerage (PROD-003), June 2024 statement:</w:t>
      </w:r>
      <w:r>
        <w:t xml:space="preserve"> </w:t>
      </w:r>
      <w:r>
        <w:t xml:space="preserve">an outgoing wire transfer of</w:t>
      </w:r>
      <w:r>
        <w:t xml:space="preserve"> </w:t>
      </w:r>
      <w:r>
        <w:rPr>
          <w:b/>
          <w:bCs/>
        </w:rPr>
        <w:t xml:space="preserve">$85,000.00 on June 15, 2024</w:t>
      </w:r>
      <w:r>
        <w:t xml:space="preserve"> </w:t>
      </w:r>
      <w:r>
        <w:t xml:space="preserve">to</w:t>
      </w:r>
      <w:r>
        <w:t xml:space="preserve"> </w:t>
      </w:r>
      <w:r>
        <w:rPr>
          <w:b/>
          <w:bCs/>
        </w:rPr>
        <w:t xml:space="preserve">Harborstone Financial Group, account ending 2291</w:t>
      </w:r>
      <w:r>
        <w:t xml:space="preserve"> </w:t>
      </w:r>
      <w:r>
        <w:t xml:space="preserve">(Ref. WT-2024-061524-0087), initiated by the account holder via verbal authorization.</w:t>
      </w:r>
    </w:p>
    <w:p>
      <w:pPr>
        <w:pStyle w:val="Compact"/>
        <w:numPr>
          <w:ilvl w:val="0"/>
          <w:numId w:val="1003"/>
        </w:numPr>
      </w:pPr>
      <w:r>
        <w:rPr>
          <w:b/>
          <w:bCs/>
        </w:rPr>
        <w:t xml:space="preserve">Financial Declaration (¶24–33):</w:t>
      </w:r>
      <w:r>
        <w:t xml:space="preserve"> </w:t>
      </w:r>
      <w:r>
        <w:t xml:space="preserve">lists accounts only at Fairview Community Bank, Crestline Wealth Advisors, and Pinnacle Retirement Services.</w:t>
      </w:r>
      <w:r>
        <w:t xml:space="preserve"> </w:t>
      </w:r>
      <w:r>
        <w:rPr>
          <w:b/>
          <w:bCs/>
        </w:rPr>
        <w:t xml:space="preserve">No Harborstone Financial Group account is disclosed.</w:t>
      </w:r>
    </w:p>
    <w:p>
      <w:pPr>
        <w:pStyle w:val="Compact"/>
        <w:numPr>
          <w:ilvl w:val="0"/>
          <w:numId w:val="1003"/>
        </w:numPr>
      </w:pPr>
      <w:r>
        <w:t xml:space="preserve">The brokerage account declined from $472,450 (1/1/2024) to $387,450 (8/1/2024); the $85,000 wire is the single largest outflow in the period and accounts for most of the decline.</w:t>
      </w:r>
    </w:p>
    <w:p>
      <w:pPr>
        <w:pStyle w:val="FirstParagraph"/>
      </w:pPr>
      <w:r>
        <w:rPr>
          <w:b/>
          <w:bCs/>
        </w:rPr>
        <w:t xml:space="preserve">Assessment:</w:t>
      </w:r>
      <w:r>
        <w:t xml:space="preserve"> </w:t>
      </w:r>
      <w:r>
        <w:t xml:space="preserve">$85,000 in marital brokerage assets was transferred to an institution and account that appear nowhere in the Declaration. The timing (June 15, 2024) falls between the two asserted separation dates. This raises serious concerns of asset dissipation or concealment and demands tracing of the Harborstone account. The recipient account (ending 2291) should be subpoenaed.</w:t>
      </w:r>
    </w:p>
    <w:bookmarkEnd w:id="30"/>
    <w:bookmarkStart w:id="31" w:name="X553a92f1a348bd59cda7fc764318bf742c80afb"/>
    <w:p>
      <w:pPr>
        <w:pStyle w:val="Heading3"/>
      </w:pPr>
      <w:r>
        <w:t xml:space="preserve">D. [HIGH] Income Understatement — K-1 Distributions vs. Taxable K-1 Income</w:t>
      </w:r>
    </w:p>
    <w:p>
      <w:pPr>
        <w:pStyle w:val="Compact"/>
        <w:numPr>
          <w:ilvl w:val="0"/>
          <w:numId w:val="1004"/>
        </w:numPr>
      </w:pPr>
      <w:r>
        <w:t xml:space="preserve">The Declaration (¶15–16) reports</w:t>
      </w:r>
      <w:r>
        <w:t xml:space="preserve"> </w:t>
      </w:r>
      <w:r>
        <w:t xml:space="preserve">“</w:t>
      </w:r>
      <w:r>
        <w:t xml:space="preserve">$174,000</w:t>
      </w:r>
      <w:r>
        <w:t xml:space="preserve">”</w:t>
      </w:r>
      <w:r>
        <w:t xml:space="preserve"> </w:t>
      </w:r>
      <w:r>
        <w:t xml:space="preserve">as</w:t>
      </w:r>
      <w:r>
        <w:t xml:space="preserve"> </w:t>
      </w:r>
      <w:r>
        <w:t xml:space="preserve">“</w:t>
      </w:r>
      <w:r>
        <w:t xml:space="preserve">K-1 Income / Distributions</w:t>
      </w:r>
      <w:r>
        <w:t xml:space="preserve">”</w:t>
      </w:r>
      <w:r>
        <w:t xml:space="preserve"> </w:t>
      </w:r>
      <w:r>
        <w:t xml:space="preserve">and computes total annual income of $359,000.</w:t>
      </w:r>
    </w:p>
    <w:p>
      <w:pPr>
        <w:pStyle w:val="Compact"/>
        <w:numPr>
          <w:ilvl w:val="0"/>
          <w:numId w:val="1004"/>
        </w:numPr>
      </w:pPr>
      <w:r>
        <w:t xml:space="preserve">The K-1 (PROD-002) distinguishes</w:t>
      </w:r>
      <w:r>
        <w:t xml:space="preserve"> </w:t>
      </w:r>
      <w:r>
        <w:rPr>
          <w:b/>
          <w:bCs/>
        </w:rPr>
        <w:t xml:space="preserve">Box 1 ordinary business income of $367,200</w:t>
      </w:r>
      <w:r>
        <w:t xml:space="preserve"> </w:t>
      </w:r>
      <w:r>
        <w:t xml:space="preserve">(the taxable pass-through income) from</w:t>
      </w:r>
      <w:r>
        <w:t xml:space="preserve"> </w:t>
      </w:r>
      <w:r>
        <w:rPr>
          <w:b/>
          <w:bCs/>
        </w:rPr>
        <w:t xml:space="preserve">Box 19a cash distributions of $174,000</w:t>
      </w:r>
      <w:r>
        <w:t xml:space="preserve">. These are not the same: $367,200 is Respondent’s taxable economic income from NovaBridge; $174,000 is the cash actually distributed.</w:t>
      </w:r>
    </w:p>
    <w:p>
      <w:pPr>
        <w:pStyle w:val="Compact"/>
        <w:numPr>
          <w:ilvl w:val="0"/>
          <w:numId w:val="1004"/>
        </w:numPr>
      </w:pPr>
      <w:r>
        <w:t xml:space="preserve">The $193,200 difference was retained at the entity level (Respondent’s 60% share of $322,000 retained earnings) and is reflected in the growth of his capital account from $482,600 to $675,800.</w:t>
      </w:r>
    </w:p>
    <w:p>
      <w:pPr>
        <w:pStyle w:val="FirstParagraph"/>
      </w:pPr>
      <w:r>
        <w:rPr>
          <w:b/>
          <w:bCs/>
        </w:rPr>
        <w:t xml:space="preserve">Assessment:</w:t>
      </w:r>
      <w:r>
        <w:t xml:space="preserve"> </w:t>
      </w:r>
      <w:r>
        <w:t xml:space="preserve">For child-support and alimony purposes, the appropriate income figure is a live question. Reporting only the $174,000 distribution understates Respondent’s actual income by roughly $193,200 and ignores retained earnings that are themselves a component of the marital estate. The Declaration should be amended to report K-1 ordinary business income separately from distributions.</w:t>
      </w:r>
    </w:p>
    <w:bookmarkEnd w:id="31"/>
    <w:bookmarkStart w:id="32" w:name="e.-high-business-interest-value-omitted"/>
    <w:p>
      <w:pPr>
        <w:pStyle w:val="Heading3"/>
      </w:pPr>
      <w:r>
        <w:t xml:space="preserve">E. [HIGH] Business Interest Value Omitted</w:t>
      </w:r>
    </w:p>
    <w:p>
      <w:pPr>
        <w:pStyle w:val="FirstParagraph"/>
      </w:pPr>
      <w:r>
        <w:t xml:space="preserve">The Declaration (¶37) states that the NovaBridge 60% interest</w:t>
      </w:r>
      <w:r>
        <w:t xml:space="preserve"> </w:t>
      </w:r>
      <w:r>
        <w:t xml:space="preserve">“</w:t>
      </w:r>
      <w:r>
        <w:t xml:space="preserve">has not been formally appraised</w:t>
      </w:r>
      <w:r>
        <w:t xml:space="preserve">”</w:t>
      </w:r>
      <w:r>
        <w:t xml:space="preserve"> </w:t>
      </w:r>
      <w:r>
        <w:t xml:space="preserve">and assigns it</w:t>
      </w:r>
      <w:r>
        <w:t xml:space="preserve"> </w:t>
      </w:r>
      <w:r>
        <w:rPr>
          <w:b/>
          <w:bCs/>
        </w:rPr>
        <w:t xml:space="preserve">no value</w:t>
      </w:r>
      <w:r>
        <w:t xml:space="preserve">, even though it is likely the largest marital asset. The K-1 establishes a tax-basis capital account of</w:t>
      </w:r>
      <w:r>
        <w:t xml:space="preserve"> </w:t>
      </w:r>
      <w:r>
        <w:rPr>
          <w:b/>
          <w:bCs/>
        </w:rPr>
        <w:t xml:space="preserve">$675,800</w:t>
      </w:r>
      <w:r>
        <w:t xml:space="preserve"> </w:t>
      </w:r>
      <w:r>
        <w:t xml:space="preserve">(ending 2023) and allocates</w:t>
      </w:r>
      <w:r>
        <w:t xml:space="preserve"> </w:t>
      </w:r>
      <w:r>
        <w:rPr>
          <w:b/>
          <w:bCs/>
        </w:rPr>
        <w:t xml:space="preserve">$36,400 of recourse liabilities</w:t>
      </w:r>
      <w:r>
        <w:t xml:space="preserve"> </w:t>
      </w:r>
      <w:r>
        <w:t xml:space="preserve">to Respondent—neither of which appears anywhere in the Declaration’s asset or liability schedules. Entity-level records responsive to RFP Nos. 16–22 (operating agreement, tax returns, financial statements, bank statements) have</w:t>
      </w:r>
      <w:r>
        <w:t xml:space="preserve"> </w:t>
      </w:r>
      <w:r>
        <w:rPr>
          <w:b/>
          <w:bCs/>
        </w:rPr>
        <w:t xml:space="preserve">not</w:t>
      </w:r>
      <w:r>
        <w:t xml:space="preserve"> </w:t>
      </w:r>
      <w:r>
        <w:t xml:space="preserve">been produced; counsel states supplementation is</w:t>
      </w:r>
      <w:r>
        <w:t xml:space="preserve"> </w:t>
      </w:r>
      <w:r>
        <w:t xml:space="preserve">“</w:t>
      </w:r>
      <w:r>
        <w:t xml:space="preserve">continuing.</w:t>
      </w:r>
      <w:r>
        <w:t xml:space="preserve">”</w:t>
      </w:r>
      <w:r>
        <w:t xml:space="preserve"> </w:t>
      </w:r>
      <w:r>
        <w:t xml:space="preserve">A business valuation cannot proceed without these records.</w:t>
      </w:r>
    </w:p>
    <w:bookmarkEnd w:id="32"/>
    <w:bookmarkStart w:id="33" w:name="X891f1de652bff99542645a535793e49fb3caab2"/>
    <w:p>
      <w:pPr>
        <w:pStyle w:val="Heading3"/>
      </w:pPr>
      <w:r>
        <w:t xml:space="preserve">F. [MEDIUM-HIGH] Credit Card — Issuer, Balance, and Spending Pattern</w:t>
      </w:r>
    </w:p>
    <w:p>
      <w:pPr>
        <w:pStyle w:val="Compact"/>
        <w:numPr>
          <w:ilvl w:val="0"/>
          <w:numId w:val="1005"/>
        </w:numPr>
      </w:pPr>
      <w:r>
        <w:rPr>
          <w:b/>
          <w:bCs/>
        </w:rPr>
        <w:t xml:space="preserve">Issuer mismatch:</w:t>
      </w:r>
      <w:r>
        <w:t xml:space="preserve"> </w:t>
      </w:r>
      <w:r>
        <w:t xml:space="preserve">the Declaration (¶46) identifies the card as a</w:t>
      </w:r>
      <w:r>
        <w:t xml:space="preserve"> </w:t>
      </w:r>
      <w:r>
        <w:t xml:space="preserve">“</w:t>
      </w:r>
      <w:r>
        <w:t xml:space="preserve">Platinum Visa</w:t>
      </w:r>
      <w:r>
        <w:t xml:space="preserve">”</w:t>
      </w:r>
      <w:r>
        <w:t xml:space="preserve"> </w:t>
      </w:r>
      <w:r>
        <w:t xml:space="preserve">with</w:t>
      </w:r>
      <w:r>
        <w:t xml:space="preserve"> </w:t>
      </w:r>
      <w:r>
        <w:rPr>
          <w:b/>
          <w:bCs/>
        </w:rPr>
        <w:t xml:space="preserve">First National Card Services</w:t>
      </w:r>
      <w:r>
        <w:t xml:space="preserve">. The produced statements (PROD-006) show a</w:t>
      </w:r>
      <w:r>
        <w:t xml:space="preserve"> </w:t>
      </w:r>
      <w:r>
        <w:rPr>
          <w:b/>
          <w:bCs/>
        </w:rPr>
        <w:t xml:space="preserve">Fairview Community Bank Platinum Visa</w:t>
      </w:r>
      <w:r>
        <w:t xml:space="preserve">, account ending 8316, and the bank records (PROD-004) show payments to</w:t>
      </w:r>
      <w:r>
        <w:t xml:space="preserve"> </w:t>
      </w:r>
      <w:r>
        <w:t xml:space="preserve">“</w:t>
      </w:r>
      <w:r>
        <w:t xml:space="preserve">Fairview Community Bank Visa.</w:t>
      </w:r>
      <w:r>
        <w:t xml:space="preserve">”</w:t>
      </w:r>
      <w:r>
        <w:t xml:space="preserve"> </w:t>
      </w:r>
      <w:r>
        <w:t xml:space="preserve">The Declaration misidentifies the creditor.</w:t>
      </w:r>
    </w:p>
    <w:p>
      <w:pPr>
        <w:pStyle w:val="Compact"/>
        <w:numPr>
          <w:ilvl w:val="0"/>
          <w:numId w:val="1005"/>
        </w:numPr>
      </w:pPr>
      <w:r>
        <w:rPr>
          <w:b/>
          <w:bCs/>
        </w:rPr>
        <w:t xml:space="preserve">Balance characterization:</w:t>
      </w:r>
      <w:r>
        <w:t xml:space="preserve"> </w:t>
      </w:r>
      <w:r>
        <w:t xml:space="preserve">the Declaration reports an</w:t>
      </w:r>
      <w:r>
        <w:t xml:space="preserve"> </w:t>
      </w:r>
      <w:r>
        <w:t xml:space="preserve">“</w:t>
      </w:r>
      <w:r>
        <w:t xml:space="preserve">~$8,500 approximate revolving balance</w:t>
      </w:r>
      <w:r>
        <w:t xml:space="preserve">”</w:t>
      </w:r>
      <w:r>
        <w:t xml:space="preserve"> </w:t>
      </w:r>
      <w:r>
        <w:t xml:space="preserve">and monthly payments of</w:t>
      </w:r>
      <w:r>
        <w:t xml:space="preserve"> </w:t>
      </w:r>
      <w:r>
        <w:t xml:space="preserve">“</w:t>
      </w:r>
      <w:r>
        <w:t xml:space="preserve">$500–$1,000.</w:t>
      </w:r>
      <w:r>
        <w:t xml:space="preserve">”</w:t>
      </w:r>
      <w:r>
        <w:t xml:space="preserve"> </w:t>
      </w:r>
      <w:r>
        <w:t xml:space="preserve">The statements show the card is</w:t>
      </w:r>
      <w:r>
        <w:t xml:space="preserve"> </w:t>
      </w:r>
      <w:r>
        <w:rPr>
          <w:b/>
          <w:bCs/>
        </w:rPr>
        <w:t xml:space="preserve">paid in full every month</w:t>
      </w:r>
      <w:r>
        <w:t xml:space="preserve"> </w:t>
      </w:r>
      <w:r>
        <w:t xml:space="preserve">(finance charges $0.00; each month’s previous balance is credited in full). There is no carried revolving balance. The actual monthly payments per the bank records were $1,450 (Mar.), $2,230 (Apr.), $3,875 (May), $4,120 (Jun.), and $5,480 (Jul.)—far exceeding the stated $500–$1,000.</w:t>
      </w:r>
    </w:p>
    <w:p>
      <w:pPr>
        <w:pStyle w:val="Compact"/>
        <w:numPr>
          <w:ilvl w:val="0"/>
          <w:numId w:val="1005"/>
        </w:numPr>
      </w:pPr>
      <w:r>
        <w:rPr>
          <w:b/>
          <w:bCs/>
        </w:rPr>
        <w:t xml:space="preserve">Spending pattern:</w:t>
      </w:r>
      <w:r>
        <w:t xml:space="preserve"> </w:t>
      </w:r>
      <w:r>
        <w:t xml:space="preserve">monthly charges rose from $7,038 (May) to $12,487 (Jul.), including discretionary/lifestyle items: Monarch Fine Clothiers (recurring, $1,420–$2,340/mo.), Fairview Country Club dues ($425/mo.), Aura Salon &amp; Spa, multiple high-end restaurants,</w:t>
      </w:r>
      <w:r>
        <w:t xml:space="preserve"> </w:t>
      </w:r>
      <w:r>
        <w:rPr>
          <w:b/>
          <w:bCs/>
        </w:rPr>
        <w:t xml:space="preserve">Harbor Point Luxury Furnishings ($2,280 in Jun.; $956 in Aug.)</w:t>
      </w:r>
      <w:r>
        <w:t xml:space="preserve">, and</w:t>
      </w:r>
      <w:r>
        <w:t xml:space="preserve"> </w:t>
      </w:r>
      <w:r>
        <w:rPr>
          <w:b/>
          <w:bCs/>
        </w:rPr>
        <w:t xml:space="preserve">Sapphire Sky Travel $6,200 (Jul. 8)</w:t>
      </w:r>
      <w:r>
        <w:t xml:space="preserve">. This spending is inconsistent with the modest expense budget in the Declaration and bears on both dissipation and the support analysis.</w:t>
      </w:r>
    </w:p>
    <w:bookmarkEnd w:id="33"/>
    <w:bookmarkStart w:id="34" w:name="X3b86f92f24cabb4951443f252e3c344e2a81192"/>
    <w:p>
      <w:pPr>
        <w:pStyle w:val="Heading3"/>
      </w:pPr>
      <w:r>
        <w:t xml:space="preserve">G. [MEDIUM-HIGH] Recurring Transfers to</w:t>
      </w:r>
      <w:r>
        <w:t xml:space="preserve"> </w:t>
      </w:r>
      <w:r>
        <w:t xml:space="preserve">“</w:t>
      </w:r>
      <w:r>
        <w:t xml:space="preserve">Kiera M.</w:t>
      </w:r>
      <w:r>
        <w:t xml:space="preserve">”</w:t>
      </w:r>
      <w:r>
        <w:t xml:space="preserve"> </w:t>
      </w:r>
      <w:r>
        <w:t xml:space="preserve">(Venmo)</w:t>
      </w:r>
    </w:p>
    <w:p>
      <w:pPr>
        <w:pStyle w:val="FirstParagraph"/>
      </w:pPr>
      <w:r>
        <w:t xml:space="preserve">The checking account (PROD-004) shows recurring Venmo payments to an unidentified</w:t>
      </w:r>
      <w:r>
        <w:t xml:space="preserve"> </w:t>
      </w:r>
      <w:r>
        <w:t xml:space="preserve">“</w:t>
      </w:r>
      <w:r>
        <w:t xml:space="preserve">Kiera M.</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Amount</w:t>
            </w:r>
          </w:p>
        </w:tc>
      </w:tr>
      <w:tr>
        <w:tc>
          <w:tcPr/>
          <w:p>
            <w:pPr>
              <w:pStyle w:val="Compact"/>
              <w:jc w:val="left"/>
            </w:pPr>
            <w:r>
              <w:t xml:space="preserve">3/15/2024</w:t>
            </w:r>
          </w:p>
        </w:tc>
        <w:tc>
          <w:tcPr/>
          <w:p>
            <w:pPr>
              <w:pStyle w:val="Compact"/>
              <w:jc w:val="left"/>
            </w:pPr>
            <w:r>
              <w:t xml:space="preserve">$2,800.00</w:t>
            </w:r>
          </w:p>
        </w:tc>
      </w:tr>
      <w:tr>
        <w:tc>
          <w:tcPr/>
          <w:p>
            <w:pPr>
              <w:pStyle w:val="Compact"/>
              <w:jc w:val="left"/>
            </w:pPr>
            <w:r>
              <w:t xml:space="preserve">4/22/2024</w:t>
            </w:r>
          </w:p>
        </w:tc>
        <w:tc>
          <w:tcPr/>
          <w:p>
            <w:pPr>
              <w:pStyle w:val="Compact"/>
              <w:jc w:val="left"/>
            </w:pPr>
            <w:r>
              <w:t xml:space="preserve">$3,100.00</w:t>
            </w:r>
          </w:p>
        </w:tc>
      </w:tr>
      <w:tr>
        <w:tc>
          <w:tcPr/>
          <w:p>
            <w:pPr>
              <w:pStyle w:val="Compact"/>
              <w:jc w:val="left"/>
            </w:pPr>
            <w:r>
              <w:t xml:space="preserve">5/10/2024</w:t>
            </w:r>
          </w:p>
        </w:tc>
        <w:tc>
          <w:tcPr/>
          <w:p>
            <w:pPr>
              <w:pStyle w:val="Compact"/>
              <w:jc w:val="left"/>
            </w:pPr>
            <w:r>
              <w:t xml:space="preserve">$2,500.00</w:t>
            </w:r>
          </w:p>
        </w:tc>
      </w:tr>
      <w:tr>
        <w:tc>
          <w:tcPr/>
          <w:p>
            <w:pPr>
              <w:pStyle w:val="Compact"/>
              <w:jc w:val="left"/>
            </w:pPr>
            <w:r>
              <w:t xml:space="preserve">6/18/2024</w:t>
            </w:r>
          </w:p>
        </w:tc>
        <w:tc>
          <w:tcPr/>
          <w:p>
            <w:pPr>
              <w:pStyle w:val="Compact"/>
              <w:jc w:val="left"/>
            </w:pPr>
            <w:r>
              <w:t xml:space="preserve">$3,200.00</w:t>
            </w:r>
          </w:p>
        </w:tc>
      </w:tr>
      <w:tr>
        <w:tc>
          <w:tcPr/>
          <w:p>
            <w:pPr>
              <w:pStyle w:val="Compact"/>
              <w:jc w:val="left"/>
            </w:pPr>
            <w:r>
              <w:t xml:space="preserve">7/14/2024</w:t>
            </w:r>
          </w:p>
        </w:tc>
        <w:tc>
          <w:tcPr/>
          <w:p>
            <w:pPr>
              <w:pStyle w:val="Compact"/>
              <w:jc w:val="left"/>
            </w:pPr>
            <w:r>
              <w:t xml:space="preserve">$3,000.00</w:t>
            </w:r>
          </w:p>
        </w:tc>
      </w:tr>
      <w:tr>
        <w:tc>
          <w:tcPr/>
          <w:p>
            <w:pPr>
              <w:pStyle w:val="Compact"/>
              <w:jc w:val="left"/>
            </w:pPr>
            <w:r>
              <w:rPr>
                <w:b/>
                <w:bCs/>
              </w:rPr>
              <w:t xml:space="preserve">Total (5 months)</w:t>
            </w:r>
          </w:p>
        </w:tc>
        <w:tc>
          <w:tcPr/>
          <w:p>
            <w:pPr>
              <w:pStyle w:val="Compact"/>
              <w:jc w:val="left"/>
            </w:pPr>
            <w:r>
              <w:rPr>
                <w:b/>
                <w:bCs/>
              </w:rPr>
              <w:t xml:space="preserve">$14,600.00</w:t>
            </w:r>
            <w:r>
              <w:t xml:space="preserve"> </w:t>
            </w:r>
            <w:r>
              <w:t xml:space="preserve">(~$2,920/mo. average)</w:t>
            </w:r>
          </w:p>
        </w:tc>
      </w:tr>
    </w:tbl>
    <w:p>
      <w:pPr>
        <w:pStyle w:val="BodyText"/>
      </w:pPr>
      <w:r>
        <w:t xml:space="preserve">These transfers appear nowhere in the Declaration. The identity of</w:t>
      </w:r>
      <w:r>
        <w:t xml:space="preserve"> </w:t>
      </w:r>
      <w:r>
        <w:t xml:space="preserve">“</w:t>
      </w:r>
      <w:r>
        <w:t xml:space="preserve">Kiera M.</w:t>
      </w:r>
      <w:r>
        <w:t xml:space="preserve">”</w:t>
      </w:r>
      <w:r>
        <w:t xml:space="preserve"> </w:t>
      </w:r>
      <w:r>
        <w:t xml:space="preserve">and the purpose of the payments are unknown. The pattern (regular, substantial, to a single individual) is consistent with support of a third party, repayment of an undisclosed debt, or dissipation, and must be explored by interrogatory and deposition.</w:t>
      </w:r>
    </w:p>
    <w:bookmarkEnd w:id="34"/>
    <w:bookmarkStart w:id="35" w:name="Xb99222424010ce4beab2064fda93830b769ca0c"/>
    <w:p>
      <w:pPr>
        <w:pStyle w:val="Heading3"/>
      </w:pPr>
      <w:r>
        <w:t xml:space="preserve">H. [MEDIUM-HIGH] Anomalous 401(k) Contribution on August 1, 2024</w:t>
      </w:r>
    </w:p>
    <w:p>
      <w:pPr>
        <w:pStyle w:val="FirstParagraph"/>
      </w:pPr>
      <w:r>
        <w:t xml:space="preserve">The checking account shows a regular 401(k) ACH to Pinnacle Retirement Services of $1,437.50/month (March–July 2024). On</w:t>
      </w:r>
      <w:r>
        <w:t xml:space="preserve"> </w:t>
      </w:r>
      <w:r>
        <w:rPr>
          <w:b/>
          <w:bCs/>
        </w:rPr>
        <w:t xml:space="preserve">August 1, 2024</w:t>
      </w:r>
      <w:r>
        <w:t xml:space="preserve">, a single ACH of</w:t>
      </w:r>
      <w:r>
        <w:t xml:space="preserve"> </w:t>
      </w:r>
      <w:r>
        <w:rPr>
          <w:b/>
          <w:bCs/>
        </w:rPr>
        <w:t xml:space="preserve">$14,644.60</w:t>
      </w:r>
      <w:r>
        <w:t xml:space="preserve"> </w:t>
      </w:r>
      <w:r>
        <w:t xml:space="preserve">posted—roughly ten times the normal monthly contribution and coincident with the cover letter’s August 1, 2024 separation date. No 401(k) statements (account 3310, represented at $412,800) have been produced. The timing and magnitude suggest a possible lump-sum conversion of liquid marital funds into a retirement asset and must be investigated.</w:t>
      </w:r>
    </w:p>
    <w:bookmarkEnd w:id="35"/>
    <w:bookmarkStart w:id="36" w:name="X75471bfed2cddd870ecd8d0fd01c30c0a757bee"/>
    <w:p>
      <w:pPr>
        <w:pStyle w:val="Heading3"/>
      </w:pPr>
      <w:r>
        <w:t xml:space="preserve">I. [MEDIUM] Expense-Reimbursement Self-Approval and Possible Double Reimbursement</w:t>
      </w:r>
    </w:p>
    <w:p>
      <w:pPr>
        <w:pStyle w:val="Compact"/>
        <w:numPr>
          <w:ilvl w:val="0"/>
          <w:numId w:val="1006"/>
        </w:numPr>
      </w:pPr>
      <w:r>
        <w:rPr>
          <w:b/>
          <w:bCs/>
        </w:rPr>
        <w:t xml:space="preserve">Governance:</w:t>
      </w:r>
      <w:r>
        <w:t xml:space="preserve"> </w:t>
      </w:r>
      <w:r>
        <w:t xml:space="preserve">PROD-007 discloses that, pursuant to Section 5.3 of the NovaBridge Operating Agreement, Respondent— as majority (60%) Managing Member—</w:t>
      </w:r>
      <w:r>
        <w:rPr>
          <w:b/>
          <w:bCs/>
        </w:rPr>
        <w:t xml:space="preserve">self-approves his own expense reimbursements</w:t>
      </w:r>
      <w:r>
        <w:t xml:space="preserve"> </w:t>
      </w:r>
      <w:r>
        <w:t xml:space="preserve">with no review or countersignature by the 40% member (Jared Ostrowski). H1 2024 reimbursements totaled $12,662. This control environment enables commingling of personal and business funds.</w:t>
      </w:r>
    </w:p>
    <w:p>
      <w:pPr>
        <w:pStyle w:val="Compact"/>
        <w:numPr>
          <w:ilvl w:val="0"/>
          <w:numId w:val="1006"/>
        </w:numPr>
      </w:pPr>
      <w:r>
        <w:rPr>
          <w:b/>
          <w:bCs/>
        </w:rPr>
        <w:t xml:space="preserve">Possible double reimbursement (May 17, 2024):</w:t>
      </w:r>
      <w:r>
        <w:t xml:space="preserve"> </w:t>
      </w:r>
      <w:r>
        <w:t xml:space="preserve">the personal Visa (PROD-006) shows a $2,149.50 charge to</w:t>
      </w:r>
      <w:r>
        <w:t xml:space="preserve"> </w:t>
      </w:r>
      <w:r>
        <w:t xml:space="preserve">“</w:t>
      </w:r>
      <w:r>
        <w:t xml:space="preserve">Pinnacle Electronics — Personal Devices</w:t>
      </w:r>
      <w:r>
        <w:t xml:space="preserve">”</w:t>
      </w:r>
      <w:r>
        <w:t xml:space="preserve"> </w:t>
      </w:r>
      <w:r>
        <w:t xml:space="preserve">on 5/17/2024, while the expense report (PROD-007) shows a $2,150.00 reimbursement to</w:t>
      </w:r>
      <w:r>
        <w:t xml:space="preserve"> </w:t>
      </w:r>
      <w:r>
        <w:t xml:space="preserve">“</w:t>
      </w:r>
      <w:r>
        <w:t xml:space="preserve">TechVault Solutions — Technology Equipment — Personal Devices — Tablet, smartphone, and accessories</w:t>
      </w:r>
      <w:r>
        <w:t xml:space="preserve">”</w:t>
      </w:r>
      <w:r>
        <w:t xml:space="preserve"> </w:t>
      </w:r>
      <w:r>
        <w:t xml:space="preserve">on the</w:t>
      </w:r>
      <w:r>
        <w:t xml:space="preserve"> </w:t>
      </w:r>
      <w:r>
        <w:rPr>
          <w:b/>
          <w:bCs/>
        </w:rPr>
        <w:t xml:space="preserve">same date</w:t>
      </w:r>
      <w:r>
        <w:t xml:space="preserve">. The amounts ($2,149.50 vs. $2,150.00), date, and category are essentially identical, suggesting the same personal-electronics purchase may have been charged to the personal card</w:t>
      </w:r>
      <w:r>
        <w:t xml:space="preserve"> </w:t>
      </w:r>
      <w:r>
        <w:rPr>
          <w:b/>
          <w:bCs/>
        </w:rPr>
        <w:t xml:space="preserve">and</w:t>
      </w:r>
      <w:r>
        <w:t xml:space="preserve"> </w:t>
      </w:r>
      <w:r>
        <w:t xml:space="preserve">reimbursed by the company.</w:t>
      </w:r>
    </w:p>
    <w:p>
      <w:pPr>
        <w:pStyle w:val="Compact"/>
        <w:numPr>
          <w:ilvl w:val="0"/>
          <w:numId w:val="1006"/>
        </w:numPr>
      </w:pPr>
      <w:r>
        <w:rPr>
          <w:b/>
          <w:bCs/>
        </w:rPr>
        <w:t xml:space="preserve">Vendor overlap:</w:t>
      </w:r>
      <w:r>
        <w:t xml:space="preserve"> </w:t>
      </w:r>
      <w:r>
        <w:t xml:space="preserve">“</w:t>
      </w:r>
      <w:r>
        <w:t xml:space="preserve">Sapphire Sky Travel</w:t>
      </w:r>
      <w:r>
        <w:t xml:space="preserve">”</w:t>
      </w:r>
      <w:r>
        <w:t xml:space="preserve"> </w:t>
      </w:r>
      <w:r>
        <w:t xml:space="preserve">appears both as a business reimbursement ($3,400, 4/3/2024,</w:t>
      </w:r>
      <w:r>
        <w:t xml:space="preserve"> </w:t>
      </w:r>
      <w:r>
        <w:t xml:space="preserve">“</w:t>
      </w:r>
      <w:r>
        <w:t xml:space="preserve">client appreciation event planning</w:t>
      </w:r>
      <w:r>
        <w:t xml:space="preserve">”</w:t>
      </w:r>
      <w:r>
        <w:t xml:space="preserve">) and as a personal charge ($6,200, 7/8/2024). The same restaurants (The Capital Grille, Ridgeline Steakhouse) appear in both the personal card charges and the</w:t>
      </w:r>
      <w:r>
        <w:t xml:space="preserve"> </w:t>
      </w:r>
      <w:r>
        <w:t xml:space="preserve">“</w:t>
      </w:r>
      <w:r>
        <w:t xml:space="preserve">client entertainment</w:t>
      </w:r>
      <w:r>
        <w:t xml:space="preserve">”</w:t>
      </w:r>
      <w:r>
        <w:t xml:space="preserve"> </w:t>
      </w:r>
      <w:r>
        <w:t xml:space="preserve">reimbursements, indicating commingling of personal dining and business expense.</w:t>
      </w:r>
    </w:p>
    <w:bookmarkEnd w:id="36"/>
    <w:bookmarkStart w:id="37" w:name="j.-medium-payroll-w-2-reconciliation"/>
    <w:p>
      <w:pPr>
        <w:pStyle w:val="Heading3"/>
      </w:pPr>
      <w:r>
        <w:t xml:space="preserve">J. [MEDIUM] Payroll / W-2 Reconciliation</w:t>
      </w:r>
    </w:p>
    <w:p>
      <w:pPr>
        <w:pStyle w:val="FirstParagraph"/>
      </w:pPr>
      <w:r>
        <w:t xml:space="preserve">The W-2 (PROD-002) reports 2023 gross wages of $185,000 and federal/Social Security/Medicare withholdings totaling approximately $50,834 ($38,220 + $9,932.40 + $2,682.50). The bank records (PROD-004) show net payroll direct deposits of $7,115.38 twice monthly, annualizing to approximately $170,769—implying total withholdings of only ~$14,231, which is inconsistent with the W-2. Pay stubs were referenced in the Declaration (¶57) but</w:t>
      </w:r>
      <w:r>
        <w:t xml:space="preserve"> </w:t>
      </w:r>
      <w:r>
        <w:rPr>
          <w:b/>
          <w:bCs/>
        </w:rPr>
        <w:t xml:space="preserve">not produced</w:t>
      </w:r>
      <w:r>
        <w:t xml:space="preserve">. The discrepancy should be reconciled with complete pay stubs and payroll registers.</w:t>
      </w:r>
    </w:p>
    <w:bookmarkEnd w:id="37"/>
    <w:bookmarkStart w:id="38" w:name="Xf3c95fc5655286792a51eaf0c4d0f3f1b8a8529"/>
    <w:p>
      <w:pPr>
        <w:pStyle w:val="Heading3"/>
      </w:pPr>
      <w:r>
        <w:t xml:space="preserve">K. [LOWER] Additional Discrepancies and Clerical Errors</w:t>
      </w:r>
    </w:p>
    <w:p>
      <w:pPr>
        <w:pStyle w:val="Compact"/>
        <w:numPr>
          <w:ilvl w:val="0"/>
          <w:numId w:val="1007"/>
        </w:numPr>
      </w:pPr>
      <w:r>
        <w:rPr>
          <w:b/>
          <w:bCs/>
        </w:rPr>
        <w:t xml:space="preserve">Filing date of the Declaration:</w:t>
      </w:r>
      <w:r>
        <w:t xml:space="preserve"> </w:t>
      </w:r>
      <w:r>
        <w:t xml:space="preserve">the cover letter states PROD-001 was</w:t>
      </w:r>
      <w:r>
        <w:t xml:space="preserve"> </w:t>
      </w:r>
      <w:r>
        <w:t xml:space="preserve">“</w:t>
      </w:r>
      <w:r>
        <w:t xml:space="preserve">filed with the Court on or about October 4, 2024,</w:t>
      </w:r>
      <w:r>
        <w:t xml:space="preserve">”</w:t>
      </w:r>
      <w:r>
        <w:t xml:space="preserve"> </w:t>
      </w:r>
      <w:r>
        <w:t xml:space="preserve">but the Declaration itself is dated, signed, notarized, and certified as served on</w:t>
      </w:r>
      <w:r>
        <w:t xml:space="preserve"> </w:t>
      </w:r>
      <w:r>
        <w:rPr>
          <w:b/>
          <w:bCs/>
        </w:rPr>
        <w:t xml:space="preserve">September 20, 2024</w:t>
      </w:r>
      <w:r>
        <w:t xml:space="preserve">.</w:t>
      </w:r>
    </w:p>
    <w:p>
      <w:pPr>
        <w:pStyle w:val="Compact"/>
        <w:numPr>
          <w:ilvl w:val="0"/>
          <w:numId w:val="1007"/>
        </w:numPr>
      </w:pPr>
      <w:r>
        <w:rPr>
          <w:b/>
          <w:bCs/>
        </w:rPr>
        <w:t xml:space="preserve">Brokerage tax ID:</w:t>
      </w:r>
      <w:r>
        <w:t xml:space="preserve"> </w:t>
      </w:r>
      <w:r>
        <w:t xml:space="preserve">the Crestline account tax ID is redacted to a suffix of</w:t>
      </w:r>
      <w:r>
        <w:t xml:space="preserve"> </w:t>
      </w:r>
      <w:r>
        <w:rPr>
          <w:b/>
          <w:bCs/>
        </w:rPr>
        <w:t xml:space="preserve">8341</w:t>
      </w:r>
      <w:r>
        <w:t xml:space="preserve">, which matches the SSN suffix of dependent</w:t>
      </w:r>
      <w:r>
        <w:t xml:space="preserve"> </w:t>
      </w:r>
      <w:r>
        <w:rPr>
          <w:b/>
          <w:bCs/>
        </w:rPr>
        <w:t xml:space="preserve">Ethan Kwan</w:t>
      </w:r>
      <w:r>
        <w:t xml:space="preserve"> </w:t>
      </w:r>
      <w:r>
        <w:t xml:space="preserve">(XXX-XX-8341), not Respondent’s SSN (XXX-XX-4718). The account titling/tax registration should be verified.</w:t>
      </w:r>
    </w:p>
    <w:p>
      <w:pPr>
        <w:pStyle w:val="Compact"/>
        <w:numPr>
          <w:ilvl w:val="0"/>
          <w:numId w:val="1007"/>
        </w:numPr>
      </w:pPr>
      <w:r>
        <w:rPr>
          <w:b/>
          <w:bCs/>
        </w:rPr>
        <w:t xml:space="preserve">“</w:t>
      </w:r>
      <w:r>
        <w:rPr>
          <w:b/>
          <w:bCs/>
        </w:rPr>
        <w:t xml:space="preserve">Other income</w:t>
      </w:r>
      <w:r>
        <w:rPr>
          <w:b/>
          <w:bCs/>
        </w:rPr>
        <w:t xml:space="preserve">”</w:t>
      </w:r>
      <w:r>
        <w:rPr>
          <w:b/>
          <w:bCs/>
        </w:rPr>
        <w:t xml:space="preserve"> </w:t>
      </w:r>
      <w:r>
        <w:rPr>
          <w:b/>
          <w:bCs/>
        </w:rPr>
        <w:t xml:space="preserve">representation:</w:t>
      </w:r>
      <w:r>
        <w:t xml:space="preserve"> </w:t>
      </w:r>
      <w:r>
        <w:t xml:space="preserve">Decl. ¶19 represents</w:t>
      </w:r>
      <w:r>
        <w:t xml:space="preserve"> </w:t>
      </w:r>
      <w:r>
        <w:t xml:space="preserve">“</w:t>
      </w:r>
      <w:r>
        <w:t xml:space="preserve">None</w:t>
      </w:r>
      <w:r>
        <w:t xml:space="preserve">”</w:t>
      </w:r>
      <w:r>
        <w:t xml:space="preserve"> </w:t>
      </w:r>
      <w:r>
        <w:t xml:space="preserve">for interest, dividend, and rental income, directly contradicted by the 2023 return ($1,840 interest; $6,310 dividends; $2,940 net rental).</w:t>
      </w:r>
    </w:p>
    <w:p>
      <w:pPr>
        <w:pStyle w:val="Compact"/>
        <w:numPr>
          <w:ilvl w:val="0"/>
          <w:numId w:val="1007"/>
        </w:numPr>
      </w:pPr>
      <w:r>
        <w:rPr>
          <w:b/>
          <w:bCs/>
        </w:rPr>
        <w:t xml:space="preserve">Vehicle allowance:</w:t>
      </w:r>
      <w:r>
        <w:t xml:space="preserve"> </w:t>
      </w:r>
      <w:r>
        <w:t xml:space="preserve">the W-2 (Box 14) reports a $9,600/year ($800/month) vehicle allowance from NovaBridge, not addressed in the Declaration’s income.</w:t>
      </w:r>
    </w:p>
    <w:p>
      <w:pPr>
        <w:pStyle w:val="Compact"/>
        <w:numPr>
          <w:ilvl w:val="0"/>
          <w:numId w:val="1007"/>
        </w:numPr>
      </w:pPr>
      <w:r>
        <w:rPr>
          <w:b/>
          <w:bCs/>
        </w:rPr>
        <w:t xml:space="preserve">Auto insurance:</w:t>
      </w:r>
      <w:r>
        <w:t xml:space="preserve"> </w:t>
      </w:r>
      <w:r>
        <w:t xml:space="preserve">actual Progressive payment is $312/month vs. $210/month in the Declaration’s budget.</w:t>
      </w:r>
    </w:p>
    <w:p>
      <w:pPr>
        <w:pStyle w:val="Compact"/>
        <w:numPr>
          <w:ilvl w:val="0"/>
          <w:numId w:val="1007"/>
        </w:numPr>
      </w:pPr>
      <w:r>
        <w:rPr>
          <w:b/>
          <w:bCs/>
        </w:rPr>
        <w:t xml:space="preserve">Mailing addresses:</w:t>
      </w:r>
      <w:r>
        <w:t xml:space="preserve"> </w:t>
      </w:r>
      <w:r>
        <w:t xml:space="preserve">the bank and brokerage accounts still show the marital address (418 Birchwood Lane) as of 8/1/2024, notwithstanding the claimed June 1 move to Harbor Point.</w:t>
      </w:r>
    </w:p>
    <w:p>
      <w:pPr>
        <w:pStyle w:val="Compact"/>
        <w:numPr>
          <w:ilvl w:val="0"/>
          <w:numId w:val="1007"/>
        </w:numPr>
      </w:pPr>
      <w:r>
        <w:rPr>
          <w:b/>
          <w:bCs/>
        </w:rPr>
        <w:t xml:space="preserve">“</w:t>
      </w:r>
      <w:r>
        <w:rPr>
          <w:b/>
          <w:bCs/>
        </w:rPr>
        <w:t xml:space="preserve">Voluntary contribution</w:t>
      </w:r>
      <w:r>
        <w:rPr>
          <w:b/>
          <w:bCs/>
        </w:rPr>
        <w:t xml:space="preserve">”</w:t>
      </w:r>
      <w:r>
        <w:rPr>
          <w:b/>
          <w:bCs/>
        </w:rPr>
        <w:t xml:space="preserve"> </w:t>
      </w:r>
      <w:r>
        <w:rPr>
          <w:b/>
          <w:bCs/>
        </w:rPr>
        <w:t xml:space="preserve">unverifiable:</w:t>
      </w:r>
      <w:r>
        <w:t xml:space="preserve"> </w:t>
      </w:r>
      <w:r>
        <w:t xml:space="preserve">the Declaration’s $3,500/month</w:t>
      </w:r>
      <w:r>
        <w:t xml:space="preserve"> </w:t>
      </w:r>
      <w:r>
        <w:t xml:space="preserve">“</w:t>
      </w:r>
      <w:r>
        <w:t xml:space="preserve">voluntary contribution</w:t>
      </w:r>
      <w:r>
        <w:t xml:space="preserve">”</w:t>
      </w:r>
      <w:r>
        <w:t xml:space="preserve"> </w:t>
      </w:r>
      <w:r>
        <w:t xml:space="preserve">to the marital household (¶51) is not visible in the produced individual-account records; the joint accounts (4821/4822) from which such payments might have been made were not produced.</w:t>
      </w:r>
    </w:p>
    <w:p>
      <w:r>
        <w:pict>
          <v:rect style="width:0;height:1.5pt" o:hralign="center" o:hrstd="t" o:hr="t"/>
        </w:pict>
      </w:r>
    </w:p>
    <w:bookmarkEnd w:id="38"/>
    <w:bookmarkEnd w:id="39"/>
    <w:bookmarkStart w:id="40" w:name="v.-discovery-gaps-items-not-produced"/>
    <w:p>
      <w:pPr>
        <w:pStyle w:val="Heading2"/>
      </w:pPr>
      <w:r>
        <w:t xml:space="preserve">V. Discovery Gaps — Items Not Produced</w:t>
      </w:r>
    </w:p>
    <w:p>
      <w:pPr>
        <w:pStyle w:val="FirstParagraph"/>
      </w:pPr>
      <w:r>
        <w:t xml:space="preserve">The following items are referenced in, or reasonably necessary to verify, the Declaration but were not included in this production:</w:t>
      </w:r>
    </w:p>
    <w:p>
      <w:pPr>
        <w:pStyle w:val="Compact"/>
        <w:numPr>
          <w:ilvl w:val="0"/>
          <w:numId w:val="1008"/>
        </w:numPr>
      </w:pPr>
      <w:r>
        <w:rPr>
          <w:b/>
          <w:bCs/>
        </w:rPr>
        <w:t xml:space="preserve">Joint accounts</w:t>
      </w:r>
      <w:r>
        <w:t xml:space="preserve"> </w:t>
      </w:r>
      <w:r>
        <w:t xml:space="preserve">— FCB joint checking (4821) and joint savings (4822), listed in the Declaration at $12,340 and $28,750, respectively. No statements produced. These are marital assets.</w:t>
      </w:r>
    </w:p>
    <w:p>
      <w:pPr>
        <w:pStyle w:val="Compact"/>
        <w:numPr>
          <w:ilvl w:val="0"/>
          <w:numId w:val="1008"/>
        </w:numPr>
      </w:pPr>
      <w:r>
        <w:rPr>
          <w:b/>
          <w:bCs/>
        </w:rPr>
        <w:t xml:space="preserve">401(k) statements</w:t>
      </w:r>
      <w:r>
        <w:t xml:space="preserve"> </w:t>
      </w:r>
      <w:r>
        <w:t xml:space="preserve">— Pinnacle Retirement Services account 3310 ($412,800), including documentation of the 8/1/2024 $14,644.60 contribution.</w:t>
      </w:r>
    </w:p>
    <w:p>
      <w:pPr>
        <w:pStyle w:val="Compact"/>
        <w:numPr>
          <w:ilvl w:val="0"/>
          <w:numId w:val="1008"/>
        </w:numPr>
      </w:pPr>
      <w:r>
        <w:rPr>
          <w:b/>
          <w:bCs/>
        </w:rPr>
        <w:t xml:space="preserve">Harborstone Financial Group</w:t>
      </w:r>
      <w:r>
        <w:t xml:space="preserve"> </w:t>
      </w:r>
      <w:r>
        <w:t xml:space="preserve">— account ending 2291 (recipient of the $85,000 wire) and any other Kwan accounts there.</w:t>
      </w:r>
    </w:p>
    <w:p>
      <w:pPr>
        <w:pStyle w:val="Compact"/>
        <w:numPr>
          <w:ilvl w:val="0"/>
          <w:numId w:val="1008"/>
        </w:numPr>
      </w:pPr>
      <w:r>
        <w:rPr>
          <w:b/>
          <w:bCs/>
        </w:rPr>
        <w:t xml:space="preserve">Marital-residence mortgage statements</w:t>
      </w:r>
      <w:r>
        <w:t xml:space="preserve"> </w:t>
      </w:r>
      <w:r>
        <w:t xml:space="preserve">— for 418 Birchwood Lane (Meridian). Only the Elm Street mortgage was produced.</w:t>
      </w:r>
    </w:p>
    <w:p>
      <w:pPr>
        <w:pStyle w:val="Compact"/>
        <w:numPr>
          <w:ilvl w:val="0"/>
          <w:numId w:val="1008"/>
        </w:numPr>
      </w:pPr>
      <w:r>
        <w:rPr>
          <w:b/>
          <w:bCs/>
        </w:rPr>
        <w:t xml:space="preserve">Complete 2023 Form 1040</w:t>
      </w:r>
      <w:r>
        <w:t xml:space="preserve"> </w:t>
      </w:r>
      <w:r>
        <w:t xml:space="preserve">— only excerpts produced (14 of 47 pages). Missing: Schedule A detail, Schedule B detail, Schedule D, Schedule SE, Form 8995, and the complete K-1 package.</w:t>
      </w:r>
    </w:p>
    <w:p>
      <w:pPr>
        <w:pStyle w:val="Compact"/>
        <w:numPr>
          <w:ilvl w:val="0"/>
          <w:numId w:val="1008"/>
        </w:numPr>
      </w:pPr>
      <w:r>
        <w:rPr>
          <w:b/>
          <w:bCs/>
        </w:rPr>
        <w:t xml:space="preserve">Prior-year returns</w:t>
      </w:r>
      <w:r>
        <w:t xml:space="preserve"> </w:t>
      </w:r>
      <w:r>
        <w:t xml:space="preserve">— 2021 and 2022 Form 1040 and Form 1065 (2022 entity figures are referenced but unsupported).</w:t>
      </w:r>
    </w:p>
    <w:p>
      <w:pPr>
        <w:pStyle w:val="Compact"/>
        <w:numPr>
          <w:ilvl w:val="0"/>
          <w:numId w:val="1008"/>
        </w:numPr>
      </w:pPr>
      <w:r>
        <w:rPr>
          <w:b/>
          <w:bCs/>
        </w:rPr>
        <w:t xml:space="preserve">Pay stubs</w:t>
      </w:r>
      <w:r>
        <w:t xml:space="preserve"> </w:t>
      </w:r>
      <w:r>
        <w:t xml:space="preserve">— referenced in Decl. ¶57 but not produced.</w:t>
      </w:r>
    </w:p>
    <w:p>
      <w:pPr>
        <w:pStyle w:val="Compact"/>
        <w:numPr>
          <w:ilvl w:val="0"/>
          <w:numId w:val="1008"/>
        </w:numPr>
      </w:pPr>
      <w:r>
        <w:rPr>
          <w:b/>
          <w:bCs/>
        </w:rPr>
        <w:t xml:space="preserve">NovaBridge entity-level records (RFP Nos. 16–22)</w:t>
      </w:r>
      <w:r>
        <w:t xml:space="preserve"> </w:t>
      </w:r>
      <w:r>
        <w:t xml:space="preserve">— operating agreement (incl. §5.3), Form 1065 returns, financial statements, bank statements, capital-account ledgers, distribution records, and K-1s for all members. Counsel states supplementation is</w:t>
      </w:r>
      <w:r>
        <w:t xml:space="preserve"> </w:t>
      </w:r>
      <w:r>
        <w:t xml:space="preserve">“</w:t>
      </w:r>
      <w:r>
        <w:t xml:space="preserve">continuing.</w:t>
      </w:r>
      <w:r>
        <w:t xml:space="preserve">”</w:t>
      </w:r>
    </w:p>
    <w:p>
      <w:pPr>
        <w:pStyle w:val="Compact"/>
        <w:numPr>
          <w:ilvl w:val="0"/>
          <w:numId w:val="1008"/>
        </w:numPr>
      </w:pPr>
      <w:r>
        <w:rPr>
          <w:b/>
          <w:bCs/>
        </w:rPr>
        <w:t xml:space="preserve">Auto-loan documentation</w:t>
      </w:r>
      <w:r>
        <w:t xml:space="preserve"> </w:t>
      </w:r>
      <w:r>
        <w:t xml:space="preserve">— for the 2022 BMW X5 ($22,100).</w:t>
      </w:r>
    </w:p>
    <w:p>
      <w:pPr>
        <w:pStyle w:val="Compact"/>
        <w:numPr>
          <w:ilvl w:val="0"/>
          <w:numId w:val="1008"/>
        </w:numPr>
      </w:pPr>
      <w:r>
        <w:rPr>
          <w:b/>
          <w:bCs/>
        </w:rPr>
        <w:t xml:space="preserve">Credit-card statements</w:t>
      </w:r>
      <w:r>
        <w:t xml:space="preserve"> </w:t>
      </w:r>
      <w:r>
        <w:t xml:space="preserve">— prior to May 2024; and any other credit cards.</w:t>
      </w:r>
    </w:p>
    <w:p>
      <w:pPr>
        <w:pStyle w:val="Compact"/>
        <w:numPr>
          <w:ilvl w:val="0"/>
          <w:numId w:val="1008"/>
        </w:numPr>
      </w:pPr>
      <w:r>
        <w:rPr>
          <w:b/>
          <w:bCs/>
        </w:rPr>
        <w:t xml:space="preserve">Bank and brokerage statements</w:t>
      </w:r>
      <w:r>
        <w:t xml:space="preserve"> </w:t>
      </w:r>
      <w:r>
        <w:t xml:space="preserve">— pre-March 2024 (bank) and pre-January 2024 (brokerage), and prior years.</w:t>
      </w:r>
    </w:p>
    <w:p>
      <w:pPr>
        <w:pStyle w:val="Compact"/>
        <w:numPr>
          <w:ilvl w:val="0"/>
          <w:numId w:val="1008"/>
        </w:numPr>
      </w:pPr>
      <w:r>
        <w:rPr>
          <w:b/>
          <w:bCs/>
        </w:rPr>
        <w:t xml:space="preserve">Appraisals / valuations</w:t>
      </w:r>
      <w:r>
        <w:t xml:space="preserve"> </w:t>
      </w:r>
      <w:r>
        <w:t xml:space="preserve">— none produced for either real property or the NovaBridge interest.</w:t>
      </w:r>
    </w:p>
    <w:p>
      <w:pPr>
        <w:pStyle w:val="Compact"/>
        <w:numPr>
          <w:ilvl w:val="0"/>
          <w:numId w:val="1008"/>
        </w:numPr>
      </w:pPr>
      <w:r>
        <w:rPr>
          <w:b/>
          <w:bCs/>
        </w:rPr>
        <w:t xml:space="preserve">Lease for 2200 Harbor Point Drive, Unit 14B</w:t>
      </w:r>
      <w:r>
        <w:t xml:space="preserve"> </w:t>
      </w:r>
      <w:r>
        <w:t xml:space="preserve">— to confirm commencement date and terms.</w:t>
      </w:r>
    </w:p>
    <w:p>
      <w:pPr>
        <w:pStyle w:val="Compact"/>
        <w:numPr>
          <w:ilvl w:val="0"/>
          <w:numId w:val="1008"/>
        </w:numPr>
      </w:pPr>
      <w:r>
        <w:rPr>
          <w:b/>
          <w:bCs/>
        </w:rPr>
        <w:t xml:space="preserve">Receipts supporting PROD-007 expense reimbursements</w:t>
      </w:r>
      <w:r>
        <w:t xml:space="preserve"> </w:t>
      </w:r>
      <w:r>
        <w:t xml:space="preserve">— especially the 5/17/2024 TechVault $2,150 and 4/3/2024 Sapphire Sky $3,400 items.</w:t>
      </w:r>
    </w:p>
    <w:p>
      <w:pPr>
        <w:pStyle w:val="Compact"/>
        <w:numPr>
          <w:ilvl w:val="0"/>
          <w:numId w:val="1008"/>
        </w:numPr>
      </w:pPr>
      <w:r>
        <w:rPr>
          <w:b/>
          <w:bCs/>
        </w:rPr>
        <w:t xml:space="preserve">Formal privilege log</w:t>
      </w:r>
      <w:r>
        <w:t xml:space="preserve"> </w:t>
      </w:r>
      <w:r>
        <w:t xml:space="preserve">— not yet served.</w:t>
      </w:r>
    </w:p>
    <w:p>
      <w:r>
        <w:pict>
          <v:rect style="width:0;height:1.5pt" o:hralign="center" o:hrstd="t" o:hr="t"/>
        </w:pict>
      </w:r>
    </w:p>
    <w:bookmarkEnd w:id="40"/>
    <w:bookmarkStart w:id="46" w:name="vi.-recommended-follow-up-discovery"/>
    <w:p>
      <w:pPr>
        <w:pStyle w:val="Heading2"/>
      </w:pPr>
      <w:r>
        <w:t xml:space="preserve">VI. Recommended Follow-Up Discovery</w:t>
      </w:r>
    </w:p>
    <w:bookmarkStart w:id="41" w:name="a.-supplemental-interrogatories"/>
    <w:p>
      <w:pPr>
        <w:pStyle w:val="Heading3"/>
      </w:pPr>
      <w:r>
        <w:t xml:space="preserve">A. Supplemental Interrogatories</w:t>
      </w:r>
    </w:p>
    <w:p>
      <w:pPr>
        <w:pStyle w:val="Compact"/>
        <w:numPr>
          <w:ilvl w:val="0"/>
          <w:numId w:val="1009"/>
        </w:numPr>
      </w:pPr>
      <w:r>
        <w:t xml:space="preserve">State the true date of separation and identify every fact, document, and communication supporting that date; explain the conflict between the June 1, 2024 date in the Declaration and the August 1, 2024 date in the cover letter and privilege log.</w:t>
      </w:r>
    </w:p>
    <w:p>
      <w:pPr>
        <w:pStyle w:val="Compact"/>
        <w:numPr>
          <w:ilvl w:val="0"/>
          <w:numId w:val="1009"/>
        </w:numPr>
      </w:pPr>
      <w:r>
        <w:t xml:space="preserve">Identify</w:t>
      </w:r>
      <w:r>
        <w:t xml:space="preserve"> </w:t>
      </w:r>
      <w:r>
        <w:t xml:space="preserve">“</w:t>
      </w:r>
      <w:r>
        <w:t xml:space="preserve">Kiera M.</w:t>
      </w:r>
      <w:r>
        <w:t xml:space="preserve">”</w:t>
      </w:r>
      <w:r>
        <w:t xml:space="preserve"> </w:t>
      </w:r>
      <w:r>
        <w:t xml:space="preserve">(full legal name and relationship to Respondent), the purpose of each Venmo transfer, the total amount transferred in 2023–2024, and the source of funds.</w:t>
      </w:r>
    </w:p>
    <w:p>
      <w:pPr>
        <w:pStyle w:val="Compact"/>
        <w:numPr>
          <w:ilvl w:val="0"/>
          <w:numId w:val="1009"/>
        </w:numPr>
      </w:pPr>
      <w:r>
        <w:t xml:space="preserve">Identify the Harborstone Financial Group account ending 2291: account holder, title, date opened, current balance, and the purpose and disposition of the $85,000 wire of June 15, 2024; identify any other accounts at Harborstone or any institution not listed in the Declaration.</w:t>
      </w:r>
    </w:p>
    <w:p>
      <w:pPr>
        <w:pStyle w:val="Compact"/>
        <w:numPr>
          <w:ilvl w:val="0"/>
          <w:numId w:val="1009"/>
        </w:numPr>
      </w:pPr>
      <w:r>
        <w:t xml:space="preserve">State whether Respondent owns 1035 Elm Street, Unit C; provide purchase date, purchase price, source of funds, title, current fair market value, mortgage balance, and all rental income and expense records for 2022–2024; explain its omission from the Declaration.</w:t>
      </w:r>
    </w:p>
    <w:p>
      <w:pPr>
        <w:pStyle w:val="Compact"/>
        <w:numPr>
          <w:ilvl w:val="0"/>
          <w:numId w:val="1009"/>
        </w:numPr>
      </w:pPr>
      <w:r>
        <w:t xml:space="preserve">Reconcile K-1 ordinary business income ($367,200) with distributions ($174,000) and state Respondent’s position on the income figure appropriate for support; identify all distributions and retained earnings for 2021–2024.</w:t>
      </w:r>
    </w:p>
    <w:p>
      <w:pPr>
        <w:pStyle w:val="Compact"/>
        <w:numPr>
          <w:ilvl w:val="0"/>
          <w:numId w:val="1009"/>
        </w:numPr>
      </w:pPr>
      <w:r>
        <w:t xml:space="preserve">Identify all financial accounts (bank, brokerage, retirement, crypto, payment-app) held by, or in the name of, Respondent or for his benefit at any time since January 1, 2022, including any account in the name of a dependent or third party.</w:t>
      </w:r>
    </w:p>
    <w:bookmarkEnd w:id="41"/>
    <w:bookmarkStart w:id="42" w:name="b.-supplemental-request-for-production"/>
    <w:p>
      <w:pPr>
        <w:pStyle w:val="Heading3"/>
      </w:pPr>
      <w:r>
        <w:t xml:space="preserve">B. Supplemental Request for Production</w:t>
      </w:r>
    </w:p>
    <w:p>
      <w:pPr>
        <w:pStyle w:val="Compact"/>
        <w:numPr>
          <w:ilvl w:val="0"/>
          <w:numId w:val="1010"/>
        </w:numPr>
      </w:pPr>
      <w:r>
        <w:t xml:space="preserve">Joint account statements (FCB 4821, 4822) for January 2022–present.</w:t>
      </w:r>
    </w:p>
    <w:p>
      <w:pPr>
        <w:pStyle w:val="Compact"/>
        <w:numPr>
          <w:ilvl w:val="0"/>
          <w:numId w:val="1010"/>
        </w:numPr>
      </w:pPr>
      <w:r>
        <w:t xml:space="preserve">401(k) statements (Pinnacle 3310) and all retirement-account statements; records of the 8/1/2024 $14,644.60 contribution.</w:t>
      </w:r>
    </w:p>
    <w:p>
      <w:pPr>
        <w:pStyle w:val="Compact"/>
        <w:numPr>
          <w:ilvl w:val="0"/>
          <w:numId w:val="1010"/>
        </w:numPr>
      </w:pPr>
      <w:r>
        <w:t xml:space="preserve">Harborstone Financial Group account 2291 statements and all related records.</w:t>
      </w:r>
    </w:p>
    <w:p>
      <w:pPr>
        <w:pStyle w:val="Compact"/>
        <w:numPr>
          <w:ilvl w:val="0"/>
          <w:numId w:val="1010"/>
        </w:numPr>
      </w:pPr>
      <w:r>
        <w:t xml:space="preserve">Mortgage statements and loan documents for 418 Birchwood Lane.</w:t>
      </w:r>
    </w:p>
    <w:p>
      <w:pPr>
        <w:pStyle w:val="Compact"/>
        <w:numPr>
          <w:ilvl w:val="0"/>
          <w:numId w:val="1010"/>
        </w:numPr>
      </w:pPr>
      <w:r>
        <w:t xml:space="preserve">Complete 2023 Form 1040 with all schedules; 2021 and 2022 individual and entity returns.</w:t>
      </w:r>
    </w:p>
    <w:p>
      <w:pPr>
        <w:pStyle w:val="Compact"/>
        <w:numPr>
          <w:ilvl w:val="0"/>
          <w:numId w:val="1010"/>
        </w:numPr>
      </w:pPr>
      <w:r>
        <w:t xml:space="preserve">Pay stubs (YTD 2024 and full-year 2023) and payroll registers.</w:t>
      </w:r>
    </w:p>
    <w:p>
      <w:pPr>
        <w:pStyle w:val="Compact"/>
        <w:numPr>
          <w:ilvl w:val="0"/>
          <w:numId w:val="1010"/>
        </w:numPr>
      </w:pPr>
      <w:r>
        <w:t xml:space="preserve">Credit-card statements for January–April 2024 and all prior years; statements for any other credit cards.</w:t>
      </w:r>
    </w:p>
    <w:p>
      <w:pPr>
        <w:pStyle w:val="Compact"/>
        <w:numPr>
          <w:ilvl w:val="0"/>
          <w:numId w:val="1010"/>
        </w:numPr>
      </w:pPr>
      <w:r>
        <w:t xml:space="preserve">Bank and brokerage statements for 2022–2023 and January–February 2024.</w:t>
      </w:r>
    </w:p>
    <w:p>
      <w:pPr>
        <w:pStyle w:val="Compact"/>
        <w:numPr>
          <w:ilvl w:val="0"/>
          <w:numId w:val="1010"/>
        </w:numPr>
      </w:pPr>
      <w:r>
        <w:t xml:space="preserve">NovaBridge Operating Agreement (with §5.3) and all amendments; Form 1065 returns (2021–2023); financial statements; bank statements; capital-account and distribution ledgers; K-1s for all members.</w:t>
      </w:r>
    </w:p>
    <w:p>
      <w:pPr>
        <w:pStyle w:val="Compact"/>
        <w:numPr>
          <w:ilvl w:val="0"/>
          <w:numId w:val="1010"/>
        </w:numPr>
      </w:pPr>
      <w:r>
        <w:t xml:space="preserve">Auto-loan statements and purchase/loan documents for the 2022 BMW X5.</w:t>
      </w:r>
    </w:p>
    <w:p>
      <w:pPr>
        <w:pStyle w:val="Compact"/>
        <w:numPr>
          <w:ilvl w:val="0"/>
          <w:numId w:val="1010"/>
        </w:numPr>
      </w:pPr>
      <w:r>
        <w:t xml:space="preserve">Receipts and supporting documentation for all PROD-007 expense reimbursements.</w:t>
      </w:r>
    </w:p>
    <w:p>
      <w:pPr>
        <w:pStyle w:val="Compact"/>
        <w:numPr>
          <w:ilvl w:val="0"/>
          <w:numId w:val="1010"/>
        </w:numPr>
      </w:pPr>
      <w:r>
        <w:t xml:space="preserve">The Harbor Point lease and all move-in documentation.</w:t>
      </w:r>
    </w:p>
    <w:p>
      <w:pPr>
        <w:pStyle w:val="Compact"/>
        <w:numPr>
          <w:ilvl w:val="0"/>
          <w:numId w:val="1010"/>
        </w:numPr>
      </w:pPr>
      <w:r>
        <w:t xml:space="preserve">All Venmo/Zelle/payment-app transaction records and statements.</w:t>
      </w:r>
    </w:p>
    <w:bookmarkEnd w:id="42"/>
    <w:bookmarkStart w:id="43" w:name="c.-third-party-subpoenas-duces-tecum"/>
    <w:p>
      <w:pPr>
        <w:pStyle w:val="Heading3"/>
      </w:pPr>
      <w:r>
        <w:t xml:space="preserve">C. Third-Party Subpoenas Duces Tecum</w:t>
      </w:r>
    </w:p>
    <w:p>
      <w:pPr>
        <w:pStyle w:val="Compact"/>
        <w:numPr>
          <w:ilvl w:val="0"/>
          <w:numId w:val="1011"/>
        </w:numPr>
      </w:pPr>
      <w:r>
        <w:rPr>
          <w:b/>
          <w:bCs/>
        </w:rPr>
        <w:t xml:space="preserve">Harborstone Financial Group</w:t>
      </w:r>
      <w:r>
        <w:t xml:space="preserve"> </w:t>
      </w:r>
      <w:r>
        <w:t xml:space="preserve">— all accounts in the name of or for the benefit of Darren Kwan (including acct. ending 2291), 2022–present.</w:t>
      </w:r>
    </w:p>
    <w:p>
      <w:pPr>
        <w:pStyle w:val="Compact"/>
        <w:numPr>
          <w:ilvl w:val="0"/>
          <w:numId w:val="1011"/>
        </w:numPr>
      </w:pPr>
      <w:r>
        <w:rPr>
          <w:b/>
          <w:bCs/>
        </w:rPr>
        <w:t xml:space="preserve">Fairview Community Bank</w:t>
      </w:r>
      <w:r>
        <w:t xml:space="preserve"> </w:t>
      </w:r>
      <w:r>
        <w:t xml:space="preserve">— all accounts in Darren Kwan’s name (including any not disclosed), joint accounts 4821/4822, credit card 8316, and the BMW auto loan.</w:t>
      </w:r>
    </w:p>
    <w:p>
      <w:pPr>
        <w:pStyle w:val="Compact"/>
        <w:numPr>
          <w:ilvl w:val="0"/>
          <w:numId w:val="1011"/>
        </w:numPr>
      </w:pPr>
      <w:r>
        <w:rPr>
          <w:b/>
          <w:bCs/>
        </w:rPr>
        <w:t xml:space="preserve">Crestline Wealth Advisors</w:t>
      </w:r>
      <w:r>
        <w:t xml:space="preserve"> </w:t>
      </w:r>
      <w:r>
        <w:t xml:space="preserve">— all accounts, including any account registered under tax ID ending 8341, and all records concerning the 6/15/2024 wire.</w:t>
      </w:r>
    </w:p>
    <w:p>
      <w:pPr>
        <w:pStyle w:val="Compact"/>
        <w:numPr>
          <w:ilvl w:val="0"/>
          <w:numId w:val="1011"/>
        </w:numPr>
      </w:pPr>
      <w:r>
        <w:rPr>
          <w:b/>
          <w:bCs/>
        </w:rPr>
        <w:t xml:space="preserve">Pinnacle Retirement Services</w:t>
      </w:r>
      <w:r>
        <w:t xml:space="preserve"> </w:t>
      </w:r>
      <w:r>
        <w:t xml:space="preserve">— 401(k) account 3310 and 403(b) account 5587 statements and contribution records.</w:t>
      </w:r>
    </w:p>
    <w:p>
      <w:pPr>
        <w:pStyle w:val="Compact"/>
        <w:numPr>
          <w:ilvl w:val="0"/>
          <w:numId w:val="1011"/>
        </w:numPr>
      </w:pPr>
      <w:r>
        <w:rPr>
          <w:b/>
          <w:bCs/>
        </w:rPr>
        <w:t xml:space="preserve">Meridian Home Lending</w:t>
      </w:r>
      <w:r>
        <w:t xml:space="preserve"> </w:t>
      </w:r>
      <w:r>
        <w:t xml:space="preserve">— loan documents and statements for both 418 Birchwood Lane and 1035 Elm Street, Unit C.</w:t>
      </w:r>
    </w:p>
    <w:p>
      <w:pPr>
        <w:pStyle w:val="Compact"/>
        <w:numPr>
          <w:ilvl w:val="0"/>
          <w:numId w:val="1011"/>
        </w:numPr>
      </w:pPr>
      <w:r>
        <w:rPr>
          <w:b/>
          <w:bCs/>
        </w:rPr>
        <w:t xml:space="preserve">NovaBridge Solutions LLC</w:t>
      </w:r>
      <w:r>
        <w:t xml:space="preserve"> </w:t>
      </w:r>
      <w:r>
        <w:t xml:space="preserve">— entity tax returns, financial statements, bank statements, operating agreement, distribution records, and expense-reimbursement supporting documentation.</w:t>
      </w:r>
    </w:p>
    <w:p>
      <w:pPr>
        <w:pStyle w:val="Compact"/>
        <w:numPr>
          <w:ilvl w:val="0"/>
          <w:numId w:val="1011"/>
        </w:numPr>
      </w:pPr>
      <w:r>
        <w:rPr>
          <w:b/>
          <w:bCs/>
        </w:rPr>
        <w:t xml:space="preserve">Archer &amp; Linden CPAs</w:t>
      </w:r>
      <w:r>
        <w:t xml:space="preserve"> </w:t>
      </w:r>
      <w:r>
        <w:t xml:space="preserve">— tax workpapers for 2021–2023.</w:t>
      </w:r>
    </w:p>
    <w:p>
      <w:pPr>
        <w:pStyle w:val="Compact"/>
        <w:numPr>
          <w:ilvl w:val="0"/>
          <w:numId w:val="1011"/>
        </w:numPr>
      </w:pPr>
      <w:r>
        <w:rPr>
          <w:b/>
          <w:bCs/>
        </w:rPr>
        <w:t xml:space="preserve">Venmo/PayPal</w:t>
      </w:r>
      <w:r>
        <w:t xml:space="preserve"> </w:t>
      </w:r>
      <w:r>
        <w:t xml:space="preserve">— transaction history for Darren Kwan’s accounts.</w:t>
      </w:r>
    </w:p>
    <w:bookmarkEnd w:id="43"/>
    <w:bookmarkStart w:id="44" w:name="d.-depositions"/>
    <w:p>
      <w:pPr>
        <w:pStyle w:val="Heading3"/>
      </w:pPr>
      <w:r>
        <w:t xml:space="preserve">D. Depositions</w:t>
      </w:r>
    </w:p>
    <w:p>
      <w:pPr>
        <w:pStyle w:val="Compact"/>
        <w:numPr>
          <w:ilvl w:val="0"/>
          <w:numId w:val="1012"/>
        </w:numPr>
      </w:pPr>
      <w:r>
        <w:rPr>
          <w:b/>
          <w:bCs/>
        </w:rPr>
        <w:t xml:space="preserve">Deposition of Darren Kwan</w:t>
      </w:r>
      <w:r>
        <w:t xml:space="preserve"> </w:t>
      </w:r>
      <w:r>
        <w:t xml:space="preserve">— on the accuracy of the Sworn Financial Declaration; the date of separation; the Elm Street property and its omission; the $85,000 wire and Harborstone account; the</w:t>
      </w:r>
      <w:r>
        <w:t xml:space="preserve"> </w:t>
      </w:r>
      <w:r>
        <w:t xml:space="preserve">“</w:t>
      </w:r>
      <w:r>
        <w:t xml:space="preserve">Kiera M.</w:t>
      </w:r>
      <w:r>
        <w:t xml:space="preserve">”</w:t>
      </w:r>
      <w:r>
        <w:t xml:space="preserve"> </w:t>
      </w:r>
      <w:r>
        <w:t xml:space="preserve">transfers; the 8/1/2024 401(k) contribution; the K-1 income/distribution distinction; and the expense reimbursements.</w:t>
      </w:r>
    </w:p>
    <w:p>
      <w:pPr>
        <w:pStyle w:val="Compact"/>
        <w:numPr>
          <w:ilvl w:val="0"/>
          <w:numId w:val="1012"/>
        </w:numPr>
      </w:pPr>
      <w:r>
        <w:rPr>
          <w:b/>
          <w:bCs/>
        </w:rPr>
        <w:t xml:space="preserve">Deposition of Jared Ostrowski</w:t>
      </w:r>
      <w:r>
        <w:t xml:space="preserve"> </w:t>
      </w:r>
      <w:r>
        <w:t xml:space="preserve">(40% member/CEO) — NovaBridge operations, distributions, Respondent’s compensation and expense practices, the Operating Agreement (including §5.3), and the value of the business.</w:t>
      </w:r>
    </w:p>
    <w:bookmarkEnd w:id="44"/>
    <w:bookmarkStart w:id="45" w:name="e.-motions-and-other-steps"/>
    <w:p>
      <w:pPr>
        <w:pStyle w:val="Heading3"/>
      </w:pPr>
      <w:r>
        <w:t xml:space="preserve">E. Motions and Other Steps</w:t>
      </w:r>
    </w:p>
    <w:p>
      <w:pPr>
        <w:pStyle w:val="Compact"/>
        <w:numPr>
          <w:ilvl w:val="0"/>
          <w:numId w:val="1013"/>
        </w:numPr>
      </w:pPr>
      <w:r>
        <w:rPr>
          <w:b/>
          <w:bCs/>
        </w:rPr>
        <w:t xml:space="preserve">Motion to Compel</w:t>
      </w:r>
      <w:r>
        <w:t xml:space="preserve"> </w:t>
      </w:r>
      <w:r>
        <w:t xml:space="preserve">a complete and accurate amended Sworn Financial Declaration, the NovaBridge entity records (RFP Nos. 16–22), the complete 2023 return, the joint-account and 401(k) statements, and the Harborstone records.</w:t>
      </w:r>
    </w:p>
    <w:p>
      <w:pPr>
        <w:pStyle w:val="Compact"/>
        <w:numPr>
          <w:ilvl w:val="0"/>
          <w:numId w:val="1013"/>
        </w:numPr>
      </w:pPr>
      <w:r>
        <w:rPr>
          <w:b/>
          <w:bCs/>
        </w:rPr>
        <w:t xml:space="preserve">Request for Admissions</w:t>
      </w:r>
      <w:r>
        <w:t xml:space="preserve"> </w:t>
      </w:r>
      <w:r>
        <w:t xml:space="preserve">— admit/deny: (a) ownership of 1035 Elm Street, Unit C; (b) the $85,000 wire to Harborstone; (c) existence of the Harborstone account; (d) identity of</w:t>
      </w:r>
      <w:r>
        <w:t xml:space="preserve"> </w:t>
      </w:r>
      <w:r>
        <w:t xml:space="preserve">“</w:t>
      </w:r>
      <w:r>
        <w:t xml:space="preserve">Kiera M.</w:t>
      </w:r>
      <w:r>
        <w:t xml:space="preserve">”</w:t>
      </w:r>
      <w:r>
        <w:t xml:space="preserve">; (e) the correct date of separation.</w:t>
      </w:r>
    </w:p>
    <w:p>
      <w:pPr>
        <w:pStyle w:val="Compact"/>
        <w:numPr>
          <w:ilvl w:val="0"/>
          <w:numId w:val="1013"/>
        </w:numPr>
      </w:pPr>
      <w:r>
        <w:rPr>
          <w:b/>
          <w:bCs/>
        </w:rPr>
        <w:t xml:space="preserve">Privilege-log challenge</w:t>
      </w:r>
      <w:r>
        <w:t xml:space="preserve"> </w:t>
      </w:r>
      <w:r>
        <w:t xml:space="preserve">— confirm timely service of the formal privilege log; consider a motion to compel an in-camera review of PRIV-003 (the 8/20/2024</w:t>
      </w:r>
      <w:r>
        <w:t xml:space="preserve"> </w:t>
      </w:r>
      <w:r>
        <w:t xml:space="preserve">“</w:t>
      </w:r>
      <w:r>
        <w:t xml:space="preserve">Preliminary analysis of marital estate</w:t>
      </w:r>
      <w:r>
        <w:t xml:space="preserve">”</w:t>
      </w:r>
      <w:r>
        <w:t xml:space="preserve"> </w:t>
      </w:r>
      <w:r>
        <w:t xml:space="preserve">memorandum), which may contain non-privileged factual financial information.</w:t>
      </w:r>
    </w:p>
    <w:p>
      <w:pPr>
        <w:pStyle w:val="Compact"/>
        <w:numPr>
          <w:ilvl w:val="0"/>
          <w:numId w:val="1013"/>
        </w:numPr>
      </w:pPr>
      <w:r>
        <w:rPr>
          <w:b/>
          <w:bCs/>
        </w:rPr>
        <w:t xml:space="preserve">Forensic accountant / business valuator</w:t>
      </w:r>
      <w:r>
        <w:t xml:space="preserve"> </w:t>
      </w:r>
      <w:r>
        <w:t xml:space="preserve">— retain to (i) value the NovaBridge 60% interest, (ii) trace the $85,000 wire and the</w:t>
      </w:r>
      <w:r>
        <w:t xml:space="preserve"> </w:t>
      </w:r>
      <w:r>
        <w:t xml:space="preserve">“</w:t>
      </w:r>
      <w:r>
        <w:t xml:space="preserve">Kiera M.</w:t>
      </w:r>
      <w:r>
        <w:t xml:space="preserve">”</w:t>
      </w:r>
      <w:r>
        <w:t xml:space="preserve"> </w:t>
      </w:r>
      <w:r>
        <w:t xml:space="preserve">transfers, (iii) reconcile Respondent’s income (W-2 + K-1 ordinary income + retained earnings), and (iv) analyze potential dissipation.</w:t>
      </w:r>
    </w:p>
    <w:p>
      <w:pPr>
        <w:pStyle w:val="Compact"/>
        <w:numPr>
          <w:ilvl w:val="0"/>
          <w:numId w:val="1013"/>
        </w:numPr>
      </w:pPr>
      <w:r>
        <w:rPr>
          <w:b/>
          <w:bCs/>
        </w:rPr>
        <w:t xml:space="preserve">Sanctions</w:t>
      </w:r>
      <w:r>
        <w:t xml:space="preserve"> </w:t>
      </w:r>
      <w:r>
        <w:t xml:space="preserve">— the omission of the Elm Street property and mortgage and the misstatement of income in a sworn declaration may support a motion for sanctions and an award of fees and costs.</w:t>
      </w:r>
    </w:p>
    <w:p>
      <w:r>
        <w:pict>
          <v:rect style="width:0;height:1.5pt" o:hralign="center" o:hrstd="t" o:hr="t"/>
        </w:pict>
      </w:r>
    </w:p>
    <w:bookmarkEnd w:id="45"/>
    <w:bookmarkEnd w:id="46"/>
    <w:bookmarkStart w:id="47" w:name="X2417a96d357d8dc88ec2999760f67eab91f1ebd"/>
    <w:p>
      <w:pPr>
        <w:pStyle w:val="Heading2"/>
      </w:pPr>
      <w:r>
        <w:t xml:space="preserve">VII. Conclusion and Recommended Next Steps</w:t>
      </w:r>
    </w:p>
    <w:p>
      <w:pPr>
        <w:pStyle w:val="FirstParagraph"/>
      </w:pPr>
      <w:r>
        <w:t xml:space="preserve">The production, while facially responsive, contains material gaps and several direct contradictions between the Sworn Financial Declaration and the contemporaneous financial records Respondent himself produced. The most significant items are: (1) the complete omission of the 1035 Elm Street rental property and its ~$241,281 mortgage; (2) an $85,000 wire transfer to an undisclosed institution (Harborstone Financial Group) made between the two conflicting separation dates; (3) understatement of business income by ~$193,200 through reporting distributions rather than taxable K-1 income; (4) the absence of any valuation for what is likely the largest marital asset (the NovaBridge 60% interest); and (5) recurring undisclosed transfers to</w:t>
      </w:r>
      <w:r>
        <w:t xml:space="preserve"> </w:t>
      </w:r>
      <w:r>
        <w:t xml:space="preserve">“</w:t>
      </w:r>
      <w:r>
        <w:t xml:space="preserve">Kiera M.</w:t>
      </w:r>
      <w:r>
        <w:t xml:space="preserve">”</w:t>
      </w:r>
      <w:r>
        <w:t xml:space="preserve"> </w:t>
      </w:r>
      <w:r>
        <w:t xml:space="preserve">and an anomalous $14,644.60 401(k) contribution on August 1, 2024.</w:t>
      </w:r>
    </w:p>
    <w:p>
      <w:pPr>
        <w:pStyle w:val="BodyText"/>
      </w:pPr>
      <w:r>
        <w:rPr>
          <w:b/>
          <w:bCs/>
        </w:rPr>
        <w:t xml:space="preserve">Recommended immediate actions:</w:t>
      </w:r>
    </w:p>
    <w:p>
      <w:pPr>
        <w:pStyle w:val="Compact"/>
        <w:numPr>
          <w:ilvl w:val="0"/>
          <w:numId w:val="1014"/>
        </w:numPr>
      </w:pPr>
      <w:r>
        <w:t xml:space="preserve">Serve supplemental interrogatories and a supplemental request for production targeting the items in Section VI.A–B.</w:t>
      </w:r>
    </w:p>
    <w:p>
      <w:pPr>
        <w:pStyle w:val="Compact"/>
        <w:numPr>
          <w:ilvl w:val="0"/>
          <w:numId w:val="1014"/>
        </w:numPr>
      </w:pPr>
      <w:r>
        <w:t xml:space="preserve">Issue the third-party subpoenas in Section VI.C, prioritizing Harborstone Financial Group, Fairview Community Bank (joint accounts), Pinnacle Retirement Services, and NovaBridge Solutions LLC.</w:t>
      </w:r>
    </w:p>
    <w:p>
      <w:pPr>
        <w:pStyle w:val="Compact"/>
        <w:numPr>
          <w:ilvl w:val="0"/>
          <w:numId w:val="1014"/>
        </w:numPr>
      </w:pPr>
      <w:r>
        <w:t xml:space="preserve">Calendar the privilege-log deadline and prepare a motion to compel if the formal log is not served within ten business days.</w:t>
      </w:r>
    </w:p>
    <w:p>
      <w:pPr>
        <w:pStyle w:val="Compact"/>
        <w:numPr>
          <w:ilvl w:val="0"/>
          <w:numId w:val="1014"/>
        </w:numPr>
      </w:pPr>
      <w:r>
        <w:t xml:space="preserve">Notice the deposition of Darren Kwan (and, thereafter, Jared Ostrowski).</w:t>
      </w:r>
    </w:p>
    <w:p>
      <w:pPr>
        <w:pStyle w:val="Compact"/>
        <w:numPr>
          <w:ilvl w:val="0"/>
          <w:numId w:val="1014"/>
        </w:numPr>
      </w:pPr>
      <w:r>
        <w:t xml:space="preserve">Engage a forensic accountant/business valuator.</w:t>
      </w:r>
    </w:p>
    <w:p>
      <w:pPr>
        <w:pStyle w:val="Compact"/>
        <w:numPr>
          <w:ilvl w:val="0"/>
          <w:numId w:val="1014"/>
        </w:numPr>
      </w:pPr>
      <w:r>
        <w:t xml:space="preserve">Evaluate a motion to compel an amended financial declaration and for sanctions.</w:t>
      </w:r>
    </w:p>
    <w:p>
      <w:pPr>
        <w:pStyle w:val="FirstParagraph"/>
      </w:pPr>
      <w:r>
        <w:t xml:space="preserve">We are available to draft the supplemental discovery and subpoenas on your direction.</w:t>
      </w:r>
    </w:p>
    <w:p>
      <w:r>
        <w:pict>
          <v:rect style="width:0;height:1.5pt" o:hralign="center" o:hrstd="t" o:hr="t"/>
        </w:pict>
      </w:r>
    </w:p>
    <w:p>
      <w:pPr>
        <w:pStyle w:val="FirstParagraph"/>
      </w:pPr>
      <w:r>
        <w:rPr>
          <w:i/>
          <w:iCs/>
        </w:rPr>
        <w:t xml:space="preserve">Prepared by Jordan Reeves, Associate, Calloway &amp; Birch LLP. This memorandum is privileged and confidential attorney work product prepared in anticipation of litigation.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2026-06-28T17:59:08Z</dcterms:created>
  <dcterms:modified xsi:type="dcterms:W3CDTF">2026-06-28T17:59:08Z</dcterms:modified>
</cp:coreProperties>
</file>

<file path=docProps/custom.xml><?xml version="1.0" encoding="utf-8"?>
<Properties xmlns="http://schemas.openxmlformats.org/officeDocument/2006/custom-properties" xmlns:vt="http://schemas.openxmlformats.org/officeDocument/2006/docPropsVTypes"/>
</file>