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40" w:name="internal-memorandum"/>
    <w:p>
      <w:pPr>
        <w:pStyle w:val="Heading1"/>
      </w:pPr>
      <w:r>
        <w:t xml:space="preserve">INTERNAL MEMORANDUM</w:t>
      </w:r>
    </w:p>
    <w:p>
      <w:pPr>
        <w:pStyle w:val="FirstParagraph"/>
      </w:pPr>
      <w:r>
        <w:rPr>
          <w:b/>
          <w:bCs/>
        </w:rPr>
        <w:t xml:space="preserve">TO:</w:t>
      </w:r>
      <w:r>
        <w:t xml:space="preserve"> </w:t>
      </w:r>
      <w:r>
        <w:t xml:space="preserve">Sarah Whitfield, Esq. (Lead Counsel); Jordan Reeves (Associate)</w:t>
      </w:r>
      <w:r>
        <w:t xml:space="preserve"> </w:t>
      </w:r>
      <w:r>
        <w:rPr>
          <w:b/>
          <w:bCs/>
        </w:rPr>
        <w:t xml:space="preserve">FROM:</w:t>
      </w:r>
      <w:r>
        <w:t xml:space="preserve"> </w:t>
      </w:r>
      <w:r>
        <w:t xml:space="preserve">Financial Discovery Review Team</w:t>
      </w:r>
      <w:r>
        <w:t xml:space="preserve"> </w:t>
      </w:r>
      <w:r>
        <w:rPr>
          <w:b/>
          <w:bCs/>
        </w:rPr>
        <w:t xml:space="preserve">DATE:</w:t>
      </w:r>
      <w:r>
        <w:t xml:space="preserve"> </w:t>
      </w:r>
      <w:r>
        <w:t xml:space="preserve">October 7, 2024</w:t>
      </w:r>
      <w:r>
        <w:t xml:space="preserve"> </w:t>
      </w:r>
      <w:r>
        <w:rPr>
          <w:b/>
          <w:bCs/>
        </w:rPr>
        <w:t xml:space="preserve">RE:</w:t>
      </w:r>
      <w:r>
        <w:t xml:space="preserve"> </w:t>
      </w:r>
      <w:r>
        <w:rPr>
          <w:i/>
          <w:iCs/>
        </w:rPr>
        <w:t xml:space="preserve">Torres-Kwan v. Kwan</w:t>
      </w:r>
      <w:r>
        <w:t xml:space="preserve">, Case No. 2024-DR-01847 (Cir. Ct. Fairview County, Columbia; Hon. Patricia Yoon-Callahan) — Review of Respondent’s First Production of Documents (PROD-001 through PROD-007) and Recommended Follow-Up Discovery</w:t>
      </w:r>
    </w:p>
    <w:p>
      <w:r>
        <w:pict>
          <v:rect style="width:0;height:1.5pt" o:hralign="center" o:hrstd="t" o:hr="t"/>
        </w:pict>
      </w:r>
    </w:p>
    <w:bookmarkStart w:id="21" w:name="i.-introduction-and-scope"/>
    <w:p>
      <w:pPr>
        <w:pStyle w:val="Heading2"/>
      </w:pPr>
      <w:r>
        <w:t xml:space="preserve">I. Introduction and Scope</w:t>
      </w:r>
    </w:p>
    <w:p>
      <w:pPr>
        <w:pStyle w:val="FirstParagraph"/>
      </w:pPr>
      <w:r>
        <w:t xml:space="preserve">This memorandum catalogs, summarizes, and evaluates the document production served by Respondent Darren Kwan (</w:t>
      </w:r>
      <w:r>
        <w:t xml:space="preserve">“</w:t>
      </w:r>
      <w:r>
        <w:t xml:space="preserve">Respondent</w:t>
      </w:r>
      <w:r>
        <w:t xml:space="preserve">”</w:t>
      </w:r>
      <w:r>
        <w:t xml:space="preserve">) through his counsel, Raymond Fossett of Hargrove Fossett &amp; Yates LLP, in response to Petitioner Melinda Torres-Kwan’s First Request for Production of Documents, Nos. 1–22. The transmittal email (production-cover-letter.eml) indexes seven (7) produced document sets (PROD-001 through PROD-007), identifies four (4) documents withheld on privilege grounds (PRIV-001 through PRIV-004), and indicates that entity-level records responsive to Request Nos. 16–22 remain outstanding pending</w:t>
      </w:r>
      <w:r>
        <w:t xml:space="preserve"> </w:t>
      </w:r>
      <w:r>
        <w:t xml:space="preserve">“</w:t>
      </w:r>
      <w:r>
        <w:t xml:space="preserve">coordination</w:t>
      </w:r>
      <w:r>
        <w:t xml:space="preserve">”</w:t>
      </w:r>
      <w:r>
        <w:t xml:space="preserve"> </w:t>
      </w:r>
      <w:r>
        <w:t xml:space="preserve">with NovaBridge Solutions LLC and its co-member Jared Ostrowski.</w:t>
      </w:r>
    </w:p>
    <w:p>
      <w:pPr>
        <w:pStyle w:val="BodyText"/>
      </w:pPr>
      <w:r>
        <w:t xml:space="preserve">We have reviewed each produced exhibit in full, cross-checked the figures reported in Respondent’s Sworn Financial Declaration (PROD-001) against the supporting account statements and tax records, and tested the internal arithmetic of the produced records. This memorandum (a) catalogs the exhibits; (b) summarizes the key figures; (c) flags material inconsistencies, omissions, and transactions of concern; and (d) recommends follow-up discovery. A summary of priorities appears in Section VI.</w:t>
      </w:r>
    </w:p>
    <w:p>
      <w:pPr>
        <w:pStyle w:val="BodyText"/>
      </w:pPr>
      <w:r>
        <w:rPr>
          <w:b/>
          <w:bCs/>
        </w:rPr>
        <w:t xml:space="preserve">Bottom line up front:</w:t>
      </w:r>
      <w:r>
        <w:t xml:space="preserve"> </w:t>
      </w:r>
      <w:r>
        <w:t xml:space="preserve">The production reveals several material discrepancies between the Sworn Financial Declaration and the supporting records. Most significantly, the Declaration (i) omits an entire real-property asset—a rental condominium at 1035 Elm Street, Unit C—along with its mortgage liability and rental income, all of which appear on the 2023 tax return; (ii) understates Respondent’s 2023 income by approximately $197,000 by reporting cash distributions ($174,000) in lieu of pass-through ordinary business income ($367,200); and (iii) does not disclose an $85,000 wire transfer out of the brokerage account on June 15, 2024 to an unlisted account at Harborstone Financial Group, nor a pattern of recurring Venmo transfers totaling $14,600 to an unidentified third party (</w:t>
      </w:r>
      <w:r>
        <w:t xml:space="preserve">“</w:t>
      </w:r>
      <w:r>
        <w:t xml:space="preserve">Kiera M.</w:t>
      </w:r>
      <w:r>
        <w:t xml:space="preserve">”</w:t>
      </w:r>
      <w:r>
        <w:t xml:space="preserve">). The separation date is also internally inconsistent as between the Declaration (June 1, 2024) and Respondent’s own cover-letter privilege log (August 1, 2024). These items warrant targeted follow-up discovery, as detailed below.</w:t>
      </w:r>
    </w:p>
    <w:p>
      <w:r>
        <w:pict>
          <v:rect style="width:0;height:1.5pt" o:hralign="center" o:hrstd="t" o:hr="t"/>
        </w:pict>
      </w:r>
    </w:p>
    <w:bookmarkEnd w:id="21"/>
    <w:bookmarkStart w:id="22" w:name="ii.-exhibit-catalog"/>
    <w:p>
      <w:pPr>
        <w:pStyle w:val="Heading2"/>
      </w:pPr>
      <w:r>
        <w:t xml:space="preserve">II. Exhibit Catalog</w:t>
      </w:r>
    </w:p>
    <w:p>
      <w:pPr>
        <w:pStyle w:val="FirstParagraph"/>
      </w:pPr>
      <w:r>
        <w:t xml:space="preserve">The following table catalogs the seven produced document sets, the privilege log, and the outstanding categories.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Prod. No.</w:t>
            </w:r>
          </w:p>
        </w:tc>
        <w:tc>
          <w:tcPr/>
          <w:p>
            <w:pPr>
              <w:pStyle w:val="Compact"/>
              <w:jc w:val="left"/>
            </w:pPr>
            <w:r>
              <w:t xml:space="preserve">Document</w:t>
            </w:r>
          </w:p>
        </w:tc>
        <w:tc>
          <w:tcPr/>
          <w:p>
            <w:pPr>
              <w:pStyle w:val="Compact"/>
              <w:jc w:val="left"/>
            </w:pPr>
            <w:r>
              <w:t xml:space="preserve">Bates Range</w:t>
            </w:r>
          </w:p>
        </w:tc>
        <w:tc>
          <w:tcPr/>
          <w:p>
            <w:pPr>
              <w:pStyle w:val="Compact"/>
              <w:jc w:val="left"/>
            </w:pPr>
            <w:r>
              <w:t xml:space="preserve">Period Covered</w:t>
            </w:r>
          </w:p>
        </w:tc>
        <w:tc>
          <w:tcPr/>
          <w:p>
            <w:pPr>
              <w:pStyle w:val="Compact"/>
              <w:jc w:val="left"/>
            </w:pPr>
            <w:r>
              <w:t xml:space="preserve">Source / Custodian</w:t>
            </w:r>
          </w:p>
        </w:tc>
        <w:tc>
          <w:tcPr/>
          <w:p>
            <w:pPr>
              <w:pStyle w:val="Compact"/>
              <w:jc w:val="left"/>
            </w:pPr>
            <w:r>
              <w:t xml:space="preserve">Responsive RFP Nos.</w:t>
            </w:r>
          </w:p>
        </w:tc>
        <w:tc>
          <w:tcPr/>
          <w:p>
            <w:pPr>
              <w:pStyle w:val="Compact"/>
              <w:jc w:val="left"/>
            </w:pPr>
            <w:r>
              <w:t xml:space="preserve">Contents</w:t>
            </w:r>
          </w:p>
        </w:tc>
      </w:tr>
      <w:tr>
        <w:tc>
          <w:tcPr/>
          <w:p>
            <w:pPr>
              <w:pStyle w:val="Compact"/>
              <w:jc w:val="left"/>
            </w:pPr>
            <w:r>
              <w:t xml:space="preserve">PROD-001</w:t>
            </w:r>
          </w:p>
        </w:tc>
        <w:tc>
          <w:tcPr/>
          <w:p>
            <w:pPr>
              <w:pStyle w:val="Compact"/>
              <w:jc w:val="left"/>
            </w:pPr>
            <w:r>
              <w:t xml:space="preserve">Respondent’s Sworn Financial Declaration</w:t>
            </w:r>
          </w:p>
        </w:tc>
        <w:tc>
          <w:tcPr/>
          <w:p>
            <w:pPr>
              <w:pStyle w:val="Compact"/>
              <w:jc w:val="left"/>
            </w:pPr>
            <w:r>
              <w:t xml:space="preserve">(none stated)</w:t>
            </w:r>
          </w:p>
        </w:tc>
        <w:tc>
          <w:tcPr/>
          <w:p>
            <w:pPr>
              <w:pStyle w:val="Compact"/>
              <w:jc w:val="left"/>
            </w:pPr>
            <w:r>
              <w:t xml:space="preserve">Filed 9/20/2024 (per Declaration); cover letter states</w:t>
            </w:r>
            <w:r>
              <w:t xml:space="preserve"> </w:t>
            </w:r>
            <w:r>
              <w:t xml:space="preserve">“</w:t>
            </w:r>
            <w:r>
              <w:t xml:space="preserve">on or about 10/4/2024</w:t>
            </w:r>
            <w:r>
              <w:t xml:space="preserve">”</w:t>
            </w:r>
          </w:p>
        </w:tc>
        <w:tc>
          <w:tcPr/>
          <w:p>
            <w:pPr>
              <w:pStyle w:val="Compact"/>
              <w:jc w:val="left"/>
            </w:pPr>
            <w:r>
              <w:t xml:space="preserve">Darren Kwan / R. Fossett</w:t>
            </w:r>
          </w:p>
        </w:tc>
        <w:tc>
          <w:tcPr/>
          <w:p>
            <w:pPr>
              <w:pStyle w:val="Compact"/>
              <w:jc w:val="left"/>
            </w:pPr>
            <w:r>
              <w:t xml:space="preserve">1, 2, 3</w:t>
            </w:r>
          </w:p>
        </w:tc>
        <w:tc>
          <w:tcPr/>
          <w:p>
            <w:pPr>
              <w:pStyle w:val="Compact"/>
              <w:jc w:val="left"/>
            </w:pPr>
            <w:r>
              <w:t xml:space="preserve">Sworn declaration of income, assets, liabilities, and monthly expenses under Columbia Family Code § 9-207</w:t>
            </w:r>
          </w:p>
        </w:tc>
      </w:tr>
      <w:tr>
        <w:tc>
          <w:tcPr/>
          <w:p>
            <w:pPr>
              <w:pStyle w:val="Compact"/>
              <w:jc w:val="left"/>
            </w:pPr>
            <w:r>
              <w:t xml:space="preserve">PROD-002</w:t>
            </w:r>
          </w:p>
        </w:tc>
        <w:tc>
          <w:tcPr/>
          <w:p>
            <w:pPr>
              <w:pStyle w:val="Compact"/>
              <w:jc w:val="left"/>
            </w:pPr>
            <w:r>
              <w:t xml:space="preserve">2023 Joint Form 1040 excerpts (Schedule E, K-1, W-2s, entity summary)</w:t>
            </w:r>
          </w:p>
        </w:tc>
        <w:tc>
          <w:tcPr/>
          <w:p>
            <w:pPr>
              <w:pStyle w:val="Compact"/>
              <w:jc w:val="left"/>
            </w:pPr>
            <w:r>
              <w:t xml:space="preserve">DK-PROD-0045 – DK-PROD-0058</w:t>
            </w:r>
          </w:p>
        </w:tc>
        <w:tc>
          <w:tcPr/>
          <w:p>
            <w:pPr>
              <w:pStyle w:val="Compact"/>
              <w:jc w:val="left"/>
            </w:pPr>
            <w:r>
              <w:t xml:space="preserve">Tax Year 2023</w:t>
            </w:r>
          </w:p>
        </w:tc>
        <w:tc>
          <w:tcPr/>
          <w:p>
            <w:pPr>
              <w:pStyle w:val="Compact"/>
              <w:jc w:val="left"/>
            </w:pPr>
            <w:r>
              <w:t xml:space="preserve">Darren &amp; Melinda Kwan; Archer &amp; Linden CPAs</w:t>
            </w:r>
          </w:p>
        </w:tc>
        <w:tc>
          <w:tcPr/>
          <w:p>
            <w:pPr>
              <w:pStyle w:val="Compact"/>
              <w:jc w:val="left"/>
            </w:pPr>
            <w:r>
              <w:t xml:space="preserve">4, 5, 8</w:t>
            </w:r>
          </w:p>
        </w:tc>
        <w:tc>
          <w:tcPr/>
          <w:p>
            <w:pPr>
              <w:pStyle w:val="Compact"/>
              <w:jc w:val="left"/>
            </w:pPr>
            <w:r>
              <w:t xml:space="preserve">Form 1040 (MFJ), W-2s for both parties, Schedule E (rental + partnership), Schedule K-1, NovaBridge entity summary; 14 of 47 pages produced</w:t>
            </w:r>
          </w:p>
        </w:tc>
      </w:tr>
      <w:tr>
        <w:tc>
          <w:tcPr/>
          <w:p>
            <w:pPr>
              <w:pStyle w:val="Compact"/>
              <w:jc w:val="left"/>
            </w:pPr>
            <w:r>
              <w:t xml:space="preserve">PROD-003</w:t>
            </w:r>
          </w:p>
        </w:tc>
        <w:tc>
          <w:tcPr/>
          <w:p>
            <w:pPr>
              <w:pStyle w:val="Compact"/>
              <w:jc w:val="left"/>
            </w:pPr>
            <w:r>
              <w:t xml:space="preserve">Crestline Wealth Advisors brokerage statements, acct ending 9956</w:t>
            </w:r>
          </w:p>
        </w:tc>
        <w:tc>
          <w:tcPr/>
          <w:p>
            <w:pPr>
              <w:pStyle w:val="Compact"/>
              <w:jc w:val="left"/>
            </w:pPr>
            <w:r>
              <w:t xml:space="preserve">KWAN_PROD_00142 – KWAN_PROD_00158</w:t>
            </w:r>
          </w:p>
        </w:tc>
        <w:tc>
          <w:tcPr/>
          <w:p>
            <w:pPr>
              <w:pStyle w:val="Compact"/>
              <w:jc w:val="left"/>
            </w:pPr>
            <w:r>
              <w:t xml:space="preserve">Jan 1 – Aug 1, 2024</w:t>
            </w:r>
          </w:p>
        </w:tc>
        <w:tc>
          <w:tcPr/>
          <w:p>
            <w:pPr>
              <w:pStyle w:val="Compact"/>
              <w:jc w:val="left"/>
            </w:pPr>
            <w:r>
              <w:t xml:space="preserve">Crestline Wealth Advisors (Nathan Greer, CFP)</w:t>
            </w:r>
          </w:p>
        </w:tc>
        <w:tc>
          <w:tcPr/>
          <w:p>
            <w:pPr>
              <w:pStyle w:val="Compact"/>
              <w:jc w:val="left"/>
            </w:pPr>
            <w:r>
              <w:t xml:space="preserve">6, 7</w:t>
            </w:r>
          </w:p>
        </w:tc>
        <w:tc>
          <w:tcPr/>
          <w:p>
            <w:pPr>
              <w:pStyle w:val="Compact"/>
              <w:jc w:val="left"/>
            </w:pPr>
            <w:r>
              <w:t xml:space="preserve">Monthly statements Jan–Jul 2024 plus Aug 1, 2024 interim valuation; individual taxable brokerage</w:t>
            </w:r>
          </w:p>
        </w:tc>
      </w:tr>
      <w:tr>
        <w:tc>
          <w:tcPr/>
          <w:p>
            <w:pPr>
              <w:pStyle w:val="Compact"/>
              <w:jc w:val="left"/>
            </w:pPr>
            <w:r>
              <w:t xml:space="preserve">PROD-004</w:t>
            </w:r>
          </w:p>
        </w:tc>
        <w:tc>
          <w:tcPr/>
          <w:p>
            <w:pPr>
              <w:pStyle w:val="Compact"/>
              <w:jc w:val="left"/>
            </w:pPr>
            <w:r>
              <w:t xml:space="preserve">Fairview Community Bank individual statements, accts ending 7703 &amp; 7704</w:t>
            </w:r>
          </w:p>
        </w:tc>
        <w:tc>
          <w:tcPr/>
          <w:p>
            <w:pPr>
              <w:pStyle w:val="Compact"/>
              <w:jc w:val="left"/>
            </w:pPr>
            <w:r>
              <w:t xml:space="preserve">KWAN_PROD_0401 – KWAN_PROD_0424</w:t>
            </w:r>
          </w:p>
        </w:tc>
        <w:tc>
          <w:tcPr/>
          <w:p>
            <w:pPr>
              <w:pStyle w:val="Compact"/>
              <w:jc w:val="left"/>
            </w:pPr>
            <w:r>
              <w:t xml:space="preserve">Mar 1 – Aug 1, 2024</w:t>
            </w:r>
          </w:p>
        </w:tc>
        <w:tc>
          <w:tcPr/>
          <w:p>
            <w:pPr>
              <w:pStyle w:val="Compact"/>
              <w:jc w:val="left"/>
            </w:pPr>
            <w:r>
              <w:t xml:space="preserve">Fairview Community Bank</w:t>
            </w:r>
          </w:p>
        </w:tc>
        <w:tc>
          <w:tcPr/>
          <w:p>
            <w:pPr>
              <w:pStyle w:val="Compact"/>
              <w:jc w:val="left"/>
            </w:pPr>
            <w:r>
              <w:t xml:space="preserve">6, 7</w:t>
            </w:r>
          </w:p>
        </w:tc>
        <w:tc>
          <w:tcPr/>
          <w:p>
            <w:pPr>
              <w:pStyle w:val="Compact"/>
              <w:jc w:val="left"/>
            </w:pPr>
            <w:r>
              <w:t xml:space="preserve">Individual checking (7703) and individual savings (7704) statements; joint accounts 4821/4822 NOT included</w:t>
            </w:r>
          </w:p>
        </w:tc>
      </w:tr>
      <w:tr>
        <w:tc>
          <w:tcPr/>
          <w:p>
            <w:pPr>
              <w:pStyle w:val="Compact"/>
              <w:jc w:val="left"/>
            </w:pPr>
            <w:r>
              <w:t xml:space="preserve">PROD-005</w:t>
            </w:r>
          </w:p>
        </w:tc>
        <w:tc>
          <w:tcPr/>
          <w:p>
            <w:pPr>
              <w:pStyle w:val="Compact"/>
              <w:jc w:val="left"/>
            </w:pPr>
            <w:r>
              <w:t xml:space="preserve">Meridian Home Lending mortgage statements</w:t>
            </w:r>
          </w:p>
        </w:tc>
        <w:tc>
          <w:tcPr/>
          <w:p>
            <w:pPr>
              <w:pStyle w:val="Compact"/>
              <w:jc w:val="left"/>
            </w:pPr>
            <w:r>
              <w:t xml:space="preserve">(none stated)</w:t>
            </w:r>
          </w:p>
        </w:tc>
        <w:tc>
          <w:tcPr/>
          <w:p>
            <w:pPr>
              <w:pStyle w:val="Compact"/>
              <w:jc w:val="left"/>
            </w:pPr>
            <w:r>
              <w:t xml:space="preserve">Jun, Jul, Aug 2024</w:t>
            </w:r>
          </w:p>
        </w:tc>
        <w:tc>
          <w:tcPr/>
          <w:p>
            <w:pPr>
              <w:pStyle w:val="Compact"/>
              <w:jc w:val="left"/>
            </w:pPr>
            <w:r>
              <w:t xml:space="preserve">Meridian Home Lending</w:t>
            </w:r>
          </w:p>
        </w:tc>
        <w:tc>
          <w:tcPr/>
          <w:p>
            <w:pPr>
              <w:pStyle w:val="Compact"/>
              <w:jc w:val="left"/>
            </w:pPr>
            <w:r>
              <w:t xml:space="preserve">9, 10</w:t>
            </w:r>
          </w:p>
        </w:tc>
        <w:tc>
          <w:tcPr/>
          <w:p>
            <w:pPr>
              <w:pStyle w:val="Compact"/>
              <w:jc w:val="left"/>
            </w:pPr>
            <w:r>
              <w:t xml:space="preserve">Monthly mortgage statements for 1035 Elm Street, Unit C (Loan No. 7842-0163-ELM); sole borrower Darren Kwan</w:t>
            </w:r>
          </w:p>
        </w:tc>
      </w:tr>
      <w:tr>
        <w:tc>
          <w:tcPr/>
          <w:p>
            <w:pPr>
              <w:pStyle w:val="Compact"/>
              <w:jc w:val="left"/>
            </w:pPr>
            <w:r>
              <w:t xml:space="preserve">PROD-006</w:t>
            </w:r>
          </w:p>
        </w:tc>
        <w:tc>
          <w:tcPr/>
          <w:p>
            <w:pPr>
              <w:pStyle w:val="Compact"/>
              <w:jc w:val="left"/>
            </w:pPr>
            <w:r>
              <w:t xml:space="preserve">Platinum Visa credit card statements</w:t>
            </w:r>
          </w:p>
        </w:tc>
        <w:tc>
          <w:tcPr/>
          <w:p>
            <w:pPr>
              <w:pStyle w:val="Compact"/>
              <w:jc w:val="left"/>
            </w:pPr>
            <w:r>
              <w:t xml:space="preserve">(none stated)</w:t>
            </w:r>
          </w:p>
        </w:tc>
        <w:tc>
          <w:tcPr/>
          <w:p>
            <w:pPr>
              <w:pStyle w:val="Compact"/>
              <w:jc w:val="left"/>
            </w:pPr>
            <w:r>
              <w:t xml:space="preserve">May – Aug 2024</w:t>
            </w:r>
          </w:p>
        </w:tc>
        <w:tc>
          <w:tcPr/>
          <w:p>
            <w:pPr>
              <w:pStyle w:val="Compact"/>
              <w:jc w:val="left"/>
            </w:pPr>
            <w:r>
              <w:t xml:space="preserve">Fairview Community Bank (Card Services)</w:t>
            </w:r>
          </w:p>
        </w:tc>
        <w:tc>
          <w:tcPr/>
          <w:p>
            <w:pPr>
              <w:pStyle w:val="Compact"/>
              <w:jc w:val="left"/>
            </w:pPr>
            <w:r>
              <w:t xml:space="preserve">6, 7, 11</w:t>
            </w:r>
          </w:p>
        </w:tc>
        <w:tc>
          <w:tcPr/>
          <w:p>
            <w:pPr>
              <w:pStyle w:val="Compact"/>
              <w:jc w:val="left"/>
            </w:pPr>
            <w:r>
              <w:t xml:space="preserve">Monthly card statements, acct ending 8316, Darren Kwan</w:t>
            </w:r>
          </w:p>
        </w:tc>
      </w:tr>
      <w:tr>
        <w:tc>
          <w:tcPr/>
          <w:p>
            <w:pPr>
              <w:pStyle w:val="Compact"/>
              <w:jc w:val="left"/>
            </w:pPr>
            <w:r>
              <w:t xml:space="preserve">PROD-007</w:t>
            </w:r>
          </w:p>
        </w:tc>
        <w:tc>
          <w:tcPr/>
          <w:p>
            <w:pPr>
              <w:pStyle w:val="Compact"/>
              <w:jc w:val="left"/>
            </w:pPr>
            <w:r>
              <w:t xml:space="preserve">NovaBridge Solutions LLC expense reimbursement reports (D. Kwan)</w:t>
            </w:r>
          </w:p>
        </w:tc>
        <w:tc>
          <w:tcPr/>
          <w:p>
            <w:pPr>
              <w:pStyle w:val="Compact"/>
              <w:jc w:val="left"/>
            </w:pPr>
            <w:r>
              <w:t xml:space="preserve">KWAN_PROD_00187 – KWAN_PROD_00193</w:t>
            </w:r>
          </w:p>
        </w:tc>
        <w:tc>
          <w:tcPr/>
          <w:p>
            <w:pPr>
              <w:pStyle w:val="Compact"/>
              <w:jc w:val="left"/>
            </w:pPr>
            <w:r>
              <w:t xml:space="preserve">Q1–Q2 2024 (Jan 1 – Jun 30)</w:t>
            </w:r>
          </w:p>
        </w:tc>
        <w:tc>
          <w:tcPr/>
          <w:p>
            <w:pPr>
              <w:pStyle w:val="Compact"/>
              <w:jc w:val="left"/>
            </w:pPr>
            <w:r>
              <w:t xml:space="preserve">NovaBridge Solutions LLC</w:t>
            </w:r>
          </w:p>
        </w:tc>
        <w:tc>
          <w:tcPr/>
          <w:p>
            <w:pPr>
              <w:pStyle w:val="Compact"/>
              <w:jc w:val="left"/>
            </w:pPr>
            <w:r>
              <w:t xml:space="preserve">5, 8, 12</w:t>
            </w:r>
          </w:p>
        </w:tc>
        <w:tc>
          <w:tcPr/>
          <w:p>
            <w:pPr>
              <w:pStyle w:val="Compact"/>
              <w:jc w:val="left"/>
            </w:pPr>
            <w:r>
              <w:t xml:space="preserve">Officer expense reimbursement reports; self-approved per Operating Agreement §5.3</w:t>
            </w:r>
          </w:p>
        </w:tc>
      </w:tr>
    </w:tbl>
    <w:p>
      <w:pPr>
        <w:pStyle w:val="BodyText"/>
      </w:pPr>
      <w:r>
        <w:rPr>
          <w:b/>
          <w:bCs/>
        </w:rPr>
        <w:t xml:space="preserve">Withheld on privilege (per cover letter; formal log</w:t>
      </w:r>
      <w:r>
        <w:rPr>
          <w:b/>
          <w:bCs/>
        </w:rPr>
        <w:t xml:space="preserve"> </w:t>
      </w:r>
      <w:r>
        <w:rPr>
          <w:b/>
          <w:bCs/>
        </w:rPr>
        <w:t xml:space="preserve">“</w:t>
      </w:r>
      <w:r>
        <w:rPr>
          <w:b/>
          <w:bCs/>
        </w:rPr>
        <w:t xml:space="preserve">forthcoming within 10 business days</w:t>
      </w:r>
      <w:r>
        <w:rPr>
          <w:b/>
          <w:bCs/>
        </w:rPr>
        <w:t xml:space="preserve">”</w:t>
      </w:r>
      <w:r>
        <w:rPr>
          <w:b/>
          <w:bCs/>
        </w:rP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Priv. No.</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Basis Asserted</w:t>
            </w:r>
          </w:p>
        </w:tc>
      </w:tr>
      <w:tr>
        <w:tc>
          <w:tcPr/>
          <w:p>
            <w:pPr>
              <w:pStyle w:val="Compact"/>
              <w:jc w:val="left"/>
            </w:pPr>
            <w:r>
              <w:t xml:space="preserve">PRIV-001</w:t>
            </w:r>
          </w:p>
        </w:tc>
        <w:tc>
          <w:tcPr/>
          <w:p>
            <w:pPr>
              <w:pStyle w:val="Compact"/>
              <w:jc w:val="left"/>
            </w:pPr>
            <w:r>
              <w:t xml:space="preserve">Email, D. Kwan → R. Fossett, re: financial obligations and asset disclosures</w:t>
            </w:r>
            <w:r>
              <w:t xml:space="preserve"> </w:t>
            </w:r>
            <w:r>
              <w:t xml:space="preserve">“</w:t>
            </w:r>
            <w:r>
              <w:t xml:space="preserve">following the parties’ separation on August 1, 2024</w:t>
            </w:r>
            <w:r>
              <w:t xml:space="preserve">”</w:t>
            </w:r>
          </w:p>
        </w:tc>
        <w:tc>
          <w:tcPr/>
          <w:p>
            <w:pPr>
              <w:pStyle w:val="Compact"/>
              <w:jc w:val="left"/>
            </w:pPr>
            <w:r>
              <w:t xml:space="preserve">Aug 5, 2024</w:t>
            </w:r>
          </w:p>
        </w:tc>
        <w:tc>
          <w:tcPr/>
          <w:p>
            <w:pPr>
              <w:pStyle w:val="Compact"/>
              <w:jc w:val="left"/>
            </w:pPr>
            <w:r>
              <w:t xml:space="preserve">Attorney-client</w:t>
            </w:r>
          </w:p>
        </w:tc>
      </w:tr>
      <w:tr>
        <w:tc>
          <w:tcPr/>
          <w:p>
            <w:pPr>
              <w:pStyle w:val="Compact"/>
              <w:jc w:val="left"/>
            </w:pPr>
            <w:r>
              <w:t xml:space="preserve">PRIV-002</w:t>
            </w:r>
          </w:p>
        </w:tc>
        <w:tc>
          <w:tcPr/>
          <w:p>
            <w:pPr>
              <w:pStyle w:val="Compact"/>
              <w:jc w:val="left"/>
            </w:pPr>
            <w:r>
              <w:t xml:space="preserve">Email chain, D. Kwan ↔ R. Fossett, re:</w:t>
            </w:r>
            <w:r>
              <w:t xml:space="preserve"> </w:t>
            </w:r>
            <w:r>
              <w:t xml:space="preserve">“</w:t>
            </w:r>
            <w:r>
              <w:t xml:space="preserve">Document preservation and disclosure obligations post-separation August 1, 2024</w:t>
            </w:r>
            <w:r>
              <w:t xml:space="preserve">”</w:t>
            </w:r>
          </w:p>
        </w:tc>
        <w:tc>
          <w:tcPr/>
          <w:p>
            <w:pPr>
              <w:pStyle w:val="Compact"/>
              <w:jc w:val="left"/>
            </w:pPr>
            <w:r>
              <w:t xml:space="preserve">Aug 12–14, 2024</w:t>
            </w:r>
          </w:p>
        </w:tc>
        <w:tc>
          <w:tcPr/>
          <w:p>
            <w:pPr>
              <w:pStyle w:val="Compact"/>
              <w:jc w:val="left"/>
            </w:pPr>
            <w:r>
              <w:t xml:space="preserve">Attorney-client</w:t>
            </w:r>
          </w:p>
        </w:tc>
      </w:tr>
      <w:tr>
        <w:tc>
          <w:tcPr/>
          <w:p>
            <w:pPr>
              <w:pStyle w:val="Compact"/>
              <w:jc w:val="left"/>
            </w:pPr>
            <w:r>
              <w:t xml:space="preserve">PRIV-003</w:t>
            </w:r>
          </w:p>
        </w:tc>
        <w:tc>
          <w:tcPr/>
          <w:p>
            <w:pPr>
              <w:pStyle w:val="Compact"/>
              <w:jc w:val="left"/>
            </w:pPr>
            <w:r>
              <w:t xml:space="preserve">Memorandum, R. Fossett → D. Kwan, re:</w:t>
            </w:r>
            <w:r>
              <w:t xml:space="preserve"> </w:t>
            </w:r>
            <w:r>
              <w:t xml:space="preserve">“</w:t>
            </w:r>
            <w:r>
              <w:t xml:space="preserve">Preliminary analysis of marital estate</w:t>
            </w:r>
            <w:r>
              <w:t xml:space="preserve">”</w:t>
            </w:r>
          </w:p>
        </w:tc>
        <w:tc>
          <w:tcPr/>
          <w:p>
            <w:pPr>
              <w:pStyle w:val="Compact"/>
              <w:jc w:val="left"/>
            </w:pPr>
            <w:r>
              <w:t xml:space="preserve">Aug 20, 2024</w:t>
            </w:r>
          </w:p>
        </w:tc>
        <w:tc>
          <w:tcPr/>
          <w:p>
            <w:pPr>
              <w:pStyle w:val="Compact"/>
              <w:jc w:val="left"/>
            </w:pPr>
            <w:r>
              <w:t xml:space="preserve">Attorney-client / work product</w:t>
            </w:r>
          </w:p>
        </w:tc>
      </w:tr>
      <w:tr>
        <w:tc>
          <w:tcPr/>
          <w:p>
            <w:pPr>
              <w:pStyle w:val="Compact"/>
              <w:jc w:val="left"/>
            </w:pPr>
            <w:r>
              <w:t xml:space="preserve">PRIV-004</w:t>
            </w:r>
          </w:p>
        </w:tc>
        <w:tc>
          <w:tcPr/>
          <w:p>
            <w:pPr>
              <w:pStyle w:val="Compact"/>
              <w:jc w:val="left"/>
            </w:pPr>
            <w:r>
              <w:t xml:space="preserve">Email, D. Kwan → R. Fossett, re:</w:t>
            </w:r>
            <w:r>
              <w:t xml:space="preserve"> </w:t>
            </w:r>
            <w:r>
              <w:t xml:space="preserve">“</w:t>
            </w:r>
            <w:r>
              <w:t xml:space="preserve">Response to petition</w:t>
            </w:r>
            <w:r>
              <w:t xml:space="preserve">”</w:t>
            </w:r>
          </w:p>
        </w:tc>
        <w:tc>
          <w:tcPr/>
          <w:p>
            <w:pPr>
              <w:pStyle w:val="Compact"/>
              <w:jc w:val="left"/>
            </w:pPr>
            <w:r>
              <w:t xml:space="preserve">Sep 8, 2024</w:t>
            </w:r>
          </w:p>
        </w:tc>
        <w:tc>
          <w:tcPr/>
          <w:p>
            <w:pPr>
              <w:pStyle w:val="Compact"/>
              <w:jc w:val="left"/>
            </w:pPr>
            <w:r>
              <w:t xml:space="preserve">Attorney-client</w:t>
            </w:r>
          </w:p>
        </w:tc>
      </w:tr>
    </w:tbl>
    <w:p>
      <w:pPr>
        <w:pStyle w:val="BodyText"/>
      </w:pPr>
      <w:r>
        <w:rPr>
          <w:b/>
          <w:bCs/>
        </w:rPr>
        <w:t xml:space="preserve">Outstanding / to be supplemented:</w:t>
      </w:r>
      <w:r>
        <w:t xml:space="preserve"> </w:t>
      </w:r>
      <w:r>
        <w:t xml:space="preserve">Request Nos. 16–22 (NovaBridge entity records, Operating Agreement, entity-level financials) — Respondent states he is</w:t>
      </w:r>
      <w:r>
        <w:t xml:space="preserve"> </w:t>
      </w:r>
      <w:r>
        <w:t xml:space="preserve">“</w:t>
      </w:r>
      <w:r>
        <w:t xml:space="preserve">continuing to coordinate</w:t>
      </w:r>
      <w:r>
        <w:t xml:space="preserve">”</w:t>
      </w:r>
      <w:r>
        <w:t xml:space="preserve"> </w:t>
      </w:r>
      <w:r>
        <w:t xml:space="preserve">with NovaBridge and co-member Jared Ostrowski and</w:t>
      </w:r>
      <w:r>
        <w:t xml:space="preserve"> </w:t>
      </w:r>
      <w:r>
        <w:t xml:space="preserve">“</w:t>
      </w:r>
      <w:r>
        <w:t xml:space="preserve">will supplement.</w:t>
      </w:r>
      <w:r>
        <w:t xml:space="preserve">”</w:t>
      </w:r>
      <w:r>
        <w:t xml:space="preserve"> </w:t>
      </w:r>
      <w:r>
        <w:t xml:space="preserve">No timetable stated beyond the supplementation promise.</w:t>
      </w:r>
    </w:p>
    <w:p>
      <w:pPr>
        <w:pStyle w:val="BodyText"/>
      </w:pPr>
      <w:r>
        <w:rPr>
          <w:b/>
          <w:bCs/>
        </w:rPr>
        <w:t xml:space="preserve">Production-integrity notes:</w:t>
      </w:r>
      <w:r>
        <w:t xml:space="preserve"> </w:t>
      </w:r>
      <w:r>
        <w:t xml:space="preserve">(a) The cover-letter email contains no date in the</w:t>
      </w:r>
      <w:r>
        <w:t xml:space="preserve"> </w:t>
      </w:r>
      <w:r>
        <w:t xml:space="preserve">“</w:t>
      </w:r>
      <w:r>
        <w:t xml:space="preserve">Date:</w:t>
      </w:r>
      <w:r>
        <w:t xml:space="preserve">”</w:t>
      </w:r>
      <w:r>
        <w:t xml:space="preserve"> </w:t>
      </w:r>
      <w:r>
        <w:t xml:space="preserve">field. (b) Bates-stamp prefixes are inconsistent across sets (</w:t>
      </w:r>
      <w:r>
        <w:t xml:space="preserve">“</w:t>
      </w:r>
      <w:r>
        <w:t xml:space="preserve">DK-PROD-</w:t>
      </w:r>
      <w:r>
        <w:t xml:space="preserve">”</w:t>
      </w:r>
      <w:r>
        <w:t xml:space="preserve"> </w:t>
      </w:r>
      <w:r>
        <w:t xml:space="preserve">for the tax return vs. </w:t>
      </w:r>
      <w:r>
        <w:t xml:space="preserve">“</w:t>
      </w:r>
      <w:r>
        <w:t xml:space="preserve">KWAN_PROD_</w:t>
      </w:r>
      <w:r>
        <w:t xml:space="preserve">”</w:t>
      </w:r>
      <w:r>
        <w:t xml:space="preserve"> </w:t>
      </w:r>
      <w:r>
        <w:t xml:space="preserve">for all others), and no Bates range appears on PROD-001, PROD-005, or PROD-006. (c) The production stamp on PROD-004 misstates the case number as</w:t>
      </w:r>
      <w:r>
        <w:t xml:space="preserve"> </w:t>
      </w:r>
      <w:r>
        <w:t xml:space="preserve">“</w:t>
      </w:r>
      <w:r>
        <w:t xml:space="preserve">2024-DR-00847</w:t>
      </w:r>
      <w:r>
        <w:t xml:space="preserve">”</w:t>
      </w:r>
      <w:r>
        <w:t xml:space="preserve"> </w:t>
      </w:r>
      <w:r>
        <w:t xml:space="preserve">(correct: 2024-DR-01847) and the caption as</w:t>
      </w:r>
      <w:r>
        <w:t xml:space="preserve"> </w:t>
      </w:r>
      <w:r>
        <w:t xml:space="preserve">“</w:t>
      </w:r>
      <w:r>
        <w:rPr>
          <w:i/>
          <w:iCs/>
        </w:rPr>
        <w:t xml:space="preserve">In re Marriage of Kwan</w:t>
      </w:r>
      <w:r>
        <w:t xml:space="preserve">”</w:t>
      </w:r>
      <w:r>
        <w:t xml:space="preserve"> </w:t>
      </w:r>
      <w:r>
        <w:t xml:space="preserve">(correct:</w:t>
      </w:r>
      <w:r>
        <w:t xml:space="preserve"> </w:t>
      </w:r>
      <w:r>
        <w:rPr>
          <w:i/>
          <w:iCs/>
        </w:rPr>
        <w:t xml:space="preserve">Torres-Kwan v. Kwan</w:t>
      </w:r>
      <w:r>
        <w:t xml:space="preserve">).</w:t>
      </w:r>
    </w:p>
    <w:p>
      <w:r>
        <w:pict>
          <v:rect style="width:0;height:1.5pt" o:hralign="center" o:hrstd="t" o:hr="t"/>
        </w:pict>
      </w:r>
    </w:p>
    <w:bookmarkEnd w:id="22"/>
    <w:bookmarkStart w:id="29" w:name="iii.-summary-of-key-figures"/>
    <w:p>
      <w:pPr>
        <w:pStyle w:val="Heading2"/>
      </w:pPr>
      <w:r>
        <w:t xml:space="preserve">III. Summary of Key Figures</w:t>
      </w:r>
    </w:p>
    <w:bookmarkStart w:id="23" w:name="X693f369556209db18c5bdd8ac055499cce4ca09"/>
    <w:p>
      <w:pPr>
        <w:pStyle w:val="Heading3"/>
      </w:pPr>
      <w:r>
        <w:t xml:space="preserve">A. Income (Tax Year 2023) — Declaration vs. Tax Return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Per Sworn Financial Declaration (PROD-001)</w:t>
            </w:r>
          </w:p>
        </w:tc>
        <w:tc>
          <w:tcPr/>
          <w:p>
            <w:pPr>
              <w:pStyle w:val="Compact"/>
              <w:jc w:val="left"/>
            </w:pPr>
            <w:r>
              <w:t xml:space="preserve">Per 2023 Tax Return (PROD-002)</w:t>
            </w:r>
          </w:p>
        </w:tc>
        <w:tc>
          <w:tcPr/>
          <w:p>
            <w:pPr>
              <w:pStyle w:val="Compact"/>
              <w:jc w:val="left"/>
            </w:pPr>
            <w:r>
              <w:t xml:space="preserve">Variance</w:t>
            </w:r>
          </w:p>
        </w:tc>
      </w:tr>
      <w:tr>
        <w:tc>
          <w:tcPr/>
          <w:p>
            <w:pPr>
              <w:pStyle w:val="Compact"/>
              <w:jc w:val="left"/>
            </w:pPr>
            <w:r>
              <w:t xml:space="preserve">W-2 wages (Darren, NovaBridge)</w:t>
            </w:r>
          </w:p>
        </w:tc>
        <w:tc>
          <w:tcPr/>
          <w:p>
            <w:pPr>
              <w:pStyle w:val="Compact"/>
              <w:jc w:val="left"/>
            </w:pPr>
            <w:r>
              <w:t xml:space="preserve">$185,000</w:t>
            </w:r>
          </w:p>
        </w:tc>
        <w:tc>
          <w:tcPr/>
          <w:p>
            <w:pPr>
              <w:pStyle w:val="Compact"/>
              <w:jc w:val="left"/>
            </w:pPr>
            <w:r>
              <w:t xml:space="preserve">$185,000 (W-2 Box 1)</w:t>
            </w:r>
          </w:p>
        </w:tc>
        <w:tc>
          <w:tcPr/>
          <w:p>
            <w:pPr>
              <w:pStyle w:val="Compact"/>
              <w:jc w:val="left"/>
            </w:pPr>
            <w:r>
              <w:t xml:space="preserve">None</w:t>
            </w:r>
          </w:p>
        </w:tc>
      </w:tr>
      <w:tr>
        <w:tc>
          <w:tcPr/>
          <w:p>
            <w:pPr>
              <w:pStyle w:val="Compact"/>
              <w:jc w:val="left"/>
            </w:pPr>
            <w:r>
              <w:t xml:space="preserve">K-1 pass-through income</w:t>
            </w:r>
          </w:p>
        </w:tc>
        <w:tc>
          <w:tcPr/>
          <w:p>
            <w:pPr>
              <w:pStyle w:val="Compact"/>
              <w:jc w:val="left"/>
            </w:pPr>
            <w:r>
              <w:rPr>
                <w:b/>
                <w:bCs/>
              </w:rPr>
              <w:t xml:space="preserve">$174,000</w:t>
            </w:r>
            <w:r>
              <w:t xml:space="preserve"> </w:t>
            </w:r>
            <w:r>
              <w:t xml:space="preserve">(reported as</w:t>
            </w:r>
            <w:r>
              <w:t xml:space="preserve"> </w:t>
            </w:r>
            <w:r>
              <w:t xml:space="preserve">“</w:t>
            </w:r>
            <w:r>
              <w:t xml:space="preserve">K-1 Income / Distributions</w:t>
            </w:r>
            <w:r>
              <w:t xml:space="preserve">”</w:t>
            </w:r>
            <w:r>
              <w:t xml:space="preserve">)</w:t>
            </w:r>
          </w:p>
        </w:tc>
        <w:tc>
          <w:tcPr/>
          <w:p>
            <w:pPr>
              <w:pStyle w:val="Compact"/>
              <w:jc w:val="left"/>
            </w:pPr>
            <w:r>
              <w:rPr>
                <w:b/>
                <w:bCs/>
              </w:rPr>
              <w:t xml:space="preserve">$367,200</w:t>
            </w:r>
            <w:r>
              <w:t xml:space="preserve"> </w:t>
            </w:r>
            <w:r>
              <w:t xml:space="preserve">(K-1 Box 1, ordinary business income)</w:t>
            </w:r>
          </w:p>
        </w:tc>
        <w:tc>
          <w:tcPr/>
          <w:p>
            <w:pPr>
              <w:pStyle w:val="Compact"/>
              <w:jc w:val="left"/>
            </w:pPr>
            <w:r>
              <w:rPr>
                <w:b/>
                <w:bCs/>
              </w:rPr>
              <w:t xml:space="preserve">+$193,200</w:t>
            </w:r>
          </w:p>
        </w:tc>
      </w:tr>
      <w:tr>
        <w:tc>
          <w:tcPr/>
          <w:p>
            <w:pPr>
              <w:pStyle w:val="Compact"/>
              <w:jc w:val="left"/>
            </w:pPr>
            <w:r>
              <w:t xml:space="preserve">K-1 interest income (NovaBridge)</w:t>
            </w:r>
          </w:p>
        </w:tc>
        <w:tc>
          <w:tcPr/>
          <w:p>
            <w:pPr>
              <w:pStyle w:val="Compact"/>
              <w:jc w:val="left"/>
            </w:pPr>
            <w:r>
              <w:t xml:space="preserve">Not reported</w:t>
            </w:r>
          </w:p>
        </w:tc>
        <w:tc>
          <w:tcPr/>
          <w:p>
            <w:pPr>
              <w:pStyle w:val="Compact"/>
              <w:jc w:val="left"/>
            </w:pPr>
            <w:r>
              <w:t xml:space="preserve">$1,240 (K-1 Box 5)</w:t>
            </w:r>
          </w:p>
        </w:tc>
        <w:tc>
          <w:tcPr/>
          <w:p>
            <w:pPr>
              <w:pStyle w:val="Compact"/>
              <w:jc w:val="left"/>
            </w:pPr>
            <w:r>
              <w:t xml:space="preserve">+$1,240</w:t>
            </w:r>
          </w:p>
        </w:tc>
      </w:tr>
      <w:tr>
        <w:tc>
          <w:tcPr/>
          <w:p>
            <w:pPr>
              <w:pStyle w:val="Compact"/>
              <w:jc w:val="left"/>
            </w:pPr>
            <w:r>
              <w:t xml:space="preserve">Net rental income (1035 Elm St., Unit C)</w:t>
            </w:r>
          </w:p>
        </w:tc>
        <w:tc>
          <w:tcPr/>
          <w:p>
            <w:pPr>
              <w:pStyle w:val="Compact"/>
              <w:jc w:val="left"/>
            </w:pPr>
            <w:r>
              <w:t xml:space="preserve">Not reported (</w:t>
            </w:r>
            <w:r>
              <w:t xml:space="preserve">“</w:t>
            </w:r>
            <w:r>
              <w:t xml:space="preserve">None</w:t>
            </w:r>
            <w:r>
              <w:t xml:space="preserve">”</w:t>
            </w:r>
            <w:r>
              <w:t xml:space="preserve"> </w:t>
            </w:r>
            <w:r>
              <w:t xml:space="preserve">— ¶19)</w:t>
            </w:r>
          </w:p>
        </w:tc>
        <w:tc>
          <w:tcPr/>
          <w:p>
            <w:pPr>
              <w:pStyle w:val="Compact"/>
              <w:jc w:val="left"/>
            </w:pPr>
            <w:r>
              <w:t xml:space="preserve">$2,940 (Schedule E)</w:t>
            </w:r>
          </w:p>
        </w:tc>
        <w:tc>
          <w:tcPr/>
          <w:p>
            <w:pPr>
              <w:pStyle w:val="Compact"/>
              <w:jc w:val="left"/>
            </w:pPr>
            <w:r>
              <w:t xml:space="preserve">+$2,940</w:t>
            </w:r>
          </w:p>
        </w:tc>
      </w:tr>
      <w:tr>
        <w:tc>
          <w:tcPr/>
          <w:p>
            <w:pPr>
              <w:pStyle w:val="Compact"/>
              <w:jc w:val="left"/>
            </w:pPr>
            <w:r>
              <w:t xml:space="preserve">Vehicle allowance (NovaBridge)</w:t>
            </w:r>
          </w:p>
        </w:tc>
        <w:tc>
          <w:tcPr/>
          <w:p>
            <w:pPr>
              <w:pStyle w:val="Compact"/>
              <w:jc w:val="left"/>
            </w:pPr>
            <w:r>
              <w:t xml:space="preserve">Not reported</w:t>
            </w:r>
          </w:p>
        </w:tc>
        <w:tc>
          <w:tcPr/>
          <w:p>
            <w:pPr>
              <w:pStyle w:val="Compact"/>
              <w:jc w:val="left"/>
            </w:pPr>
            <w:r>
              <w:t xml:space="preserve">$9,600/yr ($800/mo, W-2 Box 14)</w:t>
            </w:r>
          </w:p>
        </w:tc>
        <w:tc>
          <w:tcPr/>
          <w:p>
            <w:pPr>
              <w:pStyle w:val="Compact"/>
              <w:jc w:val="left"/>
            </w:pPr>
            <w:r>
              <w:t xml:space="preserve">+$9,600</w:t>
            </w:r>
          </w:p>
        </w:tc>
      </w:tr>
      <w:tr>
        <w:tc>
          <w:tcPr/>
          <w:p>
            <w:pPr>
              <w:pStyle w:val="Compact"/>
              <w:jc w:val="left"/>
            </w:pPr>
            <w:r>
              <w:rPr>
                <w:b/>
                <w:bCs/>
              </w:rPr>
              <w:t xml:space="preserve">Respondent’s total 2023 income</w:t>
            </w:r>
          </w:p>
        </w:tc>
        <w:tc>
          <w:tcPr/>
          <w:p>
            <w:pPr>
              <w:pStyle w:val="Compact"/>
              <w:jc w:val="left"/>
            </w:pPr>
            <w:r>
              <w:rPr>
                <w:b/>
                <w:bCs/>
              </w:rPr>
              <w:t xml:space="preserve">$359,000</w:t>
            </w:r>
            <w:r>
              <w:t xml:space="preserve"> </w:t>
            </w:r>
            <w:r>
              <w:t xml:space="preserve">(¶16)</w:t>
            </w:r>
          </w:p>
        </w:tc>
        <w:tc>
          <w:tcPr/>
          <w:p>
            <w:pPr>
              <w:pStyle w:val="Compact"/>
              <w:jc w:val="left"/>
            </w:pPr>
            <w:r>
              <w:rPr>
                <w:b/>
                <w:bCs/>
              </w:rPr>
              <w:t xml:space="preserve">~$556,380</w:t>
            </w:r>
            <w:r>
              <w:t xml:space="preserve"> </w:t>
            </w:r>
            <w:r>
              <w:t xml:space="preserve">(W-2 + K-1 ord. + K-1 int. + rental)</w:t>
            </w:r>
          </w:p>
        </w:tc>
        <w:tc>
          <w:tcPr/>
          <w:p>
            <w:pPr>
              <w:pStyle w:val="Compact"/>
              <w:jc w:val="left"/>
            </w:pPr>
            <w:r>
              <w:rPr>
                <w:b/>
                <w:bCs/>
              </w:rPr>
              <w:t xml:space="preserve">~$197,380 understated</w:t>
            </w:r>
          </w:p>
        </w:tc>
      </w:tr>
    </w:tbl>
    <w:p>
      <w:pPr>
        <w:pStyle w:val="BodyText"/>
      </w:pPr>
      <w:r>
        <w:t xml:space="preserve">The Declaration’s</w:t>
      </w:r>
      <w:r>
        <w:t xml:space="preserve"> </w:t>
      </w:r>
      <w:r>
        <w:t xml:space="preserve">“</w:t>
      </w:r>
      <w:r>
        <w:t xml:space="preserve">Total Annual Income</w:t>
      </w:r>
      <w:r>
        <w:t xml:space="preserve">”</w:t>
      </w:r>
      <w:r>
        <w:t xml:space="preserve"> </w:t>
      </w:r>
      <w:r>
        <w:t xml:space="preserve">of $359,000 (¶16) adds the W-2 salary ($185,000) to the</w:t>
      </w:r>
      <w:r>
        <w:t xml:space="preserve"> </w:t>
      </w:r>
      <w:r>
        <w:rPr>
          <w:b/>
          <w:bCs/>
        </w:rPr>
        <w:t xml:space="preserve">cash distributions</w:t>
      </w:r>
      <w:r>
        <w:t xml:space="preserve"> </w:t>
      </w:r>
      <w:r>
        <w:t xml:space="preserve">reported on K-1 Box 19a ($174,000). The tax return shows that Respondent’s actual taxable pass-through income is the K-1 Box 1</w:t>
      </w:r>
      <w:r>
        <w:t xml:space="preserve"> </w:t>
      </w:r>
      <w:r>
        <w:rPr>
          <w:b/>
          <w:bCs/>
        </w:rPr>
        <w:t xml:space="preserve">ordinary business income of $367,200</w:t>
      </w:r>
      <w:r>
        <w:t xml:space="preserve">—more than double the distribution. Cash distributions are not equivalent to taxable income; the $193,200 difference was retained at the entity level (Respondent’s 60% share of 2023 retained earnings). For child-support and alimony purposes, the Declaration materially understates Respondent’s income.</w:t>
      </w:r>
    </w:p>
    <w:p>
      <w:pPr>
        <w:pStyle w:val="BodyText"/>
      </w:pPr>
      <w:r>
        <w:t xml:space="preserve">Joint return totals (Form 1040): Total income $638,940; AGI $612,960; taxable income $564,240; total tax $148,240; refund $8,640. Petitioner’s W-2 wages: $67,200 (Fairview Regional School District), consistent with the Declaration’s estimate (¶18).</w:t>
      </w:r>
    </w:p>
    <w:bookmarkEnd w:id="23"/>
    <w:bookmarkStart w:id="24" w:name="b.-assets-per-declaration-2042"/>
    <w:p>
      <w:pPr>
        <w:pStyle w:val="Heading3"/>
      </w:pPr>
      <w:r>
        <w:t xml:space="preserve">B. Assets (per Declaration, ¶20–42)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Stated Value</w:t>
            </w:r>
          </w:p>
        </w:tc>
        <w:tc>
          <w:tcPr/>
          <w:p>
            <w:pPr>
              <w:pStyle w:val="Compact"/>
              <w:jc w:val="left"/>
            </w:pPr>
            <w:r>
              <w:t xml:space="preserve">Notes</w:t>
            </w:r>
          </w:p>
        </w:tc>
      </w:tr>
      <w:tr>
        <w:tc>
          <w:tcPr/>
          <w:p>
            <w:pPr>
              <w:pStyle w:val="Compact"/>
              <w:jc w:val="left"/>
            </w:pPr>
            <w:r>
              <w:t xml:space="preserve">Marital residence — 418 Birchwood Lane</w:t>
            </w:r>
          </w:p>
        </w:tc>
        <w:tc>
          <w:tcPr/>
          <w:p>
            <w:pPr>
              <w:pStyle w:val="Compact"/>
              <w:jc w:val="left"/>
            </w:pPr>
            <w:r>
              <w:t xml:space="preserve">$715,000 (est.); equity $496,600</w:t>
            </w:r>
          </w:p>
        </w:tc>
        <w:tc>
          <w:tcPr/>
          <w:p>
            <w:pPr>
              <w:pStyle w:val="Compact"/>
              <w:jc w:val="left"/>
            </w:pPr>
            <w:r>
              <w:t xml:space="preserve">Joint tenancy; mortgage $218,400 (Meridian); PITI $1,842/mo; no formal appraisal</w:t>
            </w:r>
          </w:p>
        </w:tc>
      </w:tr>
      <w:tr>
        <w:tc>
          <w:tcPr/>
          <w:p>
            <w:pPr>
              <w:pStyle w:val="Compact"/>
              <w:jc w:val="left"/>
            </w:pPr>
            <w:r>
              <w:t xml:space="preserve">Joint checking (FCB 4821)</w:t>
            </w:r>
          </w:p>
        </w:tc>
        <w:tc>
          <w:tcPr/>
          <w:p>
            <w:pPr>
              <w:pStyle w:val="Compact"/>
              <w:jc w:val="left"/>
            </w:pPr>
            <w:r>
              <w:t xml:space="preserve">$12,340</w:t>
            </w:r>
          </w:p>
        </w:tc>
        <w:tc>
          <w:tcPr/>
          <w:p>
            <w:pPr>
              <w:pStyle w:val="Compact"/>
              <w:jc w:val="left"/>
            </w:pPr>
            <w:r>
              <w:t xml:space="preserve">Statements NOT produced</w:t>
            </w:r>
          </w:p>
        </w:tc>
      </w:tr>
      <w:tr>
        <w:tc>
          <w:tcPr/>
          <w:p>
            <w:pPr>
              <w:pStyle w:val="Compact"/>
              <w:jc w:val="left"/>
            </w:pPr>
            <w:r>
              <w:t xml:space="preserve">Joint savings (FCB 4822)</w:t>
            </w:r>
          </w:p>
        </w:tc>
        <w:tc>
          <w:tcPr/>
          <w:p>
            <w:pPr>
              <w:pStyle w:val="Compact"/>
              <w:jc w:val="left"/>
            </w:pPr>
            <w:r>
              <w:t xml:space="preserve">$28,750</w:t>
            </w:r>
          </w:p>
        </w:tc>
        <w:tc>
          <w:tcPr/>
          <w:p>
            <w:pPr>
              <w:pStyle w:val="Compact"/>
              <w:jc w:val="left"/>
            </w:pPr>
            <w:r>
              <w:t xml:space="preserve">Statements NOT produced</w:t>
            </w:r>
          </w:p>
        </w:tc>
      </w:tr>
      <w:tr>
        <w:tc>
          <w:tcPr/>
          <w:p>
            <w:pPr>
              <w:pStyle w:val="Compact"/>
              <w:jc w:val="left"/>
            </w:pPr>
            <w:r>
              <w:t xml:space="preserve">Individual checking (FCB 7703)</w:t>
            </w:r>
          </w:p>
        </w:tc>
        <w:tc>
          <w:tcPr/>
          <w:p>
            <w:pPr>
              <w:pStyle w:val="Compact"/>
              <w:jc w:val="left"/>
            </w:pPr>
            <w:r>
              <w:t xml:space="preserve">$8,215</w:t>
            </w:r>
          </w:p>
        </w:tc>
        <w:tc>
          <w:tcPr/>
          <w:p>
            <w:pPr>
              <w:pStyle w:val="Compact"/>
              <w:jc w:val="left"/>
            </w:pPr>
            <w:r>
              <w:t xml:space="preserve">As of 8/1/2024</w:t>
            </w:r>
          </w:p>
        </w:tc>
      </w:tr>
      <w:tr>
        <w:tc>
          <w:tcPr/>
          <w:p>
            <w:pPr>
              <w:pStyle w:val="Compact"/>
              <w:jc w:val="left"/>
            </w:pPr>
            <w:r>
              <w:t xml:space="preserve">Individual savings (FCB 7704)</w:t>
            </w:r>
          </w:p>
        </w:tc>
        <w:tc>
          <w:tcPr/>
          <w:p>
            <w:pPr>
              <w:pStyle w:val="Compact"/>
              <w:jc w:val="left"/>
            </w:pPr>
            <w:r>
              <w:t xml:space="preserve">$42,680</w:t>
            </w:r>
          </w:p>
        </w:tc>
        <w:tc>
          <w:tcPr/>
          <w:p>
            <w:pPr>
              <w:pStyle w:val="Compact"/>
              <w:jc w:val="left"/>
            </w:pPr>
            <w:r>
              <w:t xml:space="preserve">As of 8/1/2024</w:t>
            </w:r>
          </w:p>
        </w:tc>
      </w:tr>
      <w:tr>
        <w:tc>
          <w:tcPr/>
          <w:p>
            <w:pPr>
              <w:pStyle w:val="Compact"/>
              <w:jc w:val="left"/>
            </w:pPr>
            <w:r>
              <w:t xml:space="preserve">Crestline brokerage (9956)</w:t>
            </w:r>
          </w:p>
        </w:tc>
        <w:tc>
          <w:tcPr/>
          <w:p>
            <w:pPr>
              <w:pStyle w:val="Compact"/>
              <w:jc w:val="left"/>
            </w:pPr>
            <w:r>
              <w:t xml:space="preserve">$387,450</w:t>
            </w:r>
          </w:p>
        </w:tc>
        <w:tc>
          <w:tcPr/>
          <w:p>
            <w:pPr>
              <w:pStyle w:val="Compact"/>
              <w:jc w:val="left"/>
            </w:pPr>
            <w:r>
              <w:t xml:space="preserve">As of 8/1/2024; tax-ID on file ends</w:t>
            </w:r>
            <w:r>
              <w:t xml:space="preserve"> </w:t>
            </w:r>
            <w:r>
              <w:t xml:space="preserve">“</w:t>
            </w:r>
            <w:r>
              <w:t xml:space="preserve">8341</w:t>
            </w:r>
            <w:r>
              <w:t xml:space="preserve">”</w:t>
            </w:r>
          </w:p>
        </w:tc>
      </w:tr>
      <w:tr>
        <w:tc>
          <w:tcPr/>
          <w:p>
            <w:pPr>
              <w:pStyle w:val="Compact"/>
              <w:jc w:val="left"/>
            </w:pPr>
            <w:r>
              <w:t xml:space="preserve">401(k) — Pinnacle (3310)</w:t>
            </w:r>
          </w:p>
        </w:tc>
        <w:tc>
          <w:tcPr/>
          <w:p>
            <w:pPr>
              <w:pStyle w:val="Compact"/>
              <w:jc w:val="left"/>
            </w:pPr>
            <w:r>
              <w:t xml:space="preserve">$412,800</w:t>
            </w:r>
          </w:p>
        </w:tc>
        <w:tc>
          <w:tcPr/>
          <w:p>
            <w:pPr>
              <w:pStyle w:val="Compact"/>
              <w:jc w:val="left"/>
            </w:pPr>
            <w:r>
              <w:t xml:space="preserve">Statements NOT produced</w:t>
            </w:r>
          </w:p>
        </w:tc>
      </w:tr>
      <w:tr>
        <w:tc>
          <w:tcPr/>
          <w:p>
            <w:pPr>
              <w:pStyle w:val="Compact"/>
              <w:jc w:val="left"/>
            </w:pPr>
            <w:r>
              <w:t xml:space="preserve">403(b) — Petitioner (Pinnacle 5587)</w:t>
            </w:r>
          </w:p>
        </w:tc>
        <w:tc>
          <w:tcPr/>
          <w:p>
            <w:pPr>
              <w:pStyle w:val="Compact"/>
              <w:jc w:val="left"/>
            </w:pPr>
            <w:r>
              <w:t xml:space="preserve">$89,200</w:t>
            </w:r>
          </w:p>
        </w:tc>
        <w:tc>
          <w:tcPr/>
          <w:p>
            <w:pPr>
              <w:pStyle w:val="Compact"/>
              <w:jc w:val="left"/>
            </w:pPr>
            <w:r>
              <w:t xml:space="preserve">Per Respondent’s knowledge; no statements</w:t>
            </w:r>
          </w:p>
        </w:tc>
      </w:tr>
      <w:tr>
        <w:tc>
          <w:tcPr/>
          <w:p>
            <w:pPr>
              <w:pStyle w:val="Compact"/>
              <w:jc w:val="left"/>
            </w:pPr>
            <w:r>
              <w:t xml:space="preserve">2022 BMW X5</w:t>
            </w:r>
          </w:p>
        </w:tc>
        <w:tc>
          <w:tcPr/>
          <w:p>
            <w:pPr>
              <w:pStyle w:val="Compact"/>
              <w:jc w:val="left"/>
            </w:pPr>
            <w:r>
              <w:t xml:space="preserve">$48,500; equity $26,400</w:t>
            </w:r>
          </w:p>
        </w:tc>
        <w:tc>
          <w:tcPr/>
          <w:p>
            <w:pPr>
              <w:pStyle w:val="Compact"/>
              <w:jc w:val="left"/>
            </w:pPr>
            <w:r>
              <w:t xml:space="preserve">Loan $22,100 (FCB Auto Finance)</w:t>
            </w:r>
          </w:p>
        </w:tc>
      </w:tr>
      <w:tr>
        <w:tc>
          <w:tcPr/>
          <w:p>
            <w:pPr>
              <w:pStyle w:val="Compact"/>
              <w:jc w:val="left"/>
            </w:pPr>
            <w:r>
              <w:t xml:space="preserve">2020 Honda CR-V</w:t>
            </w:r>
          </w:p>
        </w:tc>
        <w:tc>
          <w:tcPr/>
          <w:p>
            <w:pPr>
              <w:pStyle w:val="Compact"/>
              <w:jc w:val="left"/>
            </w:pPr>
            <w:r>
              <w:t xml:space="preserve">$24,800; equity $24,800</w:t>
            </w:r>
          </w:p>
        </w:tc>
        <w:tc>
          <w:tcPr/>
          <w:p>
            <w:pPr>
              <w:pStyle w:val="Compact"/>
              <w:jc w:val="left"/>
            </w:pPr>
            <w:r>
              <w:t xml:space="preserve">Titled to Petitioner; no loan</w:t>
            </w:r>
          </w:p>
        </w:tc>
      </w:tr>
      <w:tr>
        <w:tc>
          <w:tcPr/>
          <w:p>
            <w:pPr>
              <w:pStyle w:val="Compact"/>
              <w:jc w:val="left"/>
            </w:pPr>
            <w:r>
              <w:t xml:space="preserve">Household/personal property</w:t>
            </w:r>
          </w:p>
        </w:tc>
        <w:tc>
          <w:tcPr/>
          <w:p>
            <w:pPr>
              <w:pStyle w:val="Compact"/>
              <w:jc w:val="left"/>
            </w:pPr>
            <w:r>
              <w:t xml:space="preserve">$30,000</w:t>
            </w:r>
          </w:p>
        </w:tc>
        <w:tc>
          <w:tcPr/>
          <w:p>
            <w:pPr>
              <w:pStyle w:val="Compact"/>
              <w:jc w:val="left"/>
            </w:pPr>
            <w:r>
              <w:t xml:space="preserve">Estimate</w:t>
            </w:r>
          </w:p>
        </w:tc>
      </w:tr>
      <w:tr>
        <w:tc>
          <w:tcPr/>
          <w:p>
            <w:pPr>
              <w:pStyle w:val="Compact"/>
              <w:jc w:val="left"/>
            </w:pPr>
            <w:r>
              <w:t xml:space="preserve">NovaBridge 60% membership interest</w:t>
            </w:r>
          </w:p>
        </w:tc>
        <w:tc>
          <w:tcPr/>
          <w:p>
            <w:pPr>
              <w:pStyle w:val="Compact"/>
              <w:jc w:val="left"/>
            </w:pPr>
            <w:r>
              <w:t xml:space="preserve">“</w:t>
            </w:r>
            <w:r>
              <w:t xml:space="preserve">Not formally appraised</w:t>
            </w:r>
            <w:r>
              <w:t xml:space="preserve">”</w:t>
            </w:r>
          </w:p>
        </w:tc>
        <w:tc>
          <w:tcPr/>
          <w:p>
            <w:pPr>
              <w:pStyle w:val="Compact"/>
              <w:jc w:val="left"/>
            </w:pPr>
            <w:r>
              <w:t xml:space="preserve">K-1 ending capital account $675,800 (tax basis)</w:t>
            </w:r>
          </w:p>
        </w:tc>
      </w:tr>
      <w:tr>
        <w:tc>
          <w:tcPr/>
          <w:p>
            <w:pPr>
              <w:pStyle w:val="Compact"/>
              <w:jc w:val="left"/>
            </w:pPr>
            <w:r>
              <w:rPr>
                <w:b/>
                <w:bCs/>
              </w:rPr>
              <w:t xml:space="preserve">Total financial accounts (¶32)</w:t>
            </w:r>
          </w:p>
        </w:tc>
        <w:tc>
          <w:tcPr/>
          <w:p>
            <w:pPr>
              <w:pStyle w:val="Compact"/>
              <w:jc w:val="left"/>
            </w:pPr>
            <w:r>
              <w:rPr>
                <w:b/>
                <w:bCs/>
              </w:rPr>
              <w:t xml:space="preserve">$981,435</w:t>
            </w:r>
          </w:p>
        </w:tc>
        <w:tc>
          <w:tcPr/>
          <w:p>
            <w:pPr>
              <w:pStyle w:val="Compact"/>
              <w:jc w:val="left"/>
            </w:pPr>
            <w:r>
              <w:t xml:space="preserve">Arithmetic of the seven listed accounts checks</w:t>
            </w:r>
          </w:p>
        </w:tc>
      </w:tr>
    </w:tbl>
    <w:p>
      <w:pPr>
        <w:pStyle w:val="BodyText"/>
      </w:pPr>
      <w:r>
        <w:rPr>
          <w:b/>
          <w:bCs/>
        </w:rPr>
        <w:t xml:space="preserve">Omitted asset — 1035 Elm Street, Unit C, Fairview, Columbia 20147:</w:t>
      </w:r>
      <w:r>
        <w:t xml:space="preserve"> </w:t>
      </w:r>
      <w:r>
        <w:t xml:space="preserve">A rental condominium titled solely in Respondent’s name (Schedule E; mortgage statements Loan No. 7842-0163-ELM). The Declaration states Respondent</w:t>
      </w:r>
      <w:r>
        <w:t xml:space="preserve"> </w:t>
      </w:r>
      <w:r>
        <w:t xml:space="preserve">“</w:t>
      </w:r>
      <w:r>
        <w:t xml:space="preserve">does not hold any ownership interest … in any other real property</w:t>
      </w:r>
      <w:r>
        <w:t xml:space="preserve">”</w:t>
      </w:r>
      <w:r>
        <w:t xml:space="preserve"> </w:t>
      </w:r>
      <w:r>
        <w:t xml:space="preserve">(¶23). No value is stated for this property; the mortgage balance is $241,281.19 as of 8/1/2024 (original loan $279,000, dated 10/8/2019, 4.875% fixed).</w:t>
      </w:r>
    </w:p>
    <w:bookmarkEnd w:id="24"/>
    <w:bookmarkStart w:id="25" w:name="c.-liabilities-per-declaration-4348"/>
    <w:p>
      <w:pPr>
        <w:pStyle w:val="Heading3"/>
      </w:pPr>
      <w:r>
        <w:t xml:space="preserve">C. Liabilities (per Declaration, ¶43–48)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Liability</w:t>
            </w:r>
          </w:p>
        </w:tc>
        <w:tc>
          <w:tcPr/>
          <w:p>
            <w:pPr>
              <w:pStyle w:val="Compact"/>
              <w:jc w:val="left"/>
            </w:pPr>
            <w:r>
              <w:t xml:space="preserve">Stated Balance</w:t>
            </w:r>
          </w:p>
        </w:tc>
      </w:tr>
      <w:tr>
        <w:tc>
          <w:tcPr/>
          <w:p>
            <w:pPr>
              <w:pStyle w:val="Compact"/>
              <w:jc w:val="left"/>
            </w:pPr>
            <w:r>
              <w:t xml:space="preserve">Mortgage — 418 Birchwood Lane (Meridian)</w:t>
            </w:r>
          </w:p>
        </w:tc>
        <w:tc>
          <w:tcPr/>
          <w:p>
            <w:pPr>
              <w:pStyle w:val="Compact"/>
              <w:jc w:val="left"/>
            </w:pPr>
            <w:r>
              <w:t xml:space="preserve">$218,400</w:t>
            </w:r>
          </w:p>
        </w:tc>
      </w:tr>
      <w:tr>
        <w:tc>
          <w:tcPr/>
          <w:p>
            <w:pPr>
              <w:pStyle w:val="Compact"/>
              <w:jc w:val="left"/>
            </w:pPr>
            <w:r>
              <w:t xml:space="preserve">Auto loan — 2022 BMW X5 (FCB Auto Finance)</w:t>
            </w:r>
          </w:p>
        </w:tc>
        <w:tc>
          <w:tcPr/>
          <w:p>
            <w:pPr>
              <w:pStyle w:val="Compact"/>
              <w:jc w:val="left"/>
            </w:pPr>
            <w:r>
              <w:t xml:space="preserve">$22,100</w:t>
            </w:r>
          </w:p>
        </w:tc>
      </w:tr>
      <w:tr>
        <w:tc>
          <w:tcPr/>
          <w:p>
            <w:pPr>
              <w:pStyle w:val="Compact"/>
              <w:jc w:val="left"/>
            </w:pPr>
            <w:r>
              <w:t xml:space="preserve">Credit card — Platinum Visa</w:t>
            </w:r>
          </w:p>
        </w:tc>
        <w:tc>
          <w:tcPr/>
          <w:p>
            <w:pPr>
              <w:pStyle w:val="Compact"/>
              <w:jc w:val="left"/>
            </w:pPr>
            <w:r>
              <w:t xml:space="preserve">$8,500 (</w:t>
            </w:r>
            <w:r>
              <w:t xml:space="preserve">“</w:t>
            </w:r>
            <w:r>
              <w:t xml:space="preserve">approximate revolving balance</w:t>
            </w:r>
            <w:r>
              <w:t xml:space="preserve">”</w:t>
            </w:r>
            <w:r>
              <w:t xml:space="preserve">)</w:t>
            </w:r>
          </w:p>
        </w:tc>
      </w:tr>
      <w:tr>
        <w:tc>
          <w:tcPr/>
          <w:p>
            <w:pPr>
              <w:pStyle w:val="Compact"/>
              <w:jc w:val="left"/>
            </w:pPr>
            <w:r>
              <w:rPr>
                <w:b/>
                <w:bCs/>
              </w:rPr>
              <w:t xml:space="preserve">Total liabilities (¶43)</w:t>
            </w:r>
          </w:p>
        </w:tc>
        <w:tc>
          <w:tcPr/>
          <w:p>
            <w:pPr>
              <w:pStyle w:val="Compact"/>
              <w:jc w:val="left"/>
            </w:pPr>
            <w:r>
              <w:rPr>
                <w:b/>
                <w:bCs/>
              </w:rPr>
              <w:t xml:space="preserve">$249,000</w:t>
            </w:r>
          </w:p>
        </w:tc>
      </w:tr>
    </w:tbl>
    <w:p>
      <w:pPr>
        <w:pStyle w:val="BodyText"/>
      </w:pPr>
      <w:r>
        <w:rPr>
          <w:b/>
          <w:bCs/>
        </w:rPr>
        <w:t xml:space="preserve">Omitted liability — Elm Street mortgage:</w:t>
      </w:r>
      <w:r>
        <w:t xml:space="preserve"> </w:t>
      </w:r>
      <w:r>
        <w:t xml:space="preserve">$241,281.19 (Meridian, Loan No. 7842-0163-ELM). Including it, total mortgage debt alone is ~$459,681 and total liabilities are ~$490,281—roughly double the declared figure. The Declaration also characterizes the credit card as carrying an</w:t>
      </w:r>
      <w:r>
        <w:t xml:space="preserve"> </w:t>
      </w:r>
      <w:r>
        <w:t xml:space="preserve">“</w:t>
      </w:r>
      <w:r>
        <w:t xml:space="preserve">~$8,500 revolving balance</w:t>
      </w:r>
      <w:r>
        <w:t xml:space="preserve">”</w:t>
      </w:r>
      <w:r>
        <w:t xml:space="preserve"> </w:t>
      </w:r>
      <w:r>
        <w:t xml:space="preserve">with</w:t>
      </w:r>
      <w:r>
        <w:t xml:space="preserve"> </w:t>
      </w:r>
      <w:r>
        <w:t xml:space="preserve">“</w:t>
      </w:r>
      <w:r>
        <w:t xml:space="preserve">First National Card Services</w:t>
      </w:r>
      <w:r>
        <w:t xml:space="preserve">”</w:t>
      </w:r>
      <w:r>
        <w:t xml:space="preserve"> </w:t>
      </w:r>
      <w:r>
        <w:t xml:space="preserve">(¶46); the produced statements are a</w:t>
      </w:r>
      <w:r>
        <w:t xml:space="preserve"> </w:t>
      </w:r>
      <w:r>
        <w:rPr>
          <w:b/>
          <w:bCs/>
        </w:rPr>
        <w:t xml:space="preserve">Fairview Community Bank</w:t>
      </w:r>
      <w:r>
        <w:t xml:space="preserve"> </w:t>
      </w:r>
      <w:r>
        <w:t xml:space="preserve">Platinum Visa (acct 8316) that is</w:t>
      </w:r>
      <w:r>
        <w:t xml:space="preserve"> </w:t>
      </w:r>
      <w:r>
        <w:rPr>
          <w:b/>
          <w:bCs/>
        </w:rPr>
        <w:t xml:space="preserve">paid in full each month</w:t>
      </w:r>
      <w:r>
        <w:t xml:space="preserve"> </w:t>
      </w:r>
      <w:r>
        <w:t xml:space="preserve">(finance charges $0.00 every period; most recent balance $6,418.50 as of 8/31/2024).</w:t>
      </w:r>
    </w:p>
    <w:bookmarkEnd w:id="25"/>
    <w:bookmarkStart w:id="26" w:name="X9d0a9539778ab2f52bd471136e77e26f1597e9a"/>
    <w:p>
      <w:pPr>
        <w:pStyle w:val="Heading3"/>
      </w:pPr>
      <w:r>
        <w:t xml:space="preserve">D. Monthly Expenses and Cash Flow (per Declaration, ¶49–52)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Declared Monthly</w:t>
            </w:r>
          </w:p>
        </w:tc>
      </w:tr>
      <w:tr>
        <w:tc>
          <w:tcPr/>
          <w:p>
            <w:pPr>
              <w:pStyle w:val="Compact"/>
              <w:jc w:val="left"/>
            </w:pPr>
            <w:r>
              <w:t xml:space="preserve">Total estimated personal monthly expenses</w:t>
            </w:r>
          </w:p>
        </w:tc>
        <w:tc>
          <w:tcPr/>
          <w:p>
            <w:pPr>
              <w:pStyle w:val="Compact"/>
              <w:jc w:val="left"/>
            </w:pPr>
            <w:r>
              <w:t xml:space="preserve">$8,885.00</w:t>
            </w:r>
          </w:p>
        </w:tc>
      </w:tr>
      <w:tr>
        <w:tc>
          <w:tcPr/>
          <w:p>
            <w:pPr>
              <w:pStyle w:val="Compact"/>
              <w:jc w:val="left"/>
            </w:pPr>
            <w:r>
              <w:t xml:space="preserve">Voluntary contribution to marital household</w:t>
            </w:r>
          </w:p>
        </w:tc>
        <w:tc>
          <w:tcPr/>
          <w:p>
            <w:pPr>
              <w:pStyle w:val="Compact"/>
              <w:jc w:val="left"/>
            </w:pPr>
            <w:r>
              <w:t xml:space="preserve">$3,500.00</w:t>
            </w:r>
          </w:p>
        </w:tc>
      </w:tr>
      <w:tr>
        <w:tc>
          <w:tcPr/>
          <w:p>
            <w:pPr>
              <w:pStyle w:val="Compact"/>
              <w:jc w:val="left"/>
            </w:pPr>
            <w:r>
              <w:rPr>
                <w:b/>
                <w:bCs/>
              </w:rPr>
              <w:t xml:space="preserve">Total monthly outlay (¶52)</w:t>
            </w:r>
          </w:p>
        </w:tc>
        <w:tc>
          <w:tcPr/>
          <w:p>
            <w:pPr>
              <w:pStyle w:val="Compact"/>
              <w:jc w:val="left"/>
            </w:pPr>
            <w:r>
              <w:rPr>
                <w:b/>
                <w:bCs/>
              </w:rPr>
              <w:t xml:space="preserve">$12,385.00</w:t>
            </w:r>
          </w:p>
        </w:tc>
      </w:tr>
    </w:tbl>
    <w:p>
      <w:pPr>
        <w:pStyle w:val="BodyText"/>
      </w:pPr>
      <w:r>
        <w:t xml:space="preserve">The declared personal-expense figure omits several recurring charges visible in the records: Fairview Country Club dues ($425/mo on the credit card), the second (Elm Street) mortgage ($1,680/mo), and credit-card payments that ranged from $1,450 to $5,480/mo. Actual outflows from the individual checking account (7703) were materially higher than declared: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Month</w:t>
            </w:r>
          </w:p>
        </w:tc>
        <w:tc>
          <w:tcPr/>
          <w:p>
            <w:pPr>
              <w:pStyle w:val="Compact"/>
              <w:jc w:val="left"/>
            </w:pPr>
            <w:r>
              <w:t xml:space="preserve">Total Withdrawals/Debits (acct 7703)</w:t>
            </w:r>
          </w:p>
        </w:tc>
      </w:tr>
      <w:tr>
        <w:tc>
          <w:tcPr/>
          <w:p>
            <w:pPr>
              <w:pStyle w:val="Compact"/>
              <w:jc w:val="left"/>
            </w:pPr>
            <w:r>
              <w:t xml:space="preserve">March 2024</w:t>
            </w:r>
          </w:p>
        </w:tc>
        <w:tc>
          <w:tcPr/>
          <w:p>
            <w:pPr>
              <w:pStyle w:val="Compact"/>
              <w:jc w:val="left"/>
            </w:pPr>
            <w:r>
              <w:t xml:space="preserve">$10,921.93</w:t>
            </w:r>
          </w:p>
        </w:tc>
      </w:tr>
      <w:tr>
        <w:tc>
          <w:tcPr/>
          <w:p>
            <w:pPr>
              <w:pStyle w:val="Compact"/>
              <w:jc w:val="left"/>
            </w:pPr>
            <w:r>
              <w:t xml:space="preserve">April 2024</w:t>
            </w:r>
          </w:p>
        </w:tc>
        <w:tc>
          <w:tcPr/>
          <w:p>
            <w:pPr>
              <w:pStyle w:val="Compact"/>
              <w:jc w:val="left"/>
            </w:pPr>
            <w:r>
              <w:t xml:space="preserve">$14,102.38</w:t>
            </w:r>
          </w:p>
        </w:tc>
      </w:tr>
      <w:tr>
        <w:tc>
          <w:tcPr/>
          <w:p>
            <w:pPr>
              <w:pStyle w:val="Compact"/>
              <w:jc w:val="left"/>
            </w:pPr>
            <w:r>
              <w:t xml:space="preserve">May 2024</w:t>
            </w:r>
          </w:p>
        </w:tc>
        <w:tc>
          <w:tcPr/>
          <w:p>
            <w:pPr>
              <w:pStyle w:val="Compact"/>
              <w:jc w:val="left"/>
            </w:pPr>
            <w:r>
              <w:t xml:space="preserve">$12,966.03</w:t>
            </w:r>
          </w:p>
        </w:tc>
      </w:tr>
      <w:tr>
        <w:tc>
          <w:tcPr/>
          <w:p>
            <w:pPr>
              <w:pStyle w:val="Compact"/>
              <w:jc w:val="left"/>
            </w:pPr>
            <w:r>
              <w:t xml:space="preserve">June 2024</w:t>
            </w:r>
          </w:p>
        </w:tc>
        <w:tc>
          <w:tcPr/>
          <w:p>
            <w:pPr>
              <w:pStyle w:val="Compact"/>
              <w:jc w:val="left"/>
            </w:pPr>
            <w:r>
              <w:t xml:space="preserve">$15,450.08</w:t>
            </w:r>
          </w:p>
        </w:tc>
      </w:tr>
      <w:tr>
        <w:tc>
          <w:tcPr/>
          <w:p>
            <w:pPr>
              <w:pStyle w:val="Compact"/>
              <w:jc w:val="left"/>
            </w:pPr>
            <w:r>
              <w:t xml:space="preserve">July 2024</w:t>
            </w:r>
          </w:p>
        </w:tc>
        <w:tc>
          <w:tcPr/>
          <w:p>
            <w:pPr>
              <w:pStyle w:val="Compact"/>
              <w:jc w:val="left"/>
            </w:pPr>
            <w:r>
              <w:t xml:space="preserve">$19,714.88</w:t>
            </w:r>
          </w:p>
        </w:tc>
      </w:tr>
      <w:tr>
        <w:tc>
          <w:tcPr/>
          <w:p>
            <w:pPr>
              <w:pStyle w:val="Compact"/>
              <w:jc w:val="left"/>
            </w:pPr>
            <w:r>
              <w:t xml:space="preserve">August 1, 2024 (partial)</w:t>
            </w:r>
          </w:p>
        </w:tc>
        <w:tc>
          <w:tcPr/>
          <w:p>
            <w:pPr>
              <w:pStyle w:val="Compact"/>
              <w:jc w:val="left"/>
            </w:pPr>
            <w:r>
              <w:t xml:space="preserve">$23,266.50 (incl. $14,644.60 401(k) lump sum)</w:t>
            </w:r>
          </w:p>
        </w:tc>
      </w:tr>
    </w:tbl>
    <w:bookmarkEnd w:id="26"/>
    <w:bookmarkStart w:id="27" w:name="X1f1a8282eaeca543158a8ea5c85483b59eda758"/>
    <w:p>
      <w:pPr>
        <w:pStyle w:val="Heading3"/>
      </w:pPr>
      <w:r>
        <w:t xml:space="preserve">E. NovaBridge Solutions LLC — Entity Financials (PROD-002)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FY 2023</w:t>
            </w:r>
          </w:p>
        </w:tc>
        <w:tc>
          <w:tcPr/>
          <w:p>
            <w:pPr>
              <w:pStyle w:val="Compact"/>
              <w:jc w:val="left"/>
            </w:pPr>
            <w:r>
              <w:t xml:space="preserve">FY 2022</w:t>
            </w:r>
          </w:p>
        </w:tc>
      </w:tr>
      <w:tr>
        <w:tc>
          <w:tcPr/>
          <w:p>
            <w:pPr>
              <w:pStyle w:val="Compact"/>
              <w:jc w:val="left"/>
            </w:pPr>
            <w:r>
              <w:t xml:space="preserve">Gross receipts / revenue</w:t>
            </w:r>
          </w:p>
        </w:tc>
        <w:tc>
          <w:tcPr/>
          <w:p>
            <w:pPr>
              <w:pStyle w:val="Compact"/>
              <w:jc w:val="left"/>
            </w:pPr>
            <w:r>
              <w:t xml:space="preserve">$4,280,000</w:t>
            </w:r>
          </w:p>
        </w:tc>
        <w:tc>
          <w:tcPr/>
          <w:p>
            <w:pPr>
              <w:pStyle w:val="Compact"/>
              <w:jc w:val="left"/>
            </w:pPr>
            <w:r>
              <w:t xml:space="preserve">$3,915,000</w:t>
            </w:r>
          </w:p>
        </w:tc>
      </w:tr>
      <w:tr>
        <w:tc>
          <w:tcPr/>
          <w:p>
            <w:pPr>
              <w:pStyle w:val="Compact"/>
              <w:jc w:val="left"/>
            </w:pPr>
            <w:r>
              <w:t xml:space="preserve">Ordinary business income (Form 1065)</w:t>
            </w:r>
          </w:p>
        </w:tc>
        <w:tc>
          <w:tcPr/>
          <w:p>
            <w:pPr>
              <w:pStyle w:val="Compact"/>
              <w:jc w:val="left"/>
            </w:pPr>
            <w:r>
              <w:t xml:space="preserve">$612,000</w:t>
            </w:r>
          </w:p>
        </w:tc>
        <w:tc>
          <w:tcPr/>
          <w:p>
            <w:pPr>
              <w:pStyle w:val="Compact"/>
              <w:jc w:val="left"/>
            </w:pPr>
            <w:r>
              <w:t xml:space="preserve">$548,000</w:t>
            </w:r>
          </w:p>
        </w:tc>
      </w:tr>
      <w:tr>
        <w:tc>
          <w:tcPr/>
          <w:p>
            <w:pPr>
              <w:pStyle w:val="Compact"/>
              <w:jc w:val="left"/>
            </w:pPr>
            <w:r>
              <w:t xml:space="preserve">Total distributions to partners</w:t>
            </w:r>
          </w:p>
        </w:tc>
        <w:tc>
          <w:tcPr/>
          <w:p>
            <w:pPr>
              <w:pStyle w:val="Compact"/>
              <w:jc w:val="left"/>
            </w:pPr>
            <w:r>
              <w:t xml:space="preserve">$290,000</w:t>
            </w:r>
          </w:p>
        </w:tc>
        <w:tc>
          <w:tcPr/>
          <w:p>
            <w:pPr>
              <w:pStyle w:val="Compact"/>
              <w:jc w:val="left"/>
            </w:pPr>
            <w:r>
              <w:t xml:space="preserve">$260,000</w:t>
            </w:r>
          </w:p>
        </w:tc>
      </w:tr>
      <w:tr>
        <w:tc>
          <w:tcPr/>
          <w:p>
            <w:pPr>
              <w:pStyle w:val="Compact"/>
              <w:jc w:val="left"/>
            </w:pPr>
            <w:r>
              <w:t xml:space="preserve">Retained at entity level</w:t>
            </w:r>
          </w:p>
        </w:tc>
        <w:tc>
          <w:tcPr/>
          <w:p>
            <w:pPr>
              <w:pStyle w:val="Compact"/>
              <w:jc w:val="left"/>
            </w:pPr>
            <w:r>
              <w:t xml:space="preserve">$322,000</w:t>
            </w:r>
          </w:p>
        </w:tc>
        <w:tc>
          <w:tcPr/>
          <w:p>
            <w:pPr>
              <w:pStyle w:val="Compact"/>
              <w:jc w:val="left"/>
            </w:pPr>
            <w:r>
              <w:t xml:space="preserve">n/a</w:t>
            </w:r>
          </w:p>
        </w:tc>
      </w:tr>
      <w:tr>
        <w:tc>
          <w:tcPr/>
          <w:p>
            <w:pPr>
              <w:pStyle w:val="Compact"/>
              <w:jc w:val="left"/>
            </w:pPr>
            <w:r>
              <w:t xml:space="preserve">Respondent’s 60% share of retained earnings</w:t>
            </w:r>
          </w:p>
        </w:tc>
        <w:tc>
          <w:tcPr/>
          <w:p>
            <w:pPr>
              <w:pStyle w:val="Compact"/>
              <w:jc w:val="left"/>
            </w:pPr>
            <w:r>
              <w:t xml:space="preserve">$193,200</w:t>
            </w:r>
          </w:p>
        </w:tc>
        <w:tc>
          <w:tcPr/>
          <w:p>
            <w:pPr>
              <w:pStyle w:val="Compact"/>
              <w:jc w:val="left"/>
            </w:pPr>
            <w:r>
              <w:t xml:space="preserve">n/a</w:t>
            </w:r>
          </w:p>
        </w:tc>
      </w:tr>
    </w:tbl>
    <w:p>
      <w:pPr>
        <w:pStyle w:val="BodyText"/>
      </w:pPr>
      <w:r>
        <w:t xml:space="preserve">Owner W-2 compensation deducted before ordinary income: Darren Kwan $185,000 + Jared Ostrowski $165,000 = $350,000. Respondent’s K-1 capital account moved from $482,600 (beginning) to $675,800 (ending) on a tax-basis method—a $193,200 increase equal to his share of retained earnings. The Operating Agreement (referenced at §5.3 in PROD-007) has not been produced.</w:t>
      </w:r>
    </w:p>
    <w:bookmarkEnd w:id="27"/>
    <w:bookmarkStart w:id="28" w:name="Xa55b4411dc731e4b7643877d2f49b8b75c9f982"/>
    <w:p>
      <w:pPr>
        <w:pStyle w:val="Heading3"/>
      </w:pPr>
      <w:r>
        <w:t xml:space="preserve">F. Account Balance Trajectories (produced statements)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w:t>
            </w:r>
          </w:p>
        </w:tc>
        <w:tc>
          <w:tcPr/>
          <w:p>
            <w:pPr>
              <w:pStyle w:val="Compact"/>
              <w:jc w:val="left"/>
            </w:pPr>
            <w:r>
              <w:t xml:space="preserve">Opening</w:t>
            </w:r>
          </w:p>
        </w:tc>
        <w:tc>
          <w:tcPr/>
          <w:p>
            <w:pPr>
              <w:pStyle w:val="Compact"/>
              <w:jc w:val="left"/>
            </w:pPr>
            <w:r>
              <w:t xml:space="preserve">Closing</w:t>
            </w:r>
          </w:p>
        </w:tc>
        <w:tc>
          <w:tcPr/>
          <w:p>
            <w:pPr>
              <w:pStyle w:val="Compact"/>
              <w:jc w:val="left"/>
            </w:pPr>
            <w:r>
              <w:t xml:space="preserve">Net Change</w:t>
            </w:r>
          </w:p>
        </w:tc>
        <w:tc>
          <w:tcPr/>
          <w:p>
            <w:pPr>
              <w:pStyle w:val="Compact"/>
              <w:jc w:val="left"/>
            </w:pPr>
            <w:r>
              <w:t xml:space="preserve">Notable</w:t>
            </w:r>
          </w:p>
        </w:tc>
      </w:tr>
      <w:tr>
        <w:tc>
          <w:tcPr/>
          <w:p>
            <w:pPr>
              <w:pStyle w:val="Compact"/>
              <w:jc w:val="left"/>
            </w:pPr>
            <w:r>
              <w:t xml:space="preserve">Crestline brokerage (9956)</w:t>
            </w:r>
          </w:p>
        </w:tc>
        <w:tc>
          <w:tcPr/>
          <w:p>
            <w:pPr>
              <w:pStyle w:val="Compact"/>
              <w:jc w:val="left"/>
            </w:pPr>
            <w:r>
              <w:t xml:space="preserve">$472,450 (1/1/24)</w:t>
            </w:r>
          </w:p>
        </w:tc>
        <w:tc>
          <w:tcPr/>
          <w:p>
            <w:pPr>
              <w:pStyle w:val="Compact"/>
              <w:jc w:val="left"/>
            </w:pPr>
            <w:r>
              <w:t xml:space="preserve">$387,450 (8/1/24)</w:t>
            </w:r>
          </w:p>
        </w:tc>
        <w:tc>
          <w:tcPr/>
          <w:p>
            <w:pPr>
              <w:pStyle w:val="Compact"/>
              <w:jc w:val="left"/>
            </w:pPr>
            <w:r>
              <w:t xml:space="preserve">−$85,000</w:t>
            </w:r>
          </w:p>
        </w:tc>
        <w:tc>
          <w:tcPr/>
          <w:p>
            <w:pPr>
              <w:pStyle w:val="Compact"/>
              <w:jc w:val="left"/>
            </w:pPr>
            <w:r>
              <w:t xml:space="preserve">$85,000 outgoing wire 6/15/24; $10,550 IRS est. tax 4/15/24; $1,750 advisory fees</w:t>
            </w:r>
          </w:p>
        </w:tc>
      </w:tr>
      <w:tr>
        <w:tc>
          <w:tcPr/>
          <w:p>
            <w:pPr>
              <w:pStyle w:val="Compact"/>
              <w:jc w:val="left"/>
            </w:pPr>
            <w:r>
              <w:t xml:space="preserve">FCB checking (7703)</w:t>
            </w:r>
          </w:p>
        </w:tc>
        <w:tc>
          <w:tcPr/>
          <w:p>
            <w:pPr>
              <w:pStyle w:val="Compact"/>
              <w:jc w:val="left"/>
            </w:pPr>
            <w:r>
              <w:t xml:space="preserve">$12,417.62 (3/1/24)</w:t>
            </w:r>
          </w:p>
        </w:tc>
        <w:tc>
          <w:tcPr/>
          <w:p>
            <w:pPr>
              <w:pStyle w:val="Compact"/>
              <w:jc w:val="left"/>
            </w:pPr>
            <w:r>
              <w:t xml:space="preserve">$8,215.00 (8/1/24)</w:t>
            </w:r>
          </w:p>
        </w:tc>
        <w:tc>
          <w:tcPr/>
          <w:p>
            <w:pPr>
              <w:pStyle w:val="Compact"/>
              <w:jc w:val="left"/>
            </w:pPr>
            <w:r>
              <w:t xml:space="preserve">−$4,202.62</w:t>
            </w:r>
          </w:p>
        </w:tc>
        <w:tc>
          <w:tcPr/>
          <w:p>
            <w:pPr>
              <w:pStyle w:val="Compact"/>
              <w:jc w:val="left"/>
            </w:pPr>
            <w:r>
              <w:t xml:space="preserve">Two Meridian mortgage ACHs monthly ($1,842 + $1,680); Venmo to</w:t>
            </w:r>
            <w:r>
              <w:t xml:space="preserve"> </w:t>
            </w:r>
            <w:r>
              <w:t xml:space="preserve">“</w:t>
            </w:r>
            <w:r>
              <w:t xml:space="preserve">Kiera M.</w:t>
            </w:r>
            <w:r>
              <w:t xml:space="preserve">”</w:t>
            </w:r>
            <w:r>
              <w:t xml:space="preserve">; $14,644.60 401(k) 8/1/24</w:t>
            </w:r>
          </w:p>
        </w:tc>
      </w:tr>
      <w:tr>
        <w:tc>
          <w:tcPr/>
          <w:p>
            <w:pPr>
              <w:pStyle w:val="Compact"/>
              <w:jc w:val="left"/>
            </w:pPr>
            <w:r>
              <w:t xml:space="preserve">FCB savings (7704)</w:t>
            </w:r>
          </w:p>
        </w:tc>
        <w:tc>
          <w:tcPr/>
          <w:p>
            <w:pPr>
              <w:pStyle w:val="Compact"/>
              <w:jc w:val="left"/>
            </w:pPr>
            <w:r>
              <w:t xml:space="preserve">$38,450.00 (3/1/24)</w:t>
            </w:r>
          </w:p>
        </w:tc>
        <w:tc>
          <w:tcPr/>
          <w:p>
            <w:pPr>
              <w:pStyle w:val="Compact"/>
              <w:jc w:val="left"/>
            </w:pPr>
            <w:r>
              <w:t xml:space="preserve">$42,680.00 (8/1/24)</w:t>
            </w:r>
          </w:p>
        </w:tc>
        <w:tc>
          <w:tcPr/>
          <w:p>
            <w:pPr>
              <w:pStyle w:val="Compact"/>
              <w:jc w:val="left"/>
            </w:pPr>
            <w:r>
              <w:t xml:space="preserve">+$4,230.00</w:t>
            </w:r>
          </w:p>
        </w:tc>
        <w:tc>
          <w:tcPr/>
          <w:p>
            <w:pPr>
              <w:pStyle w:val="Compact"/>
              <w:jc w:val="left"/>
            </w:pPr>
            <w:r>
              <w:t xml:space="preserve">$2,000 transfers in from checking (4/20, 6/22); modest interest</w:t>
            </w:r>
          </w:p>
        </w:tc>
      </w:tr>
      <w:tr>
        <w:tc>
          <w:tcPr/>
          <w:p>
            <w:pPr>
              <w:pStyle w:val="Compact"/>
              <w:jc w:val="left"/>
            </w:pPr>
            <w:r>
              <w:t xml:space="preserve">FCB Visa (8316)</w:t>
            </w:r>
          </w:p>
        </w:tc>
        <w:tc>
          <w:tcPr/>
          <w:p>
            <w:pPr>
              <w:pStyle w:val="Compact"/>
              <w:jc w:val="left"/>
            </w:pPr>
            <w:r>
              <w:t xml:space="preserve">—</w:t>
            </w:r>
          </w:p>
        </w:tc>
        <w:tc>
          <w:tcPr/>
          <w:p>
            <w:pPr>
              <w:pStyle w:val="Compact"/>
              <w:jc w:val="left"/>
            </w:pPr>
            <w:r>
              <w:t xml:space="preserve">$6,418.50 (8/31/24)</w:t>
            </w:r>
          </w:p>
        </w:tc>
        <w:tc>
          <w:tcPr/>
          <w:p>
            <w:pPr>
              <w:pStyle w:val="Compact"/>
              <w:jc w:val="left"/>
            </w:pPr>
            <w:r>
              <w:t xml:space="preserve">—</w:t>
            </w:r>
          </w:p>
        </w:tc>
        <w:tc>
          <w:tcPr/>
          <w:p>
            <w:pPr>
              <w:pStyle w:val="Compact"/>
              <w:jc w:val="left"/>
            </w:pPr>
            <w:r>
              <w:t xml:space="preserve">Paid in full monthly; balances $7,038 / $8,124 / $12,487 / $6,419 (May–Aug)</w:t>
            </w:r>
          </w:p>
        </w:tc>
      </w:tr>
    </w:tbl>
    <w:p>
      <w:r>
        <w:pict>
          <v:rect style="width:0;height:1.5pt" o:hralign="center" o:hrstd="t" o:hr="t"/>
        </w:pict>
      </w:r>
    </w:p>
    <w:bookmarkEnd w:id="28"/>
    <w:bookmarkEnd w:id="29"/>
    <w:bookmarkStart w:id="33" w:name="iv.-flagged-inconsistencies-and-concerns"/>
    <w:p>
      <w:pPr>
        <w:pStyle w:val="Heading2"/>
      </w:pPr>
      <w:r>
        <w:t xml:space="preserve">IV. Flagged Inconsistencies and Concerns</w:t>
      </w:r>
    </w:p>
    <w:p>
      <w:pPr>
        <w:pStyle w:val="FirstParagraph"/>
      </w:pPr>
      <w:r>
        <w:t xml:space="preserve">The following are organized by materiality. Paragraph (¶) references are to PROD-001 unless otherwise noted.</w:t>
      </w:r>
    </w:p>
    <w:bookmarkStart w:id="30" w:name="a.-material"/>
    <w:p>
      <w:pPr>
        <w:pStyle w:val="Heading3"/>
      </w:pPr>
      <w:r>
        <w:t xml:space="preserve">A. Material</w:t>
      </w:r>
    </w:p>
    <w:p>
      <w:pPr>
        <w:pStyle w:val="FirstParagraph"/>
      </w:pPr>
      <w:r>
        <w:rPr>
          <w:b/>
          <w:bCs/>
        </w:rPr>
        <w:t xml:space="preserve">1. Omission of the 1035 Elm Street, Unit C rental property (asset, liability, and income).</w:t>
      </w:r>
      <w:r>
        <w:t xml:space="preserve"> </w:t>
      </w:r>
      <w:r>
        <w:t xml:space="preserve">The Declaration affirmatively states Respondent holds no real property other than the marital residence (¶23) and has</w:t>
      </w:r>
      <w:r>
        <w:t xml:space="preserve"> </w:t>
      </w:r>
      <w:r>
        <w:t xml:space="preserve">“</w:t>
      </w:r>
      <w:r>
        <w:t xml:space="preserve">no other sources of income, including … rental income</w:t>
      </w:r>
      <w:r>
        <w:t xml:space="preserve">”</w:t>
      </w:r>
      <w:r>
        <w:t xml:space="preserve"> </w:t>
      </w:r>
      <w:r>
        <w:t xml:space="preserve">(¶19). The 2023 tax return (PROD-002, Schedule E) shows a rental condominium at 1035 Elm Street, Unit C, titled in Respondent’s name, generating $25,200 in rents and $2,940 net income, with $11,280 in mortgage interest paid to Meridian Home Lending. The produced mortgage statements (PROD-005) confirm a separate Meridian loan (No. 7842-0163-ELM) on that property with a $241,281.19 balance as of 8/1/2024. The bank statements (PROD-004) confirm both the rental income ($2,100/mo tenant ACH deposits, April–July) and two monthly Meridian ACH payments ($1,842 for Birchwood + $1,680 for Elm Street). The property, its mortgage, and the rental income are entirely absent from the Declaration. This is a sworn-statement omission directly contradicted by Respondent’s own produced records and tax return.</w:t>
      </w:r>
    </w:p>
    <w:p>
      <w:pPr>
        <w:pStyle w:val="BodyText"/>
      </w:pPr>
      <w:r>
        <w:rPr>
          <w:b/>
          <w:bCs/>
        </w:rPr>
        <w:t xml:space="preserve">2. Understatement of income — distributions reported in lieu of pass-through ordinary business income.</w:t>
      </w:r>
      <w:r>
        <w:t xml:space="preserve"> </w:t>
      </w:r>
      <w:r>
        <w:t xml:space="preserve">The Declaration reports</w:t>
      </w:r>
      <w:r>
        <w:t xml:space="preserve"> </w:t>
      </w:r>
      <w:r>
        <w:t xml:space="preserve">“</w:t>
      </w:r>
      <w:r>
        <w:t xml:space="preserve">K-1 Income / Distributions</w:t>
      </w:r>
      <w:r>
        <w:t xml:space="preserve">”</w:t>
      </w:r>
      <w:r>
        <w:t xml:space="preserve"> </w:t>
      </w:r>
      <w:r>
        <w:t xml:space="preserve">of $174,000 (¶15–16), which is the K-1 Box 19a</w:t>
      </w:r>
      <w:r>
        <w:t xml:space="preserve"> </w:t>
      </w:r>
      <w:r>
        <w:rPr>
          <w:b/>
          <w:bCs/>
        </w:rPr>
        <w:t xml:space="preserve">cash distribution</w:t>
      </w:r>
      <w:r>
        <w:t xml:space="preserve">, not income. The K-1 Box 1</w:t>
      </w:r>
      <w:r>
        <w:t xml:space="preserve"> </w:t>
      </w:r>
      <w:r>
        <w:rPr>
          <w:b/>
          <w:bCs/>
        </w:rPr>
        <w:t xml:space="preserve">ordinary business income</w:t>
      </w:r>
      <w:r>
        <w:t xml:space="preserve"> </w:t>
      </w:r>
      <w:r>
        <w:t xml:space="preserve">is $367,200 (PROD-002). Including K-1 interest ($1,240) and net rental income ($2,940), Respondent’s 2023 individual income was approximately $556,380—about $197,000 more than the declared $359,000. This bears directly on child-support and maintenance calculations.</w:t>
      </w:r>
    </w:p>
    <w:p>
      <w:pPr>
        <w:pStyle w:val="BodyText"/>
      </w:pPr>
      <w:r>
        <w:rPr>
          <w:b/>
          <w:bCs/>
        </w:rPr>
        <w:t xml:space="preserve">3. $85,000 outgoing wire transfer to an undisclosed account (June 15, 2024).</w:t>
      </w:r>
      <w:r>
        <w:t xml:space="preserve"> </w:t>
      </w:r>
      <w:r>
        <w:t xml:space="preserve">The Crestline statement for June 2024 (PROD-003, KWAN_PROD_00152) shows an $85,000 outgoing wire to</w:t>
      </w:r>
      <w:r>
        <w:t xml:space="preserve"> </w:t>
      </w:r>
      <w:r>
        <w:rPr>
          <w:b/>
          <w:bCs/>
        </w:rPr>
        <w:t xml:space="preserve">Harborstone Financial Group, account ending 2291</w:t>
      </w:r>
      <w:r>
        <w:t xml:space="preserve"> </w:t>
      </w:r>
      <w:r>
        <w:t xml:space="preserve">(Ref. WT-2024-061524-0087), initiated by the account holder. No Harborstone account appears in the Declaration’s account schedule (¶24). The transfer occurred two weeks after the Declaration’s stated separation date of June 1, 2024 (and, if the cover-letter privilege log is correct, during the marriage). The brokerage balance fell from ~$468,695 (5/31) to $385,125 (6/30) on this transfer. This is a potential dissipation/transfer of marital assets to an undisclosed institution and must be traced.</w:t>
      </w:r>
    </w:p>
    <w:p>
      <w:pPr>
        <w:pStyle w:val="BodyText"/>
      </w:pPr>
      <w:r>
        <w:rPr>
          <w:b/>
          <w:bCs/>
        </w:rPr>
        <w:t xml:space="preserve">4. Recurring Venmo transfers to an unidentified third party (</w:t>
      </w:r>
      <w:r>
        <w:rPr>
          <w:b/>
          <w:bCs/>
        </w:rPr>
        <w:t xml:space="preserve">“</w:t>
      </w:r>
      <w:r>
        <w:rPr>
          <w:b/>
          <w:bCs/>
        </w:rPr>
        <w:t xml:space="preserve">Kiera M.</w:t>
      </w:r>
      <w:r>
        <w:rPr>
          <w:b/>
          <w:bCs/>
        </w:rPr>
        <w:t xml:space="preserve">”</w:t>
      </w:r>
      <w:r>
        <w:rPr>
          <w:b/>
          <w:bCs/>
        </w:rPr>
        <w:t xml:space="preserve">) — $14,600.</w:t>
      </w:r>
      <w:r>
        <w:t xml:space="preserve"> </w:t>
      </w:r>
      <w:r>
        <w:t xml:space="preserve">The individual checking statements (PROD-004) show five substantial Venmo transfers to</w:t>
      </w:r>
      <w:r>
        <w:t xml:space="preserve"> </w:t>
      </w:r>
      <w:r>
        <w:t xml:space="preserve">“</w:t>
      </w:r>
      <w:r>
        <w:t xml:space="preserve">Kiera M.</w:t>
      </w:r>
      <w:r>
        <w:t xml:space="preserve">”</w:t>
      </w:r>
      <w:r>
        <w:t xml:space="preserve"> </w:t>
      </w:r>
      <w:r>
        <w:t xml:space="preserve">between March and July 2024: $2,800 (3/15), $3,100 (4/22), $2,500 (5/10), $3,200 (6/18), and $3,000 (7/14), totaling $14,600 (avg. ~$2,920/mo). These recurring transfers are not disclosed or explained in the Declaration and do not correspond to any listed expense or obligation. The identity of the recipient and the purpose of the payments are unknown.</w:t>
      </w:r>
    </w:p>
    <w:p>
      <w:pPr>
        <w:pStyle w:val="BodyText"/>
      </w:pPr>
      <w:r>
        <w:rPr>
          <w:b/>
          <w:bCs/>
        </w:rPr>
        <w:t xml:space="preserve">5. Internally inconsistent separation date.</w:t>
      </w:r>
      <w:r>
        <w:t xml:space="preserve"> </w:t>
      </w:r>
      <w:r>
        <w:t xml:space="preserve">The Declaration identifies the date of separation as</w:t>
      </w:r>
      <w:r>
        <w:t xml:space="preserve"> </w:t>
      </w:r>
      <w:r>
        <w:t xml:space="preserve">“</w:t>
      </w:r>
      <w:r>
        <w:t xml:space="preserve">on or about June 1, 2024</w:t>
      </w:r>
      <w:r>
        <w:t xml:space="preserve">”</w:t>
      </w:r>
      <w:r>
        <w:t xml:space="preserve"> </w:t>
      </w:r>
      <w:r>
        <w:t xml:space="preserve">(¶5, ¶56) and ties all asset valuations to that date. Respondent’s cover-letter privilege log, however, repeatedly describes the separation as</w:t>
      </w:r>
      <w:r>
        <w:t xml:space="preserve"> </w:t>
      </w:r>
      <w:r>
        <w:rPr>
          <w:b/>
          <w:bCs/>
        </w:rPr>
        <w:t xml:space="preserve">August 1, 2024</w:t>
      </w:r>
      <w:r>
        <w:t xml:space="preserve"> </w:t>
      </w:r>
      <w:r>
        <w:t xml:space="preserve">(PRIV-001:</w:t>
      </w:r>
      <w:r>
        <w:t xml:space="preserve"> </w:t>
      </w:r>
      <w:r>
        <w:t xml:space="preserve">“</w:t>
      </w:r>
      <w:r>
        <w:t xml:space="preserve">following the parties’ separation on August 1, 2024</w:t>
      </w:r>
      <w:r>
        <w:t xml:space="preserve">”</w:t>
      </w:r>
      <w:r>
        <w:t xml:space="preserve">; PRIV-002:</w:t>
      </w:r>
      <w:r>
        <w:t xml:space="preserve"> </w:t>
      </w:r>
      <w:r>
        <w:t xml:space="preserve">“</w:t>
      </w:r>
      <w:r>
        <w:t xml:space="preserve">post-separation August 1, 2024</w:t>
      </w:r>
      <w:r>
        <w:t xml:space="preserve">”</w:t>
      </w:r>
      <w:r>
        <w:t xml:space="preserve">). The two-month gap is a threshold issue: it determines the close of the marital estate, the characterization of the June 15 $85,000 wire and other mid-summer transactions, and the valuation date for assets. The inconsistency appears within Respondent’s own production.</w:t>
      </w:r>
    </w:p>
    <w:bookmarkEnd w:id="30"/>
    <w:bookmarkStart w:id="31" w:name="b.-significant"/>
    <w:p>
      <w:pPr>
        <w:pStyle w:val="Heading3"/>
      </w:pPr>
      <w:r>
        <w:t xml:space="preserve">B. Significant</w:t>
      </w:r>
    </w:p>
    <w:p>
      <w:pPr>
        <w:pStyle w:val="FirstParagraph"/>
      </w:pPr>
      <w:r>
        <w:rPr>
          <w:b/>
          <w:bCs/>
        </w:rPr>
        <w:t xml:space="preserve">6. Crestline brokerage account tax-ID mismatch.</w:t>
      </w:r>
      <w:r>
        <w:t xml:space="preserve"> </w:t>
      </w:r>
      <w:r>
        <w:t xml:space="preserve">Every Crestline statement (PROD-003) lists the account tax ID as ending</w:t>
      </w:r>
      <w:r>
        <w:t xml:space="preserve"> </w:t>
      </w:r>
      <w:r>
        <w:rPr>
          <w:b/>
          <w:bCs/>
        </w:rPr>
        <w:t xml:space="preserve">8341</w:t>
      </w:r>
      <w:r>
        <w:t xml:space="preserve">. Respondent’s SSN (per the tax return) ends</w:t>
      </w:r>
      <w:r>
        <w:t xml:space="preserve"> </w:t>
      </w:r>
      <w:r>
        <w:rPr>
          <w:b/>
          <w:bCs/>
        </w:rPr>
        <w:t xml:space="preserve">4718</w:t>
      </w:r>
      <w:r>
        <w:t xml:space="preserve">; the SSN ending</w:t>
      </w:r>
      <w:r>
        <w:t xml:space="preserve"> </w:t>
      </w:r>
      <w:r>
        <w:rPr>
          <w:b/>
          <w:bCs/>
        </w:rPr>
        <w:t xml:space="preserve">8341</w:t>
      </w:r>
      <w:r>
        <w:t xml:space="preserve"> </w:t>
      </w:r>
      <w:r>
        <w:t xml:space="preserve">belongs to the parties’ minor child,</w:t>
      </w:r>
      <w:r>
        <w:t xml:space="preserve"> </w:t>
      </w:r>
      <w:r>
        <w:rPr>
          <w:b/>
          <w:bCs/>
        </w:rPr>
        <w:t xml:space="preserve">Ethan Kwan</w:t>
      </w:r>
      <w:r>
        <w:t xml:space="preserve"> </w:t>
      </w:r>
      <w:r>
        <w:t xml:space="preserve">(PROD-002, dependents schedule). The account is styled as Darren Kwan’s</w:t>
      </w:r>
      <w:r>
        <w:t xml:space="preserve"> </w:t>
      </w:r>
      <w:r>
        <w:t xml:space="preserve">“</w:t>
      </w:r>
      <w:r>
        <w:t xml:space="preserve">Individual Taxable Brokerage</w:t>
      </w:r>
      <w:r>
        <w:t xml:space="preserve">”</w:t>
      </w:r>
      <w:r>
        <w:t xml:space="preserve"> </w:t>
      </w:r>
      <w:r>
        <w:t xml:space="preserve">account, and its dividends/interest were reported on the parties’ joint 1040 (Schedule B references account 9956). This discrepancy must be resolved: if the account is a custodial/UTMA account for the minor, the $387,450 may not be a marital asset of Respondent at all; if it is an error, the registration must be corrected. Either outcome materially affects the asset schedule.</w:t>
      </w:r>
    </w:p>
    <w:p>
      <w:pPr>
        <w:pStyle w:val="BodyText"/>
      </w:pPr>
      <w:r>
        <w:rPr>
          <w:b/>
          <w:bCs/>
        </w:rPr>
        <w:t xml:space="preserve">7. NovaBridge expense-reimbursement self-approval and possible double-reimbursement.</w:t>
      </w:r>
      <w:r>
        <w:t xml:space="preserve"> </w:t>
      </w:r>
      <w:r>
        <w:t xml:space="preserve">PROD-007 discloses that Operating Agreement §5.3 permits Respondent, as the 60% managing member, to</w:t>
      </w:r>
      <w:r>
        <w:t xml:space="preserve"> </w:t>
      </w:r>
      <w:r>
        <w:rPr>
          <w:b/>
          <w:bCs/>
        </w:rPr>
        <w:t xml:space="preserve">self-approve his own expense reimbursements</w:t>
      </w:r>
      <w:r>
        <w:t xml:space="preserve"> </w:t>
      </w:r>
      <w:r>
        <w:t xml:space="preserve">without co-member (Jared Ostrowski) review. Two items overlap suspiciously with personal credit-card charges in PROD-006:</w:t>
      </w:r>
      <w:r>
        <w:t xml:space="preserve"> </w:t>
      </w:r>
      <w:r>
        <w:t xml:space="preserve">-</w:t>
      </w:r>
      <w:r>
        <w:t xml:space="preserve"> </w:t>
      </w:r>
      <w:r>
        <w:rPr>
          <w:b/>
          <w:bCs/>
        </w:rPr>
        <w:t xml:space="preserve">“</w:t>
      </w:r>
      <w:r>
        <w:rPr>
          <w:b/>
          <w:bCs/>
        </w:rPr>
        <w:t xml:space="preserve">Personal devices,</w:t>
      </w:r>
      <w:r>
        <w:rPr>
          <w:b/>
          <w:bCs/>
        </w:rPr>
        <w:t xml:space="preserve">”</w:t>
      </w:r>
      <w:r>
        <w:rPr>
          <w:b/>
          <w:bCs/>
        </w:rPr>
        <w:t xml:space="preserve"> </w:t>
      </w:r>
      <w:r>
        <w:rPr>
          <w:b/>
          <w:bCs/>
        </w:rPr>
        <w:t xml:space="preserve">May 17, 2024:</w:t>
      </w:r>
      <w:r>
        <w:t xml:space="preserve"> </w:t>
      </w:r>
      <w:r>
        <w:t xml:space="preserve">a $2,149.50 charge at</w:t>
      </w:r>
      <w:r>
        <w:t xml:space="preserve"> </w:t>
      </w:r>
      <w:r>
        <w:rPr>
          <w:b/>
          <w:bCs/>
        </w:rPr>
        <w:t xml:space="preserve">Pinnacle Electronics</w:t>
      </w:r>
      <w:r>
        <w:t xml:space="preserve"> </w:t>
      </w:r>
      <w:r>
        <w:t xml:space="preserve">(</w:t>
      </w:r>
      <w:r>
        <w:t xml:space="preserve">“</w:t>
      </w:r>
      <w:r>
        <w:t xml:space="preserve">Personal Devices</w:t>
      </w:r>
      <w:r>
        <w:t xml:space="preserve">”</w:t>
      </w:r>
      <w:r>
        <w:t xml:space="preserve">) on the personal Visa, and a $2,150.00 reimbursement from NovaBridge for</w:t>
      </w:r>
      <w:r>
        <w:t xml:space="preserve"> </w:t>
      </w:r>
      <w:r>
        <w:rPr>
          <w:b/>
          <w:bCs/>
        </w:rPr>
        <w:t xml:space="preserve">TechVault Solutions</w:t>
      </w:r>
      <w:r>
        <w:t xml:space="preserve"> </w:t>
      </w:r>
      <w:r>
        <w:t xml:space="preserve">(</w:t>
      </w:r>
      <w:r>
        <w:t xml:space="preserve">“</w:t>
      </w:r>
      <w:r>
        <w:t xml:space="preserve">Technology Equipment — Personal Devices — Tablet, smartphone, and accessories</w:t>
      </w:r>
      <w:r>
        <w:t xml:space="preserve">”</w:t>
      </w:r>
      <w:r>
        <w:t xml:space="preserve">) — same date, same category, near-identical amount, different vendor.</w:t>
      </w:r>
      <w:r>
        <w:t xml:space="preserve"> </w:t>
      </w:r>
      <w:r>
        <w:t xml:space="preserve">-</w:t>
      </w:r>
      <w:r>
        <w:t xml:space="preserve"> </w:t>
      </w:r>
      <w:r>
        <w:rPr>
          <w:b/>
          <w:bCs/>
        </w:rPr>
        <w:t xml:space="preserve">Sapphire Sky Travel:</w:t>
      </w:r>
      <w:r>
        <w:t xml:space="preserve"> </w:t>
      </w:r>
      <w:r>
        <w:t xml:space="preserve">a $3,400 NovaBridge reimbursement (4/3,</w:t>
      </w:r>
      <w:r>
        <w:t xml:space="preserve"> </w:t>
      </w:r>
      <w:r>
        <w:t xml:space="preserve">“</w:t>
      </w:r>
      <w:r>
        <w:t xml:space="preserve">client appreciation event planning</w:t>
      </w:r>
      <w:r>
        <w:t xml:space="preserve">”</w:t>
      </w:r>
      <w:r>
        <w:t xml:space="preserve">) and a $6,200 personal Visa charge (7/8) at the same vendor.</w:t>
      </w:r>
    </w:p>
    <w:p>
      <w:pPr>
        <w:pStyle w:val="BodyText"/>
      </w:pPr>
      <w:r>
        <w:t xml:space="preserve">Additionally, only $5,550 of the $12,662 in H1 2024 reported reimbursements is traceable to deposits in the produced checking account ($3,400 on 4/10; $2,150 on 5/20). The destination of the remaining ~$7,112 is unexplained.</w:t>
      </w:r>
    </w:p>
    <w:p>
      <w:pPr>
        <w:pStyle w:val="BodyText"/>
      </w:pPr>
      <w:r>
        <w:rPr>
          <w:b/>
          <w:bCs/>
        </w:rPr>
        <w:t xml:space="preserve">8. Joint account statements not produced.</w:t>
      </w:r>
      <w:r>
        <w:t xml:space="preserve"> </w:t>
      </w:r>
      <w:r>
        <w:t xml:space="preserve">The Declaration lists a joint checking account (FCB 4821, $12,340) and joint savings account (FCB 4822, $28,750) (¶24–26), but PROD-004 includes only the individual accounts (7703, 7704). As joint accounts, they are within Respondent’s possession, custody, and control. The Declaration’s $3,500/mo</w:t>
      </w:r>
      <w:r>
        <w:t xml:space="preserve"> </w:t>
      </w:r>
      <w:r>
        <w:t xml:space="preserve">“</w:t>
      </w:r>
      <w:r>
        <w:t xml:space="preserve">voluntary contribution</w:t>
      </w:r>
      <w:r>
        <w:t xml:space="preserve">”</w:t>
      </w:r>
      <w:r>
        <w:t xml:space="preserve"> </w:t>
      </w:r>
      <w:r>
        <w:t xml:space="preserve">to the marital household (¶51) is not traceable in the individual checking records and may flow through the joint account. These statements should be produced.</w:t>
      </w:r>
    </w:p>
    <w:p>
      <w:pPr>
        <w:pStyle w:val="BodyText"/>
      </w:pPr>
      <w:r>
        <w:rPr>
          <w:b/>
          <w:bCs/>
        </w:rPr>
        <w:t xml:space="preserve">9. Marital-residence mortgage undocumented; only the Elm Street loan was produced.</w:t>
      </w:r>
      <w:r>
        <w:t xml:space="preserve"> </w:t>
      </w:r>
      <w:r>
        <w:t xml:space="preserve">The Declaration reports a $218,400 Meridian mortgage on 418 Birchwood Lane at $1,842/mo (¶22, ¶44). The $1,842 ACH is visible in PROD-004, but</w:t>
      </w:r>
      <w:r>
        <w:t xml:space="preserve"> </w:t>
      </w:r>
      <w:r>
        <w:rPr>
          <w:b/>
          <w:bCs/>
        </w:rPr>
        <w:t xml:space="preserve">no statements for the Birchwood loan were produced</w:t>
      </w:r>
      <w:r>
        <w:t xml:space="preserve">—PROD-005 covers only the Elm Street loan (7842-0163-ELM, balance $241,281.19). The declared $218,400 balance cannot be verified from the production. Notably, the documented Elm Street balance ($241,281) exceeds the declared Birchwood balance ($218,400).</w:t>
      </w:r>
    </w:p>
    <w:p>
      <w:pPr>
        <w:pStyle w:val="BodyText"/>
      </w:pPr>
      <w:r>
        <w:rPr>
          <w:b/>
          <w:bCs/>
        </w:rPr>
        <w:t xml:space="preserve">10. Valuation-date misrepresentation.</w:t>
      </w:r>
      <w:r>
        <w:t xml:space="preserve"> </w:t>
      </w:r>
      <w:r>
        <w:t xml:space="preserve">The Declaration represents that</w:t>
      </w:r>
      <w:r>
        <w:t xml:space="preserve"> </w:t>
      </w:r>
      <w:r>
        <w:t xml:space="preserve">“</w:t>
      </w:r>
      <w:r>
        <w:t xml:space="preserve">all asset values and account balances … are approximate as of the date of separation … on or about June 1, 2024</w:t>
      </w:r>
      <w:r>
        <w:t xml:space="preserve">”</w:t>
      </w:r>
      <w:r>
        <w:t xml:space="preserve"> </w:t>
      </w:r>
      <w:r>
        <w:t xml:space="preserve">(¶56). In fact, the reported balances match the</w:t>
      </w:r>
      <w:r>
        <w:t xml:space="preserve"> </w:t>
      </w:r>
      <w:r>
        <w:rPr>
          <w:b/>
          <w:bCs/>
        </w:rPr>
        <w:t xml:space="preserve">August 1, 2024</w:t>
      </w:r>
      <w:r>
        <w:t xml:space="preserve"> </w:t>
      </w:r>
      <w:r>
        <w:t xml:space="preserve">statement values (brokerage $387,450; checking $8,215; savings $42,680)—i.e., after the $85,000 wire, the $14,644.60 401(k) lump sum, and other post-separation activity. The brokerage balance on/around June 1 was ~$468,695, roughly $81,000 higher than reported.</w:t>
      </w:r>
    </w:p>
    <w:p>
      <w:pPr>
        <w:pStyle w:val="BodyText"/>
      </w:pPr>
      <w:r>
        <w:rPr>
          <w:b/>
          <w:bCs/>
        </w:rPr>
        <w:t xml:space="preserve">11. Credit-card creditor misidentified;</w:t>
      </w:r>
      <w:r>
        <w:rPr>
          <w:b/>
          <w:bCs/>
        </w:rPr>
        <w:t xml:space="preserve"> </w:t>
      </w:r>
      <w:r>
        <w:rPr>
          <w:b/>
          <w:bCs/>
        </w:rPr>
        <w:t xml:space="preserve">“</w:t>
      </w:r>
      <w:r>
        <w:rPr>
          <w:b/>
          <w:bCs/>
        </w:rPr>
        <w:t xml:space="preserve">revolving balance</w:t>
      </w:r>
      <w:r>
        <w:rPr>
          <w:b/>
          <w:bCs/>
        </w:rPr>
        <w:t xml:space="preserve">”</w:t>
      </w:r>
      <w:r>
        <w:rPr>
          <w:b/>
          <w:bCs/>
        </w:rPr>
        <w:t xml:space="preserve"> </w:t>
      </w:r>
      <w:r>
        <w:rPr>
          <w:b/>
          <w:bCs/>
        </w:rPr>
        <w:t xml:space="preserve">characterization inaccurate.</w:t>
      </w:r>
      <w:r>
        <w:t xml:space="preserve"> </w:t>
      </w:r>
      <w:r>
        <w:t xml:space="preserve">The Declaration identifies the card issuer as</w:t>
      </w:r>
      <w:r>
        <w:t xml:space="preserve"> </w:t>
      </w:r>
      <w:r>
        <w:t xml:space="preserve">“</w:t>
      </w:r>
      <w:r>
        <w:t xml:space="preserve">First National Card Services</w:t>
      </w:r>
      <w:r>
        <w:t xml:space="preserve">”</w:t>
      </w:r>
      <w:r>
        <w:t xml:space="preserve"> </w:t>
      </w:r>
      <w:r>
        <w:t xml:space="preserve">with an</w:t>
      </w:r>
      <w:r>
        <w:t xml:space="preserve"> </w:t>
      </w:r>
      <w:r>
        <w:t xml:space="preserve">“</w:t>
      </w:r>
      <w:r>
        <w:t xml:space="preserve">~$8,500 revolving balance</w:t>
      </w:r>
      <w:r>
        <w:t xml:space="preserve">”</w:t>
      </w:r>
      <w:r>
        <w:t xml:space="preserve"> </w:t>
      </w:r>
      <w:r>
        <w:t xml:space="preserve">(¶43, ¶46). The produced statements are a</w:t>
      </w:r>
      <w:r>
        <w:t xml:space="preserve"> </w:t>
      </w:r>
      <w:r>
        <w:rPr>
          <w:b/>
          <w:bCs/>
        </w:rPr>
        <w:t xml:space="preserve">Fairview Community Bank</w:t>
      </w:r>
      <w:r>
        <w:t xml:space="preserve"> </w:t>
      </w:r>
      <w:r>
        <w:t xml:space="preserve">Platinum Visa (acct 8316) that is</w:t>
      </w:r>
      <w:r>
        <w:t xml:space="preserve"> </w:t>
      </w:r>
      <w:r>
        <w:rPr>
          <w:b/>
          <w:bCs/>
        </w:rPr>
        <w:t xml:space="preserve">paid in full every month</w:t>
      </w:r>
      <w:r>
        <w:t xml:space="preserve"> </w:t>
      </w:r>
      <w:r>
        <w:t xml:space="preserve">(finance charges $0.00; payments equal the prior balance). The $8,500 figure matches no statement balance (May $7,038; Jun $8,124; Jul $12,487; Aug $6,419). The card is better characterized as a monthly expense conduit than a revolving debt.</w:t>
      </w:r>
    </w:p>
    <w:bookmarkEnd w:id="31"/>
    <w:bookmarkStart w:id="32" w:name="c.-minor-internal-arithmetic"/>
    <w:p>
      <w:pPr>
        <w:pStyle w:val="Heading3"/>
      </w:pPr>
      <w:r>
        <w:t xml:space="preserve">C. Minor / Internal-Arithmetic</w:t>
      </w:r>
    </w:p>
    <w:p>
      <w:pPr>
        <w:pStyle w:val="FirstParagraph"/>
      </w:pPr>
      <w:r>
        <w:rPr>
          <w:b/>
          <w:bCs/>
        </w:rPr>
        <w:t xml:space="preserve">12. Recurring $1,000 discrepancy in credit-card statements (June–August 2024).</w:t>
      </w:r>
      <w:r>
        <w:t xml:space="preserve"> </w:t>
      </w:r>
      <w:r>
        <w:t xml:space="preserve">In each of June, July, and August 2024, the stated</w:t>
      </w:r>
      <w:r>
        <w:t xml:space="preserve"> </w:t>
      </w:r>
      <w:r>
        <w:t xml:space="preserve">“</w:t>
      </w:r>
      <w:r>
        <w:t xml:space="preserve">Total New Charges</w:t>
      </w:r>
      <w:r>
        <w:t xml:space="preserve">”</w:t>
      </w:r>
      <w:r>
        <w:t xml:space="preserve"> </w:t>
      </w:r>
      <w:r>
        <w:t xml:space="preserve">exceeds the sum of the itemized transaction lines by exactly $1,000 (June: $8,124.30 stated vs. $7,124.30 itemized; July: $12,486.75 vs. $11,486.75; August: $6,418.50 vs. $5,418.50). May 2024 reconciles exactly. This consistent gap suggests an unitemized recurring charge or a statement error and should be clarified.</w:t>
      </w:r>
    </w:p>
    <w:p>
      <w:pPr>
        <w:pStyle w:val="BodyText"/>
      </w:pPr>
      <w:r>
        <w:rPr>
          <w:b/>
          <w:bCs/>
        </w:rPr>
        <w:t xml:space="preserve">13. Internal inconsistency in Crestline holdings (Columbia Balanced Income Fund).</w:t>
      </w:r>
      <w:r>
        <w:t xml:space="preserve"> </w:t>
      </w:r>
      <w:r>
        <w:t xml:space="preserve">In the June, July, and August 1 Crestline statements, the listed market value of the Columbia Balanced Income Fund does not equal shares × stated price (June: 1,759.49 sh × $86.40 = ~$152,020 vs. listed $118,400; July: ~$154,262 vs. $119,240; Aug 1: ~$154,368 vs. $118,680—a ~$33,600–$35,700 gap each month). May reconciles within rounding. The account totals foot to the listed (lower) values, but the per-holding figures are internally inconsistent.</w:t>
      </w:r>
    </w:p>
    <w:p>
      <w:pPr>
        <w:pStyle w:val="BodyText"/>
      </w:pPr>
      <w:r>
        <w:rPr>
          <w:b/>
          <w:bCs/>
        </w:rPr>
        <w:t xml:space="preserve">14. 401(k) contribution pattern irregular.</w:t>
      </w:r>
      <w:r>
        <w:t xml:space="preserve"> </w:t>
      </w:r>
      <w:r>
        <w:t xml:space="preserve">The checking account shows monthly ACH 401(k) contributions of $1,437.50 (Mar–Jul) and an anomalous</w:t>
      </w:r>
      <w:r>
        <w:t xml:space="preserve"> </w:t>
      </w:r>
      <w:r>
        <w:rPr>
          <w:b/>
          <w:bCs/>
        </w:rPr>
        <w:t xml:space="preserve">$14,644.60</w:t>
      </w:r>
      <w:r>
        <w:t xml:space="preserve"> </w:t>
      </w:r>
      <w:r>
        <w:t xml:space="preserve">lump sum on 8/1/2024 (</w:t>
      </w:r>
      <w:r>
        <w:t xml:space="preserve">“</w:t>
      </w:r>
      <w:r>
        <w:t xml:space="preserve">Early Month</w:t>
      </w:r>
      <w:r>
        <w:t xml:space="preserve">”</w:t>
      </w:r>
      <w:r>
        <w:t xml:space="preserve">). The monthly figure annualizes to $17,250, which does not equal the $22,500 elective deferral reported on the 2023 W-2 (Box 12a). The August 1 lump sum—on the heels of the June wire and during the disputed separation window—warrants explanation, as does the 401(k) balance ($412,800), for which no statements were produced.</w:t>
      </w:r>
    </w:p>
    <w:p>
      <w:pPr>
        <w:pStyle w:val="BodyText"/>
      </w:pPr>
      <w:r>
        <w:rPr>
          <w:b/>
          <w:bCs/>
        </w:rPr>
        <w:t xml:space="preserve">15. Filing-date inconsistency.</w:t>
      </w:r>
      <w:r>
        <w:t xml:space="preserve"> </w:t>
      </w:r>
      <w:r>
        <w:t xml:space="preserve">The cover letter states the Financial Declaration was</w:t>
      </w:r>
      <w:r>
        <w:t xml:space="preserve"> </w:t>
      </w:r>
      <w:r>
        <w:t xml:space="preserve">“</w:t>
      </w:r>
      <w:r>
        <w:t xml:space="preserve">filed with the Court on or about October 4, 2024,</w:t>
      </w:r>
      <w:r>
        <w:t xml:space="preserve">”</w:t>
      </w:r>
      <w:r>
        <w:t xml:space="preserve"> </w:t>
      </w:r>
      <w:r>
        <w:t xml:space="preserve">while the Declaration itself bears a filed date and notarization of</w:t>
      </w:r>
      <w:r>
        <w:t xml:space="preserve"> </w:t>
      </w:r>
      <w:r>
        <w:rPr>
          <w:b/>
          <w:bCs/>
        </w:rPr>
        <w:t xml:space="preserve">September 20, 2024</w:t>
      </w:r>
      <w:r>
        <w:t xml:space="preserve"> </w:t>
      </w:r>
      <w:r>
        <w:t xml:space="preserve">(Certificate of Service dated 9/20/2024).</w:t>
      </w:r>
    </w:p>
    <w:p>
      <w:pPr>
        <w:pStyle w:val="BodyText"/>
      </w:pPr>
      <w:r>
        <w:rPr>
          <w:b/>
          <w:bCs/>
        </w:rPr>
        <w:t xml:space="preserve">16. Address / contact lag.</w:t>
      </w:r>
      <w:r>
        <w:t xml:space="preserve"> </w:t>
      </w:r>
      <w:r>
        <w:t xml:space="preserve">The Crestline (PROD-003) and FCB bank (PROD-004) statements still show the marital address (418 Birchwood Lane) as of 8/1/2024, notwithstanding the declared 6/1/2024 move to 2200 Harbor Point Drive. The Visa statement address was updated effective the July 2024 cycle.</w:t>
      </w:r>
    </w:p>
    <w:p>
      <w:pPr>
        <w:pStyle w:val="BodyText"/>
      </w:pPr>
      <w:r>
        <w:rPr>
          <w:b/>
          <w:bCs/>
        </w:rPr>
        <w:t xml:space="preserve">17. Production-metadata errors.</w:t>
      </w:r>
      <w:r>
        <w:t xml:space="preserve"> </w:t>
      </w:r>
      <w:r>
        <w:t xml:space="preserve">PROD-004’s production stamp misstates the case number (2024-DR-00847 vs. 2024-DR-01847) and caption (</w:t>
      </w:r>
      <w:r>
        <w:rPr>
          <w:i/>
          <w:iCs/>
        </w:rPr>
        <w:t xml:space="preserve">In re Marriage of Kwan</w:t>
      </w:r>
      <w:r>
        <w:t xml:space="preserve"> </w:t>
      </w:r>
      <w:r>
        <w:t xml:space="preserve">vs. </w:t>
      </w:r>
      <w:r>
        <w:rPr>
          <w:i/>
          <w:iCs/>
        </w:rPr>
        <w:t xml:space="preserve">Torres-Kwan v. Kwan</w:t>
      </w:r>
      <w:r>
        <w:t xml:space="preserve">); the cover-letter email has a blank Date field; and Bates prefixes/ranges are inconsistent across sets (see Section II).</w:t>
      </w:r>
    </w:p>
    <w:p>
      <w:r>
        <w:pict>
          <v:rect style="width:0;height:1.5pt" o:hralign="center" o:hrstd="t" o:hr="t"/>
        </w:pict>
      </w:r>
    </w:p>
    <w:bookmarkEnd w:id="32"/>
    <w:bookmarkEnd w:id="33"/>
    <w:bookmarkStart w:id="38" w:name="v.-recommended-follow-up-discovery"/>
    <w:p>
      <w:pPr>
        <w:pStyle w:val="Heading2"/>
      </w:pPr>
      <w:r>
        <w:t xml:space="preserve">V. Recommended Follow-Up Discovery</w:t>
      </w:r>
    </w:p>
    <w:bookmarkStart w:id="34" w:name="X480a6e4604b2a33db3673f5bea35b021949b05b"/>
    <w:p>
      <w:pPr>
        <w:pStyle w:val="Heading3"/>
      </w:pPr>
      <w:r>
        <w:t xml:space="preserve">A. Documents to Request / Compel from Respondent</w:t>
      </w:r>
    </w:p>
    <w:p>
      <w:pPr>
        <w:pStyle w:val="Compact"/>
        <w:numPr>
          <w:ilvl w:val="0"/>
          <w:numId w:val="1001"/>
        </w:numPr>
      </w:pPr>
      <w:r>
        <w:rPr>
          <w:b/>
          <w:bCs/>
        </w:rPr>
        <w:t xml:space="preserve">Complete 2023 Form 1040</w:t>
      </w:r>
      <w:r>
        <w:t xml:space="preserve"> </w:t>
      </w:r>
      <w:r>
        <w:t xml:space="preserve">with all schedules and attachments (Schedule A, B, D, SE, Form 8995/QBI, full Schedule E, and the complete K-1 package)—only 14 of 47 pages were produced.</w:t>
      </w:r>
    </w:p>
    <w:p>
      <w:pPr>
        <w:pStyle w:val="Compact"/>
        <w:numPr>
          <w:ilvl w:val="0"/>
          <w:numId w:val="1001"/>
        </w:numPr>
      </w:pPr>
      <w:r>
        <w:rPr>
          <w:b/>
          <w:bCs/>
        </w:rPr>
        <w:t xml:space="preserve">Tax years 2021 and 2022</w:t>
      </w:r>
      <w:r>
        <w:t xml:space="preserve">—personal returns (Form 1040) and NovaBridge entity returns (Form 1065) and K-1s, to establish the income and distribution trend.</w:t>
      </w:r>
    </w:p>
    <w:p>
      <w:pPr>
        <w:pStyle w:val="Compact"/>
        <w:numPr>
          <w:ilvl w:val="0"/>
          <w:numId w:val="1001"/>
        </w:numPr>
      </w:pPr>
      <w:r>
        <w:rPr>
          <w:b/>
          <w:bCs/>
        </w:rPr>
        <w:t xml:space="preserve">2024 year-to-date pay stubs</w:t>
      </w:r>
      <w:r>
        <w:t xml:space="preserve"> </w:t>
      </w:r>
      <w:r>
        <w:t xml:space="preserve">from NovaBridge verifying current W-2 wages and deductions.</w:t>
      </w:r>
    </w:p>
    <w:p>
      <w:pPr>
        <w:pStyle w:val="Compact"/>
        <w:numPr>
          <w:ilvl w:val="0"/>
          <w:numId w:val="1001"/>
        </w:numPr>
      </w:pPr>
      <w:r>
        <w:rPr>
          <w:b/>
          <w:bCs/>
        </w:rPr>
        <w:t xml:space="preserve">NovaBridge Solutions LLC Operating Agreement</w:t>
      </w:r>
      <w:r>
        <w:t xml:space="preserve"> </w:t>
      </w:r>
      <w:r>
        <w:t xml:space="preserve">(referenced at §5.3 in PROD-007) and all amendments—outstanding under Request Nos. 16–22.</w:t>
      </w:r>
    </w:p>
    <w:p>
      <w:pPr>
        <w:pStyle w:val="Compact"/>
        <w:numPr>
          <w:ilvl w:val="0"/>
          <w:numId w:val="1001"/>
        </w:numPr>
      </w:pPr>
      <w:r>
        <w:rPr>
          <w:b/>
          <w:bCs/>
        </w:rPr>
        <w:t xml:space="preserve">NovaBridge entity-level records:</w:t>
      </w:r>
      <w:r>
        <w:t xml:space="preserve"> </w:t>
      </w:r>
      <w:r>
        <w:t xml:space="preserve">Form 1065 (2022–2024 interim), financial statements, general ledger, entity bank statements, member capital accounts, and K-1s for all members.</w:t>
      </w:r>
    </w:p>
    <w:p>
      <w:pPr>
        <w:pStyle w:val="Compact"/>
        <w:numPr>
          <w:ilvl w:val="0"/>
          <w:numId w:val="1001"/>
        </w:numPr>
      </w:pPr>
      <w:r>
        <w:rPr>
          <w:b/>
          <w:bCs/>
        </w:rPr>
        <w:t xml:space="preserve">Joint account statements</w:t>
      </w:r>
      <w:r>
        <w:t xml:space="preserve"> </w:t>
      </w:r>
      <w:r>
        <w:t xml:space="preserve">(FCB checking 4821 and savings 4822) for at least January 2023–present.</w:t>
      </w:r>
    </w:p>
    <w:p>
      <w:pPr>
        <w:pStyle w:val="Compact"/>
        <w:numPr>
          <w:ilvl w:val="0"/>
          <w:numId w:val="1001"/>
        </w:numPr>
      </w:pPr>
      <w:r>
        <w:rPr>
          <w:b/>
          <w:bCs/>
        </w:rPr>
        <w:t xml:space="preserve">Marital-residence mortgage statements</w:t>
      </w:r>
      <w:r>
        <w:t xml:space="preserve"> </w:t>
      </w:r>
      <w:r>
        <w:t xml:space="preserve">(418 Birchwood Lane, Meridian) and loan history—only the Elm Street loan was produced.</w:t>
      </w:r>
    </w:p>
    <w:p>
      <w:pPr>
        <w:pStyle w:val="Compact"/>
        <w:numPr>
          <w:ilvl w:val="0"/>
          <w:numId w:val="1001"/>
        </w:numPr>
      </w:pPr>
      <w:r>
        <w:rPr>
          <w:b/>
          <w:bCs/>
        </w:rPr>
        <w:t xml:space="preserve">Harborstone Financial Group</w:t>
      </w:r>
      <w:r>
        <w:t xml:space="preserve"> </w:t>
      </w:r>
      <w:r>
        <w:t xml:space="preserve">account-opening documents and statements for account ending 2291 (recipient of the $85,000 wire).</w:t>
      </w:r>
    </w:p>
    <w:p>
      <w:pPr>
        <w:pStyle w:val="Compact"/>
        <w:numPr>
          <w:ilvl w:val="0"/>
          <w:numId w:val="1001"/>
        </w:numPr>
      </w:pPr>
      <w:r>
        <w:rPr>
          <w:b/>
          <w:bCs/>
        </w:rPr>
        <w:t xml:space="preserve">Crestline account-opening / registration records</w:t>
      </w:r>
      <w:r>
        <w:t xml:space="preserve"> </w:t>
      </w:r>
      <w:r>
        <w:t xml:space="preserve">resolving the tax-ID (8341) discrepancy and stating whether the account is individual or custodial/UTMA.</w:t>
      </w:r>
    </w:p>
    <w:p>
      <w:pPr>
        <w:pStyle w:val="Compact"/>
        <w:numPr>
          <w:ilvl w:val="0"/>
          <w:numId w:val="1001"/>
        </w:numPr>
      </w:pPr>
      <w:r>
        <w:rPr>
          <w:b/>
          <w:bCs/>
        </w:rPr>
        <w:t xml:space="preserve">Pinnacle Retirement Services 401(k) statements</w:t>
      </w:r>
      <w:r>
        <w:t xml:space="preserve"> </w:t>
      </w:r>
      <w:r>
        <w:t xml:space="preserve">(acct 3310) and contribution records explaining the $14,644.60 8/1/2024 lump sum and the monthly contribution pattern.</w:t>
      </w:r>
    </w:p>
    <w:p>
      <w:pPr>
        <w:pStyle w:val="Compact"/>
        <w:numPr>
          <w:ilvl w:val="0"/>
          <w:numId w:val="1001"/>
        </w:numPr>
      </w:pPr>
      <w:r>
        <w:rPr>
          <w:b/>
          <w:bCs/>
        </w:rPr>
        <w:t xml:space="preserve">Credit-card statements for January–April 2024</w:t>
      </w:r>
      <w:r>
        <w:t xml:space="preserve"> </w:t>
      </w:r>
      <w:r>
        <w:t xml:space="preserve">(to complete the year) and clarification of the recurring $1,000 discrepancy.</w:t>
      </w:r>
    </w:p>
    <w:p>
      <w:pPr>
        <w:pStyle w:val="Compact"/>
        <w:numPr>
          <w:ilvl w:val="0"/>
          <w:numId w:val="1001"/>
        </w:numPr>
      </w:pPr>
      <w:r>
        <w:rPr>
          <w:b/>
          <w:bCs/>
        </w:rPr>
        <w:t xml:space="preserve">Venmo / payment-app records</w:t>
      </w:r>
      <w:r>
        <w:t xml:space="preserve"> </w:t>
      </w:r>
      <w:r>
        <w:t xml:space="preserve">for Darren Kwan identifying</w:t>
      </w:r>
      <w:r>
        <w:t xml:space="preserve"> </w:t>
      </w:r>
      <w:r>
        <w:t xml:space="preserve">“</w:t>
      </w:r>
      <w:r>
        <w:t xml:space="preserve">Kiera M.</w:t>
      </w:r>
      <w:r>
        <w:t xml:space="preserve">”</w:t>
      </w:r>
      <w:r>
        <w:t xml:space="preserve"> </w:t>
      </w:r>
      <w:r>
        <w:t xml:space="preserve">and all transfers.</w:t>
      </w:r>
    </w:p>
    <w:p>
      <w:pPr>
        <w:pStyle w:val="Compact"/>
        <w:numPr>
          <w:ilvl w:val="0"/>
          <w:numId w:val="1001"/>
        </w:numPr>
      </w:pPr>
      <w:r>
        <w:rPr>
          <w:b/>
          <w:bCs/>
        </w:rPr>
        <w:t xml:space="preserve">NovaBridge expense-reimbursement supporting receipts</w:t>
      </w:r>
      <w:r>
        <w:t xml:space="preserve"> </w:t>
      </w:r>
      <w:r>
        <w:t xml:space="preserve">and the deposit-account records showing where all H1 2024 reimbursements ($12,662) were paid.</w:t>
      </w:r>
    </w:p>
    <w:p>
      <w:pPr>
        <w:pStyle w:val="Compact"/>
        <w:numPr>
          <w:ilvl w:val="0"/>
          <w:numId w:val="1001"/>
        </w:numPr>
      </w:pPr>
      <w:r>
        <w:rPr>
          <w:b/>
          <w:bCs/>
        </w:rPr>
        <w:t xml:space="preserve">Title/deed and purchase documents</w:t>
      </w:r>
      <w:r>
        <w:t xml:space="preserve"> </w:t>
      </w:r>
      <w:r>
        <w:t xml:space="preserve">for 1035 Elm Street, Unit C (ownership, acquisition date, consideration) and the</w:t>
      </w:r>
      <w:r>
        <w:t xml:space="preserve"> </w:t>
      </w:r>
      <w:r>
        <w:rPr>
          <w:b/>
          <w:bCs/>
        </w:rPr>
        <w:t xml:space="preserve">lease agreement</w:t>
      </w:r>
      <w:r>
        <w:t xml:space="preserve"> </w:t>
      </w:r>
      <w:r>
        <w:t xml:space="preserve">for 2200 Harbor Point Drive, Unit 14B.</w:t>
      </w:r>
    </w:p>
    <w:p>
      <w:pPr>
        <w:pStyle w:val="Compact"/>
        <w:numPr>
          <w:ilvl w:val="0"/>
          <w:numId w:val="1001"/>
        </w:numPr>
      </w:pPr>
      <w:r>
        <w:rPr>
          <w:b/>
          <w:bCs/>
        </w:rPr>
        <w:t xml:space="preserve">Formal appraisals/valuations</w:t>
      </w:r>
      <w:r>
        <w:t xml:space="preserve"> </w:t>
      </w:r>
      <w:r>
        <w:t xml:space="preserve">of: the marital residence (418 Birchwood), the Elm Street rental condominium, the NovaBridge 60% membership interest, and the vehicles.</w:t>
      </w:r>
    </w:p>
    <w:bookmarkEnd w:id="34"/>
    <w:bookmarkStart w:id="35" w:name="b.-interrogatories-and-deposition-topics"/>
    <w:p>
      <w:pPr>
        <w:pStyle w:val="Heading3"/>
      </w:pPr>
      <w:r>
        <w:t xml:space="preserve">B. Interrogatories and Deposition Topics</w:t>
      </w:r>
    </w:p>
    <w:p>
      <w:pPr>
        <w:pStyle w:val="Compact"/>
        <w:numPr>
          <w:ilvl w:val="0"/>
          <w:numId w:val="1002"/>
        </w:numPr>
      </w:pPr>
      <w:r>
        <w:t xml:space="preserve">Identity of</w:t>
      </w:r>
      <w:r>
        <w:t xml:space="preserve"> </w:t>
      </w:r>
      <w:r>
        <w:t xml:space="preserve">“</w:t>
      </w:r>
      <w:r>
        <w:t xml:space="preserve">Kiera M.</w:t>
      </w:r>
      <w:r>
        <w:t xml:space="preserve">”</w:t>
      </w:r>
      <w:r>
        <w:t xml:space="preserve"> </w:t>
      </w:r>
      <w:r>
        <w:t xml:space="preserve">and the purpose of each Venmo transfer ($14,600 total).</w:t>
      </w:r>
    </w:p>
    <w:p>
      <w:pPr>
        <w:pStyle w:val="Compact"/>
        <w:numPr>
          <w:ilvl w:val="0"/>
          <w:numId w:val="1002"/>
        </w:numPr>
      </w:pPr>
      <w:r>
        <w:t xml:space="preserve">Purpose, authorization, and ultimate use of the $85,000 wire to Harborstone Financial Group (acct 2291) on 6/15/2024.</w:t>
      </w:r>
    </w:p>
    <w:p>
      <w:pPr>
        <w:pStyle w:val="Compact"/>
        <w:numPr>
          <w:ilvl w:val="0"/>
          <w:numId w:val="1002"/>
        </w:numPr>
      </w:pPr>
      <w:r>
        <w:t xml:space="preserve">Reconciliation of the date of separation (June 1, 2024 vs. August 1, 2024).</w:t>
      </w:r>
    </w:p>
    <w:p>
      <w:pPr>
        <w:pStyle w:val="Compact"/>
        <w:numPr>
          <w:ilvl w:val="0"/>
          <w:numId w:val="1002"/>
        </w:numPr>
      </w:pPr>
      <w:r>
        <w:t xml:space="preserve">Why the 1035 Elm Street property, its mortgage, and rental income were omitted from the Sworn Financial Declaration.</w:t>
      </w:r>
    </w:p>
    <w:p>
      <w:pPr>
        <w:pStyle w:val="Compact"/>
        <w:numPr>
          <w:ilvl w:val="0"/>
          <w:numId w:val="1002"/>
        </w:numPr>
      </w:pPr>
      <w:r>
        <w:t xml:space="preserve">Why K-1 cash distributions ($174,000) were reported as</w:t>
      </w:r>
      <w:r>
        <w:t xml:space="preserve"> </w:t>
      </w:r>
      <w:r>
        <w:t xml:space="preserve">“</w:t>
      </w:r>
      <w:r>
        <w:t xml:space="preserve">income</w:t>
      </w:r>
      <w:r>
        <w:t xml:space="preserve">”</w:t>
      </w:r>
      <w:r>
        <w:t xml:space="preserve"> </w:t>
      </w:r>
      <w:r>
        <w:t xml:space="preserve">rather than K-1 ordinary business income ($367,200).</w:t>
      </w:r>
    </w:p>
    <w:p>
      <w:pPr>
        <w:pStyle w:val="Compact"/>
        <w:numPr>
          <w:ilvl w:val="0"/>
          <w:numId w:val="1002"/>
        </w:numPr>
      </w:pPr>
      <w:r>
        <w:t xml:space="preserve">The registration/tax-ID of the Crestline account (ending 8341)—custodial account or error?</w:t>
      </w:r>
    </w:p>
    <w:p>
      <w:pPr>
        <w:pStyle w:val="Compact"/>
        <w:numPr>
          <w:ilvl w:val="0"/>
          <w:numId w:val="1002"/>
        </w:numPr>
      </w:pPr>
      <w:r>
        <w:t xml:space="preserve">Self-approval of expense reimbursements under Operating Agreement §5.3, and the May 17</w:t>
      </w:r>
      <w:r>
        <w:t xml:space="preserve"> </w:t>
      </w:r>
      <w:r>
        <w:t xml:space="preserve">“</w:t>
      </w:r>
      <w:r>
        <w:t xml:space="preserve">personal devices</w:t>
      </w:r>
      <w:r>
        <w:t xml:space="preserve">”</w:t>
      </w:r>
      <w:r>
        <w:t xml:space="preserve"> </w:t>
      </w:r>
      <w:r>
        <w:t xml:space="preserve">overlap ($2,149.50 personal vs. $2,150 reimbursed) and Sapphire Sky Travel charges.</w:t>
      </w:r>
    </w:p>
    <w:p>
      <w:pPr>
        <w:pStyle w:val="Compact"/>
        <w:numPr>
          <w:ilvl w:val="0"/>
          <w:numId w:val="1002"/>
        </w:numPr>
      </w:pPr>
      <w:r>
        <w:t xml:space="preserve">The recurring $1,000 credit-card discrepancies (June–August 2024).</w:t>
      </w:r>
    </w:p>
    <w:p>
      <w:pPr>
        <w:pStyle w:val="Compact"/>
        <w:numPr>
          <w:ilvl w:val="0"/>
          <w:numId w:val="1002"/>
        </w:numPr>
      </w:pPr>
      <w:r>
        <w:t xml:space="preserve">Undisclosed recurring expenses (country-club dues, etc.) and the gap between declared and actual monthly outflows.</w:t>
      </w:r>
    </w:p>
    <w:p>
      <w:pPr>
        <w:pStyle w:val="Compact"/>
        <w:numPr>
          <w:ilvl w:val="0"/>
          <w:numId w:val="1002"/>
        </w:numPr>
      </w:pPr>
      <w:r>
        <w:t xml:space="preserve">The $14,644.60 401(k) lump sum on 8/1/2024 and the overall contribution pattern.</w:t>
      </w:r>
    </w:p>
    <w:bookmarkEnd w:id="35"/>
    <w:bookmarkStart w:id="36" w:name="c.-third-party-subpoenas"/>
    <w:p>
      <w:pPr>
        <w:pStyle w:val="Heading3"/>
      </w:pPr>
      <w:r>
        <w:t xml:space="preserve">C. Third-Party Subpoenas</w:t>
      </w:r>
    </w:p>
    <w:p>
      <w:pPr>
        <w:pStyle w:val="Compact"/>
        <w:numPr>
          <w:ilvl w:val="0"/>
          <w:numId w:val="1003"/>
        </w:numPr>
      </w:pPr>
      <w:r>
        <w:rPr>
          <w:b/>
          <w:bCs/>
        </w:rPr>
        <w:t xml:space="preserve">Harborstone Financial Group</w:t>
      </w:r>
      <w:r>
        <w:t xml:space="preserve"> </w:t>
      </w:r>
      <w:r>
        <w:t xml:space="preserve">— all records for account ending 2291 and any other Kwan-related accounts.</w:t>
      </w:r>
    </w:p>
    <w:p>
      <w:pPr>
        <w:pStyle w:val="Compact"/>
        <w:numPr>
          <w:ilvl w:val="0"/>
          <w:numId w:val="1003"/>
        </w:numPr>
      </w:pPr>
      <w:r>
        <w:rPr>
          <w:b/>
          <w:bCs/>
        </w:rPr>
        <w:t xml:space="preserve">Crestline Wealth Advisors</w:t>
      </w:r>
      <w:r>
        <w:t xml:space="preserve"> </w:t>
      </w:r>
      <w:r>
        <w:t xml:space="preserve">— account-opening/registration records, full statement history, and wire/transfer records for acct 9956.</w:t>
      </w:r>
    </w:p>
    <w:p>
      <w:pPr>
        <w:pStyle w:val="Compact"/>
        <w:numPr>
          <w:ilvl w:val="0"/>
          <w:numId w:val="1003"/>
        </w:numPr>
      </w:pPr>
      <w:r>
        <w:rPr>
          <w:b/>
          <w:bCs/>
        </w:rPr>
        <w:t xml:space="preserve">Fairview Community Bank</w:t>
      </w:r>
      <w:r>
        <w:t xml:space="preserve"> </w:t>
      </w:r>
      <w:r>
        <w:t xml:space="preserve">— all accounts (joint 4821/4822, individual 7703/7704, Visa 8316, auto-loan), with complete histories.</w:t>
      </w:r>
    </w:p>
    <w:p>
      <w:pPr>
        <w:pStyle w:val="Compact"/>
        <w:numPr>
          <w:ilvl w:val="0"/>
          <w:numId w:val="1003"/>
        </w:numPr>
      </w:pPr>
      <w:r>
        <w:rPr>
          <w:b/>
          <w:bCs/>
        </w:rPr>
        <w:t xml:space="preserve">Meridian Home Lending</w:t>
      </w:r>
      <w:r>
        <w:t xml:space="preserve"> </w:t>
      </w:r>
      <w:r>
        <w:t xml:space="preserve">— both loans (418 Birchwood and 1035 Elm Street, Loan No. 7842-0163-ELM), with payment histories and current balances.</w:t>
      </w:r>
    </w:p>
    <w:p>
      <w:pPr>
        <w:pStyle w:val="Compact"/>
        <w:numPr>
          <w:ilvl w:val="0"/>
          <w:numId w:val="1003"/>
        </w:numPr>
      </w:pPr>
      <w:r>
        <w:rPr>
          <w:b/>
          <w:bCs/>
        </w:rPr>
        <w:t xml:space="preserve">Pinnacle Retirement Services</w:t>
      </w:r>
      <w:r>
        <w:t xml:space="preserve"> </w:t>
      </w:r>
      <w:r>
        <w:t xml:space="preserve">— 401(k) acct 3310 and 403(b) acct 5587, with contribution and balance histories.</w:t>
      </w:r>
    </w:p>
    <w:p>
      <w:pPr>
        <w:pStyle w:val="Compact"/>
        <w:numPr>
          <w:ilvl w:val="0"/>
          <w:numId w:val="1003"/>
        </w:numPr>
      </w:pPr>
      <w:r>
        <w:rPr>
          <w:b/>
          <w:bCs/>
        </w:rPr>
        <w:t xml:space="preserve">Venmo / PayPal</w:t>
      </w:r>
      <w:r>
        <w:t xml:space="preserve"> </w:t>
      </w:r>
      <w:r>
        <w:t xml:space="preserve">— transaction history for Darren Kwan.</w:t>
      </w:r>
    </w:p>
    <w:p>
      <w:pPr>
        <w:pStyle w:val="Compact"/>
        <w:numPr>
          <w:ilvl w:val="0"/>
          <w:numId w:val="1003"/>
        </w:numPr>
      </w:pPr>
      <w:r>
        <w:rPr>
          <w:b/>
          <w:bCs/>
        </w:rPr>
        <w:t xml:space="preserve">NovaBridge Solutions LLC</w:t>
      </w:r>
      <w:r>
        <w:t xml:space="preserve"> </w:t>
      </w:r>
      <w:r>
        <w:t xml:space="preserve">— entity bank statements, Operating Agreement, financial statements, and member ledgers.</w:t>
      </w:r>
    </w:p>
    <w:p>
      <w:pPr>
        <w:pStyle w:val="Compact"/>
        <w:numPr>
          <w:ilvl w:val="0"/>
          <w:numId w:val="1003"/>
        </w:numPr>
      </w:pPr>
      <w:r>
        <w:rPr>
          <w:b/>
          <w:bCs/>
        </w:rPr>
        <w:t xml:space="preserve">Archer &amp; Linden CPAs</w:t>
      </w:r>
      <w:r>
        <w:t xml:space="preserve"> </w:t>
      </w:r>
      <w:r>
        <w:t xml:space="preserve">— tax workpapers and source documents for tax years 2021–2023 (subject to appropriate notice).</w:t>
      </w:r>
    </w:p>
    <w:bookmarkEnd w:id="36"/>
    <w:bookmarkStart w:id="37" w:name="d.-procedural-steps"/>
    <w:p>
      <w:pPr>
        <w:pStyle w:val="Heading3"/>
      </w:pPr>
      <w:r>
        <w:t xml:space="preserve">D. Procedural Steps</w:t>
      </w:r>
    </w:p>
    <w:p>
      <w:pPr>
        <w:pStyle w:val="Compact"/>
        <w:numPr>
          <w:ilvl w:val="0"/>
          <w:numId w:val="1004"/>
        </w:numPr>
      </w:pPr>
      <w:r>
        <w:rPr>
          <w:b/>
          <w:bCs/>
        </w:rPr>
        <w:t xml:space="preserve">Scrutinize the privilege log</w:t>
      </w:r>
      <w:r>
        <w:t xml:space="preserve"> </w:t>
      </w:r>
      <w:r>
        <w:t xml:space="preserve">when the formal log is served. Consider challenging PRIV-001 (8/5/2024 email) to the extent it contains factual (non-legal-advice) communications, and seek in camera review of PRIV-003 (8/20/2024</w:t>
      </w:r>
      <w:r>
        <w:t xml:space="preserve"> </w:t>
      </w:r>
      <w:r>
        <w:t xml:space="preserve">“</w:t>
      </w:r>
      <w:r>
        <w:t xml:space="preserve">Preliminary analysis of marital estate</w:t>
      </w:r>
      <w:r>
        <w:t xml:space="preserve">”</w:t>
      </w:r>
      <w:r>
        <w:t xml:space="preserve"> </w:t>
      </w:r>
      <w:r>
        <w:t xml:space="preserve">memo), which may reveal Respondent’s own valuation assumptions and awareness of the Elm Street property and the Harborstone transfer.</w:t>
      </w:r>
    </w:p>
    <w:p>
      <w:pPr>
        <w:pStyle w:val="Compact"/>
        <w:numPr>
          <w:ilvl w:val="0"/>
          <w:numId w:val="1004"/>
        </w:numPr>
      </w:pPr>
      <w:r>
        <w:rPr>
          <w:b/>
          <w:bCs/>
        </w:rPr>
        <w:t xml:space="preserve">Press the outstanding Request Nos. 16–22</w:t>
      </w:r>
      <w:r>
        <w:t xml:space="preserve"> </w:t>
      </w:r>
      <w:r>
        <w:t xml:space="preserve">(entity records). Set a firm supplementation deadline; prepare a motion to compel if production is not timely.</w:t>
      </w:r>
    </w:p>
    <w:p>
      <w:pPr>
        <w:pStyle w:val="Compact"/>
        <w:numPr>
          <w:ilvl w:val="0"/>
          <w:numId w:val="1004"/>
        </w:numPr>
      </w:pPr>
      <w:r>
        <w:rPr>
          <w:b/>
          <w:bCs/>
        </w:rPr>
        <w:t xml:space="preserve">Pursue Petitioner’s reciprocal production.</w:t>
      </w:r>
      <w:r>
        <w:t xml:space="preserve"> </w:t>
      </w:r>
      <w:r>
        <w:t xml:space="preserve">Respondent’s First RFP (served 9/18/2024) remains outstanding; ensure timely compliance and use it to obtain Respondent’s position on valuation dates.</w:t>
      </w:r>
    </w:p>
    <w:p>
      <w:pPr>
        <w:pStyle w:val="Compact"/>
        <w:numPr>
          <w:ilvl w:val="0"/>
          <w:numId w:val="1004"/>
        </w:numPr>
      </w:pPr>
      <w:r>
        <w:rPr>
          <w:b/>
          <w:bCs/>
        </w:rPr>
        <w:t xml:space="preserve">Consider a motion to compel / motion for sanctions</w:t>
      </w:r>
      <w:r>
        <w:t xml:space="preserve"> </w:t>
      </w:r>
      <w:r>
        <w:t xml:space="preserve">directed at the Declaration omissions (Elm Street property; income characterization), supported by the tax return and account-statement contradictions.</w:t>
      </w:r>
    </w:p>
    <w:p>
      <w:pPr>
        <w:pStyle w:val="Compact"/>
        <w:numPr>
          <w:ilvl w:val="0"/>
          <w:numId w:val="1004"/>
        </w:numPr>
      </w:pPr>
      <w:r>
        <w:rPr>
          <w:b/>
          <w:bCs/>
        </w:rPr>
        <w:t xml:space="preserve">Preserve dissipation claims.</w:t>
      </w:r>
      <w:r>
        <w:t xml:space="preserve"> </w:t>
      </w:r>
      <w:r>
        <w:t xml:space="preserve">Document the $85,000 wire, the Venmo transfers, and the post-separation spending pattern for a potential claim of dissipation/waste of marital assets, and request an accounting.</w:t>
      </w:r>
    </w:p>
    <w:p>
      <w:pPr>
        <w:pStyle w:val="Compact"/>
        <w:numPr>
          <w:ilvl w:val="0"/>
          <w:numId w:val="1004"/>
        </w:numPr>
      </w:pPr>
      <w:r>
        <w:rPr>
          <w:b/>
          <w:bCs/>
        </w:rPr>
        <w:t xml:space="preserve">Correct the production-metadata errors</w:t>
      </w:r>
      <w:r>
        <w:t xml:space="preserve"> </w:t>
      </w:r>
      <w:r>
        <w:t xml:space="preserve">(case number, caption, Bates conventions) on the record to avoid confusion in later use of these exhibits.</w:t>
      </w:r>
    </w:p>
    <w:p>
      <w:r>
        <w:pict>
          <v:rect style="width:0;height:1.5pt" o:hralign="center" o:hrstd="t" o:hr="t"/>
        </w:pict>
      </w:r>
    </w:p>
    <w:bookmarkEnd w:id="37"/>
    <w:bookmarkEnd w:id="38"/>
    <w:bookmarkStart w:id="39" w:name="X168f8415b500e276c5e61050d1fd1545bd2a6f5"/>
    <w:p>
      <w:pPr>
        <w:pStyle w:val="Heading2"/>
      </w:pPr>
      <w:r>
        <w:t xml:space="preserve">VI. Conclusion and Recommended Next Steps</w:t>
      </w:r>
    </w:p>
    <w:p>
      <w:pPr>
        <w:pStyle w:val="FirstParagraph"/>
      </w:pPr>
      <w:r>
        <w:t xml:space="preserve">The production is usable but incomplete and, in several respects, inconsistent with Respondent’s own Sworn Financial Declaration. The highest-priority items are:</w:t>
      </w:r>
    </w:p>
    <w:p>
      <w:pPr>
        <w:pStyle w:val="Compact"/>
        <w:numPr>
          <w:ilvl w:val="0"/>
          <w:numId w:val="1005"/>
        </w:numPr>
      </w:pPr>
      <w:r>
        <w:rPr>
          <w:b/>
          <w:bCs/>
        </w:rPr>
        <w:t xml:space="preserve">The omitted Elm Street rental property</w:t>
      </w:r>
      <w:r>
        <w:t xml:space="preserve"> </w:t>
      </w:r>
      <w:r>
        <w:t xml:space="preserve">(asset, $241,281 mortgage, and $25,200/yr income)—a sworn-statement omission directly contradicted by the tax return and produced statements.</w:t>
      </w:r>
    </w:p>
    <w:p>
      <w:pPr>
        <w:pStyle w:val="Compact"/>
        <w:numPr>
          <w:ilvl w:val="0"/>
          <w:numId w:val="1005"/>
        </w:numPr>
      </w:pPr>
      <w:r>
        <w:rPr>
          <w:b/>
          <w:bCs/>
        </w:rPr>
        <w:t xml:space="preserve">The ~$197,000 income understatement</w:t>
      </w:r>
      <w:r>
        <w:t xml:space="preserve"> </w:t>
      </w:r>
      <w:r>
        <w:t xml:space="preserve">(distributions vs. pass-through ordinary business income)—central to support.</w:t>
      </w:r>
    </w:p>
    <w:p>
      <w:pPr>
        <w:pStyle w:val="Compact"/>
        <w:numPr>
          <w:ilvl w:val="0"/>
          <w:numId w:val="1005"/>
        </w:numPr>
      </w:pPr>
      <w:r>
        <w:rPr>
          <w:b/>
          <w:bCs/>
        </w:rPr>
        <w:t xml:space="preserve">The $85,000 wire to Harborstone Financial Group</w:t>
      </w:r>
      <w:r>
        <w:t xml:space="preserve"> </w:t>
      </w:r>
      <w:r>
        <w:t xml:space="preserve">and the</w:t>
      </w:r>
      <w:r>
        <w:t xml:space="preserve"> </w:t>
      </w:r>
      <w:r>
        <w:rPr>
          <w:b/>
          <w:bCs/>
        </w:rPr>
        <w:t xml:space="preserve">$14,600 in Venmo transfers to</w:t>
      </w:r>
      <w:r>
        <w:rPr>
          <w:b/>
          <w:bCs/>
        </w:rPr>
        <w:t xml:space="preserve"> </w:t>
      </w:r>
      <w:r>
        <w:rPr>
          <w:b/>
          <w:bCs/>
        </w:rPr>
        <w:t xml:space="preserve">“</w:t>
      </w:r>
      <w:r>
        <w:rPr>
          <w:b/>
          <w:bCs/>
        </w:rPr>
        <w:t xml:space="preserve">Kiera M.</w:t>
      </w:r>
      <w:r>
        <w:rPr>
          <w:b/>
          <w:bCs/>
        </w:rPr>
        <w:t xml:space="preserve">”</w:t>
      </w:r>
      <w:r>
        <w:t xml:space="preserve">—unexplained post-separation transfers to undisclosed recipients/accounts.</w:t>
      </w:r>
    </w:p>
    <w:p>
      <w:pPr>
        <w:pStyle w:val="Compact"/>
        <w:numPr>
          <w:ilvl w:val="0"/>
          <w:numId w:val="1005"/>
        </w:numPr>
      </w:pPr>
      <w:r>
        <w:rPr>
          <w:b/>
          <w:bCs/>
        </w:rPr>
        <w:t xml:space="preserve">The separation-date conflict</w:t>
      </w:r>
      <w:r>
        <w:t xml:space="preserve"> </w:t>
      </w:r>
      <w:r>
        <w:t xml:space="preserve">(June 1 vs. August 1, 2024)—a threshold issue affecting characterization and valuation.</w:t>
      </w:r>
    </w:p>
    <w:p>
      <w:pPr>
        <w:pStyle w:val="Compact"/>
        <w:numPr>
          <w:ilvl w:val="0"/>
          <w:numId w:val="1005"/>
        </w:numPr>
      </w:pPr>
      <w:r>
        <w:rPr>
          <w:b/>
          <w:bCs/>
        </w:rPr>
        <w:t xml:space="preserve">The Crestline tax-ID discrepancy</w:t>
      </w:r>
      <w:r>
        <w:t xml:space="preserve"> </w:t>
      </w:r>
      <w:r>
        <w:t xml:space="preserve">(ends 8341, the minor child’s SSN)—which may reclassify a $387,450 asset.</w:t>
      </w:r>
    </w:p>
    <w:p>
      <w:pPr>
        <w:pStyle w:val="FirstParagraph"/>
      </w:pPr>
      <w:r>
        <w:t xml:space="preserve">We recommend serving targeted document requests and third-party subpoenas (Section V.A and V.C) immediately, serving interrogatories on the topics in Section V.B, and calendaring a deposition of Respondent once the supplemented entity records and the formal privilege log are received. A motion to compel should be prepared in parallel in case the Request No. 16–22 supplementation is not timely. We will update this memorandum as supplemented records are received.</w:t>
      </w:r>
    </w:p>
    <w:p>
      <w:pPr>
        <w:pStyle w:val="BodyText"/>
      </w:pPr>
      <w:r>
        <w:rPr>
          <w:i/>
          <w:iCs/>
        </w:rPr>
        <w:t xml:space="preserve">Prepared by the Financial Discovery Review Team. This memorandum is privileged attorney work product prepared in anticipation of litigation and is intended solely for the use of counsel in the above-captioned matter.</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2026-06-28T21:28:46Z</dcterms:created>
  <dcterms:modified xsi:type="dcterms:W3CDTF">2026-06-28T21:28:46Z</dcterms:modified>
</cp:coreProperties>
</file>

<file path=docProps/custom.xml><?xml version="1.0" encoding="utf-8"?>
<Properties xmlns="http://schemas.openxmlformats.org/officeDocument/2006/custom-properties" xmlns:vt="http://schemas.openxmlformats.org/officeDocument/2006/docPropsVTypes"/>
</file>