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46"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Sarah Whitfield, Esq.; Jordan Reeves, Esq. — Calloway &amp; Birch LLP</w:t>
            </w:r>
          </w:p>
        </w:tc>
      </w:tr>
      <w:tr>
        <w:tc>
          <w:tcPr/>
          <w:p>
            <w:pPr>
              <w:pStyle w:val="Compact"/>
              <w:jc w:val="left"/>
            </w:pPr>
            <w:r>
              <w:rPr>
                <w:b/>
                <w:bCs/>
              </w:rPr>
              <w:t xml:space="preserve">FROM:</w:t>
            </w:r>
          </w:p>
        </w:tc>
        <w:tc>
          <w:tcPr/>
          <w:p>
            <w:pPr>
              <w:pStyle w:val="Compact"/>
              <w:jc w:val="left"/>
            </w:pPr>
            <w:r>
              <w:t xml:space="preserve">Document Review Team</w:t>
            </w:r>
          </w:p>
        </w:tc>
      </w:tr>
      <w:tr>
        <w:tc>
          <w:tcPr/>
          <w:p>
            <w:pPr>
              <w:pStyle w:val="Compact"/>
              <w:jc w:val="left"/>
            </w:pPr>
            <w:r>
              <w:rPr>
                <w:b/>
                <w:bCs/>
              </w:rPr>
              <w:t xml:space="preserve">DATE:</w:t>
            </w:r>
          </w:p>
        </w:tc>
        <w:tc>
          <w:tcPr/>
          <w:p>
            <w:pPr>
              <w:pStyle w:val="Compact"/>
              <w:jc w:val="left"/>
            </w:pPr>
            <w:r>
              <w:t xml:space="preserve">October 21, 2024</w:t>
            </w:r>
          </w:p>
        </w:tc>
      </w:tr>
      <w:tr>
        <w:tc>
          <w:tcPr/>
          <w:p>
            <w:pPr>
              <w:pStyle w:val="Compact"/>
              <w:jc w:val="left"/>
            </w:pPr>
            <w:r>
              <w:rPr>
                <w:b/>
                <w:bCs/>
              </w:rPr>
              <w:t xml:space="preserve">RE:</w:t>
            </w:r>
          </w:p>
        </w:tc>
        <w:tc>
          <w:tcPr/>
          <w:p>
            <w:pPr>
              <w:pStyle w:val="Compact"/>
              <w:jc w:val="left"/>
            </w:pPr>
            <w:r>
              <w:t xml:space="preserve">Review of Respondent’s Document Production —</w:t>
            </w:r>
            <w:r>
              <w:t xml:space="preserve"> </w:t>
            </w:r>
            <w:r>
              <w:rPr>
                <w:i/>
                <w:iCs/>
              </w:rPr>
              <w:t xml:space="preserve">Torres-Kwan v. Kwan</w:t>
            </w:r>
            <w:r>
              <w:t xml:space="preserve">, Case No. 2024-DR-01847 (Circuit Court of Fairview County, Columbia; Hon. Patricia Yoon-Callahan)</w:t>
            </w:r>
          </w:p>
        </w:tc>
      </w:tr>
      <w:tr>
        <w:tc>
          <w:tcPr/>
          <w:p>
            <w:pPr>
              <w:pStyle w:val="Compact"/>
              <w:jc w:val="left"/>
            </w:pPr>
            <w:r>
              <w:rPr>
                <w:b/>
                <w:bCs/>
              </w:rPr>
              <w:t xml:space="preserve">CLASSIFICATION:</w:t>
            </w:r>
          </w:p>
        </w:tc>
        <w:tc>
          <w:tcPr/>
          <w:p>
            <w:pPr>
              <w:pStyle w:val="Compact"/>
              <w:jc w:val="left"/>
            </w:pPr>
            <w:r>
              <w:t xml:space="preserve">Attorney Work Product — Prepared in Anticipation of Litigation</w:t>
            </w:r>
          </w:p>
        </w:tc>
      </w:tr>
    </w:tbl>
    <w:p>
      <w:r>
        <w:pict>
          <v:rect style="width:0;height:1.5pt" o:hralign="center" o:hrstd="t" o:hr="t"/>
        </w:pict>
      </w:r>
    </w:p>
    <w:bookmarkStart w:id="21" w:name="i.-introduction-and-scope"/>
    <w:p>
      <w:pPr>
        <w:pStyle w:val="Heading2"/>
      </w:pPr>
      <w:r>
        <w:t xml:space="preserve">I. Introduction and Scope</w:t>
      </w:r>
    </w:p>
    <w:p>
      <w:pPr>
        <w:pStyle w:val="FirstParagraph"/>
      </w:pPr>
      <w:r>
        <w:t xml:space="preserve">This memorandum catalogs, summarizes, and evaluates the document production served by Respondent Darren Kwan (</w:t>
      </w:r>
      <w:r>
        <w:t xml:space="preserve">“</w:t>
      </w:r>
      <w:r>
        <w:t xml:space="preserve">Respondent</w:t>
      </w:r>
      <w:r>
        <w:t xml:space="preserve">”</w:t>
      </w:r>
      <w:r>
        <w:t xml:space="preserve">) through his counsel, Raymond Fossett of Hargrove Fossett &amp; Yates LLP, in response to Petitioner Melinda Torres-Kwan’s First Request for Production of Documents, Nos. 1–22 (served on or about September 10, 2024). The production consists of a transmittal letter, seven (7) produced document sets (PROD-001 through PROD-007), and a summary privilege log identifying four (4) withheld items (PRIV-001 through PRIV-004).</w:t>
      </w:r>
    </w:p>
    <w:p>
      <w:pPr>
        <w:pStyle w:val="BodyText"/>
      </w:pPr>
      <w:r>
        <w:t xml:space="preserve">The purpose of this memorandum is fourfold: (1)</w:t>
      </w:r>
      <w:r>
        <w:t xml:space="preserve"> </w:t>
      </w:r>
      <w:r>
        <w:rPr>
          <w:b/>
          <w:bCs/>
        </w:rPr>
        <w:t xml:space="preserve">catalog</w:t>
      </w:r>
      <w:r>
        <w:t xml:space="preserve"> </w:t>
      </w:r>
      <w:r>
        <w:t xml:space="preserve">the exhibits produced; (2)</w:t>
      </w:r>
      <w:r>
        <w:t xml:space="preserve"> </w:t>
      </w:r>
      <w:r>
        <w:rPr>
          <w:b/>
          <w:bCs/>
        </w:rPr>
        <w:t xml:space="preserve">summarize</w:t>
      </w:r>
      <w:r>
        <w:t xml:space="preserve"> </w:t>
      </w:r>
      <w:r>
        <w:t xml:space="preserve">the financial figures disclosed; (3)</w:t>
      </w:r>
      <w:r>
        <w:t xml:space="preserve"> </w:t>
      </w:r>
      <w:r>
        <w:rPr>
          <w:b/>
          <w:bCs/>
        </w:rPr>
        <w:t xml:space="preserve">flag inconsistencies</w:t>
      </w:r>
      <w:r>
        <w:t xml:space="preserve"> </w:t>
      </w:r>
      <w:r>
        <w:t xml:space="preserve">between the Respondent’s Sworn Financial Declaration (PROD-001) and the underlying records, as well as internal inconsistencies within the production; and (4)</w:t>
      </w:r>
      <w:r>
        <w:t xml:space="preserve"> </w:t>
      </w:r>
      <w:r>
        <w:rPr>
          <w:b/>
          <w:bCs/>
        </w:rPr>
        <w:t xml:space="preserve">recommend follow-up discovery</w:t>
      </w:r>
      <w:r>
        <w:t xml:space="preserve">. Our review identifies a number of material discrepancies — most significantly, an undisclosed real property, a substantial understatement of income, and an $85,000 transfer to an undisclosed account executed within days of the asserted date of separation — that warrant immediate follow-up.</w:t>
      </w:r>
    </w:p>
    <w:p>
      <w:pPr>
        <w:pStyle w:val="BodyText"/>
      </w:pPr>
      <w:r>
        <w:rPr>
          <w:b/>
          <w:bCs/>
        </w:rPr>
        <w:t xml:space="preserve">Bottom line up front:</w:t>
      </w:r>
      <w:r>
        <w:t xml:space="preserve"> </w:t>
      </w:r>
      <w:r>
        <w:t xml:space="preserve">The Sworn Financial Declaration materially understates Respondent’s 2023 income by approximately</w:t>
      </w:r>
      <w:r>
        <w:t xml:space="preserve"> </w:t>
      </w:r>
      <w:r>
        <w:rPr>
          <w:b/>
          <w:bCs/>
        </w:rPr>
        <w:t xml:space="preserve">$212,740</w:t>
      </w:r>
      <w:r>
        <w:t xml:space="preserve"> </w:t>
      </w:r>
      <w:r>
        <w:t xml:space="preserve">(stated $359,000 vs. documented $571,740), omits a separately titled rental property acquired during the marriage (1035 Elm Street, Unit C) together with its ~$241,281 mortgage and $25,200 in annual rental income, and fails to disclose an $85,000 wire transfer from the marital brokerage account to an account at Harborstone Financial Group that does not appear anywhere in the declaration. These items, detailed below, should be pursued through supplemental demands, subpoenas, interrogatories, and deposition.</w:t>
      </w:r>
    </w:p>
    <w:p>
      <w:r>
        <w:pict>
          <v:rect style="width:0;height:1.5pt" o:hralign="center" o:hrstd="t" o:hr="t"/>
        </w:pict>
      </w:r>
    </w:p>
    <w:bookmarkEnd w:id="21"/>
    <w:bookmarkStart w:id="24" w:name="ii.-exhibit-catalog"/>
    <w:p>
      <w:pPr>
        <w:pStyle w:val="Heading2"/>
      </w:pPr>
      <w:r>
        <w:t xml:space="preserve">II. Exhibit Catalog</w:t>
      </w:r>
    </w:p>
    <w:p>
      <w:pPr>
        <w:pStyle w:val="FirstParagraph"/>
      </w:pPr>
      <w:r>
        <w:t xml:space="preserve">The following table catalogs each item in the production. Bates ranges, statement periods, and the Request for Production numbers to which each item is responsive are taken from the production cover letter and the documents themselves.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 No.</w:t>
            </w:r>
          </w:p>
        </w:tc>
        <w:tc>
          <w:tcPr/>
          <w:p>
            <w:pPr>
              <w:pStyle w:val="Compact"/>
              <w:jc w:val="left"/>
            </w:pPr>
            <w:r>
              <w:t xml:space="preserve">Document / File</w:t>
            </w:r>
          </w:p>
        </w:tc>
        <w:tc>
          <w:tcPr/>
          <w:p>
            <w:pPr>
              <w:pStyle w:val="Compact"/>
              <w:jc w:val="left"/>
            </w:pPr>
            <w:r>
              <w:t xml:space="preserve">Custodian / Source</w:t>
            </w:r>
          </w:p>
        </w:tc>
        <w:tc>
          <w:tcPr/>
          <w:p>
            <w:pPr>
              <w:pStyle w:val="Compact"/>
              <w:jc w:val="left"/>
            </w:pPr>
            <w:r>
              <w:t xml:space="preserve">Bates Range</w:t>
            </w:r>
          </w:p>
        </w:tc>
        <w:tc>
          <w:tcPr/>
          <w:p>
            <w:pPr>
              <w:pStyle w:val="Compact"/>
              <w:jc w:val="left"/>
            </w:pPr>
            <w:r>
              <w:t xml:space="preserve">Period Covered</w:t>
            </w:r>
          </w:p>
        </w:tc>
        <w:tc>
          <w:tcPr/>
          <w:p>
            <w:pPr>
              <w:pStyle w:val="Compact"/>
              <w:jc w:val="left"/>
            </w:pPr>
            <w:r>
              <w:t xml:space="preserve">Responsive RFP Nos.</w:t>
            </w:r>
          </w:p>
        </w:tc>
        <w:tc>
          <w:tcPr/>
          <w:p>
            <w:pPr>
              <w:pStyle w:val="Compact"/>
              <w:jc w:val="left"/>
            </w:pPr>
            <w:r>
              <w:t xml:space="preserve">Status / Notes</w:t>
            </w:r>
          </w:p>
        </w:tc>
      </w:tr>
      <w:tr>
        <w:tc>
          <w:tcPr/>
          <w:p>
            <w:pPr>
              <w:pStyle w:val="Compact"/>
              <w:jc w:val="left"/>
            </w:pPr>
            <w:r>
              <w:t xml:space="preserve">Cover Ltr.</w:t>
            </w:r>
          </w:p>
        </w:tc>
        <w:tc>
          <w:tcPr/>
          <w:p>
            <w:pPr>
              <w:pStyle w:val="Compact"/>
              <w:jc w:val="left"/>
            </w:pPr>
            <w:r>
              <w:t xml:space="preserve">Production cover letter (email)</w:t>
            </w:r>
          </w:p>
        </w:tc>
        <w:tc>
          <w:tcPr/>
          <w:p>
            <w:pPr>
              <w:pStyle w:val="Compact"/>
              <w:jc w:val="left"/>
            </w:pPr>
            <w:r>
              <w:t xml:space="preserve">R. Fossett (HFY) to S. Whitfield (C&amp;B)</w:t>
            </w:r>
          </w:p>
        </w:tc>
        <w:tc>
          <w:tcPr/>
          <w:p>
            <w:pPr>
              <w:pStyle w:val="Compact"/>
              <w:jc w:val="left"/>
            </w:pPr>
            <w:r>
              <w:t xml:space="preserve">n/a</w:t>
            </w:r>
          </w:p>
        </w:tc>
        <w:tc>
          <w:tcPr/>
          <w:p>
            <w:pPr>
              <w:pStyle w:val="Compact"/>
              <w:jc w:val="left"/>
            </w:pPr>
            <w:r>
              <w:t xml:space="preserve">Undated</w:t>
            </w:r>
          </w:p>
        </w:tc>
        <w:tc>
          <w:tcPr/>
          <w:p>
            <w:pPr>
              <w:pStyle w:val="Compact"/>
              <w:jc w:val="left"/>
            </w:pPr>
            <w:r>
              <w:t xml:space="preserve">Transmittal</w:t>
            </w:r>
          </w:p>
        </w:tc>
        <w:tc>
          <w:tcPr/>
          <w:p>
            <w:pPr>
              <w:pStyle w:val="Compact"/>
              <w:jc w:val="left"/>
            </w:pPr>
            <w:r>
              <w:t xml:space="preserve">Undated; identifies 7 sets + privilege log; flags Req. 16–22 as</w:t>
            </w:r>
            <w:r>
              <w:t xml:space="preserve"> </w:t>
            </w:r>
            <w:r>
              <w:t xml:space="preserve">“</w:t>
            </w:r>
            <w:r>
              <w:t xml:space="preserve">continuing to coordinate</w:t>
            </w:r>
            <w:r>
              <w:t xml:space="preserve">”</w:t>
            </w:r>
          </w:p>
        </w:tc>
      </w:tr>
      <w:tr>
        <w:tc>
          <w:tcPr/>
          <w:p>
            <w:pPr>
              <w:pStyle w:val="Compact"/>
              <w:jc w:val="left"/>
            </w:pPr>
            <w:r>
              <w:t xml:space="preserve">PROD-001</w:t>
            </w:r>
          </w:p>
        </w:tc>
        <w:tc>
          <w:tcPr/>
          <w:p>
            <w:pPr>
              <w:pStyle w:val="Compact"/>
              <w:jc w:val="left"/>
            </w:pPr>
            <w:r>
              <w:t xml:space="preserve">Respondent’s Sworn Financial Declaration</w:t>
            </w:r>
          </w:p>
        </w:tc>
        <w:tc>
          <w:tcPr/>
          <w:p>
            <w:pPr>
              <w:pStyle w:val="Compact"/>
              <w:jc w:val="left"/>
            </w:pPr>
            <w:r>
              <w:t xml:space="preserve">Darren Kwan / HFY</w:t>
            </w:r>
          </w:p>
        </w:tc>
        <w:tc>
          <w:tcPr/>
          <w:p>
            <w:pPr>
              <w:pStyle w:val="Compact"/>
              <w:jc w:val="left"/>
            </w:pPr>
            <w:r>
              <w:t xml:space="preserve">n/a</w:t>
            </w:r>
          </w:p>
        </w:tc>
        <w:tc>
          <w:tcPr/>
          <w:p>
            <w:pPr>
              <w:pStyle w:val="Compact"/>
              <w:jc w:val="left"/>
            </w:pPr>
            <w:r>
              <w:t xml:space="preserve">Filed 9/20/2024 (per decl.); cover letter states</w:t>
            </w:r>
            <w:r>
              <w:t xml:space="preserve"> </w:t>
            </w:r>
            <w:r>
              <w:t xml:space="preserve">“</w:t>
            </w:r>
            <w:r>
              <w:t xml:space="preserve">on or about 10/4/2024</w:t>
            </w:r>
            <w:r>
              <w:t xml:space="preserve">”</w:t>
            </w:r>
          </w:p>
        </w:tc>
        <w:tc>
          <w:tcPr/>
          <w:p>
            <w:pPr>
              <w:pStyle w:val="Compact"/>
              <w:jc w:val="left"/>
            </w:pPr>
            <w:r>
              <w:t xml:space="preserve">1, 2, 3</w:t>
            </w:r>
          </w:p>
        </w:tc>
        <w:tc>
          <w:tcPr/>
          <w:p>
            <w:pPr>
              <w:pStyle w:val="Compact"/>
              <w:jc w:val="left"/>
            </w:pPr>
            <w:r>
              <w:t xml:space="preserve">Sworn; notarized; prepared by R. Fossett</w:t>
            </w:r>
          </w:p>
        </w:tc>
      </w:tr>
      <w:tr>
        <w:tc>
          <w:tcPr/>
          <w:p>
            <w:pPr>
              <w:pStyle w:val="Compact"/>
              <w:jc w:val="left"/>
            </w:pPr>
            <w:r>
              <w:t xml:space="preserve">PROD-002</w:t>
            </w:r>
          </w:p>
        </w:tc>
        <w:tc>
          <w:tcPr/>
          <w:p>
            <w:pPr>
              <w:pStyle w:val="Compact"/>
              <w:jc w:val="left"/>
            </w:pPr>
            <w:r>
              <w:t xml:space="preserve">2023 Form 1040 excerpts (MFJ) incl. Schedule E &amp; K-1</w:t>
            </w:r>
          </w:p>
        </w:tc>
        <w:tc>
          <w:tcPr/>
          <w:p>
            <w:pPr>
              <w:pStyle w:val="Compact"/>
              <w:jc w:val="left"/>
            </w:pPr>
            <w:r>
              <w:t xml:space="preserve">Archer &amp; Linden CPAs</w:t>
            </w:r>
          </w:p>
        </w:tc>
        <w:tc>
          <w:tcPr/>
          <w:p>
            <w:pPr>
              <w:pStyle w:val="Compact"/>
              <w:jc w:val="left"/>
            </w:pPr>
            <w:r>
              <w:t xml:space="preserve">DK-PROD-0045 – DK-PROD-0058</w:t>
            </w:r>
          </w:p>
        </w:tc>
        <w:tc>
          <w:tcPr/>
          <w:p>
            <w:pPr>
              <w:pStyle w:val="Compact"/>
              <w:jc w:val="left"/>
            </w:pPr>
            <w:r>
              <w:t xml:space="preserve">Tax Year 2023</w:t>
            </w:r>
          </w:p>
        </w:tc>
        <w:tc>
          <w:tcPr/>
          <w:p>
            <w:pPr>
              <w:pStyle w:val="Compact"/>
              <w:jc w:val="left"/>
            </w:pPr>
            <w:r>
              <w:t xml:space="preserve">4, 5, 8</w:t>
            </w:r>
          </w:p>
        </w:tc>
        <w:tc>
          <w:tcPr/>
          <w:p>
            <w:pPr>
              <w:pStyle w:val="Compact"/>
              <w:jc w:val="left"/>
            </w:pPr>
            <w:r>
              <w:t xml:space="preserve">Excerpts only (47-page return); Schedules A/B/D/SE &amp; Form 8995 referenced but NOT produced</w:t>
            </w:r>
          </w:p>
        </w:tc>
      </w:tr>
      <w:tr>
        <w:tc>
          <w:tcPr/>
          <w:p>
            <w:pPr>
              <w:pStyle w:val="Compact"/>
              <w:jc w:val="left"/>
            </w:pPr>
            <w:r>
              <w:t xml:space="preserve">PROD-003</w:t>
            </w:r>
          </w:p>
        </w:tc>
        <w:tc>
          <w:tcPr/>
          <w:p>
            <w:pPr>
              <w:pStyle w:val="Compact"/>
              <w:jc w:val="left"/>
            </w:pPr>
            <w:r>
              <w:t xml:space="preserve">Crestline Wealth Advisors brokerage statements, acct. 9956</w:t>
            </w:r>
          </w:p>
        </w:tc>
        <w:tc>
          <w:tcPr/>
          <w:p>
            <w:pPr>
              <w:pStyle w:val="Compact"/>
              <w:jc w:val="left"/>
            </w:pPr>
            <w:r>
              <w:t xml:space="preserve">Crestline / Nathan Greer, CFP</w:t>
            </w:r>
          </w:p>
        </w:tc>
        <w:tc>
          <w:tcPr/>
          <w:p>
            <w:pPr>
              <w:pStyle w:val="Compact"/>
              <w:jc w:val="left"/>
            </w:pPr>
            <w:r>
              <w:t xml:space="preserve">KWAN_PROD_00142 – KWAN_PROD_00158</w:t>
            </w:r>
          </w:p>
        </w:tc>
        <w:tc>
          <w:tcPr/>
          <w:p>
            <w:pPr>
              <w:pStyle w:val="Compact"/>
              <w:jc w:val="left"/>
            </w:pPr>
            <w:r>
              <w:t xml:space="preserve">Jan 1 – Aug 1, 2024</w:t>
            </w:r>
          </w:p>
        </w:tc>
        <w:tc>
          <w:tcPr/>
          <w:p>
            <w:pPr>
              <w:pStyle w:val="Compact"/>
              <w:jc w:val="left"/>
            </w:pPr>
            <w:r>
              <w:t xml:space="preserve">6, 7</w:t>
            </w:r>
          </w:p>
        </w:tc>
        <w:tc>
          <w:tcPr/>
          <w:p>
            <w:pPr>
              <w:pStyle w:val="Compact"/>
              <w:jc w:val="left"/>
            </w:pPr>
            <w:r>
              <w:t xml:space="preserve">Monthly stmts Jan–Jul + 8/1/2024 interim valuation; contains $85,000 outgoing wire (6/15/2024)</w:t>
            </w:r>
          </w:p>
        </w:tc>
      </w:tr>
      <w:tr>
        <w:tc>
          <w:tcPr/>
          <w:p>
            <w:pPr>
              <w:pStyle w:val="Compact"/>
              <w:jc w:val="left"/>
            </w:pPr>
            <w:r>
              <w:t xml:space="preserve">PROD-004</w:t>
            </w:r>
          </w:p>
        </w:tc>
        <w:tc>
          <w:tcPr/>
          <w:p>
            <w:pPr>
              <w:pStyle w:val="Compact"/>
              <w:jc w:val="left"/>
            </w:pPr>
            <w:r>
              <w:t xml:space="preserve">FCB individual checking 7703 &amp; savings 7704</w:t>
            </w:r>
          </w:p>
        </w:tc>
        <w:tc>
          <w:tcPr/>
          <w:p>
            <w:pPr>
              <w:pStyle w:val="Compact"/>
              <w:jc w:val="left"/>
            </w:pPr>
            <w:r>
              <w:t xml:space="preserve">Fairview Community Bank</w:t>
            </w:r>
          </w:p>
        </w:tc>
        <w:tc>
          <w:tcPr/>
          <w:p>
            <w:pPr>
              <w:pStyle w:val="Compact"/>
              <w:jc w:val="left"/>
            </w:pPr>
            <w:r>
              <w:t xml:space="preserve">KWAN_PROD_0401 – KWAN_PROD_0424</w:t>
            </w:r>
          </w:p>
        </w:tc>
        <w:tc>
          <w:tcPr/>
          <w:p>
            <w:pPr>
              <w:pStyle w:val="Compact"/>
              <w:jc w:val="left"/>
            </w:pPr>
            <w:r>
              <w:t xml:space="preserve">Mar 1 – Aug 1, 2024</w:t>
            </w:r>
          </w:p>
        </w:tc>
        <w:tc>
          <w:tcPr/>
          <w:p>
            <w:pPr>
              <w:pStyle w:val="Compact"/>
              <w:jc w:val="left"/>
            </w:pPr>
            <w:r>
              <w:t xml:space="preserve">6, 7</w:t>
            </w:r>
          </w:p>
        </w:tc>
        <w:tc>
          <w:tcPr/>
          <w:p>
            <w:pPr>
              <w:pStyle w:val="Compact"/>
              <w:jc w:val="left"/>
            </w:pPr>
            <w:r>
              <w:t xml:space="preserve">Checking monthly Mar–Jul + 8/1 partial; savings consolidated; footer misstates case no. as 2024-DR-00847</w:t>
            </w:r>
          </w:p>
        </w:tc>
      </w:tr>
      <w:tr>
        <w:tc>
          <w:tcPr/>
          <w:p>
            <w:pPr>
              <w:pStyle w:val="Compact"/>
              <w:jc w:val="left"/>
            </w:pPr>
            <w:r>
              <w:t xml:space="preserve">PROD-005</w:t>
            </w:r>
          </w:p>
        </w:tc>
        <w:tc>
          <w:tcPr/>
          <w:p>
            <w:pPr>
              <w:pStyle w:val="Compact"/>
              <w:jc w:val="left"/>
            </w:pPr>
            <w:r>
              <w:t xml:space="preserve">Meridian Home Lending mortgage statements</w:t>
            </w:r>
          </w:p>
        </w:tc>
        <w:tc>
          <w:tcPr/>
          <w:p>
            <w:pPr>
              <w:pStyle w:val="Compact"/>
              <w:jc w:val="left"/>
            </w:pPr>
            <w:r>
              <w:t xml:space="preserve">Meridian Home Lending</w:t>
            </w:r>
          </w:p>
        </w:tc>
        <w:tc>
          <w:tcPr/>
          <w:p>
            <w:pPr>
              <w:pStyle w:val="Compact"/>
              <w:jc w:val="left"/>
            </w:pPr>
            <w:r>
              <w:t xml:space="preserve">n/a (3 stmts)</w:t>
            </w:r>
          </w:p>
        </w:tc>
        <w:tc>
          <w:tcPr/>
          <w:p>
            <w:pPr>
              <w:pStyle w:val="Compact"/>
              <w:jc w:val="left"/>
            </w:pPr>
            <w:r>
              <w:t xml:space="preserve">Jun, Jul, Aug 2024</w:t>
            </w:r>
          </w:p>
        </w:tc>
        <w:tc>
          <w:tcPr/>
          <w:p>
            <w:pPr>
              <w:pStyle w:val="Compact"/>
              <w:jc w:val="left"/>
            </w:pPr>
            <w:r>
              <w:t xml:space="preserve">9, 10</w:t>
            </w:r>
          </w:p>
        </w:tc>
        <w:tc>
          <w:tcPr/>
          <w:p>
            <w:pPr>
              <w:pStyle w:val="Compact"/>
              <w:jc w:val="left"/>
            </w:pPr>
            <w:r>
              <w:t xml:space="preserve">Loan 7842-0163-ELM for</w:t>
            </w:r>
            <w:r>
              <w:t xml:space="preserve"> </w:t>
            </w:r>
            <w:r>
              <w:rPr>
                <w:b/>
                <w:bCs/>
              </w:rPr>
              <w:t xml:space="preserve">1035 Elm Street, Unit C</w:t>
            </w:r>
            <w:r>
              <w:t xml:space="preserve"> </w:t>
            </w:r>
            <w:r>
              <w:t xml:space="preserve">(NOT the marital residence); sole borrower Darren Kwan</w:t>
            </w:r>
          </w:p>
        </w:tc>
      </w:tr>
      <w:tr>
        <w:tc>
          <w:tcPr/>
          <w:p>
            <w:pPr>
              <w:pStyle w:val="Compact"/>
              <w:jc w:val="left"/>
            </w:pPr>
            <w:r>
              <w:t xml:space="preserve">PROD-006</w:t>
            </w:r>
          </w:p>
        </w:tc>
        <w:tc>
          <w:tcPr/>
          <w:p>
            <w:pPr>
              <w:pStyle w:val="Compact"/>
              <w:jc w:val="left"/>
            </w:pPr>
            <w:r>
              <w:t xml:space="preserve">Platinum Visa credit card statements</w:t>
            </w:r>
          </w:p>
        </w:tc>
        <w:tc>
          <w:tcPr/>
          <w:p>
            <w:pPr>
              <w:pStyle w:val="Compact"/>
              <w:jc w:val="left"/>
            </w:pPr>
            <w:r>
              <w:t xml:space="preserve">Fairview Community Bank</w:t>
            </w:r>
          </w:p>
        </w:tc>
        <w:tc>
          <w:tcPr/>
          <w:p>
            <w:pPr>
              <w:pStyle w:val="Compact"/>
              <w:jc w:val="left"/>
            </w:pPr>
            <w:r>
              <w:t xml:space="preserve">n/a (4 stmts)</w:t>
            </w:r>
          </w:p>
        </w:tc>
        <w:tc>
          <w:tcPr/>
          <w:p>
            <w:pPr>
              <w:pStyle w:val="Compact"/>
              <w:jc w:val="left"/>
            </w:pPr>
            <w:r>
              <w:t xml:space="preserve">May – Aug 2024</w:t>
            </w:r>
          </w:p>
        </w:tc>
        <w:tc>
          <w:tcPr/>
          <w:p>
            <w:pPr>
              <w:pStyle w:val="Compact"/>
              <w:jc w:val="left"/>
            </w:pPr>
            <w:r>
              <w:t xml:space="preserve">6, 7, 11</w:t>
            </w:r>
          </w:p>
        </w:tc>
        <w:tc>
          <w:tcPr/>
          <w:p>
            <w:pPr>
              <w:pStyle w:val="Compact"/>
              <w:jc w:val="left"/>
            </w:pPr>
            <w:r>
              <w:t xml:space="preserve">Acct. ***-8316; paid in full monthly; address changes to Harbor Point Dr. in July stmt</w:t>
            </w:r>
          </w:p>
        </w:tc>
      </w:tr>
      <w:tr>
        <w:tc>
          <w:tcPr/>
          <w:p>
            <w:pPr>
              <w:pStyle w:val="Compact"/>
              <w:jc w:val="left"/>
            </w:pPr>
            <w:r>
              <w:t xml:space="preserve">PROD-007</w:t>
            </w:r>
          </w:p>
        </w:tc>
        <w:tc>
          <w:tcPr/>
          <w:p>
            <w:pPr>
              <w:pStyle w:val="Compact"/>
              <w:jc w:val="left"/>
            </w:pPr>
            <w:r>
              <w:t xml:space="preserve">NovaBridge Solutions LLC expense reimbursement reports (D. Kwan)</w:t>
            </w:r>
          </w:p>
        </w:tc>
        <w:tc>
          <w:tcPr/>
          <w:p>
            <w:pPr>
              <w:pStyle w:val="Compact"/>
              <w:jc w:val="left"/>
            </w:pPr>
            <w:r>
              <w:t xml:space="preserve">NovaBridge Solutions LLC</w:t>
            </w:r>
          </w:p>
        </w:tc>
        <w:tc>
          <w:tcPr/>
          <w:p>
            <w:pPr>
              <w:pStyle w:val="Compact"/>
              <w:jc w:val="left"/>
            </w:pPr>
            <w:r>
              <w:t xml:space="preserve">KWAN_PROD_00187 – KWAN_PROD_00193</w:t>
            </w:r>
          </w:p>
        </w:tc>
        <w:tc>
          <w:tcPr/>
          <w:p>
            <w:pPr>
              <w:pStyle w:val="Compact"/>
              <w:jc w:val="left"/>
            </w:pPr>
            <w:r>
              <w:t xml:space="preserve">Q1–Q2 2024 (Jan 1 – Jun 30)</w:t>
            </w:r>
          </w:p>
        </w:tc>
        <w:tc>
          <w:tcPr/>
          <w:p>
            <w:pPr>
              <w:pStyle w:val="Compact"/>
              <w:jc w:val="left"/>
            </w:pPr>
            <w:r>
              <w:t xml:space="preserve">5, 8, 12</w:t>
            </w:r>
          </w:p>
        </w:tc>
        <w:tc>
          <w:tcPr/>
          <w:p>
            <w:pPr>
              <w:pStyle w:val="Compact"/>
              <w:jc w:val="left"/>
            </w:pPr>
            <w:r>
              <w:t xml:space="preserve">Self-approved per Operating Agreement §5.3; no co-member review</w:t>
            </w:r>
          </w:p>
        </w:tc>
      </w:tr>
    </w:tbl>
    <w:bookmarkStart w:id="22" w:name="withheld-documents-privilege-log-summary"/>
    <w:p>
      <w:pPr>
        <w:pStyle w:val="Heading3"/>
      </w:pPr>
      <w:r>
        <w:t xml:space="preserve">Withheld Documents (Privilege Log Summary)</w:t>
      </w:r>
    </w:p>
    <w:p>
      <w:pPr>
        <w:pStyle w:val="FirstParagraph"/>
      </w:pPr>
      <w:r>
        <w:t xml:space="preserve">A formal privilege log is described as</w:t>
      </w:r>
      <w:r>
        <w:t xml:space="preserve"> </w:t>
      </w:r>
      <w:r>
        <w:t xml:space="preserve">“</w:t>
      </w:r>
      <w:r>
        <w:t xml:space="preserve">forthcoming</w:t>
      </w:r>
      <w:r>
        <w:t xml:space="preserve">”</w:t>
      </w:r>
      <w:r>
        <w:t xml:space="preserve"> </w:t>
      </w:r>
      <w:r>
        <w:t xml:space="preserve">and will be</w:t>
      </w:r>
      <w:r>
        <w:t xml:space="preserve"> </w:t>
      </w:r>
      <w:r>
        <w:t xml:space="preserve">“</w:t>
      </w:r>
      <w:r>
        <w:t xml:space="preserve">supplemented within ten (10) business days.</w:t>
      </w:r>
      <w:r>
        <w:t xml:space="preserve">”</w:t>
      </w:r>
      <w:r>
        <w:t xml:space="preserve"> </w:t>
      </w:r>
      <w:r>
        <w:t xml:space="preserve">The cover letter provides only a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Basis Asserted</w:t>
            </w:r>
          </w:p>
        </w:tc>
      </w:tr>
      <w:tr>
        <w:tc>
          <w:tcPr/>
          <w:p>
            <w:pPr>
              <w:pStyle w:val="Compact"/>
              <w:jc w:val="left"/>
            </w:pPr>
            <w:r>
              <w:t xml:space="preserve">PRIV-001</w:t>
            </w:r>
          </w:p>
        </w:tc>
        <w:tc>
          <w:tcPr/>
          <w:p>
            <w:pPr>
              <w:pStyle w:val="Compact"/>
              <w:jc w:val="left"/>
            </w:pPr>
            <w:r>
              <w:t xml:space="preserve">Aug 5, 2024</w:t>
            </w:r>
          </w:p>
        </w:tc>
        <w:tc>
          <w:tcPr/>
          <w:p>
            <w:pPr>
              <w:pStyle w:val="Compact"/>
              <w:jc w:val="left"/>
            </w:pPr>
            <w:r>
              <w:t xml:space="preserve">Email, D. Kwan → R. Fossett, re: financial obligations/asset disclosures</w:t>
            </w:r>
            <w:r>
              <w:t xml:space="preserve"> </w:t>
            </w:r>
            <w:r>
              <w:t xml:space="preserve">“</w:t>
            </w:r>
            <w:r>
              <w:t xml:space="preserve">following the parties’ separation on August 1, 2024</w:t>
            </w:r>
            <w:r>
              <w:t xml:space="preserve">”</w:t>
            </w:r>
          </w:p>
        </w:tc>
        <w:tc>
          <w:tcPr/>
          <w:p>
            <w:pPr>
              <w:pStyle w:val="Compact"/>
              <w:jc w:val="left"/>
            </w:pPr>
            <w:r>
              <w:t xml:space="preserve">Attorney-client</w:t>
            </w:r>
          </w:p>
        </w:tc>
      </w:tr>
      <w:tr>
        <w:tc>
          <w:tcPr/>
          <w:p>
            <w:pPr>
              <w:pStyle w:val="Compact"/>
              <w:jc w:val="left"/>
            </w:pPr>
            <w:r>
              <w:t xml:space="preserve">PRIV-002</w:t>
            </w:r>
          </w:p>
        </w:tc>
        <w:tc>
          <w:tcPr/>
          <w:p>
            <w:pPr>
              <w:pStyle w:val="Compact"/>
              <w:jc w:val="left"/>
            </w:pPr>
            <w:r>
              <w:t xml:space="preserve">Aug 12–14, 2024</w:t>
            </w:r>
          </w:p>
        </w:tc>
        <w:tc>
          <w:tcPr/>
          <w:p>
            <w:pPr>
              <w:pStyle w:val="Compact"/>
              <w:jc w:val="left"/>
            </w:pPr>
            <w:r>
              <w:t xml:space="preserve">Email chain, D. Kwan ↔ R. Fossett, re: document preservation/disclosure obligations</w:t>
            </w:r>
            <w:r>
              <w:t xml:space="preserve"> </w:t>
            </w:r>
            <w:r>
              <w:t xml:space="preserve">“</w:t>
            </w:r>
            <w:r>
              <w:t xml:space="preserve">post-separation August 1, 2024</w:t>
            </w:r>
            <w:r>
              <w:t xml:space="preserve">”</w:t>
            </w:r>
          </w:p>
        </w:tc>
        <w:tc>
          <w:tcPr/>
          <w:p>
            <w:pPr>
              <w:pStyle w:val="Compact"/>
              <w:jc w:val="left"/>
            </w:pPr>
            <w:r>
              <w:t xml:space="preserve">Attorney-client</w:t>
            </w:r>
          </w:p>
        </w:tc>
      </w:tr>
      <w:tr>
        <w:tc>
          <w:tcPr/>
          <w:p>
            <w:pPr>
              <w:pStyle w:val="Compact"/>
              <w:jc w:val="left"/>
            </w:pPr>
            <w:r>
              <w:t xml:space="preserve">PRIV-003</w:t>
            </w:r>
          </w:p>
        </w:tc>
        <w:tc>
          <w:tcPr/>
          <w:p>
            <w:pPr>
              <w:pStyle w:val="Compact"/>
              <w:jc w:val="left"/>
            </w:pPr>
            <w:r>
              <w:t xml:space="preserve">Aug 20, 2024</w:t>
            </w:r>
          </w:p>
        </w:tc>
        <w:tc>
          <w:tcPr/>
          <w:p>
            <w:pPr>
              <w:pStyle w:val="Compact"/>
              <w:jc w:val="left"/>
            </w:pPr>
            <w:r>
              <w:t xml:space="preserve">Memorandum, R. Fossett → D. Kwan, re:</w:t>
            </w:r>
            <w:r>
              <w:t xml:space="preserve"> </w:t>
            </w:r>
            <w:r>
              <w:t xml:space="preserve">“</w:t>
            </w:r>
            <w:r>
              <w:t xml:space="preserve">Preliminary analysis of marital estate</w:t>
            </w:r>
            <w:r>
              <w:t xml:space="preserve">”</w:t>
            </w:r>
          </w:p>
        </w:tc>
        <w:tc>
          <w:tcPr/>
          <w:p>
            <w:pPr>
              <w:pStyle w:val="Compact"/>
              <w:jc w:val="left"/>
            </w:pPr>
            <w:r>
              <w:t xml:space="preserve">Attorney-client + work product</w:t>
            </w:r>
          </w:p>
        </w:tc>
      </w:tr>
      <w:tr>
        <w:tc>
          <w:tcPr/>
          <w:p>
            <w:pPr>
              <w:pStyle w:val="Compact"/>
              <w:jc w:val="left"/>
            </w:pPr>
            <w:r>
              <w:t xml:space="preserve">PRIV-004</w:t>
            </w:r>
          </w:p>
        </w:tc>
        <w:tc>
          <w:tcPr/>
          <w:p>
            <w:pPr>
              <w:pStyle w:val="Compact"/>
              <w:jc w:val="left"/>
            </w:pPr>
            <w:r>
              <w:t xml:space="preserve">Sep 8, 2024</w:t>
            </w:r>
          </w:p>
        </w:tc>
        <w:tc>
          <w:tcPr/>
          <w:p>
            <w:pPr>
              <w:pStyle w:val="Compact"/>
              <w:jc w:val="left"/>
            </w:pPr>
            <w:r>
              <w:t xml:space="preserve">Email, D. Kwan → R. Fossett, re:</w:t>
            </w:r>
            <w:r>
              <w:t xml:space="preserve"> </w:t>
            </w:r>
            <w:r>
              <w:t xml:space="preserve">“</w:t>
            </w:r>
            <w:r>
              <w:t xml:space="preserve">Response to petition</w:t>
            </w:r>
            <w:r>
              <w:t xml:space="preserve">”</w:t>
            </w:r>
          </w:p>
        </w:tc>
        <w:tc>
          <w:tcPr/>
          <w:p>
            <w:pPr>
              <w:pStyle w:val="Compact"/>
              <w:jc w:val="left"/>
            </w:pPr>
            <w:r>
              <w:t xml:space="preserve">Attorney-client</w:t>
            </w:r>
          </w:p>
        </w:tc>
      </w:tr>
    </w:tbl>
    <w:p>
      <w:pPr>
        <w:pStyle w:val="BodyText"/>
      </w:pPr>
      <w:r>
        <w:rPr>
          <w:b/>
          <w:bCs/>
        </w:rPr>
        <w:t xml:space="preserve">Note:</w:t>
      </w:r>
      <w:r>
        <w:t xml:space="preserve"> </w:t>
      </w:r>
      <w:r>
        <w:t xml:space="preserve">PRIV-001 and PRIV-002 both characterize the date of separation as</w:t>
      </w:r>
      <w:r>
        <w:t xml:space="preserve"> </w:t>
      </w:r>
      <w:r>
        <w:rPr>
          <w:b/>
          <w:bCs/>
        </w:rPr>
        <w:t xml:space="preserve">August 1, 2024</w:t>
      </w:r>
      <w:r>
        <w:t xml:space="preserve">, which conflicts with the Financial Declaration’s assertion of</w:t>
      </w:r>
      <w:r>
        <w:t xml:space="preserve"> </w:t>
      </w:r>
      <w:r>
        <w:rPr>
          <w:b/>
          <w:bCs/>
        </w:rPr>
        <w:t xml:space="preserve">June 1, 2024</w:t>
      </w:r>
      <w:r>
        <w:t xml:space="preserve"> </w:t>
      </w:r>
      <w:r>
        <w:t xml:space="preserve">(see Section IV.B.1). PRIV-003 (</w:t>
      </w:r>
      <w:r>
        <w:t xml:space="preserve">“</w:t>
      </w:r>
      <w:r>
        <w:t xml:space="preserve">Preliminary analysis of marital estate</w:t>
      </w:r>
      <w:r>
        <w:t xml:space="preserve">”</w:t>
      </w:r>
      <w:r>
        <w:t xml:space="preserve">) should be scrutinized on privilege grounds to the extent it contains factual information supplied by the client rather than legal advice.</w:t>
      </w:r>
    </w:p>
    <w:bookmarkEnd w:id="22"/>
    <w:bookmarkStart w:id="23" w:name="categories-expressly-not-yet-produced"/>
    <w:p>
      <w:pPr>
        <w:pStyle w:val="Heading3"/>
      </w:pPr>
      <w:r>
        <w:t xml:space="preserve">Categories Expressly Not Yet Produced</w:t>
      </w:r>
    </w:p>
    <w:p>
      <w:pPr>
        <w:pStyle w:val="Compact"/>
        <w:numPr>
          <w:ilvl w:val="0"/>
          <w:numId w:val="1001"/>
        </w:numPr>
      </w:pPr>
      <w:r>
        <w:rPr>
          <w:b/>
          <w:bCs/>
        </w:rPr>
        <w:t xml:space="preserve">Request Nos. 16–22</w:t>
      </w:r>
      <w:r>
        <w:t xml:space="preserve"> </w:t>
      </w:r>
      <w:r>
        <w:t xml:space="preserve">(NovaBridge corporate records, operating agreement, entity-level financials): Respondent states he is</w:t>
      </w:r>
      <w:r>
        <w:t xml:space="preserve"> </w:t>
      </w:r>
      <w:r>
        <w:t xml:space="preserve">“</w:t>
      </w:r>
      <w:r>
        <w:t xml:space="preserve">continuing to coordinate</w:t>
      </w:r>
      <w:r>
        <w:t xml:space="preserve">”</w:t>
      </w:r>
      <w:r>
        <w:t xml:space="preserve"> </w:t>
      </w:r>
      <w:r>
        <w:t xml:space="preserve">with NovaBridge and co-member Jared Ostrowski and</w:t>
      </w:r>
      <w:r>
        <w:t xml:space="preserve"> </w:t>
      </w:r>
      <w:r>
        <w:t xml:space="preserve">“</w:t>
      </w:r>
      <w:r>
        <w:t xml:space="preserve">will supplement.</w:t>
      </w:r>
      <w:r>
        <w:t xml:space="preserve">”</w:t>
      </w:r>
      <w:r>
        <w:t xml:space="preserve"> </w:t>
      </w:r>
      <w:r>
        <w:t xml:space="preserve">No entity-level documents produced to date.</w:t>
      </w:r>
    </w:p>
    <w:p>
      <w:pPr>
        <w:pStyle w:val="Compact"/>
        <w:numPr>
          <w:ilvl w:val="0"/>
          <w:numId w:val="1001"/>
        </w:numPr>
      </w:pPr>
      <w:r>
        <w:rPr>
          <w:b/>
          <w:bCs/>
        </w:rPr>
        <w:t xml:space="preserve">Joint accounts</w:t>
      </w:r>
      <w:r>
        <w:t xml:space="preserve"> </w:t>
      </w:r>
      <w:r>
        <w:t xml:space="preserve">(FCB 4821/4822): Not produced. The cover letter objects to producing</w:t>
      </w:r>
      <w:r>
        <w:t xml:space="preserve"> </w:t>
      </w:r>
      <w:r>
        <w:t xml:space="preserve">“</w:t>
      </w:r>
      <w:r>
        <w:t xml:space="preserve">accounts held solely by Petitioner,</w:t>
      </w:r>
      <w:r>
        <w:t xml:space="preserve">”</w:t>
      </w:r>
      <w:r>
        <w:t xml:space="preserve"> </w:t>
      </w:r>
      <w:r>
        <w:t xml:space="preserve">but accounts 4821 and 4822 are</w:t>
      </w:r>
      <w:r>
        <w:t xml:space="preserve"> </w:t>
      </w:r>
      <w:r>
        <w:rPr>
          <w:b/>
          <w:bCs/>
        </w:rPr>
        <w:t xml:space="preserve">joint</w:t>
      </w:r>
      <w:r>
        <w:t xml:space="preserve"> </w:t>
      </w:r>
      <w:r>
        <w:t xml:space="preserve">accounts and are not Petitioner’s sole accounts.</w:t>
      </w:r>
    </w:p>
    <w:p>
      <w:pPr>
        <w:pStyle w:val="Compact"/>
        <w:numPr>
          <w:ilvl w:val="0"/>
          <w:numId w:val="1001"/>
        </w:numPr>
      </w:pPr>
      <w:r>
        <w:rPr>
          <w:b/>
          <w:bCs/>
        </w:rPr>
        <w:t xml:space="preserve">401(k) account 3310</w:t>
      </w:r>
      <w:r>
        <w:t xml:space="preserve"> </w:t>
      </w:r>
      <w:r>
        <w:t xml:space="preserve">(Pinnacle Retirement Services): Declared at $412,800 but no statements produced.</w:t>
      </w:r>
    </w:p>
    <w:p>
      <w:pPr>
        <w:pStyle w:val="Compact"/>
        <w:numPr>
          <w:ilvl w:val="0"/>
          <w:numId w:val="1001"/>
        </w:numPr>
      </w:pPr>
      <w:r>
        <w:rPr>
          <w:b/>
          <w:bCs/>
        </w:rPr>
        <w:t xml:space="preserve">Marital-residence mortgage</w:t>
      </w:r>
      <w:r>
        <w:t xml:space="preserve"> </w:t>
      </w:r>
      <w:r>
        <w:t xml:space="preserve">(418 Birchwood Lane / Meridian): No statements produced; only the Elm Street mortgage was produced.</w:t>
      </w:r>
    </w:p>
    <w:p>
      <w:r>
        <w:pict>
          <v:rect style="width:0;height:1.5pt" o:hralign="center" o:hrstd="t" o:hr="t"/>
        </w:pict>
      </w:r>
    </w:p>
    <w:bookmarkEnd w:id="23"/>
    <w:bookmarkEnd w:id="24"/>
    <w:bookmarkStart w:id="30" w:name="iii.-summary-of-key-figures"/>
    <w:p>
      <w:pPr>
        <w:pStyle w:val="Heading2"/>
      </w:pPr>
      <w:r>
        <w:t xml:space="preserve">III. Summary of Key Figures</w:t>
      </w:r>
    </w:p>
    <w:bookmarkStart w:id="25" w:name="a.-income-calendar-year-2023"/>
    <w:p>
      <w:pPr>
        <w:pStyle w:val="Heading3"/>
      </w:pPr>
      <w:r>
        <w:t xml:space="preserve">A. Income (Calendar Year 2023)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Per Financial Declaration (PROD-001)</w:t>
            </w:r>
          </w:p>
        </w:tc>
        <w:tc>
          <w:tcPr/>
          <w:p>
            <w:pPr>
              <w:pStyle w:val="Compact"/>
              <w:jc w:val="left"/>
            </w:pPr>
            <w:r>
              <w:t xml:space="preserve">Per 2023 Tax Return (PROD-002)</w:t>
            </w:r>
          </w:p>
        </w:tc>
        <w:tc>
          <w:tcPr/>
          <w:p>
            <w:pPr>
              <w:pStyle w:val="Compact"/>
              <w:jc w:val="left"/>
            </w:pPr>
            <w:r>
              <w:t xml:space="preserve">Variance</w:t>
            </w:r>
          </w:p>
        </w:tc>
      </w:tr>
      <w:tr>
        <w:tc>
          <w:tcPr/>
          <w:p>
            <w:pPr>
              <w:pStyle w:val="Compact"/>
              <w:jc w:val="left"/>
            </w:pPr>
            <w:r>
              <w:t xml:space="preserve">W-2 wages (NovaBridge)</w:t>
            </w:r>
          </w:p>
        </w:tc>
        <w:tc>
          <w:tcPr/>
          <w:p>
            <w:pPr>
              <w:pStyle w:val="Compact"/>
              <w:jc w:val="left"/>
            </w:pPr>
            <w:r>
              <w:t xml:space="preserve">$185,000</w:t>
            </w:r>
          </w:p>
        </w:tc>
        <w:tc>
          <w:tcPr/>
          <w:p>
            <w:pPr>
              <w:pStyle w:val="Compact"/>
              <w:jc w:val="left"/>
            </w:pPr>
            <w:r>
              <w:t xml:space="preserve">$185,000</w:t>
            </w:r>
          </w:p>
        </w:tc>
        <w:tc>
          <w:tcPr/>
          <w:p>
            <w:pPr>
              <w:pStyle w:val="Compact"/>
              <w:jc w:val="left"/>
            </w:pPr>
            <w:r>
              <w:t xml:space="preserve">None</w:t>
            </w:r>
          </w:p>
        </w:tc>
      </w:tr>
      <w:tr>
        <w:tc>
          <w:tcPr/>
          <w:p>
            <w:pPr>
              <w:pStyle w:val="Compact"/>
              <w:jc w:val="left"/>
            </w:pPr>
            <w:r>
              <w:t xml:space="preserve">K-1 ordinary business income (NovaBridge)</w:t>
            </w:r>
          </w:p>
        </w:tc>
        <w:tc>
          <w:tcPr/>
          <w:p>
            <w:pPr>
              <w:pStyle w:val="Compact"/>
              <w:jc w:val="left"/>
            </w:pPr>
            <w:r>
              <w:rPr>
                <w:b/>
                <w:bCs/>
              </w:rPr>
              <w:t xml:space="preserve">$174,000</w:t>
            </w:r>
            <w:r>
              <w:t xml:space="preserve"> </w:t>
            </w:r>
            <w:r>
              <w:t xml:space="preserve">(labeled</w:t>
            </w:r>
            <w:r>
              <w:t xml:space="preserve"> </w:t>
            </w:r>
            <w:r>
              <w:t xml:space="preserve">“</w:t>
            </w:r>
            <w:r>
              <w:t xml:space="preserve">K-1 Income/Distributions</w:t>
            </w:r>
            <w:r>
              <w:t xml:space="preserve">”</w:t>
            </w:r>
            <w:r>
              <w:t xml:space="preserve">)</w:t>
            </w:r>
          </w:p>
        </w:tc>
        <w:tc>
          <w:tcPr/>
          <w:p>
            <w:pPr>
              <w:pStyle w:val="Compact"/>
              <w:jc w:val="left"/>
            </w:pPr>
            <w:r>
              <w:rPr>
                <w:b/>
                <w:bCs/>
              </w:rPr>
              <w:t xml:space="preserve">$367,200</w:t>
            </w:r>
            <w:r>
              <w:t xml:space="preserve"> </w:t>
            </w:r>
            <w:r>
              <w:t xml:space="preserve">(K-1 Box 1)</w:t>
            </w:r>
          </w:p>
        </w:tc>
        <w:tc>
          <w:tcPr/>
          <w:p>
            <w:pPr>
              <w:pStyle w:val="Compact"/>
              <w:jc w:val="left"/>
            </w:pPr>
            <w:r>
              <w:rPr>
                <w:b/>
                <w:bCs/>
              </w:rPr>
              <w:t xml:space="preserve">+$193,200</w:t>
            </w:r>
            <w:r>
              <w:t xml:space="preserve"> </w:t>
            </w:r>
            <w:r>
              <w:t xml:space="preserve">understated</w:t>
            </w:r>
          </w:p>
        </w:tc>
      </w:tr>
      <w:tr>
        <w:tc>
          <w:tcPr/>
          <w:p>
            <w:pPr>
              <w:pStyle w:val="Compact"/>
              <w:jc w:val="left"/>
            </w:pPr>
            <w:r>
              <w:t xml:space="preserve">Net rental real estate income (1035 Elm St.)</w:t>
            </w:r>
          </w:p>
        </w:tc>
        <w:tc>
          <w:tcPr/>
          <w:p>
            <w:pPr>
              <w:pStyle w:val="Compact"/>
              <w:jc w:val="left"/>
            </w:pPr>
            <w:r>
              <w:t xml:space="preserve">None disclosed</w:t>
            </w:r>
          </w:p>
        </w:tc>
        <w:tc>
          <w:tcPr/>
          <w:p>
            <w:pPr>
              <w:pStyle w:val="Compact"/>
              <w:jc w:val="left"/>
            </w:pPr>
            <w:r>
              <w:t xml:space="preserve">$2,940 (Schedule E)</w:t>
            </w:r>
          </w:p>
        </w:tc>
        <w:tc>
          <w:tcPr/>
          <w:p>
            <w:pPr>
              <w:pStyle w:val="Compact"/>
              <w:jc w:val="left"/>
            </w:pPr>
            <w:r>
              <w:t xml:space="preserve">Omitted</w:t>
            </w:r>
          </w:p>
        </w:tc>
      </w:tr>
      <w:tr>
        <w:tc>
          <w:tcPr/>
          <w:p>
            <w:pPr>
              <w:pStyle w:val="Compact"/>
              <w:jc w:val="left"/>
            </w:pPr>
            <w:r>
              <w:t xml:space="preserve">Taxable interest</w:t>
            </w:r>
          </w:p>
        </w:tc>
        <w:tc>
          <w:tcPr/>
          <w:p>
            <w:pPr>
              <w:pStyle w:val="Compact"/>
              <w:jc w:val="left"/>
            </w:pPr>
            <w:r>
              <w:t xml:space="preserve">None disclosed (</w:t>
            </w:r>
            <w:r>
              <w:t xml:space="preserve">“</w:t>
            </w:r>
            <w:r>
              <w:t xml:space="preserve">None</w:t>
            </w:r>
            <w:r>
              <w:t xml:space="preserve">”</w:t>
            </w:r>
            <w:r>
              <w:t xml:space="preserve">)</w:t>
            </w:r>
          </w:p>
        </w:tc>
        <w:tc>
          <w:tcPr/>
          <w:p>
            <w:pPr>
              <w:pStyle w:val="Compact"/>
              <w:jc w:val="left"/>
            </w:pPr>
            <w:r>
              <w:t xml:space="preserve">$1,840 (Sch. B / Line 2b)</w:t>
            </w:r>
          </w:p>
        </w:tc>
        <w:tc>
          <w:tcPr/>
          <w:p>
            <w:pPr>
              <w:pStyle w:val="Compact"/>
              <w:jc w:val="left"/>
            </w:pPr>
            <w:r>
              <w:t xml:space="preserve">Omitted</w:t>
            </w:r>
          </w:p>
        </w:tc>
      </w:tr>
      <w:tr>
        <w:tc>
          <w:tcPr/>
          <w:p>
            <w:pPr>
              <w:pStyle w:val="Compact"/>
              <w:jc w:val="left"/>
            </w:pPr>
            <w:r>
              <w:t xml:space="preserve">Ordinary dividends</w:t>
            </w:r>
          </w:p>
        </w:tc>
        <w:tc>
          <w:tcPr/>
          <w:p>
            <w:pPr>
              <w:pStyle w:val="Compact"/>
              <w:jc w:val="left"/>
            </w:pPr>
            <w:r>
              <w:t xml:space="preserve">None disclosed (</w:t>
            </w:r>
            <w:r>
              <w:t xml:space="preserve">“</w:t>
            </w:r>
            <w:r>
              <w:t xml:space="preserve">None</w:t>
            </w:r>
            <w:r>
              <w:t xml:space="preserve">”</w:t>
            </w:r>
            <w:r>
              <w:t xml:space="preserve">)</w:t>
            </w:r>
          </w:p>
        </w:tc>
        <w:tc>
          <w:tcPr/>
          <w:p>
            <w:pPr>
              <w:pStyle w:val="Compact"/>
              <w:jc w:val="left"/>
            </w:pPr>
            <w:r>
              <w:t xml:space="preserve">$6,310 (Sch. B / Line 3b)</w:t>
            </w:r>
          </w:p>
        </w:tc>
        <w:tc>
          <w:tcPr/>
          <w:p>
            <w:pPr>
              <w:pStyle w:val="Compact"/>
              <w:jc w:val="left"/>
            </w:pPr>
            <w:r>
              <w:t xml:space="preserve">Omitted</w:t>
            </w:r>
          </w:p>
        </w:tc>
      </w:tr>
      <w:tr>
        <w:tc>
          <w:tcPr/>
          <w:p>
            <w:pPr>
              <w:pStyle w:val="Compact"/>
              <w:jc w:val="left"/>
            </w:pPr>
            <w:r>
              <w:t xml:space="preserve">Capital gains</w:t>
            </w:r>
          </w:p>
        </w:tc>
        <w:tc>
          <w:tcPr/>
          <w:p>
            <w:pPr>
              <w:pStyle w:val="Compact"/>
              <w:jc w:val="left"/>
            </w:pPr>
            <w:r>
              <w:t xml:space="preserve">None disclosed (</w:t>
            </w:r>
            <w:r>
              <w:t xml:space="preserve">“</w:t>
            </w:r>
            <w:r>
              <w:t xml:space="preserve">None</w:t>
            </w:r>
            <w:r>
              <w:t xml:space="preserve">”</w:t>
            </w:r>
            <w:r>
              <w:t xml:space="preserve">)</w:t>
            </w:r>
          </w:p>
        </w:tc>
        <w:tc>
          <w:tcPr/>
          <w:p>
            <w:pPr>
              <w:pStyle w:val="Compact"/>
              <w:jc w:val="left"/>
            </w:pPr>
            <w:r>
              <w:t xml:space="preserve">$8,450 (Sch. D / Line 7)</w:t>
            </w:r>
          </w:p>
        </w:tc>
        <w:tc>
          <w:tcPr/>
          <w:p>
            <w:pPr>
              <w:pStyle w:val="Compact"/>
              <w:jc w:val="left"/>
            </w:pPr>
            <w:r>
              <w:t xml:space="preserve">Omitted</w:t>
            </w:r>
          </w:p>
        </w:tc>
      </w:tr>
      <w:tr>
        <w:tc>
          <w:tcPr/>
          <w:p>
            <w:pPr>
              <w:pStyle w:val="Compact"/>
              <w:jc w:val="left"/>
            </w:pPr>
            <w:r>
              <w:rPr>
                <w:b/>
                <w:bCs/>
              </w:rPr>
              <w:t xml:space="preserve">Respondent’s total 2023 income</w:t>
            </w:r>
          </w:p>
        </w:tc>
        <w:tc>
          <w:tcPr/>
          <w:p>
            <w:pPr>
              <w:pStyle w:val="Compact"/>
              <w:jc w:val="left"/>
            </w:pPr>
            <w:r>
              <w:rPr>
                <w:b/>
                <w:bCs/>
              </w:rPr>
              <w:t xml:space="preserve">$359,000</w:t>
            </w:r>
          </w:p>
        </w:tc>
        <w:tc>
          <w:tcPr/>
          <w:p>
            <w:pPr>
              <w:pStyle w:val="Compact"/>
              <w:jc w:val="left"/>
            </w:pPr>
            <w:r>
              <w:rPr>
                <w:b/>
                <w:bCs/>
              </w:rPr>
              <w:t xml:space="preserve">$571,740</w:t>
            </w:r>
            <w:r>
              <w:t xml:space="preserve">¹</w:t>
            </w:r>
          </w:p>
        </w:tc>
        <w:tc>
          <w:tcPr/>
          <w:p>
            <w:pPr>
              <w:pStyle w:val="Compact"/>
              <w:jc w:val="left"/>
            </w:pPr>
            <w:r>
              <w:rPr>
                <w:b/>
                <w:bCs/>
              </w:rPr>
              <w:t xml:space="preserve">~$212,740 understated</w:t>
            </w:r>
          </w:p>
        </w:tc>
      </w:tr>
    </w:tbl>
    <w:p>
      <w:pPr>
        <w:pStyle w:val="BodyText"/>
      </w:pPr>
      <w:r>
        <w:t xml:space="preserve">¹ Derived from Form 1040 total income (Line 9, $638,940) less Petitioner’s W-2 wages ($67,200). The K-1 also reports $1,240 of interest income (Box 5) whose treatment on Line 2b is not clearly reflected in the excerpts; this is an additional item to verify. The declaration’s $174,000</w:t>
      </w:r>
      <w:r>
        <w:t xml:space="preserve"> </w:t>
      </w:r>
      <w:r>
        <w:t xml:space="preserve">“</w:t>
      </w:r>
      <w:r>
        <w:t xml:space="preserve">K-1</w:t>
      </w:r>
      <w:r>
        <w:t xml:space="preserve">”</w:t>
      </w:r>
      <w:r>
        <w:t xml:space="preserve"> </w:t>
      </w:r>
      <w:r>
        <w:t xml:space="preserve">figure is the</w:t>
      </w:r>
      <w:r>
        <w:t xml:space="preserve"> </w:t>
      </w:r>
      <w:r>
        <w:rPr>
          <w:b/>
          <w:bCs/>
        </w:rPr>
        <w:t xml:space="preserve">cash distribution</w:t>
      </w:r>
      <w:r>
        <w:t xml:space="preserve"> </w:t>
      </w:r>
      <w:r>
        <w:t xml:space="preserve">(K-1 Box 19a), not the</w:t>
      </w:r>
      <w:r>
        <w:t xml:space="preserve"> </w:t>
      </w:r>
      <w:r>
        <w:rPr>
          <w:b/>
          <w:bCs/>
        </w:rPr>
        <w:t xml:space="preserve">taxable ordinary business income</w:t>
      </w:r>
      <w:r>
        <w:t xml:space="preserve"> </w:t>
      </w:r>
      <w:r>
        <w:t xml:space="preserve">(K-1 Box 1, $367,200). For support purposes, taxable K-1 income — not the cash distribution — is the relevant figure.</w:t>
      </w:r>
    </w:p>
    <w:p>
      <w:pPr>
        <w:pStyle w:val="BodyText"/>
      </w:pPr>
      <w:r>
        <w:rPr>
          <w:b/>
          <w:bCs/>
        </w:rPr>
        <w:t xml:space="preserve">Additional undocumented income/benefits visible in the records: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Vehicle allowance (W-2 Box 14; $800/mo stipend)</w:t>
            </w:r>
          </w:p>
        </w:tc>
        <w:tc>
          <w:tcPr/>
          <w:p>
            <w:pPr>
              <w:pStyle w:val="Compact"/>
              <w:jc w:val="left"/>
            </w:pPr>
            <w:r>
              <w:t xml:space="preserve">$9,600/yr</w:t>
            </w:r>
          </w:p>
        </w:tc>
        <w:tc>
          <w:tcPr/>
          <w:p>
            <w:pPr>
              <w:pStyle w:val="Compact"/>
              <w:jc w:val="left"/>
            </w:pPr>
            <w:r>
              <w:t xml:space="preserve">PROD-002 (W-2) — not in declaration</w:t>
            </w:r>
          </w:p>
        </w:tc>
      </w:tr>
      <w:tr>
        <w:tc>
          <w:tcPr/>
          <w:p>
            <w:pPr>
              <w:pStyle w:val="Compact"/>
              <w:jc w:val="left"/>
            </w:pPr>
            <w:r>
              <w:t xml:space="preserve">NovaBridge expense reimbursements (H1 2024)</w:t>
            </w:r>
          </w:p>
        </w:tc>
        <w:tc>
          <w:tcPr/>
          <w:p>
            <w:pPr>
              <w:pStyle w:val="Compact"/>
              <w:jc w:val="left"/>
            </w:pPr>
            <w:r>
              <w:t xml:space="preserve">$12,662 (Q1 $3,373 + Q2 $9,289)</w:t>
            </w:r>
          </w:p>
        </w:tc>
        <w:tc>
          <w:tcPr/>
          <w:p>
            <w:pPr>
              <w:pStyle w:val="Compact"/>
              <w:jc w:val="left"/>
            </w:pPr>
            <w:r>
              <w:t xml:space="preserve">PROD-007; $3,400 + $2,150 deposited to personal checking (PROD-004)</w:t>
            </w:r>
          </w:p>
        </w:tc>
      </w:tr>
      <w:tr>
        <w:tc>
          <w:tcPr/>
          <w:p>
            <w:pPr>
              <w:pStyle w:val="Compact"/>
              <w:jc w:val="left"/>
            </w:pPr>
            <w:r>
              <w:t xml:space="preserve">Rental income (1035 Elm St., 2024)</w:t>
            </w:r>
          </w:p>
        </w:tc>
        <w:tc>
          <w:tcPr/>
          <w:p>
            <w:pPr>
              <w:pStyle w:val="Compact"/>
              <w:jc w:val="left"/>
            </w:pPr>
            <w:r>
              <w:t xml:space="preserve">$2,100/mo ($25,200/yr)</w:t>
            </w:r>
          </w:p>
        </w:tc>
        <w:tc>
          <w:tcPr/>
          <w:p>
            <w:pPr>
              <w:pStyle w:val="Compact"/>
              <w:jc w:val="left"/>
            </w:pPr>
            <w:r>
              <w:t xml:space="preserve">PROD-004 (ACH</w:t>
            </w:r>
            <w:r>
              <w:t xml:space="preserve"> </w:t>
            </w:r>
            <w:r>
              <w:t xml:space="preserve">“</w:t>
            </w:r>
            <w:r>
              <w:t xml:space="preserve">Tenant Rent Payment</w:t>
            </w:r>
            <w:r>
              <w:t xml:space="preserve">”</w:t>
            </w:r>
            <w:r>
              <w:t xml:space="preserve"> </w:t>
            </w:r>
            <w:r>
              <w:t xml:space="preserve">Apr–Jul) — not in declaration</w:t>
            </w:r>
          </w:p>
        </w:tc>
      </w:tr>
    </w:tbl>
    <w:bookmarkEnd w:id="25"/>
    <w:bookmarkStart w:id="26" w:name="b.-assets-as-declared-prod-001"/>
    <w:p>
      <w:pPr>
        <w:pStyle w:val="Heading3"/>
      </w:pPr>
      <w:r>
        <w:t xml:space="preserve">B. Assets (As Declared, PROD-001)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Declared Value</w:t>
            </w:r>
          </w:p>
        </w:tc>
        <w:tc>
          <w:tcPr/>
          <w:p>
            <w:pPr>
              <w:pStyle w:val="Compact"/>
              <w:jc w:val="left"/>
            </w:pPr>
            <w:r>
              <w:t xml:space="preserve">Notes</w:t>
            </w:r>
          </w:p>
        </w:tc>
      </w:tr>
      <w:tr>
        <w:tc>
          <w:tcPr/>
          <w:p>
            <w:pPr>
              <w:pStyle w:val="Compact"/>
              <w:jc w:val="left"/>
            </w:pPr>
            <w:r>
              <w:t xml:space="preserve">Marital residence — 418 Birchwood Lane</w:t>
            </w:r>
          </w:p>
        </w:tc>
        <w:tc>
          <w:tcPr/>
          <w:p>
            <w:pPr>
              <w:pStyle w:val="Compact"/>
              <w:jc w:val="left"/>
            </w:pPr>
            <w:r>
              <w:t xml:space="preserve">$715,000 (est.); equity $496,600</w:t>
            </w:r>
          </w:p>
        </w:tc>
        <w:tc>
          <w:tcPr/>
          <w:p>
            <w:pPr>
              <w:pStyle w:val="Compact"/>
              <w:jc w:val="left"/>
            </w:pPr>
            <w:r>
              <w:t xml:space="preserve">Online estimate; no appraisal; joint tenancy; mortgage $218,400</w:t>
            </w:r>
          </w:p>
        </w:tc>
      </w:tr>
      <w:tr>
        <w:tc>
          <w:tcPr/>
          <w:p>
            <w:pPr>
              <w:pStyle w:val="Compact"/>
              <w:jc w:val="left"/>
            </w:pPr>
            <w:r>
              <w:t xml:space="preserve">Joint checking (FCB 4821)</w:t>
            </w:r>
          </w:p>
        </w:tc>
        <w:tc>
          <w:tcPr/>
          <w:p>
            <w:pPr>
              <w:pStyle w:val="Compact"/>
              <w:jc w:val="left"/>
            </w:pPr>
            <w:r>
              <w:t xml:space="preserve">$12,340</w:t>
            </w:r>
          </w:p>
        </w:tc>
        <w:tc>
          <w:tcPr/>
          <w:p>
            <w:pPr>
              <w:pStyle w:val="Compact"/>
              <w:jc w:val="left"/>
            </w:pPr>
            <w:r>
              <w:t xml:space="preserve">Statements not produced</w:t>
            </w:r>
          </w:p>
        </w:tc>
      </w:tr>
      <w:tr>
        <w:tc>
          <w:tcPr/>
          <w:p>
            <w:pPr>
              <w:pStyle w:val="Compact"/>
              <w:jc w:val="left"/>
            </w:pPr>
            <w:r>
              <w:t xml:space="preserve">Joint savings (FCB 4822)</w:t>
            </w:r>
          </w:p>
        </w:tc>
        <w:tc>
          <w:tcPr/>
          <w:p>
            <w:pPr>
              <w:pStyle w:val="Compact"/>
              <w:jc w:val="left"/>
            </w:pPr>
            <w:r>
              <w:t xml:space="preserve">$28,750</w:t>
            </w:r>
          </w:p>
        </w:tc>
        <w:tc>
          <w:tcPr/>
          <w:p>
            <w:pPr>
              <w:pStyle w:val="Compact"/>
              <w:jc w:val="left"/>
            </w:pPr>
            <w:r>
              <w:t xml:space="preserve">Statements not produced</w:t>
            </w:r>
          </w:p>
        </w:tc>
      </w:tr>
      <w:tr>
        <w:tc>
          <w:tcPr/>
          <w:p>
            <w:pPr>
              <w:pStyle w:val="Compact"/>
              <w:jc w:val="left"/>
            </w:pPr>
            <w:r>
              <w:t xml:space="preserve">Individual checking (FCB 7703)</w:t>
            </w:r>
          </w:p>
        </w:tc>
        <w:tc>
          <w:tcPr/>
          <w:p>
            <w:pPr>
              <w:pStyle w:val="Compact"/>
              <w:jc w:val="left"/>
            </w:pPr>
            <w:r>
              <w:t xml:space="preserve">$8,215</w:t>
            </w:r>
          </w:p>
        </w:tc>
        <w:tc>
          <w:tcPr/>
          <w:p>
            <w:pPr>
              <w:pStyle w:val="Compact"/>
              <w:jc w:val="left"/>
            </w:pPr>
            <w:r>
              <w:t xml:space="preserve">Matches 8/1/2024 statement</w:t>
            </w:r>
          </w:p>
        </w:tc>
      </w:tr>
      <w:tr>
        <w:tc>
          <w:tcPr/>
          <w:p>
            <w:pPr>
              <w:pStyle w:val="Compact"/>
              <w:jc w:val="left"/>
            </w:pPr>
            <w:r>
              <w:t xml:space="preserve">Individual savings (FCB 7704)</w:t>
            </w:r>
          </w:p>
        </w:tc>
        <w:tc>
          <w:tcPr/>
          <w:p>
            <w:pPr>
              <w:pStyle w:val="Compact"/>
              <w:jc w:val="left"/>
            </w:pPr>
            <w:r>
              <w:t xml:space="preserve">$42,680</w:t>
            </w:r>
          </w:p>
        </w:tc>
        <w:tc>
          <w:tcPr/>
          <w:p>
            <w:pPr>
              <w:pStyle w:val="Compact"/>
              <w:jc w:val="left"/>
            </w:pPr>
            <w:r>
              <w:t xml:space="preserve">Matches 8/1/2024 statement</w:t>
            </w:r>
          </w:p>
        </w:tc>
      </w:tr>
      <w:tr>
        <w:tc>
          <w:tcPr/>
          <w:p>
            <w:pPr>
              <w:pStyle w:val="Compact"/>
              <w:jc w:val="left"/>
            </w:pPr>
            <w:r>
              <w:t xml:space="preserve">Crestline brokerage (9956)</w:t>
            </w:r>
          </w:p>
        </w:tc>
        <w:tc>
          <w:tcPr/>
          <w:p>
            <w:pPr>
              <w:pStyle w:val="Compact"/>
              <w:jc w:val="left"/>
            </w:pPr>
            <w:r>
              <w:t xml:space="preserve">$387,450</w:t>
            </w:r>
          </w:p>
        </w:tc>
        <w:tc>
          <w:tcPr/>
          <w:p>
            <w:pPr>
              <w:pStyle w:val="Compact"/>
              <w:jc w:val="left"/>
            </w:pPr>
            <w:r>
              <w:t xml:space="preserve">Matches 8/1/2024 valuation (post-$85k wire)</w:t>
            </w:r>
          </w:p>
        </w:tc>
      </w:tr>
      <w:tr>
        <w:tc>
          <w:tcPr/>
          <w:p>
            <w:pPr>
              <w:pStyle w:val="Compact"/>
              <w:jc w:val="left"/>
            </w:pPr>
            <w:r>
              <w:t xml:space="preserve">401(k) — Pinnacle (3310)</w:t>
            </w:r>
          </w:p>
        </w:tc>
        <w:tc>
          <w:tcPr/>
          <w:p>
            <w:pPr>
              <w:pStyle w:val="Compact"/>
              <w:jc w:val="left"/>
            </w:pPr>
            <w:r>
              <w:t xml:space="preserve">$412,800</w:t>
            </w:r>
          </w:p>
        </w:tc>
        <w:tc>
          <w:tcPr/>
          <w:p>
            <w:pPr>
              <w:pStyle w:val="Compact"/>
              <w:jc w:val="left"/>
            </w:pPr>
            <w:r>
              <w:t xml:space="preserve">Statements not produced</w:t>
            </w:r>
          </w:p>
        </w:tc>
      </w:tr>
      <w:tr>
        <w:tc>
          <w:tcPr/>
          <w:p>
            <w:pPr>
              <w:pStyle w:val="Compact"/>
              <w:jc w:val="left"/>
            </w:pPr>
            <w:r>
              <w:t xml:space="preserve">403(b) — Petitioner (5587)</w:t>
            </w:r>
          </w:p>
        </w:tc>
        <w:tc>
          <w:tcPr/>
          <w:p>
            <w:pPr>
              <w:pStyle w:val="Compact"/>
              <w:jc w:val="left"/>
            </w:pPr>
            <w:r>
              <w:t xml:space="preserve">$89,200</w:t>
            </w:r>
          </w:p>
        </w:tc>
        <w:tc>
          <w:tcPr/>
          <w:p>
            <w:pPr>
              <w:pStyle w:val="Compact"/>
              <w:jc w:val="left"/>
            </w:pPr>
            <w:r>
              <w:t xml:space="preserve">Petitioner’s account</w:t>
            </w:r>
          </w:p>
        </w:tc>
      </w:tr>
      <w:tr>
        <w:tc>
          <w:tcPr/>
          <w:p>
            <w:pPr>
              <w:pStyle w:val="Compact"/>
              <w:jc w:val="left"/>
            </w:pPr>
            <w:r>
              <w:t xml:space="preserve">2022 BMW X5</w:t>
            </w:r>
          </w:p>
        </w:tc>
        <w:tc>
          <w:tcPr/>
          <w:p>
            <w:pPr>
              <w:pStyle w:val="Compact"/>
              <w:jc w:val="left"/>
            </w:pPr>
            <w:r>
              <w:t xml:space="preserve">$48,500 (equity $26,400; loan $22,100)</w:t>
            </w:r>
          </w:p>
        </w:tc>
        <w:tc>
          <w:tcPr/>
          <w:p>
            <w:pPr>
              <w:pStyle w:val="Compact"/>
              <w:jc w:val="left"/>
            </w:pPr>
            <w:r>
              <w:t xml:space="preserve">Titled to Respondent</w:t>
            </w:r>
          </w:p>
        </w:tc>
      </w:tr>
      <w:tr>
        <w:tc>
          <w:tcPr/>
          <w:p>
            <w:pPr>
              <w:pStyle w:val="Compact"/>
              <w:jc w:val="left"/>
            </w:pPr>
            <w:r>
              <w:t xml:space="preserve">2020 Honda CR-V</w:t>
            </w:r>
          </w:p>
        </w:tc>
        <w:tc>
          <w:tcPr/>
          <w:p>
            <w:pPr>
              <w:pStyle w:val="Compact"/>
              <w:jc w:val="left"/>
            </w:pPr>
            <w:r>
              <w:t xml:space="preserve">$24,800 (no loan)</w:t>
            </w:r>
          </w:p>
        </w:tc>
        <w:tc>
          <w:tcPr/>
          <w:p>
            <w:pPr>
              <w:pStyle w:val="Compact"/>
              <w:jc w:val="left"/>
            </w:pPr>
            <w:r>
              <w:t xml:space="preserve">Titled to Petitioner</w:t>
            </w:r>
          </w:p>
        </w:tc>
      </w:tr>
      <w:tr>
        <w:tc>
          <w:tcPr/>
          <w:p>
            <w:pPr>
              <w:pStyle w:val="Compact"/>
              <w:jc w:val="left"/>
            </w:pPr>
            <w:r>
              <w:t xml:space="preserve">Household/personal property</w:t>
            </w:r>
          </w:p>
        </w:tc>
        <w:tc>
          <w:tcPr/>
          <w:p>
            <w:pPr>
              <w:pStyle w:val="Compact"/>
              <w:jc w:val="left"/>
            </w:pPr>
            <w:r>
              <w:t xml:space="preserve">$30,000</w:t>
            </w:r>
          </w:p>
        </w:tc>
        <w:tc>
          <w:tcPr/>
          <w:p>
            <w:pPr>
              <w:pStyle w:val="Compact"/>
              <w:jc w:val="left"/>
            </w:pPr>
            <w:r>
              <w:t xml:space="preserve">Estimate</w:t>
            </w:r>
          </w:p>
        </w:tc>
      </w:tr>
      <w:tr>
        <w:tc>
          <w:tcPr/>
          <w:p>
            <w:pPr>
              <w:pStyle w:val="Compact"/>
              <w:jc w:val="left"/>
            </w:pPr>
            <w:r>
              <w:t xml:space="preserve">NovaBridge 60% membership interest</w:t>
            </w:r>
          </w:p>
        </w:tc>
        <w:tc>
          <w:tcPr/>
          <w:p>
            <w:pPr>
              <w:pStyle w:val="Compact"/>
              <w:jc w:val="left"/>
            </w:pPr>
            <w:r>
              <w:t xml:space="preserve">Not valued</w:t>
            </w:r>
          </w:p>
        </w:tc>
        <w:tc>
          <w:tcPr/>
          <w:p>
            <w:pPr>
              <w:pStyle w:val="Compact"/>
              <w:jc w:val="left"/>
            </w:pPr>
            <w:r>
              <w:t xml:space="preserve">K-1 ending capital account $675,800; no appraisal</w:t>
            </w:r>
          </w:p>
        </w:tc>
      </w:tr>
      <w:tr>
        <w:tc>
          <w:tcPr/>
          <w:p>
            <w:pPr>
              <w:pStyle w:val="Compact"/>
              <w:jc w:val="left"/>
            </w:pPr>
            <w:r>
              <w:rPr>
                <w:b/>
                <w:bCs/>
              </w:rPr>
              <w:t xml:space="preserve">Total financial accounts (declared)</w:t>
            </w:r>
          </w:p>
        </w:tc>
        <w:tc>
          <w:tcPr/>
          <w:p>
            <w:pPr>
              <w:pStyle w:val="Compact"/>
              <w:jc w:val="left"/>
            </w:pPr>
            <w:r>
              <w:rPr>
                <w:b/>
                <w:bCs/>
              </w:rPr>
              <w:t xml:space="preserve">$981,435</w:t>
            </w:r>
          </w:p>
        </w:tc>
        <w:tc>
          <w:tcPr/>
          <w:p>
            <w:pPr>
              <w:pStyle w:val="Compact"/>
            </w:pPr>
          </w:p>
        </w:tc>
      </w:tr>
    </w:tbl>
    <w:p>
      <w:pPr>
        <w:pStyle w:val="BodyText"/>
      </w:pPr>
      <w:r>
        <w:rPr>
          <w:b/>
          <w:bCs/>
        </w:rPr>
        <w:t xml:space="preserve">Undisclosed asset:</w:t>
      </w:r>
      <w:r>
        <w:t xml:space="preserve"> </w:t>
      </w:r>
      <w:r>
        <w:t xml:space="preserve">1035 Elm Street, Unit C, Fairview, Columbia 20147 — a rental condominium titled solely in Darren Kwan’s name, financed October 8, 2019 (during the marriage). No value disclosed; current mortgage balance ~$241,281 (PROD-005). The declaration expressly states Respondent</w:t>
      </w:r>
      <w:r>
        <w:t xml:space="preserve"> </w:t>
      </w:r>
      <w:r>
        <w:t xml:space="preserve">“</w:t>
      </w:r>
      <w:r>
        <w:t xml:space="preserve">does not hold any ownership interest, whether sole or joint, in any other real property</w:t>
      </w:r>
      <w:r>
        <w:t xml:space="preserve">”</w:t>
      </w:r>
      <w:r>
        <w:t xml:space="preserve"> </w:t>
      </w:r>
      <w:r>
        <w:t xml:space="preserve">(¶23).</w:t>
      </w:r>
    </w:p>
    <w:bookmarkEnd w:id="26"/>
    <w:bookmarkStart w:id="27" w:name="c.-liabilities"/>
    <w:p>
      <w:pPr>
        <w:pStyle w:val="Heading3"/>
      </w:pPr>
      <w:r>
        <w:t xml:space="preserve">C. Liabilities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Liability</w:t>
            </w:r>
          </w:p>
        </w:tc>
        <w:tc>
          <w:tcPr/>
          <w:p>
            <w:pPr>
              <w:pStyle w:val="Compact"/>
              <w:jc w:val="left"/>
            </w:pPr>
            <w:r>
              <w:t xml:space="preserve">Per Declaration</w:t>
            </w:r>
          </w:p>
        </w:tc>
        <w:tc>
          <w:tcPr/>
          <w:p>
            <w:pPr>
              <w:pStyle w:val="Compact"/>
              <w:jc w:val="left"/>
            </w:pPr>
            <w:r>
              <w:t xml:space="preserve">Per Records</w:t>
            </w:r>
          </w:p>
        </w:tc>
        <w:tc>
          <w:tcPr/>
          <w:p>
            <w:pPr>
              <w:pStyle w:val="Compact"/>
              <w:jc w:val="left"/>
            </w:pPr>
            <w:r>
              <w:t xml:space="preserve">Variance</w:t>
            </w:r>
          </w:p>
        </w:tc>
      </w:tr>
      <w:tr>
        <w:tc>
          <w:tcPr/>
          <w:p>
            <w:pPr>
              <w:pStyle w:val="Compact"/>
              <w:jc w:val="left"/>
            </w:pPr>
            <w:r>
              <w:t xml:space="preserve">Mortgage — 418 Birchwood (Meridian)</w:t>
            </w:r>
          </w:p>
        </w:tc>
        <w:tc>
          <w:tcPr/>
          <w:p>
            <w:pPr>
              <w:pStyle w:val="Compact"/>
              <w:jc w:val="left"/>
            </w:pPr>
            <w:r>
              <w:t xml:space="preserve">$218,400; $1,842/mo PITI</w:t>
            </w:r>
          </w:p>
        </w:tc>
        <w:tc>
          <w:tcPr/>
          <w:p>
            <w:pPr>
              <w:pStyle w:val="Compact"/>
              <w:jc w:val="left"/>
            </w:pPr>
            <w:r>
              <w:t xml:space="preserve">$1,842/mo ACH confirmed (PROD-004); no stmt produced</w:t>
            </w:r>
          </w:p>
        </w:tc>
        <w:tc>
          <w:tcPr/>
          <w:p>
            <w:pPr>
              <w:pStyle w:val="Compact"/>
              <w:jc w:val="left"/>
            </w:pPr>
            <w:r>
              <w:t xml:space="preserve">Stmts not produced</w:t>
            </w:r>
          </w:p>
        </w:tc>
      </w:tr>
      <w:tr>
        <w:tc>
          <w:tcPr/>
          <w:p>
            <w:pPr>
              <w:pStyle w:val="Compact"/>
              <w:jc w:val="left"/>
            </w:pPr>
            <w:r>
              <w:t xml:space="preserve">Mortgage — 1035 Elm St. (Meridian)</w:t>
            </w:r>
          </w:p>
        </w:tc>
        <w:tc>
          <w:tcPr/>
          <w:p>
            <w:pPr>
              <w:pStyle w:val="Compact"/>
              <w:jc w:val="left"/>
            </w:pPr>
            <w:r>
              <w:rPr>
                <w:b/>
                <w:bCs/>
              </w:rPr>
              <w:t xml:space="preserve">Not disclosed</w:t>
            </w:r>
          </w:p>
        </w:tc>
        <w:tc>
          <w:tcPr/>
          <w:p>
            <w:pPr>
              <w:pStyle w:val="Compact"/>
              <w:jc w:val="left"/>
            </w:pPr>
            <w:r>
              <w:t xml:space="preserve">~$241,281; $1,680/mo PITI (PROD-005)</w:t>
            </w:r>
          </w:p>
        </w:tc>
        <w:tc>
          <w:tcPr/>
          <w:p>
            <w:pPr>
              <w:pStyle w:val="Compact"/>
              <w:jc w:val="left"/>
            </w:pPr>
            <w:r>
              <w:rPr>
                <w:b/>
                <w:bCs/>
              </w:rPr>
              <w:t xml:space="preserve">Undisclosed ~$241,281 liability</w:t>
            </w:r>
          </w:p>
        </w:tc>
      </w:tr>
      <w:tr>
        <w:tc>
          <w:tcPr/>
          <w:p>
            <w:pPr>
              <w:pStyle w:val="Compact"/>
              <w:jc w:val="left"/>
            </w:pPr>
            <w:r>
              <w:t xml:space="preserve">Auto loan — 2022 BMW X5</w:t>
            </w:r>
          </w:p>
        </w:tc>
        <w:tc>
          <w:tcPr/>
          <w:p>
            <w:pPr>
              <w:pStyle w:val="Compact"/>
              <w:jc w:val="left"/>
            </w:pPr>
            <w:r>
              <w:t xml:space="preserve">$22,100; $425/mo (FCB Auto Finance)</w:t>
            </w:r>
          </w:p>
        </w:tc>
        <w:tc>
          <w:tcPr/>
          <w:p>
            <w:pPr>
              <w:pStyle w:val="Compact"/>
              <w:jc w:val="left"/>
            </w:pPr>
            <w:r>
              <w:t xml:space="preserve">No $425 payment visible in checking (PROD-004)</w:t>
            </w:r>
          </w:p>
        </w:tc>
        <w:tc>
          <w:tcPr/>
          <w:p>
            <w:pPr>
              <w:pStyle w:val="Compact"/>
              <w:jc w:val="left"/>
            </w:pPr>
            <w:r>
              <w:t xml:space="preserve">Payment source unverified</w:t>
            </w:r>
          </w:p>
        </w:tc>
      </w:tr>
      <w:tr>
        <w:tc>
          <w:tcPr/>
          <w:p>
            <w:pPr>
              <w:pStyle w:val="Compact"/>
              <w:jc w:val="left"/>
            </w:pPr>
            <w:r>
              <w:t xml:space="preserve">Credit card — Platinum Visa</w:t>
            </w:r>
          </w:p>
        </w:tc>
        <w:tc>
          <w:tcPr/>
          <w:p>
            <w:pPr>
              <w:pStyle w:val="Compact"/>
              <w:jc w:val="left"/>
            </w:pPr>
            <w:r>
              <w:t xml:space="preserve">~$8,500</w:t>
            </w:r>
            <w:r>
              <w:t xml:space="preserve"> </w:t>
            </w:r>
            <w:r>
              <w:t xml:space="preserve">“</w:t>
            </w:r>
            <w:r>
              <w:t xml:space="preserve">revolving</w:t>
            </w:r>
            <w:r>
              <w:t xml:space="preserve">”</w:t>
            </w:r>
            <w:r>
              <w:t xml:space="preserve">; $500–$1,000/mo</w:t>
            </w:r>
          </w:p>
        </w:tc>
        <w:tc>
          <w:tcPr/>
          <w:p>
            <w:pPr>
              <w:pStyle w:val="Compact"/>
              <w:jc w:val="left"/>
            </w:pPr>
            <w:r>
              <w:t xml:space="preserve">FCB Visa ***-8316;</w:t>
            </w:r>
            <w:r>
              <w:t xml:space="preserve"> </w:t>
            </w:r>
            <w:r>
              <w:rPr>
                <w:b/>
                <w:bCs/>
              </w:rPr>
              <w:t xml:space="preserve">paid in full</w:t>
            </w:r>
            <w:r>
              <w:t xml:space="preserve"> </w:t>
            </w:r>
            <w:r>
              <w:t xml:space="preserve">monthly; balances $6,418–$12,487</w:t>
            </w:r>
          </w:p>
        </w:tc>
        <w:tc>
          <w:tcPr/>
          <w:p>
            <w:pPr>
              <w:pStyle w:val="Compact"/>
              <w:jc w:val="left"/>
            </w:pPr>
            <w:r>
              <w:t xml:space="preserve">Creditor name, balance, and payment pattern all inconsistent</w:t>
            </w:r>
          </w:p>
        </w:tc>
      </w:tr>
      <w:tr>
        <w:tc>
          <w:tcPr/>
          <w:p>
            <w:pPr>
              <w:pStyle w:val="Compact"/>
              <w:jc w:val="left"/>
            </w:pPr>
            <w:r>
              <w:rPr>
                <w:b/>
                <w:bCs/>
              </w:rPr>
              <w:t xml:space="preserve">Total declared liabilities</w:t>
            </w:r>
          </w:p>
        </w:tc>
        <w:tc>
          <w:tcPr/>
          <w:p>
            <w:pPr>
              <w:pStyle w:val="Compact"/>
              <w:jc w:val="left"/>
            </w:pPr>
            <w:r>
              <w:rPr>
                <w:b/>
                <w:bCs/>
              </w:rPr>
              <w:t xml:space="preserve">~$249,000</w:t>
            </w:r>
          </w:p>
        </w:tc>
        <w:tc>
          <w:tcPr/>
          <w:p>
            <w:pPr>
              <w:pStyle w:val="Compact"/>
            </w:pPr>
          </w:p>
        </w:tc>
        <w:tc>
          <w:tcPr/>
          <w:p>
            <w:pPr>
              <w:pStyle w:val="Compact"/>
              <w:jc w:val="left"/>
            </w:pPr>
            <w:r>
              <w:t xml:space="preserve">Plus undisclosed Elm St. mortgage ~$241,281</w:t>
            </w:r>
          </w:p>
        </w:tc>
      </w:tr>
    </w:tbl>
    <w:bookmarkEnd w:id="27"/>
    <w:bookmarkStart w:id="28" w:name="X148e16673f1d4fbc06a4bf422249be06f250100"/>
    <w:p>
      <w:pPr>
        <w:pStyle w:val="Heading3"/>
      </w:pPr>
      <w:r>
        <w:t xml:space="preserve">D. Monthly Expenses (Declared vs. Documented)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Declared (PROD-001)</w:t>
            </w:r>
          </w:p>
        </w:tc>
        <w:tc>
          <w:tcPr/>
          <w:p>
            <w:pPr>
              <w:pStyle w:val="Compact"/>
              <w:jc w:val="left"/>
            </w:pPr>
            <w:r>
              <w:t xml:space="preserve">Documented (PROD-004/006)</w:t>
            </w:r>
          </w:p>
        </w:tc>
      </w:tr>
      <w:tr>
        <w:tc>
          <w:tcPr/>
          <w:p>
            <w:pPr>
              <w:pStyle w:val="Compact"/>
              <w:jc w:val="left"/>
            </w:pPr>
            <w:r>
              <w:t xml:space="preserve">Rent (Harbor Point condo)</w:t>
            </w:r>
          </w:p>
        </w:tc>
        <w:tc>
          <w:tcPr/>
          <w:p>
            <w:pPr>
              <w:pStyle w:val="Compact"/>
              <w:jc w:val="left"/>
            </w:pPr>
            <w:r>
              <w:t xml:space="preserve">$4,750</w:t>
            </w:r>
          </w:p>
        </w:tc>
        <w:tc>
          <w:tcPr/>
          <w:p>
            <w:pPr>
              <w:pStyle w:val="Compact"/>
              <w:jc w:val="left"/>
            </w:pPr>
            <w:r>
              <w:t xml:space="preserve">$4,750 (Check #4038 / ACH, from Jul) ✓</w:t>
            </w:r>
          </w:p>
        </w:tc>
      </w:tr>
      <w:tr>
        <w:tc>
          <w:tcPr/>
          <w:p>
            <w:pPr>
              <w:pStyle w:val="Compact"/>
              <w:jc w:val="left"/>
            </w:pPr>
            <w:r>
              <w:t xml:space="preserve">Mortgage — Birchwood</w:t>
            </w:r>
          </w:p>
        </w:tc>
        <w:tc>
          <w:tcPr/>
          <w:p>
            <w:pPr>
              <w:pStyle w:val="Compact"/>
              <w:jc w:val="left"/>
            </w:pPr>
            <w:r>
              <w:t xml:space="preserve">(within $3,500 voluntary contribution)</w:t>
            </w:r>
          </w:p>
        </w:tc>
        <w:tc>
          <w:tcPr/>
          <w:p>
            <w:pPr>
              <w:pStyle w:val="Compact"/>
              <w:jc w:val="left"/>
            </w:pPr>
            <w:r>
              <w:t xml:space="preserve">$1,842/mo ACH</w:t>
            </w:r>
          </w:p>
        </w:tc>
      </w:tr>
      <w:tr>
        <w:tc>
          <w:tcPr/>
          <w:p>
            <w:pPr>
              <w:pStyle w:val="Compact"/>
              <w:jc w:val="left"/>
            </w:pPr>
            <w:r>
              <w:t xml:space="preserve">Mortgage — Elm Street</w:t>
            </w:r>
          </w:p>
        </w:tc>
        <w:tc>
          <w:tcPr/>
          <w:p>
            <w:pPr>
              <w:pStyle w:val="Compact"/>
              <w:jc w:val="left"/>
            </w:pPr>
            <w:r>
              <w:rPr>
                <w:b/>
                <w:bCs/>
              </w:rPr>
              <w:t xml:space="preserve">Not disclosed</w:t>
            </w:r>
          </w:p>
        </w:tc>
        <w:tc>
          <w:tcPr/>
          <w:p>
            <w:pPr>
              <w:pStyle w:val="Compact"/>
              <w:jc w:val="left"/>
            </w:pPr>
            <w:r>
              <w:t xml:space="preserve">$1,680/mo ACH</w:t>
            </w:r>
          </w:p>
        </w:tc>
      </w:tr>
      <w:tr>
        <w:tc>
          <w:tcPr/>
          <w:p>
            <w:pPr>
              <w:pStyle w:val="Compact"/>
              <w:jc w:val="left"/>
            </w:pPr>
            <w:r>
              <w:t xml:space="preserve">Credit card spending</w:t>
            </w:r>
          </w:p>
        </w:tc>
        <w:tc>
          <w:tcPr/>
          <w:p>
            <w:pPr>
              <w:pStyle w:val="Compact"/>
              <w:jc w:val="left"/>
            </w:pPr>
            <w:r>
              <w:t xml:space="preserve">Not itemized</w:t>
            </w:r>
          </w:p>
        </w:tc>
        <w:tc>
          <w:tcPr/>
          <w:p>
            <w:pPr>
              <w:pStyle w:val="Compact"/>
              <w:jc w:val="left"/>
            </w:pPr>
            <w:r>
              <w:t xml:space="preserve">~$8,517/mo avg (May–Aug)</w:t>
            </w:r>
          </w:p>
        </w:tc>
      </w:tr>
      <w:tr>
        <w:tc>
          <w:tcPr/>
          <w:p>
            <w:pPr>
              <w:pStyle w:val="Compact"/>
              <w:jc w:val="left"/>
            </w:pPr>
            <w:r>
              <w:t xml:space="preserve">Auto insurance</w:t>
            </w:r>
          </w:p>
        </w:tc>
        <w:tc>
          <w:tcPr/>
          <w:p>
            <w:pPr>
              <w:pStyle w:val="Compact"/>
              <w:jc w:val="left"/>
            </w:pPr>
            <w:r>
              <w:t xml:space="preserve">$210</w:t>
            </w:r>
          </w:p>
        </w:tc>
        <w:tc>
          <w:tcPr/>
          <w:p>
            <w:pPr>
              <w:pStyle w:val="Compact"/>
              <w:jc w:val="left"/>
            </w:pPr>
            <w:r>
              <w:t xml:space="preserve">$312/mo (Progressive ACH)</w:t>
            </w:r>
          </w:p>
        </w:tc>
      </w:tr>
      <w:tr>
        <w:tc>
          <w:tcPr/>
          <w:p>
            <w:pPr>
              <w:pStyle w:val="Compact"/>
              <w:jc w:val="left"/>
            </w:pPr>
            <w:r>
              <w:t xml:space="preserve">Auto loan payment</w:t>
            </w:r>
          </w:p>
        </w:tc>
        <w:tc>
          <w:tcPr/>
          <w:p>
            <w:pPr>
              <w:pStyle w:val="Compact"/>
              <w:jc w:val="left"/>
            </w:pPr>
            <w:r>
              <w:t xml:space="preserve">$425</w:t>
            </w:r>
          </w:p>
        </w:tc>
        <w:tc>
          <w:tcPr/>
          <w:p>
            <w:pPr>
              <w:pStyle w:val="Compact"/>
              <w:jc w:val="left"/>
            </w:pPr>
            <w:r>
              <w:t xml:space="preserve">Not visible in checking</w:t>
            </w:r>
          </w:p>
        </w:tc>
      </w:tr>
      <w:tr>
        <w:tc>
          <w:tcPr/>
          <w:p>
            <w:pPr>
              <w:pStyle w:val="Compact"/>
              <w:jc w:val="left"/>
            </w:pPr>
            <w:r>
              <w:t xml:space="preserve">401(k) contributions</w:t>
            </w:r>
          </w:p>
        </w:tc>
        <w:tc>
          <w:tcPr/>
          <w:p>
            <w:pPr>
              <w:pStyle w:val="Compact"/>
              <w:jc w:val="left"/>
            </w:pPr>
            <w:r>
              <w:t xml:space="preserve">Not listed</w:t>
            </w:r>
          </w:p>
        </w:tc>
        <w:tc>
          <w:tcPr/>
          <w:p>
            <w:pPr>
              <w:pStyle w:val="Compact"/>
              <w:jc w:val="left"/>
            </w:pPr>
            <w:r>
              <w:t xml:space="preserve">$1,437.50/mo + $14,644.60 lump (8/1)</w:t>
            </w:r>
          </w:p>
        </w:tc>
      </w:tr>
      <w:tr>
        <w:tc>
          <w:tcPr/>
          <w:p>
            <w:pPr>
              <w:pStyle w:val="Compact"/>
              <w:jc w:val="left"/>
            </w:pPr>
            <w:r>
              <w:t xml:space="preserve">Country club dues</w:t>
            </w:r>
          </w:p>
        </w:tc>
        <w:tc>
          <w:tcPr/>
          <w:p>
            <w:pPr>
              <w:pStyle w:val="Compact"/>
              <w:jc w:val="left"/>
            </w:pPr>
            <w:r>
              <w:t xml:space="preserve">Not disclosed</w:t>
            </w:r>
          </w:p>
        </w:tc>
        <w:tc>
          <w:tcPr/>
          <w:p>
            <w:pPr>
              <w:pStyle w:val="Compact"/>
              <w:jc w:val="left"/>
            </w:pPr>
            <w:r>
              <w:t xml:space="preserve">$425/mo (PROD-006)</w:t>
            </w:r>
          </w:p>
        </w:tc>
      </w:tr>
      <w:tr>
        <w:tc>
          <w:tcPr/>
          <w:p>
            <w:pPr>
              <w:pStyle w:val="Compact"/>
              <w:jc w:val="left"/>
            </w:pPr>
            <w:r>
              <w:t xml:space="preserve">Clothing</w:t>
            </w:r>
          </w:p>
        </w:tc>
        <w:tc>
          <w:tcPr/>
          <w:p>
            <w:pPr>
              <w:pStyle w:val="Compact"/>
              <w:jc w:val="left"/>
            </w:pPr>
            <w:r>
              <w:t xml:space="preserve">$200</w:t>
            </w:r>
          </w:p>
        </w:tc>
        <w:tc>
          <w:tcPr/>
          <w:p>
            <w:pPr>
              <w:pStyle w:val="Compact"/>
              <w:jc w:val="left"/>
            </w:pPr>
            <w:r>
              <w:t xml:space="preserve">~$1,825/mo (Monarch Fine Clothiers)</w:t>
            </w:r>
          </w:p>
        </w:tc>
      </w:tr>
      <w:tr>
        <w:tc>
          <w:tcPr/>
          <w:p>
            <w:pPr>
              <w:pStyle w:val="Compact"/>
              <w:jc w:val="left"/>
            </w:pPr>
            <w:r>
              <w:t xml:space="preserve">Personal care</w:t>
            </w:r>
          </w:p>
        </w:tc>
        <w:tc>
          <w:tcPr/>
          <w:p>
            <w:pPr>
              <w:pStyle w:val="Compact"/>
              <w:jc w:val="left"/>
            </w:pPr>
            <w:r>
              <w:t xml:space="preserve">$100</w:t>
            </w:r>
          </w:p>
        </w:tc>
        <w:tc>
          <w:tcPr/>
          <w:p>
            <w:pPr>
              <w:pStyle w:val="Compact"/>
              <w:jc w:val="left"/>
            </w:pPr>
            <w:r>
              <w:t xml:space="preserve">~$360/mo (Aura Salon &amp; Spa)</w:t>
            </w:r>
          </w:p>
        </w:tc>
      </w:tr>
      <w:tr>
        <w:tc>
          <w:tcPr/>
          <w:p>
            <w:pPr>
              <w:pStyle w:val="Compact"/>
              <w:jc w:val="left"/>
            </w:pPr>
            <w:r>
              <w:t xml:space="preserve">Transfer to</w:t>
            </w:r>
            <w:r>
              <w:t xml:space="preserve"> </w:t>
            </w:r>
            <w:r>
              <w:t xml:space="preserve">“</w:t>
            </w:r>
            <w:r>
              <w:t xml:space="preserve">Kiera M.</w:t>
            </w:r>
            <w:r>
              <w:t xml:space="preserve">”</w:t>
            </w:r>
            <w:r>
              <w:t xml:space="preserve"> </w:t>
            </w:r>
            <w:r>
              <w:t xml:space="preserve">(Venmo)</w:t>
            </w:r>
          </w:p>
        </w:tc>
        <w:tc>
          <w:tcPr/>
          <w:p>
            <w:pPr>
              <w:pStyle w:val="Compact"/>
              <w:jc w:val="left"/>
            </w:pPr>
            <w:r>
              <w:t xml:space="preserve">Not disclosed</w:t>
            </w:r>
          </w:p>
        </w:tc>
        <w:tc>
          <w:tcPr/>
          <w:p>
            <w:pPr>
              <w:pStyle w:val="Compact"/>
              <w:jc w:val="left"/>
            </w:pPr>
            <w:r>
              <w:t xml:space="preserve">~$2,920/mo avg ($14,600 over Mar–Jul)</w:t>
            </w:r>
          </w:p>
        </w:tc>
      </w:tr>
      <w:tr>
        <w:tc>
          <w:tcPr/>
          <w:p>
            <w:pPr>
              <w:pStyle w:val="Compact"/>
              <w:jc w:val="left"/>
            </w:pPr>
            <w:r>
              <w:rPr>
                <w:b/>
                <w:bCs/>
              </w:rPr>
              <w:t xml:space="preserve">Declared total monthly outlay</w:t>
            </w:r>
          </w:p>
        </w:tc>
        <w:tc>
          <w:tcPr/>
          <w:p>
            <w:pPr>
              <w:pStyle w:val="Compact"/>
              <w:jc w:val="left"/>
            </w:pPr>
            <w:r>
              <w:rPr>
                <w:b/>
                <w:bCs/>
              </w:rPr>
              <w:t xml:space="preserve">$12,385</w:t>
            </w:r>
            <w:r>
              <w:t xml:space="preserve"> </w:t>
            </w:r>
            <w:r>
              <w:t xml:space="preserve">($8,885 personal + $3,500 voluntary)</w:t>
            </w:r>
          </w:p>
        </w:tc>
        <w:tc>
          <w:tcPr/>
          <w:p>
            <w:pPr>
              <w:pStyle w:val="Compact"/>
              <w:jc w:val="left"/>
            </w:pPr>
            <w:r>
              <w:t xml:space="preserve">Documented outflows materially exceed declared total</w:t>
            </w:r>
          </w:p>
        </w:tc>
      </w:tr>
    </w:tbl>
    <w:bookmarkEnd w:id="28"/>
    <w:bookmarkStart w:id="29" w:name="X487a4f20b8077913767e889ee4427e8667e274f"/>
    <w:p>
      <w:pPr>
        <w:pStyle w:val="Heading3"/>
      </w:pPr>
      <w:r>
        <w:t xml:space="preserve">E. Business Interest — NovaBridge Solutions LLC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FY 2023</w:t>
            </w:r>
          </w:p>
        </w:tc>
        <w:tc>
          <w:tcPr/>
          <w:p>
            <w:pPr>
              <w:pStyle w:val="Compact"/>
              <w:jc w:val="left"/>
            </w:pPr>
            <w:r>
              <w:t xml:space="preserve">FY 2022</w:t>
            </w:r>
          </w:p>
        </w:tc>
      </w:tr>
      <w:tr>
        <w:tc>
          <w:tcPr/>
          <w:p>
            <w:pPr>
              <w:pStyle w:val="Compact"/>
              <w:jc w:val="left"/>
            </w:pPr>
            <w:r>
              <w:t xml:space="preserve">Gross receipts</w:t>
            </w:r>
          </w:p>
        </w:tc>
        <w:tc>
          <w:tcPr/>
          <w:p>
            <w:pPr>
              <w:pStyle w:val="Compact"/>
              <w:jc w:val="left"/>
            </w:pPr>
            <w:r>
              <w:t xml:space="preserve">$4,280,000</w:t>
            </w:r>
          </w:p>
        </w:tc>
        <w:tc>
          <w:tcPr/>
          <w:p>
            <w:pPr>
              <w:pStyle w:val="Compact"/>
              <w:jc w:val="left"/>
            </w:pPr>
            <w:r>
              <w:t xml:space="preserve">$3,915,000</w:t>
            </w:r>
          </w:p>
        </w:tc>
      </w:tr>
      <w:tr>
        <w:tc>
          <w:tcPr/>
          <w:p>
            <w:pPr>
              <w:pStyle w:val="Compact"/>
              <w:jc w:val="left"/>
            </w:pPr>
            <w:r>
              <w:t xml:space="preserve">Ordinary business income (Form 1065)</w:t>
            </w:r>
          </w:p>
        </w:tc>
        <w:tc>
          <w:tcPr/>
          <w:p>
            <w:pPr>
              <w:pStyle w:val="Compact"/>
              <w:jc w:val="left"/>
            </w:pPr>
            <w:r>
              <w:t xml:space="preserve">$612,000</w:t>
            </w:r>
          </w:p>
        </w:tc>
        <w:tc>
          <w:tcPr/>
          <w:p>
            <w:pPr>
              <w:pStyle w:val="Compact"/>
              <w:jc w:val="left"/>
            </w:pPr>
            <w:r>
              <w:t xml:space="preserve">$548,000</w:t>
            </w:r>
          </w:p>
        </w:tc>
      </w:tr>
      <w:tr>
        <w:tc>
          <w:tcPr/>
          <w:p>
            <w:pPr>
              <w:pStyle w:val="Compact"/>
              <w:jc w:val="left"/>
            </w:pPr>
            <w:r>
              <w:t xml:space="preserve">Total distributions to partners</w:t>
            </w:r>
          </w:p>
        </w:tc>
        <w:tc>
          <w:tcPr/>
          <w:p>
            <w:pPr>
              <w:pStyle w:val="Compact"/>
              <w:jc w:val="left"/>
            </w:pPr>
            <w:r>
              <w:t xml:space="preserve">$290,000 (Kwan $174,000 / Ostrowski $116,000)</w:t>
            </w:r>
          </w:p>
        </w:tc>
        <w:tc>
          <w:tcPr/>
          <w:p>
            <w:pPr>
              <w:pStyle w:val="Compact"/>
              <w:jc w:val="left"/>
            </w:pPr>
            <w:r>
              <w:t xml:space="preserve">$260,000</w:t>
            </w:r>
          </w:p>
        </w:tc>
      </w:tr>
      <w:tr>
        <w:tc>
          <w:tcPr/>
          <w:p>
            <w:pPr>
              <w:pStyle w:val="Compact"/>
              <w:jc w:val="left"/>
            </w:pPr>
            <w:r>
              <w:t xml:space="preserve">Entity-level retained earnings</w:t>
            </w:r>
          </w:p>
        </w:tc>
        <w:tc>
          <w:tcPr/>
          <w:p>
            <w:pPr>
              <w:pStyle w:val="Compact"/>
              <w:jc w:val="left"/>
            </w:pPr>
            <w:r>
              <w:t xml:space="preserve">$322,000 (Kwan 60% = $193,200)</w:t>
            </w:r>
          </w:p>
        </w:tc>
        <w:tc>
          <w:tcPr/>
          <w:p>
            <w:pPr>
              <w:pStyle w:val="Compact"/>
              <w:jc w:val="left"/>
            </w:pPr>
            <w:r>
              <w:t xml:space="preserve">n/a</w:t>
            </w:r>
          </w:p>
        </w:tc>
      </w:tr>
      <w:tr>
        <w:tc>
          <w:tcPr/>
          <w:p>
            <w:pPr>
              <w:pStyle w:val="Compact"/>
              <w:jc w:val="left"/>
            </w:pPr>
            <w:r>
              <w:t xml:space="preserve">Respondent’s K-1 ordinary income</w:t>
            </w:r>
          </w:p>
        </w:tc>
        <w:tc>
          <w:tcPr/>
          <w:p>
            <w:pPr>
              <w:pStyle w:val="Compact"/>
              <w:jc w:val="left"/>
            </w:pPr>
            <w:r>
              <w:t xml:space="preserve">$367,200</w:t>
            </w:r>
          </w:p>
        </w:tc>
        <w:tc>
          <w:tcPr/>
          <w:p>
            <w:pPr>
              <w:pStyle w:val="Compact"/>
              <w:jc w:val="left"/>
            </w:pPr>
            <w:r>
              <w:t xml:space="preserve">—</w:t>
            </w:r>
          </w:p>
        </w:tc>
      </w:tr>
      <w:tr>
        <w:tc>
          <w:tcPr/>
          <w:p>
            <w:pPr>
              <w:pStyle w:val="Compact"/>
              <w:jc w:val="left"/>
            </w:pPr>
            <w:r>
              <w:t xml:space="preserve">Respondent’s K-1 distributions</w:t>
            </w:r>
          </w:p>
        </w:tc>
        <w:tc>
          <w:tcPr/>
          <w:p>
            <w:pPr>
              <w:pStyle w:val="Compact"/>
              <w:jc w:val="left"/>
            </w:pPr>
            <w:r>
              <w:t xml:space="preserve">$174,000</w:t>
            </w:r>
          </w:p>
        </w:tc>
        <w:tc>
          <w:tcPr/>
          <w:p>
            <w:pPr>
              <w:pStyle w:val="Compact"/>
              <w:jc w:val="left"/>
            </w:pPr>
            <w:r>
              <w:t xml:space="preserve">—</w:t>
            </w:r>
          </w:p>
        </w:tc>
      </w:tr>
      <w:tr>
        <w:tc>
          <w:tcPr/>
          <w:p>
            <w:pPr>
              <w:pStyle w:val="Compact"/>
              <w:jc w:val="left"/>
            </w:pPr>
            <w:r>
              <w:t xml:space="preserve">Respondent’s capital account (begin → end)</w:t>
            </w:r>
          </w:p>
        </w:tc>
        <w:tc>
          <w:tcPr/>
          <w:p>
            <w:pPr>
              <w:pStyle w:val="Compact"/>
              <w:jc w:val="left"/>
            </w:pPr>
            <w:r>
              <w:t xml:space="preserve">$482,600 → $675,800 (+$193,200)</w:t>
            </w:r>
          </w:p>
        </w:tc>
        <w:tc>
          <w:tcPr/>
          <w:p>
            <w:pPr>
              <w:pStyle w:val="Compact"/>
              <w:jc w:val="left"/>
            </w:pPr>
            <w:r>
              <w:t xml:space="preserve">—</w:t>
            </w:r>
          </w:p>
        </w:tc>
      </w:tr>
      <w:tr>
        <w:tc>
          <w:tcPr/>
          <w:p>
            <w:pPr>
              <w:pStyle w:val="Compact"/>
              <w:jc w:val="left"/>
            </w:pPr>
            <w:r>
              <w:t xml:space="preserve">Ownership</w:t>
            </w:r>
          </w:p>
        </w:tc>
        <w:tc>
          <w:tcPr/>
          <w:p>
            <w:pPr>
              <w:pStyle w:val="Compact"/>
              <w:jc w:val="left"/>
            </w:pPr>
            <w:r>
              <w:t xml:space="preserve">Darren Kwan 60% (CTO/Member-Manager); Jared Ostrowski 40% (CEO)</w:t>
            </w:r>
          </w:p>
        </w:tc>
        <w:tc>
          <w:tcPr/>
          <w:p>
            <w:pPr>
              <w:pStyle w:val="Compact"/>
              <w:jc w:val="left"/>
            </w:pPr>
            <w:r>
              <w:t xml:space="preserve">—</w:t>
            </w:r>
          </w:p>
        </w:tc>
      </w:tr>
    </w:tbl>
    <w:p>
      <w:pPr>
        <w:pStyle w:val="BodyText"/>
      </w:pPr>
      <w:r>
        <w:t xml:space="preserve">The $193,200 year-over-year increase in Respondent’s capital account (equal to his 60% share of entity retained earnings) is a component of marital asset growth not addressed in the declaration. No business valuation has been performed.</w:t>
      </w:r>
    </w:p>
    <w:p>
      <w:r>
        <w:pict>
          <v:rect style="width:0;height:1.5pt" o:hralign="center" o:hrstd="t" o:hr="t"/>
        </w:pict>
      </w:r>
    </w:p>
    <w:bookmarkEnd w:id="29"/>
    <w:bookmarkEnd w:id="30"/>
    <w:bookmarkStart w:id="37" w:name="X23b589d32e2a5149724a5a8af2fd44a9410458c"/>
    <w:p>
      <w:pPr>
        <w:pStyle w:val="Heading2"/>
      </w:pPr>
      <w:r>
        <w:t xml:space="preserve">IV. Flagged Inconsistencies and Discrepancies</w:t>
      </w:r>
    </w:p>
    <w:p>
      <w:pPr>
        <w:pStyle w:val="FirstParagraph"/>
      </w:pPr>
      <w:r>
        <w:t xml:space="preserve">The following items are organized by significance. Items in Section IV.A (material omissions) and IV.B (conflicts between the sworn declaration and the produced records) are the highest priority.</w:t>
      </w:r>
    </w:p>
    <w:bookmarkStart w:id="31" w:name="Xdcdac109e7a552ed83858b7b9c61cee3feb79a9"/>
    <w:p>
      <w:pPr>
        <w:pStyle w:val="Heading3"/>
      </w:pPr>
      <w:r>
        <w:t xml:space="preserve">A. Material Omissions — Undisclosed Assets, Income, and Transfers</w:t>
      </w:r>
    </w:p>
    <w:p>
      <w:pPr>
        <w:pStyle w:val="FirstParagraph"/>
      </w:pPr>
      <w:r>
        <w:rPr>
          <w:b/>
          <w:bCs/>
        </w:rPr>
        <w:t xml:space="preserve">A.1 Undisclosed real property, liability, and rental income (1035 Elm Street, Unit C).</w:t>
      </w:r>
      <w:r>
        <w:t xml:space="preserve"> </w:t>
      </w:r>
      <w:r>
        <w:t xml:space="preserve">The tax return (PROD-002, Schedule E) and mortgage statements (PROD-005) establish that Respondent owns a rental condominium at 1035 Elm Street, Unit C, titled solely in his name and financed on October 8, 2019 — during the marriage. The property generated $25,200 in rents ($2,100/month) and $2,940 in net rental income in 2023, and carries a mortgage with Meridian Home Lending (Loan 7842-0163-ELM) with a current balance of approximately $241,281 and a $1,680/month PITI payment. The bank statements (PROD-004) confirm both the $1,680 Elm Street mortgage payment and the $2,100 monthly tenant rent deposits.</w:t>
      </w:r>
      <w:r>
        <w:t xml:space="preserve"> </w:t>
      </w:r>
      <w:r>
        <w:rPr>
          <w:b/>
          <w:bCs/>
        </w:rPr>
        <w:t xml:space="preserve">None of this — the asset, the liability, the income, or the expense — appears in the Financial Declaration</w:t>
      </w:r>
      <w:r>
        <w:t xml:space="preserve">, which expressly avers that Respondent holds no other real property (¶23) and has no other income (¶19,</w:t>
      </w:r>
      <w:r>
        <w:t xml:space="preserve"> </w:t>
      </w:r>
      <w:r>
        <w:t xml:space="preserve">“</w:t>
      </w:r>
      <w:r>
        <w:t xml:space="preserve">None</w:t>
      </w:r>
      <w:r>
        <w:t xml:space="preserve">”</w:t>
      </w:r>
      <w:r>
        <w:t xml:space="preserve">). Because the property was acquired during the marriage, it is presumptively marital notwithstanding sole title.</w:t>
      </w:r>
    </w:p>
    <w:p>
      <w:pPr>
        <w:pStyle w:val="BodyText"/>
      </w:pPr>
      <w:r>
        <w:rPr>
          <w:b/>
          <w:bCs/>
        </w:rPr>
        <w:t xml:space="preserve">A.2 Substantial understatement of income (K-1 income vs. distributions).</w:t>
      </w:r>
      <w:r>
        <w:t xml:space="preserve"> </w:t>
      </w:r>
      <w:r>
        <w:t xml:space="preserve">The declaration reports</w:t>
      </w:r>
      <w:r>
        <w:t xml:space="preserve"> </w:t>
      </w:r>
      <w:r>
        <w:t xml:space="preserve">“</w:t>
      </w:r>
      <w:r>
        <w:t xml:space="preserve">K-1 Income / Distributions</w:t>
      </w:r>
      <w:r>
        <w:t xml:space="preserve">”</w:t>
      </w:r>
      <w:r>
        <w:t xml:space="preserve"> </w:t>
      </w:r>
      <w:r>
        <w:t xml:space="preserve">of $174,000. The Schedule K-1 (PROD-002) shows that $174,000 is the</w:t>
      </w:r>
      <w:r>
        <w:t xml:space="preserve"> </w:t>
      </w:r>
      <w:r>
        <w:rPr>
          <w:b/>
          <w:bCs/>
        </w:rPr>
        <w:t xml:space="preserve">cash distribution</w:t>
      </w:r>
      <w:r>
        <w:t xml:space="preserve"> </w:t>
      </w:r>
      <w:r>
        <w:t xml:space="preserve">(Box 19a); the</w:t>
      </w:r>
      <w:r>
        <w:t xml:space="preserve"> </w:t>
      </w:r>
      <w:r>
        <w:rPr>
          <w:b/>
          <w:bCs/>
        </w:rPr>
        <w:t xml:space="preserve">taxable ordinary business income</w:t>
      </w:r>
      <w:r>
        <w:t xml:space="preserve"> </w:t>
      </w:r>
      <w:r>
        <w:t xml:space="preserve">allocable to Respondent is $367,200 (Box 1). The declaration thus reports the distribution as though it were income and omits the $193,200 difference. Combined with the omitted investment and rental income, Respondent’s documented 2023 income is approximately</w:t>
      </w:r>
      <w:r>
        <w:t xml:space="preserve"> </w:t>
      </w:r>
      <w:r>
        <w:rPr>
          <w:b/>
          <w:bCs/>
        </w:rPr>
        <w:t xml:space="preserve">$571,740</w:t>
      </w:r>
      <w:r>
        <w:t xml:space="preserve">, versus the declared</w:t>
      </w:r>
      <w:r>
        <w:t xml:space="preserve"> </w:t>
      </w:r>
      <w:r>
        <w:rPr>
          <w:b/>
          <w:bCs/>
        </w:rPr>
        <w:t xml:space="preserve">$359,000</w:t>
      </w:r>
      <w:r>
        <w:t xml:space="preserve"> </w:t>
      </w:r>
      <w:r>
        <w:t xml:space="preserve">— an understatement of roughly</w:t>
      </w:r>
      <w:r>
        <w:t xml:space="preserve"> </w:t>
      </w:r>
      <w:r>
        <w:rPr>
          <w:b/>
          <w:bCs/>
        </w:rPr>
        <w:t xml:space="preserve">$212,740 (≈59%)</w:t>
      </w:r>
      <w:r>
        <w:t xml:space="preserve">. This figure is central to any child-support or maintenance calculation.</w:t>
      </w:r>
    </w:p>
    <w:p>
      <w:pPr>
        <w:pStyle w:val="BodyText"/>
      </w:pPr>
      <w:r>
        <w:rPr>
          <w:b/>
          <w:bCs/>
        </w:rPr>
        <w:t xml:space="preserve">A.3 $85,000 wire transfer to an undisclosed account (potential dissipation).</w:t>
      </w:r>
      <w:r>
        <w:t xml:space="preserve"> </w:t>
      </w:r>
      <w:r>
        <w:t xml:space="preserve">The Crestline statements (PROD-003) show an outgoing wire transfer of</w:t>
      </w:r>
      <w:r>
        <w:t xml:space="preserve"> </w:t>
      </w:r>
      <w:r>
        <w:rPr>
          <w:b/>
          <w:bCs/>
        </w:rPr>
        <w:t xml:space="preserve">$85,000</w:t>
      </w:r>
      <w:r>
        <w:t xml:space="preserve"> </w:t>
      </w:r>
      <w:r>
        <w:t xml:space="preserve">on</w:t>
      </w:r>
      <w:r>
        <w:t xml:space="preserve"> </w:t>
      </w:r>
      <w:r>
        <w:rPr>
          <w:b/>
          <w:bCs/>
        </w:rPr>
        <w:t xml:space="preserve">June 15, 2024</w:t>
      </w:r>
      <w:r>
        <w:t xml:space="preserve"> </w:t>
      </w:r>
      <w:r>
        <w:t xml:space="preserve">to Harborstone Financial Group, account ending 2291 (reference WT-2024-061524-0087), authorized verbally by the account holder. Harborstone Financial Group and account 2291 appear</w:t>
      </w:r>
      <w:r>
        <w:t xml:space="preserve"> </w:t>
      </w:r>
      <w:r>
        <w:rPr>
          <w:b/>
          <w:bCs/>
        </w:rPr>
        <w:t xml:space="preserve">nowhere</w:t>
      </w:r>
      <w:r>
        <w:t xml:space="preserve"> </w:t>
      </w:r>
      <w:r>
        <w:t xml:space="preserve">in the Financial Declaration’s account list. The transfer occurred approximately two weeks after the declaration’s asserted separation date (June 1, 2024) and reduced the brokerage account from ~$468,695 (May 31) to ~$385,125 (June 30). The declaration reports the brokerage at its</w:t>
      </w:r>
      <w:r>
        <w:t xml:space="preserve"> </w:t>
      </w:r>
      <w:r>
        <w:rPr>
          <w:b/>
          <w:bCs/>
        </w:rPr>
        <w:t xml:space="preserve">post-transfer</w:t>
      </w:r>
      <w:r>
        <w:t xml:space="preserve"> </w:t>
      </w:r>
      <w:r>
        <w:t xml:space="preserve">value of $387,450 (the August 1 valuation), not the pre-transfer ~$472,450 (January 1) or ~$468,695 (May 31) values. This pattern is consistent with post-separation dissipation or asset concealment and must be traced.</w:t>
      </w:r>
    </w:p>
    <w:p>
      <w:pPr>
        <w:pStyle w:val="BodyText"/>
      </w:pPr>
      <w:r>
        <w:rPr>
          <w:b/>
          <w:bCs/>
        </w:rPr>
        <w:t xml:space="preserve">A.4 Undisclosed recurring transfers to</w:t>
      </w:r>
      <w:r>
        <w:rPr>
          <w:b/>
          <w:bCs/>
        </w:rPr>
        <w:t xml:space="preserve"> </w:t>
      </w:r>
      <w:r>
        <w:rPr>
          <w:b/>
          <w:bCs/>
        </w:rPr>
        <w:t xml:space="preserve">“</w:t>
      </w:r>
      <w:r>
        <w:rPr>
          <w:b/>
          <w:bCs/>
        </w:rPr>
        <w:t xml:space="preserve">Kiera M.</w:t>
      </w:r>
      <w:r>
        <w:rPr>
          <w:b/>
          <w:bCs/>
        </w:rPr>
        <w:t xml:space="preserve">”</w:t>
      </w:r>
      <w:r>
        <w:t xml:space="preserve"> </w:t>
      </w:r>
      <w:r>
        <w:t xml:space="preserve">The checking statements (PROD-004) show recurring Venmo payments to</w:t>
      </w:r>
      <w:r>
        <w:t xml:space="preserve"> </w:t>
      </w:r>
      <w:r>
        <w:t xml:space="preserve">“</w:t>
      </w:r>
      <w:r>
        <w:t xml:space="preserve">Kiera M.</w:t>
      </w:r>
      <w:r>
        <w:t xml:space="preserve">”</w:t>
      </w:r>
      <w:r>
        <w:t xml:space="preserve"> </w:t>
      </w:r>
      <w:r>
        <w:t xml:space="preserve">totaling</w:t>
      </w:r>
      <w:r>
        <w:t xml:space="preserve"> </w:t>
      </w:r>
      <w:r>
        <w:rPr>
          <w:b/>
          <w:bCs/>
        </w:rPr>
        <w:t xml:space="preserve">$14,600</w:t>
      </w:r>
      <w:r>
        <w:t xml:space="preserve"> </w:t>
      </w:r>
      <w:r>
        <w:t xml:space="preserve">over five months: $2,800 (3/15), $3,100 (4/22), $2,500 (5/10), $3,200 (6/18), and $3,000 (7/14) — an average of ~$2,920/month. The identity of</w:t>
      </w:r>
      <w:r>
        <w:t xml:space="preserve"> </w:t>
      </w:r>
      <w:r>
        <w:t xml:space="preserve">“</w:t>
      </w:r>
      <w:r>
        <w:t xml:space="preserve">Kiera M.</w:t>
      </w:r>
      <w:r>
        <w:t xml:space="preserve">”</w:t>
      </w:r>
      <w:r>
        <w:t xml:space="preserve"> </w:t>
      </w:r>
      <w:r>
        <w:t xml:space="preserve">and the purpose of these transfers are not disclosed anywhere in the production. The regularity and amount suggest an ongoing obligation (e.g., support of a third party, repayment of a personal debt, or a household employee) that should be explored.</w:t>
      </w:r>
    </w:p>
    <w:p>
      <w:pPr>
        <w:pStyle w:val="BodyText"/>
      </w:pPr>
      <w:r>
        <w:rPr>
          <w:b/>
          <w:bCs/>
        </w:rPr>
        <w:t xml:space="preserve">A.5 Undisclosed benefits and reimbursements.</w:t>
      </w:r>
      <w:r>
        <w:t xml:space="preserve"> </w:t>
      </w:r>
      <w:r>
        <w:t xml:space="preserve">The W-2 (PROD-002) reflects a $9,600 annual vehicle allowance ($800/month) not mentioned in the declaration. NovaBridge expense reimbursements of $12,662 (H1 2024, PROD-007) were deposited into Respondent’s personal checking ($3,400 on 4/10 and $2,150 on 5/20, per PROD-004), representing additional personal cash flow not reflected in the declaration’s income section.</w:t>
      </w:r>
    </w:p>
    <w:bookmarkEnd w:id="31"/>
    <w:bookmarkStart w:id="32" w:name="Xddd631ccc34a5db7a3ffb526a447a3d3ccdbe90"/>
    <w:p>
      <w:pPr>
        <w:pStyle w:val="Heading3"/>
      </w:pPr>
      <w:r>
        <w:t xml:space="preserve">B. Conflicts Between the Sworn Declaration and the Produced Records</w:t>
      </w:r>
    </w:p>
    <w:p>
      <w:pPr>
        <w:pStyle w:val="FirstParagraph"/>
      </w:pPr>
      <w:r>
        <w:rPr>
          <w:b/>
          <w:bCs/>
        </w:rPr>
        <w:t xml:space="preserve">B.1 Date of separation.</w:t>
      </w:r>
      <w:r>
        <w:t xml:space="preserve"> </w:t>
      </w:r>
      <w:r>
        <w:t xml:space="preserve">The Financial Declaration states the parties</w:t>
      </w:r>
      <w:r>
        <w:t xml:space="preserve"> </w:t>
      </w:r>
      <w:r>
        <w:t xml:space="preserve">“</w:t>
      </w:r>
      <w:r>
        <w:t xml:space="preserve">effectively separated on or about</w:t>
      </w:r>
      <w:r>
        <w:t xml:space="preserve"> </w:t>
      </w:r>
      <w:r>
        <w:rPr>
          <w:b/>
          <w:bCs/>
        </w:rPr>
        <w:t xml:space="preserve">June 1, 2024</w:t>
      </w:r>
      <w:r>
        <w:t xml:space="preserve">”</w:t>
      </w:r>
      <w:r>
        <w:t xml:space="preserve"> </w:t>
      </w:r>
      <w:r>
        <w:t xml:space="preserve">(¶5). The production cover letter’s privilege log repeatedly refers to</w:t>
      </w:r>
      <w:r>
        <w:t xml:space="preserve"> </w:t>
      </w:r>
      <w:r>
        <w:t xml:space="preserve">“</w:t>
      </w:r>
      <w:r>
        <w:t xml:space="preserve">the parties’ separation on</w:t>
      </w:r>
      <w:r>
        <w:t xml:space="preserve"> </w:t>
      </w:r>
      <w:r>
        <w:rPr>
          <w:b/>
          <w:bCs/>
        </w:rPr>
        <w:t xml:space="preserve">August 1, 2024</w:t>
      </w:r>
      <w:r>
        <w:t xml:space="preserve">”</w:t>
      </w:r>
      <w:r>
        <w:t xml:space="preserve"> </w:t>
      </w:r>
      <w:r>
        <w:t xml:space="preserve">(PRIV-001) and</w:t>
      </w:r>
      <w:r>
        <w:t xml:space="preserve"> </w:t>
      </w:r>
      <w:r>
        <w:t xml:space="preserve">“</w:t>
      </w:r>
      <w:r>
        <w:t xml:space="preserve">post-separation</w:t>
      </w:r>
      <w:r>
        <w:t xml:space="preserve"> </w:t>
      </w:r>
      <w:r>
        <w:rPr>
          <w:b/>
          <w:bCs/>
        </w:rPr>
        <w:t xml:space="preserve">August 1, 2024</w:t>
      </w:r>
      <w:r>
        <w:t xml:space="preserve">”</w:t>
      </w:r>
      <w:r>
        <w:t xml:space="preserve"> </w:t>
      </w:r>
      <w:r>
        <w:t xml:space="preserve">(PRIV-002). This two-month discrepancy is material: it determines whether the June 15 $85,000 wire, the recurring Venmo transfers, and the elevated credit-card spending occurred before or after separation, and it bears directly on the valuation date and the characterization of transfers. The Harbor Point lease commenced June 1, 2024 (per the declaration), which is consistent with a June separation but not an August one.</w:t>
      </w:r>
    </w:p>
    <w:p>
      <w:pPr>
        <w:pStyle w:val="BodyText"/>
      </w:pPr>
      <w:r>
        <w:rPr>
          <w:b/>
          <w:bCs/>
        </w:rPr>
        <w:t xml:space="preserve">B.2 Filing date of the Financial Declaration.</w:t>
      </w:r>
      <w:r>
        <w:t xml:space="preserve"> </w:t>
      </w:r>
      <w:r>
        <w:t xml:space="preserve">The declaration and its certificate of service state it was filed and served on</w:t>
      </w:r>
      <w:r>
        <w:t xml:space="preserve"> </w:t>
      </w:r>
      <w:r>
        <w:rPr>
          <w:b/>
          <w:bCs/>
        </w:rPr>
        <w:t xml:space="preserve">September 20, 2024</w:t>
      </w:r>
      <w:r>
        <w:t xml:space="preserve">. The cover letter describes the declaration as</w:t>
      </w:r>
      <w:r>
        <w:t xml:space="preserve"> </w:t>
      </w:r>
      <w:r>
        <w:t xml:space="preserve">“</w:t>
      </w:r>
      <w:r>
        <w:t xml:space="preserve">filed with the Court on or about</w:t>
      </w:r>
      <w:r>
        <w:t xml:space="preserve"> </w:t>
      </w:r>
      <w:r>
        <w:rPr>
          <w:b/>
          <w:bCs/>
        </w:rPr>
        <w:t xml:space="preserve">October 4, 2024</w:t>
      </w:r>
      <w:r>
        <w:t xml:space="preserve">.</w:t>
      </w:r>
      <w:r>
        <w:t xml:space="preserve">”</w:t>
      </w:r>
      <w:r>
        <w:t xml:space="preserve"> </w:t>
      </w:r>
      <w:r>
        <w:t xml:space="preserve">The two-week discrepancy should be reconciled against the Court’s Scheduling Order deadlines.</w:t>
      </w:r>
    </w:p>
    <w:p>
      <w:pPr>
        <w:pStyle w:val="BodyText"/>
      </w:pPr>
      <w:r>
        <w:rPr>
          <w:b/>
          <w:bCs/>
        </w:rPr>
        <w:t xml:space="preserve">B.3 Valuation date.</w:t>
      </w:r>
      <w:r>
        <w:t xml:space="preserve"> </w:t>
      </w:r>
      <w:r>
        <w:t xml:space="preserve">The declaration states that all asset values and account balances are</w:t>
      </w:r>
      <w:r>
        <w:t xml:space="preserve"> </w:t>
      </w:r>
      <w:r>
        <w:t xml:space="preserve">“</w:t>
      </w:r>
      <w:r>
        <w:t xml:space="preserve">approximate as of the date of separation… on or about June 1, 2024</w:t>
      </w:r>
      <w:r>
        <w:t xml:space="preserve">”</w:t>
      </w:r>
      <w:r>
        <w:t xml:space="preserve"> </w:t>
      </w:r>
      <w:r>
        <w:t xml:space="preserve">(¶56). The balances actually reported, however, correspond to the</w:t>
      </w:r>
      <w:r>
        <w:t xml:space="preserve"> </w:t>
      </w:r>
      <w:r>
        <w:rPr>
          <w:b/>
          <w:bCs/>
        </w:rPr>
        <w:t xml:space="preserve">August 1, 2024</w:t>
      </w:r>
      <w:r>
        <w:t xml:space="preserve"> </w:t>
      </w:r>
      <w:r>
        <w:t xml:space="preserve">statement values. For example, the individual checking account held</w:t>
      </w:r>
      <w:r>
        <w:t xml:space="preserve"> </w:t>
      </w:r>
      <w:r>
        <w:rPr>
          <w:b/>
          <w:bCs/>
        </w:rPr>
        <w:t xml:space="preserve">$26,869.56</w:t>
      </w:r>
      <w:r>
        <w:t xml:space="preserve"> </w:t>
      </w:r>
      <w:r>
        <w:t xml:space="preserve">on June 1 but is reported at</w:t>
      </w:r>
      <w:r>
        <w:t xml:space="preserve"> </w:t>
      </w:r>
      <w:r>
        <w:rPr>
          <w:b/>
          <w:bCs/>
        </w:rPr>
        <w:t xml:space="preserve">$8,215</w:t>
      </w:r>
      <w:r>
        <w:t xml:space="preserve"> </w:t>
      </w:r>
      <w:r>
        <w:t xml:space="preserve">(the August 1 balance, reduced by a $14,644.60 401(k) transfer, rent, and other outflows); the brokerage held ~$468,695 on June 1 but is reported at $387,450 (post-$85,000 wire). The declaration thus systematically reports lower, post-separation balances while asserting a June 1 valuation date.</w:t>
      </w:r>
    </w:p>
    <w:p>
      <w:pPr>
        <w:pStyle w:val="BodyText"/>
      </w:pPr>
      <w:r>
        <w:rPr>
          <w:b/>
          <w:bCs/>
        </w:rPr>
        <w:t xml:space="preserve">B.4 Credit card — creditor, balance, and payment pattern.</w:t>
      </w:r>
      <w:r>
        <w:t xml:space="preserve"> </w:t>
      </w:r>
      <w:r>
        <w:t xml:space="preserve">The declaration describes a</w:t>
      </w:r>
      <w:r>
        <w:t xml:space="preserve"> </w:t>
      </w:r>
      <w:r>
        <w:t xml:space="preserve">“</w:t>
      </w:r>
      <w:r>
        <w:t xml:space="preserve">Platinum Visa</w:t>
      </w:r>
      <w:r>
        <w:t xml:space="preserve">”</w:t>
      </w:r>
      <w:r>
        <w:t xml:space="preserve"> </w:t>
      </w:r>
      <w:r>
        <w:t xml:space="preserve">with</w:t>
      </w:r>
      <w:r>
        <w:t xml:space="preserve"> </w:t>
      </w:r>
      <w:r>
        <w:t xml:space="preserve">“</w:t>
      </w:r>
      <w:r>
        <w:t xml:space="preserve">First National Card Services</w:t>
      </w:r>
      <w:r>
        <w:t xml:space="preserve">”</w:t>
      </w:r>
      <w:r>
        <w:t xml:space="preserve"> </w:t>
      </w:r>
      <w:r>
        <w:t xml:space="preserve">carrying an approximate $8,500</w:t>
      </w:r>
      <w:r>
        <w:t xml:space="preserve"> </w:t>
      </w:r>
      <w:r>
        <w:t xml:space="preserve">“</w:t>
      </w:r>
      <w:r>
        <w:t xml:space="preserve">revolving balance</w:t>
      </w:r>
      <w:r>
        <w:t xml:space="preserve">”</w:t>
      </w:r>
      <w:r>
        <w:t xml:space="preserve"> </w:t>
      </w:r>
      <w:r>
        <w:t xml:space="preserve">with monthly payments of $500–$1,000. The produced statements (PROD-006) show a</w:t>
      </w:r>
      <w:r>
        <w:t xml:space="preserve"> </w:t>
      </w:r>
      <w:r>
        <w:rPr>
          <w:b/>
          <w:bCs/>
        </w:rPr>
        <w:t xml:space="preserve">Fairview Community Bank</w:t>
      </w:r>
      <w:r>
        <w:t xml:space="preserve"> </w:t>
      </w:r>
      <w:r>
        <w:t xml:space="preserve">Platinum Visa (account ***-8316) that is</w:t>
      </w:r>
      <w:r>
        <w:t xml:space="preserve"> </w:t>
      </w:r>
      <w:r>
        <w:rPr>
          <w:b/>
          <w:bCs/>
        </w:rPr>
        <w:t xml:space="preserve">paid in full</w:t>
      </w:r>
      <w:r>
        <w:t xml:space="preserve"> </w:t>
      </w:r>
      <w:r>
        <w:t xml:space="preserve">each month (payment equals the prior balance; finance charges $0), with statement balances of $7,038.45, $8,124.30, $12,486.75, and $6,418.50 (May–August). None equals $8,500. The creditor name, the</w:t>
      </w:r>
      <w:r>
        <w:t xml:space="preserve"> </w:t>
      </w:r>
      <w:r>
        <w:t xml:space="preserve">“</w:t>
      </w:r>
      <w:r>
        <w:t xml:space="preserve">revolving</w:t>
      </w:r>
      <w:r>
        <w:t xml:space="preserve">”</w:t>
      </w:r>
      <w:r>
        <w:t xml:space="preserve"> </w:t>
      </w:r>
      <w:r>
        <w:t xml:space="preserve">characterization, the stated balance, and the stated payment range are all inconsistent with the records. Separately, the ACH</w:t>
      </w:r>
      <w:r>
        <w:t xml:space="preserve"> </w:t>
      </w:r>
      <w:r>
        <w:t xml:space="preserve">“</w:t>
      </w:r>
      <w:r>
        <w:t xml:space="preserve">Fairview Community Bank Visa</w:t>
      </w:r>
      <w:r>
        <w:t xml:space="preserve">”</w:t>
      </w:r>
      <w:r>
        <w:t xml:space="preserve"> </w:t>
      </w:r>
      <w:r>
        <w:t xml:space="preserve">payments debited from the individual checking ($1,450, $2,230, $3,875, $4,120, $5,480, posted mid-month) do</w:t>
      </w:r>
      <w:r>
        <w:t xml:space="preserve"> </w:t>
      </w:r>
      <w:r>
        <w:rPr>
          <w:b/>
          <w:bCs/>
        </w:rPr>
        <w:t xml:space="preserve">not</w:t>
      </w:r>
      <w:r>
        <w:t xml:space="preserve"> </w:t>
      </w:r>
      <w:r>
        <w:t xml:space="preserve">match the card statement payments ($3,240.18, $7,038.45, $8,124.30, $12,486.75, posted on the 1st) in amount or date — suggesting either a second credit card or that the produced card is paid from an unproduced account (e.g., the joint checking 4821).</w:t>
      </w:r>
    </w:p>
    <w:p>
      <w:pPr>
        <w:pStyle w:val="BodyText"/>
      </w:pPr>
      <w:r>
        <w:rPr>
          <w:b/>
          <w:bCs/>
        </w:rPr>
        <w:t xml:space="preserve">B.5 Auto loan and auto insurance.</w:t>
      </w:r>
      <w:r>
        <w:t xml:space="preserve"> </w:t>
      </w:r>
      <w:r>
        <w:t xml:space="preserve">The declaration lists a $22,100 auto loan at $425/month through</w:t>
      </w:r>
      <w:r>
        <w:t xml:space="preserve"> </w:t>
      </w:r>
      <w:r>
        <w:t xml:space="preserve">“</w:t>
      </w:r>
      <w:r>
        <w:t xml:space="preserve">Fairview Community Bank Auto Finance</w:t>
      </w:r>
      <w:r>
        <w:t xml:space="preserve">”</w:t>
      </w:r>
      <w:r>
        <w:t xml:space="preserve"> </w:t>
      </w:r>
      <w:r>
        <w:t xml:space="preserve">and auto insurance of $210/month. The checking statements (PROD-004) show</w:t>
      </w:r>
      <w:r>
        <w:t xml:space="preserve"> </w:t>
      </w:r>
      <w:r>
        <w:rPr>
          <w:b/>
          <w:bCs/>
        </w:rPr>
        <w:t xml:space="preserve">no $425 auto-loan payment</w:t>
      </w:r>
      <w:r>
        <w:t xml:space="preserve"> </w:t>
      </w:r>
      <w:r>
        <w:t xml:space="preserve">in any month (March–August), and show Progressive Auto Insurance ACH debits of</w:t>
      </w:r>
      <w:r>
        <w:t xml:space="preserve"> </w:t>
      </w:r>
      <w:r>
        <w:rPr>
          <w:b/>
          <w:bCs/>
        </w:rPr>
        <w:t xml:space="preserve">$312/month</w:t>
      </w:r>
      <w:r>
        <w:t xml:space="preserve"> </w:t>
      </w:r>
      <w:r>
        <w:t xml:space="preserve">(not $210). The auto-loan payment source and current balance require verification.</w:t>
      </w:r>
    </w:p>
    <w:p>
      <w:pPr>
        <w:pStyle w:val="BodyText"/>
      </w:pPr>
      <w:r>
        <w:rPr>
          <w:b/>
          <w:bCs/>
        </w:rPr>
        <w:t xml:space="preserve">B.6 Two mortgages paid from a single account.</w:t>
      </w:r>
      <w:r>
        <w:t xml:space="preserve"> </w:t>
      </w:r>
      <w:r>
        <w:t xml:space="preserve">The checking statements show two distinct monthly Meridian Home Lending debits — $1,842 (</w:t>
      </w:r>
      <w:r>
        <w:t xml:space="preserve">“</w:t>
      </w:r>
      <w:r>
        <w:t xml:space="preserve">Meridian Home Lending Mortgage,</w:t>
      </w:r>
      <w:r>
        <w:t xml:space="preserve">”</w:t>
      </w:r>
      <w:r>
        <w:t xml:space="preserve"> </w:t>
      </w:r>
      <w:r>
        <w:t xml:space="preserve">the Birchwood loan) and $1,680 (</w:t>
      </w:r>
      <w:r>
        <w:t xml:space="preserve">“</w:t>
      </w:r>
      <w:r>
        <w:t xml:space="preserve">Meridian Home Lending,</w:t>
      </w:r>
      <w:r>
        <w:t xml:space="preserve">”</w:t>
      </w:r>
      <w:r>
        <w:t xml:space="preserve"> </w:t>
      </w:r>
      <w:r>
        <w:t xml:space="preserve">the Elm Street loan) — confirming two separate mortgage obligations. The declaration discloses only the Birchwood mortgage and does not list the $1,680 Elm Street payment among Respondent’s expenses.</w:t>
      </w:r>
    </w:p>
    <w:bookmarkEnd w:id="32"/>
    <w:bookmarkStart w:id="33" w:name="c.-lifestyle-and-expense-discrepancies"/>
    <w:p>
      <w:pPr>
        <w:pStyle w:val="Heading3"/>
      </w:pPr>
      <w:r>
        <w:t xml:space="preserve">C. Lifestyle and Expense Discrepancies</w:t>
      </w:r>
    </w:p>
    <w:p>
      <w:pPr>
        <w:pStyle w:val="FirstParagraph"/>
      </w:pPr>
      <w:r>
        <w:t xml:space="preserve">The credit-card statements (PROD-006) document a lifestyle materially exceeding the declared monthly expenses. Over May–August 2024, card charges averaged ~$8,517/month and included items absent from or far below the declaration: Fairview Country Club dues of $425/month (not disclosed); Monarch Fine Clothiers charges of $7,300 over four months (declared clothing: $200/month); Aura Salon &amp; Spa charges of $1,440 over four months (declared personal care: $100/month); a $6,200 Sapphire Sky Travel charge (July); $3,236 in Harbor Point Luxury Furnishings charges; and $2,149.50 in personal electronics. The declared total monthly outlay of $12,385 does not account for the country club, the documented card spending, the Venmo transfers to</w:t>
      </w:r>
      <w:r>
        <w:t xml:space="preserve"> </w:t>
      </w:r>
      <w:r>
        <w:t xml:space="preserve">“</w:t>
      </w:r>
      <w:r>
        <w:t xml:space="preserve">Kiera M.,</w:t>
      </w:r>
      <w:r>
        <w:t xml:space="preserve">”</w:t>
      </w:r>
      <w:r>
        <w:t xml:space="preserve"> </w:t>
      </w:r>
      <w:r>
        <w:t xml:space="preserve">or the Elm Street mortgage.</w:t>
      </w:r>
    </w:p>
    <w:bookmarkEnd w:id="33"/>
    <w:bookmarkStart w:id="34" w:name="d.-production-scope-gaps-and-defects"/>
    <w:p>
      <w:pPr>
        <w:pStyle w:val="Heading3"/>
      </w:pPr>
      <w:r>
        <w:t xml:space="preserve">D. Production Scope Gaps and Defects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Gap / Defect</w:t>
            </w:r>
          </w:p>
        </w:tc>
        <w:tc>
          <w:tcPr/>
          <w:p>
            <w:pPr>
              <w:pStyle w:val="Compact"/>
              <w:jc w:val="left"/>
            </w:pPr>
            <w:r>
              <w:t xml:space="preserve">Detail</w:t>
            </w:r>
          </w:p>
        </w:tc>
      </w:tr>
      <w:tr>
        <w:tc>
          <w:tcPr/>
          <w:p>
            <w:pPr>
              <w:pStyle w:val="Compact"/>
              <w:jc w:val="left"/>
            </w:pPr>
            <w:r>
              <w:t xml:space="preserve">Joint accounts 4821/4822</w:t>
            </w:r>
          </w:p>
        </w:tc>
        <w:tc>
          <w:tcPr/>
          <w:p>
            <w:pPr>
              <w:pStyle w:val="Compact"/>
              <w:jc w:val="left"/>
            </w:pPr>
            <w:r>
              <w:t xml:space="preserve">Not produced; cover-letter objection addresses</w:t>
            </w:r>
            <w:r>
              <w:t xml:space="preserve"> </w:t>
            </w:r>
            <w:r>
              <w:t xml:space="preserve">“</w:t>
            </w:r>
            <w:r>
              <w:t xml:space="preserve">Petitioner’s sole accounts,</w:t>
            </w:r>
            <w:r>
              <w:t xml:space="preserve">”</w:t>
            </w:r>
            <w:r>
              <w:t xml:space="preserve"> </w:t>
            </w:r>
            <w:r>
              <w:t xml:space="preserve">but these are joint accounts</w:t>
            </w:r>
          </w:p>
        </w:tc>
      </w:tr>
      <w:tr>
        <w:tc>
          <w:tcPr/>
          <w:p>
            <w:pPr>
              <w:pStyle w:val="Compact"/>
              <w:jc w:val="left"/>
            </w:pPr>
            <w:r>
              <w:t xml:space="preserve">401(k) account 3310</w:t>
            </w:r>
          </w:p>
        </w:tc>
        <w:tc>
          <w:tcPr/>
          <w:p>
            <w:pPr>
              <w:pStyle w:val="Compact"/>
              <w:jc w:val="left"/>
            </w:pPr>
            <w:r>
              <w:t xml:space="preserve">Declared at $412,800; no Pinnacle statements produced</w:t>
            </w:r>
          </w:p>
        </w:tc>
      </w:tr>
      <w:tr>
        <w:tc>
          <w:tcPr/>
          <w:p>
            <w:pPr>
              <w:pStyle w:val="Compact"/>
              <w:jc w:val="left"/>
            </w:pPr>
            <w:r>
              <w:t xml:space="preserve">Marital-residence mortgage</w:t>
            </w:r>
          </w:p>
        </w:tc>
        <w:tc>
          <w:tcPr/>
          <w:p>
            <w:pPr>
              <w:pStyle w:val="Compact"/>
              <w:jc w:val="left"/>
            </w:pPr>
            <w:r>
              <w:t xml:space="preserve">No Meridian statements for 418 Birchwood produced (only Elm Street)</w:t>
            </w:r>
          </w:p>
        </w:tc>
      </w:tr>
      <w:tr>
        <w:tc>
          <w:tcPr/>
          <w:p>
            <w:pPr>
              <w:pStyle w:val="Compact"/>
              <w:jc w:val="left"/>
            </w:pPr>
            <w:r>
              <w:t xml:space="preserve">Complete 2023 tax return</w:t>
            </w:r>
          </w:p>
        </w:tc>
        <w:tc>
          <w:tcPr/>
          <w:p>
            <w:pPr>
              <w:pStyle w:val="Compact"/>
              <w:jc w:val="left"/>
            </w:pPr>
            <w:r>
              <w:t xml:space="preserve">47-page return; only excerpts produced; Schedules A, B, D, SE, and Form 8995 referenced but withheld</w:t>
            </w:r>
          </w:p>
        </w:tc>
      </w:tr>
      <w:tr>
        <w:tc>
          <w:tcPr/>
          <w:p>
            <w:pPr>
              <w:pStyle w:val="Compact"/>
              <w:jc w:val="left"/>
            </w:pPr>
            <w:r>
              <w:t xml:space="preserve">NovaBridge entity records (RFP 16–22)</w:t>
            </w:r>
          </w:p>
        </w:tc>
        <w:tc>
          <w:tcPr/>
          <w:p>
            <w:pPr>
              <w:pStyle w:val="Compact"/>
              <w:jc w:val="left"/>
            </w:pPr>
            <w:r>
              <w:t xml:space="preserve">Operating agreement, financial statements, tax returns not produced;</w:t>
            </w:r>
            <w:r>
              <w:t xml:space="preserve"> </w:t>
            </w:r>
            <w:r>
              <w:t xml:space="preserve">“</w:t>
            </w:r>
            <w:r>
              <w:t xml:space="preserve">supplementation</w:t>
            </w:r>
            <w:r>
              <w:t xml:space="preserve">”</w:t>
            </w:r>
            <w:r>
              <w:t xml:space="preserve"> </w:t>
            </w:r>
            <w:r>
              <w:t xml:space="preserve">promised</w:t>
            </w:r>
          </w:p>
        </w:tc>
      </w:tr>
      <w:tr>
        <w:tc>
          <w:tcPr/>
          <w:p>
            <w:pPr>
              <w:pStyle w:val="Compact"/>
              <w:jc w:val="left"/>
            </w:pPr>
            <w:r>
              <w:t xml:space="preserve">Expense reports</w:t>
            </w:r>
          </w:p>
        </w:tc>
        <w:tc>
          <w:tcPr/>
          <w:p>
            <w:pPr>
              <w:pStyle w:val="Compact"/>
              <w:jc w:val="left"/>
            </w:pPr>
            <w:r>
              <w:t xml:space="preserve">Only Q1–Q2 2024 produced; Q3–Q4 2024 outstanding</w:t>
            </w:r>
          </w:p>
        </w:tc>
      </w:tr>
      <w:tr>
        <w:tc>
          <w:tcPr/>
          <w:p>
            <w:pPr>
              <w:pStyle w:val="Compact"/>
              <w:jc w:val="left"/>
            </w:pPr>
            <w:r>
              <w:t xml:space="preserve">Pay stubs</w:t>
            </w:r>
          </w:p>
        </w:tc>
        <w:tc>
          <w:tcPr/>
          <w:p>
            <w:pPr>
              <w:pStyle w:val="Compact"/>
              <w:jc w:val="left"/>
            </w:pPr>
            <w:r>
              <w:t xml:space="preserve">Declaration ¶57 states</w:t>
            </w:r>
            <w:r>
              <w:t xml:space="preserve"> </w:t>
            </w:r>
            <w:r>
              <w:t xml:space="preserve">“</w:t>
            </w:r>
            <w:r>
              <w:t xml:space="preserve">recent pay stubs… have been or will be produced</w:t>
            </w:r>
            <w:r>
              <w:t xml:space="preserve">”</w:t>
            </w:r>
            <w:r>
              <w:t xml:space="preserve">; none produced</w:t>
            </w:r>
          </w:p>
        </w:tc>
      </w:tr>
      <w:tr>
        <w:tc>
          <w:tcPr/>
          <w:p>
            <w:pPr>
              <w:pStyle w:val="Compact"/>
              <w:jc w:val="left"/>
            </w:pPr>
            <w:r>
              <w:t xml:space="preserve">Earlier periods</w:t>
            </w:r>
          </w:p>
        </w:tc>
        <w:tc>
          <w:tcPr/>
          <w:p>
            <w:pPr>
              <w:pStyle w:val="Compact"/>
              <w:jc w:val="left"/>
            </w:pPr>
            <w:r>
              <w:t xml:space="preserve">Most account statements begin in 2024; 2022–2023 and early-2024 statements not produced</w:t>
            </w:r>
          </w:p>
        </w:tc>
      </w:tr>
      <w:tr>
        <w:tc>
          <w:tcPr/>
          <w:p>
            <w:pPr>
              <w:pStyle w:val="Compact"/>
              <w:jc w:val="left"/>
            </w:pPr>
            <w:r>
              <w:t xml:space="preserve">Case-number defect</w:t>
            </w:r>
          </w:p>
        </w:tc>
        <w:tc>
          <w:tcPr/>
          <w:p>
            <w:pPr>
              <w:pStyle w:val="Compact"/>
              <w:jc w:val="left"/>
            </w:pPr>
            <w:r>
              <w:t xml:space="preserve">FCB statements (PROD-004) footer reads</w:t>
            </w:r>
            <w:r>
              <w:t xml:space="preserve"> </w:t>
            </w:r>
            <w:r>
              <w:t xml:space="preserve">“</w:t>
            </w:r>
            <w:r>
              <w:t xml:space="preserve">Case No. 2024-DR-</w:t>
            </w:r>
            <w:r>
              <w:rPr>
                <w:b/>
                <w:bCs/>
              </w:rPr>
              <w:t xml:space="preserve">00847</w:t>
            </w:r>
            <w:r>
              <w:t xml:space="preserve">”</w:t>
            </w:r>
            <w:r>
              <w:t xml:space="preserve"> </w:t>
            </w:r>
            <w:r>
              <w:t xml:space="preserve">(missing the</w:t>
            </w:r>
            <w:r>
              <w:t xml:space="preserve"> </w:t>
            </w:r>
            <w:r>
              <w:t xml:space="preserve">“</w:t>
            </w:r>
            <w:r>
              <w:t xml:space="preserve">1</w:t>
            </w:r>
            <w:r>
              <w:t xml:space="preserve">”</w:t>
            </w:r>
            <w:r>
              <w:t xml:space="preserve">); also captioned</w:t>
            </w:r>
            <w:r>
              <w:t xml:space="preserve"> </w:t>
            </w:r>
            <w:r>
              <w:t xml:space="preserve">“</w:t>
            </w:r>
            <w:r>
              <w:t xml:space="preserve">In re Marriage of Kwan</w:t>
            </w:r>
            <w:r>
              <w:t xml:space="preserve">”</w:t>
            </w:r>
            <w:r>
              <w:t xml:space="preserve"> </w:t>
            </w:r>
            <w:r>
              <w:t xml:space="preserve">rather than</w:t>
            </w:r>
            <w:r>
              <w:t xml:space="preserve"> </w:t>
            </w:r>
            <w:r>
              <w:rPr>
                <w:i/>
                <w:iCs/>
              </w:rPr>
              <w:t xml:space="preserve">Torres-Kwan v. Kwan</w:t>
            </w:r>
          </w:p>
        </w:tc>
      </w:tr>
      <w:tr>
        <w:tc>
          <w:tcPr/>
          <w:p>
            <w:pPr>
              <w:pStyle w:val="Compact"/>
              <w:jc w:val="left"/>
            </w:pPr>
            <w:r>
              <w:t xml:space="preserve">Cover letter undated</w:t>
            </w:r>
          </w:p>
        </w:tc>
        <w:tc>
          <w:tcPr/>
          <w:p>
            <w:pPr>
              <w:pStyle w:val="Compact"/>
              <w:jc w:val="left"/>
            </w:pPr>
            <w:r>
              <w:t xml:space="preserve">Transmittal email bears no date</w:t>
            </w:r>
          </w:p>
        </w:tc>
      </w:tr>
      <w:tr>
        <w:tc>
          <w:tcPr/>
          <w:p>
            <w:pPr>
              <w:pStyle w:val="Compact"/>
              <w:jc w:val="left"/>
            </w:pPr>
            <w:r>
              <w:t xml:space="preserve">Counsel contact inconsistencies</w:t>
            </w:r>
          </w:p>
        </w:tc>
        <w:tc>
          <w:tcPr/>
          <w:p>
            <w:pPr>
              <w:pStyle w:val="Compact"/>
              <w:jc w:val="left"/>
            </w:pPr>
            <w:r>
              <w:t xml:space="preserve">Declaration lists Fossett at (571) 555-0184 / rfossett@hfylaw.com; cover letter lists (571) 555-4200 / rfossett@hfy-law.com</w:t>
            </w:r>
          </w:p>
        </w:tc>
      </w:tr>
    </w:tbl>
    <w:bookmarkEnd w:id="34"/>
    <w:bookmarkStart w:id="35" w:name="Xfb95f39c59916ba2cdef17b2d7d0eaad83e5cc1"/>
    <w:p>
      <w:pPr>
        <w:pStyle w:val="Heading3"/>
      </w:pPr>
      <w:r>
        <w:t xml:space="preserve">E. Account Titling / Tax-ID Discrepancy (Crestline)</w:t>
      </w:r>
    </w:p>
    <w:p>
      <w:pPr>
        <w:pStyle w:val="FirstParagraph"/>
      </w:pPr>
      <w:r>
        <w:t xml:space="preserve">The Crestline brokerage account (PROD-003) lists a tax ID ending in</w:t>
      </w:r>
      <w:r>
        <w:t xml:space="preserve"> </w:t>
      </w:r>
      <w:r>
        <w:rPr>
          <w:b/>
          <w:bCs/>
        </w:rPr>
        <w:t xml:space="preserve">8341</w:t>
      </w:r>
      <w:r>
        <w:t xml:space="preserve">. Respondent’s SSN, per the tax return (PROD-002), ends in</w:t>
      </w:r>
      <w:r>
        <w:t xml:space="preserve"> </w:t>
      </w:r>
      <w:r>
        <w:rPr>
          <w:b/>
          <w:bCs/>
        </w:rPr>
        <w:t xml:space="preserve">4718</w:t>
      </w:r>
      <w:r>
        <w:t xml:space="preserve">. The tax ID ending 8341 corresponds to the SSN of the parties’ dependent son,</w:t>
      </w:r>
      <w:r>
        <w:t xml:space="preserve"> </w:t>
      </w:r>
      <w:r>
        <w:rPr>
          <w:b/>
          <w:bCs/>
        </w:rPr>
        <w:t xml:space="preserve">Ethan Kwan</w:t>
      </w:r>
      <w:r>
        <w:t xml:space="preserve"> </w:t>
      </w:r>
      <w:r>
        <w:t xml:space="preserve">(XXX-XX-8341). This discrepancy — the brokerage account’s TIN matching a dependent child rather than the account holder — requires verification. It may indicate a custodial/UTMA account mischaracterized as an individual taxable account, a titling or data-entry error, or a redaction artifact. Account-opening and TIN-certification records should be obtained directly from Crestline.</w:t>
      </w:r>
    </w:p>
    <w:bookmarkEnd w:id="35"/>
    <w:bookmarkStart w:id="36" w:name="X8b12bb7ecef8ee67256d2e77a13c95810b6d92c"/>
    <w:p>
      <w:pPr>
        <w:pStyle w:val="Heading3"/>
      </w:pPr>
      <w:r>
        <w:t xml:space="preserve">F. NovaBridge Governance and Related-Party Concerns</w:t>
      </w:r>
    </w:p>
    <w:p>
      <w:pPr>
        <w:pStyle w:val="FirstParagraph"/>
      </w:pPr>
      <w:r>
        <w:t xml:space="preserve">The expense reports (PROD-007) disclose that, pursuant to Operating Agreement §5.3, Respondent — as the 60% majority member —</w:t>
      </w:r>
      <w:r>
        <w:t xml:space="preserve"> </w:t>
      </w:r>
      <w:r>
        <w:rPr>
          <w:b/>
          <w:bCs/>
        </w:rPr>
        <w:t xml:space="preserve">self-approves his own expense reimbursements</w:t>
      </w:r>
      <w:r>
        <w:t xml:space="preserve"> </w:t>
      </w:r>
      <w:r>
        <w:t xml:space="preserve">without any review or countersignature by the 40% co-member (Jared Ostrowski). This structure lacks independent oversight and creates a risk that personal expenditures are run through the company. Two items illustrate the concern: (i) a $2,150 reimbursement for</w:t>
      </w:r>
      <w:r>
        <w:t xml:space="preserve"> </w:t>
      </w:r>
      <w:r>
        <w:t xml:space="preserve">“</w:t>
      </w:r>
      <w:r>
        <w:t xml:space="preserve">Tablet, smartphone, and accessories</w:t>
      </w:r>
      <w:r>
        <w:t xml:space="preserve">”</w:t>
      </w:r>
      <w:r>
        <w:t xml:space="preserve"> </w:t>
      </w:r>
      <w:r>
        <w:t xml:space="preserve">categorized as</w:t>
      </w:r>
      <w:r>
        <w:t xml:space="preserve"> </w:t>
      </w:r>
      <w:r>
        <w:t xml:space="preserve">“</w:t>
      </w:r>
      <w:r>
        <w:t xml:space="preserve">Technology Equipment — Personal Devices</w:t>
      </w:r>
      <w:r>
        <w:t xml:space="preserve">”</w:t>
      </w:r>
      <w:r>
        <w:t xml:space="preserve">; and (ii)</w:t>
      </w:r>
      <w:r>
        <w:t xml:space="preserve"> </w:t>
      </w:r>
      <w:r>
        <w:t xml:space="preserve">“</w:t>
      </w:r>
      <w:r>
        <w:t xml:space="preserve">Sapphire Sky Travel</w:t>
      </w:r>
      <w:r>
        <w:t xml:space="preserve">”</w:t>
      </w:r>
      <w:r>
        <w:t xml:space="preserve"> </w:t>
      </w:r>
      <w:r>
        <w:t xml:space="preserve">appears both as a $3,400 company expense in April (reimbursed to Respondent’s personal checking) and as a $6,200 personal credit-card charge in July. The Operating Agreement itself has not been produced.</w:t>
      </w:r>
    </w:p>
    <w:p>
      <w:r>
        <w:pict>
          <v:rect style="width:0;height:1.5pt" o:hralign="center" o:hrstd="t" o:hr="t"/>
        </w:pict>
      </w:r>
    </w:p>
    <w:bookmarkEnd w:id="36"/>
    <w:bookmarkEnd w:id="37"/>
    <w:bookmarkStart w:id="44" w:name="v.-recommended-follow-up-discovery"/>
    <w:p>
      <w:pPr>
        <w:pStyle w:val="Heading2"/>
      </w:pPr>
      <w:r>
        <w:t xml:space="preserve">V. Recommended Follow-Up Discovery</w:t>
      </w:r>
    </w:p>
    <w:bookmarkStart w:id="38" w:name="X5c2daf9815f590c8e0b7bb4f9a959eb6591aeba"/>
    <w:p>
      <w:pPr>
        <w:pStyle w:val="Heading3"/>
      </w:pPr>
      <w:r>
        <w:t xml:space="preserve">1. Supplemental Production Demands (Meet-and-Confer First)</w:t>
      </w:r>
    </w:p>
    <w:p>
      <w:pPr>
        <w:pStyle w:val="FirstParagraph"/>
      </w:pPr>
      <w:r>
        <w:t xml:space="preserve">Serve a meet-and-confer letter and, if necessary, a motion to compel requiring Respondent to produce:</w:t>
      </w:r>
    </w:p>
    <w:p>
      <w:pPr>
        <w:pStyle w:val="Compact"/>
        <w:numPr>
          <w:ilvl w:val="0"/>
          <w:numId w:val="1002"/>
        </w:numPr>
      </w:pPr>
      <w:r>
        <w:rPr>
          <w:b/>
          <w:bCs/>
        </w:rPr>
        <w:t xml:space="preserve">Joint account statements</w:t>
      </w:r>
      <w:r>
        <w:t xml:space="preserve"> </w:t>
      </w:r>
      <w:r>
        <w:t xml:space="preserve">(FCB 4821 and 4822) for 2022–2024 (these are joint/marital accounts; the</w:t>
      </w:r>
      <w:r>
        <w:t xml:space="preserve"> </w:t>
      </w:r>
      <w:r>
        <w:t xml:space="preserve">“</w:t>
      </w:r>
      <w:r>
        <w:t xml:space="preserve">Petitioner’s sole account</w:t>
      </w:r>
      <w:r>
        <w:t xml:space="preserve">”</w:t>
      </w:r>
      <w:r>
        <w:t xml:space="preserve"> </w:t>
      </w:r>
      <w:r>
        <w:t xml:space="preserve">objection does not apply);</w:t>
      </w:r>
    </w:p>
    <w:p>
      <w:pPr>
        <w:pStyle w:val="Compact"/>
        <w:numPr>
          <w:ilvl w:val="0"/>
          <w:numId w:val="1002"/>
        </w:numPr>
      </w:pPr>
      <w:r>
        <w:rPr>
          <w:b/>
          <w:bCs/>
        </w:rPr>
        <w:t xml:space="preserve">401(k) statements</w:t>
      </w:r>
      <w:r>
        <w:t xml:space="preserve"> </w:t>
      </w:r>
      <w:r>
        <w:t xml:space="preserve">(Pinnacle Retirement Services, account 3310) for 2022–2024, plus any other retirement accounts;</w:t>
      </w:r>
    </w:p>
    <w:p>
      <w:pPr>
        <w:pStyle w:val="Compact"/>
        <w:numPr>
          <w:ilvl w:val="0"/>
          <w:numId w:val="1002"/>
        </w:numPr>
      </w:pPr>
      <w:r>
        <w:rPr>
          <w:b/>
          <w:bCs/>
        </w:rPr>
        <w:t xml:space="preserve">Marital-residence mortgage statements</w:t>
      </w:r>
      <w:r>
        <w:t xml:space="preserve"> </w:t>
      </w:r>
      <w:r>
        <w:t xml:space="preserve">(418 Birchwood Lane / Meridian) and loan documents for 2022–2024;</w:t>
      </w:r>
    </w:p>
    <w:p>
      <w:pPr>
        <w:pStyle w:val="Compact"/>
        <w:numPr>
          <w:ilvl w:val="0"/>
          <w:numId w:val="1002"/>
        </w:numPr>
      </w:pPr>
      <w:r>
        <w:rPr>
          <w:b/>
          <w:bCs/>
        </w:rPr>
        <w:t xml:space="preserve">The complete 2023 Form 1040</w:t>
      </w:r>
      <w:r>
        <w:t xml:space="preserve"> </w:t>
      </w:r>
      <w:r>
        <w:t xml:space="preserve">including Schedules A, B, D, SE, and Form 8995, plus 2021 and 2022 returns;</w:t>
      </w:r>
    </w:p>
    <w:p>
      <w:pPr>
        <w:pStyle w:val="Compact"/>
        <w:numPr>
          <w:ilvl w:val="0"/>
          <w:numId w:val="1002"/>
        </w:numPr>
      </w:pPr>
      <w:r>
        <w:rPr>
          <w:b/>
          <w:bCs/>
        </w:rPr>
        <w:t xml:space="preserve">Pay stubs</w:t>
      </w:r>
      <w:r>
        <w:t xml:space="preserve"> </w:t>
      </w:r>
      <w:r>
        <w:t xml:space="preserve">(2023–2024) and year-to-date earnings records;</w:t>
      </w:r>
    </w:p>
    <w:p>
      <w:pPr>
        <w:pStyle w:val="Compact"/>
        <w:numPr>
          <w:ilvl w:val="0"/>
          <w:numId w:val="1002"/>
        </w:numPr>
      </w:pPr>
      <w:r>
        <w:rPr>
          <w:b/>
          <w:bCs/>
        </w:rPr>
        <w:t xml:space="preserve">NovaBridge entity records</w:t>
      </w:r>
      <w:r>
        <w:t xml:space="preserve"> </w:t>
      </w:r>
      <w:r>
        <w:t xml:space="preserve">responsive to RFP Nos. 16–22: the Operating Agreement (all versions), 2021–2023 Form 1065 returns, financial statements, capital-account ledgers, distribution records, and related-party transaction records;</w:t>
      </w:r>
    </w:p>
    <w:p>
      <w:pPr>
        <w:pStyle w:val="Compact"/>
        <w:numPr>
          <w:ilvl w:val="0"/>
          <w:numId w:val="1002"/>
        </w:numPr>
      </w:pPr>
      <w:r>
        <w:rPr>
          <w:b/>
          <w:bCs/>
        </w:rPr>
        <w:t xml:space="preserve">Q3–Q4 2024 expense reports</w:t>
      </w:r>
      <w:r>
        <w:t xml:space="preserve"> </w:t>
      </w:r>
      <w:r>
        <w:t xml:space="preserve">and all supporting receipts for 2024;</w:t>
      </w:r>
    </w:p>
    <w:p>
      <w:pPr>
        <w:pStyle w:val="Compact"/>
        <w:numPr>
          <w:ilvl w:val="0"/>
          <w:numId w:val="1002"/>
        </w:numPr>
      </w:pPr>
      <w:r>
        <w:rPr>
          <w:b/>
          <w:bCs/>
        </w:rPr>
        <w:t xml:space="preserve">All credit-card accounts</w:t>
      </w:r>
      <w:r>
        <w:t xml:space="preserve"> </w:t>
      </w:r>
      <w:r>
        <w:t xml:space="preserve">in Respondent’s name (including any card other than ***-8316) and the account from which the ***-8316 card is paid;</w:t>
      </w:r>
    </w:p>
    <w:p>
      <w:pPr>
        <w:pStyle w:val="Compact"/>
        <w:numPr>
          <w:ilvl w:val="0"/>
          <w:numId w:val="1002"/>
        </w:numPr>
      </w:pPr>
      <w:r>
        <w:rPr>
          <w:b/>
          <w:bCs/>
        </w:rPr>
        <w:t xml:space="preserve">Account statements for all periods</w:t>
      </w:r>
      <w:r>
        <w:t xml:space="preserve"> </w:t>
      </w:r>
      <w:r>
        <w:t xml:space="preserve">predating the 2024 statements already produced (2022–2023 and January–February 2024); and</w:t>
      </w:r>
    </w:p>
    <w:p>
      <w:pPr>
        <w:pStyle w:val="Compact"/>
        <w:numPr>
          <w:ilvl w:val="0"/>
          <w:numId w:val="1002"/>
        </w:numPr>
      </w:pPr>
      <w:r>
        <w:rPr>
          <w:b/>
          <w:bCs/>
        </w:rPr>
        <w:t xml:space="preserve">A corrected, formal privilege log</w:t>
      </w:r>
      <w:r>
        <w:t xml:space="preserve"> </w:t>
      </w:r>
      <w:r>
        <w:t xml:space="preserve">complying with the applicable rules, with sufficient detail to evaluate each withholding.</w:t>
      </w:r>
    </w:p>
    <w:bookmarkEnd w:id="38"/>
    <w:bookmarkStart w:id="39" w:name="X55dc4cda90302c62a76c9ca45ef0bf3666b3a7e"/>
    <w:p>
      <w:pPr>
        <w:pStyle w:val="Heading3"/>
      </w:pPr>
      <w:r>
        <w:t xml:space="preserve">2. Subpoenas Duces Tecum (Third-Party Custodians)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Custodian</w:t>
            </w:r>
          </w:p>
        </w:tc>
        <w:tc>
          <w:tcPr/>
          <w:p>
            <w:pPr>
              <w:pStyle w:val="Compact"/>
              <w:jc w:val="left"/>
            </w:pPr>
            <w:r>
              <w:t xml:space="preserve">Records Sought</w:t>
            </w:r>
          </w:p>
        </w:tc>
      </w:tr>
      <w:tr>
        <w:tc>
          <w:tcPr/>
          <w:p>
            <w:pPr>
              <w:pStyle w:val="Compact"/>
              <w:jc w:val="left"/>
            </w:pPr>
            <w:r>
              <w:rPr>
                <w:b/>
                <w:bCs/>
              </w:rPr>
              <w:t xml:space="preserve">Harborstone Financial Group</w:t>
            </w:r>
          </w:p>
        </w:tc>
        <w:tc>
          <w:tcPr/>
          <w:p>
            <w:pPr>
              <w:pStyle w:val="Compact"/>
              <w:jc w:val="left"/>
            </w:pPr>
            <w:r>
              <w:t xml:space="preserve">All accounts bearing Darren Kwan’s name or TIN, and account ending 2291; all statements, wire/transfer records, and signature cards for 2022–present (priority: trace the 6/15/2024 $85,000 wire)</w:t>
            </w:r>
          </w:p>
        </w:tc>
      </w:tr>
      <w:tr>
        <w:tc>
          <w:tcPr/>
          <w:p>
            <w:pPr>
              <w:pStyle w:val="Compact"/>
              <w:jc w:val="left"/>
            </w:pPr>
            <w:r>
              <w:rPr>
                <w:b/>
                <w:bCs/>
              </w:rPr>
              <w:t xml:space="preserve">Crestline Wealth Advisors</w:t>
            </w:r>
          </w:p>
        </w:tc>
        <w:tc>
          <w:tcPr/>
          <w:p>
            <w:pPr>
              <w:pStyle w:val="Compact"/>
              <w:jc w:val="left"/>
            </w:pPr>
            <w:r>
              <w:t xml:space="preserve">Account 9956 opening documents, TIN certification, beneficiary designations, all statements 2022–present, and complete wire-transfer records</w:t>
            </w:r>
          </w:p>
        </w:tc>
      </w:tr>
      <w:tr>
        <w:tc>
          <w:tcPr/>
          <w:p>
            <w:pPr>
              <w:pStyle w:val="Compact"/>
              <w:jc w:val="left"/>
            </w:pPr>
            <w:r>
              <w:rPr>
                <w:b/>
                <w:bCs/>
              </w:rPr>
              <w:t xml:space="preserve">Pinnacle Retirement Services</w:t>
            </w:r>
          </w:p>
        </w:tc>
        <w:tc>
          <w:tcPr/>
          <w:p>
            <w:pPr>
              <w:pStyle w:val="Compact"/>
              <w:jc w:val="left"/>
            </w:pPr>
            <w:r>
              <w:t xml:space="preserve">401(k) account 3310 and any other accounts for Darren Kwan; statements, contribution records, loan/withdrawal records 2022–present</w:t>
            </w:r>
          </w:p>
        </w:tc>
      </w:tr>
      <w:tr>
        <w:tc>
          <w:tcPr/>
          <w:p>
            <w:pPr>
              <w:pStyle w:val="Compact"/>
              <w:jc w:val="left"/>
            </w:pPr>
            <w:r>
              <w:rPr>
                <w:b/>
                <w:bCs/>
              </w:rPr>
              <w:t xml:space="preserve">Meridian Home Lending</w:t>
            </w:r>
          </w:p>
        </w:tc>
        <w:tc>
          <w:tcPr/>
          <w:p>
            <w:pPr>
              <w:pStyle w:val="Compact"/>
              <w:jc w:val="left"/>
            </w:pPr>
            <w:r>
              <w:t xml:space="preserve">Loan files and statements for</w:t>
            </w:r>
            <w:r>
              <w:t xml:space="preserve"> </w:t>
            </w:r>
            <w:r>
              <w:rPr>
                <w:b/>
                <w:bCs/>
              </w:rPr>
              <w:t xml:space="preserve">all</w:t>
            </w:r>
            <w:r>
              <w:t xml:space="preserve"> </w:t>
            </w:r>
            <w:r>
              <w:t xml:space="preserve">loans on which Darren Kwan is a borrower (418 Birchwood and 1035 Elm Street, and any others), including payoff balances</w:t>
            </w:r>
          </w:p>
        </w:tc>
      </w:tr>
      <w:tr>
        <w:tc>
          <w:tcPr/>
          <w:p>
            <w:pPr>
              <w:pStyle w:val="Compact"/>
              <w:jc w:val="left"/>
            </w:pPr>
            <w:r>
              <w:rPr>
                <w:b/>
                <w:bCs/>
              </w:rPr>
              <w:t xml:space="preserve">Fairview Community Bank</w:t>
            </w:r>
          </w:p>
        </w:tc>
        <w:tc>
          <w:tcPr/>
          <w:p>
            <w:pPr>
              <w:pStyle w:val="Compact"/>
              <w:jc w:val="left"/>
            </w:pPr>
            <w:r>
              <w:t xml:space="preserve">All accounts (including joint 4821/4822), all credit-card accounts, auto-loan documents, and signature cards for Darren Kwan 2022–present</w:t>
            </w:r>
          </w:p>
        </w:tc>
      </w:tr>
      <w:tr>
        <w:tc>
          <w:tcPr/>
          <w:p>
            <w:pPr>
              <w:pStyle w:val="Compact"/>
              <w:jc w:val="left"/>
            </w:pPr>
            <w:r>
              <w:rPr>
                <w:b/>
                <w:bCs/>
              </w:rPr>
              <w:t xml:space="preserve">NovaBridge Solutions LLC</w:t>
            </w:r>
          </w:p>
        </w:tc>
        <w:tc>
          <w:tcPr/>
          <w:p>
            <w:pPr>
              <w:pStyle w:val="Compact"/>
              <w:jc w:val="left"/>
            </w:pPr>
            <w:r>
              <w:t xml:space="preserve">Operating Agreement, 2021–2023 tax returns, financial statements, capital accounts, distribution ledgers, related-party/owner transactions, and expense-reimbursement supporting documentation</w:t>
            </w:r>
          </w:p>
        </w:tc>
      </w:tr>
      <w:tr>
        <w:tc>
          <w:tcPr/>
          <w:p>
            <w:pPr>
              <w:pStyle w:val="Compact"/>
              <w:jc w:val="left"/>
            </w:pPr>
            <w:r>
              <w:rPr>
                <w:b/>
                <w:bCs/>
              </w:rPr>
              <w:t xml:space="preserve">Archer &amp; Linden CPAs</w:t>
            </w:r>
          </w:p>
        </w:tc>
        <w:tc>
          <w:tcPr/>
          <w:p>
            <w:pPr>
              <w:pStyle w:val="Compact"/>
              <w:jc w:val="left"/>
            </w:pPr>
            <w:r>
              <w:t xml:space="preserve">Complete 2021–2023 tax workpapers and returns (subject to applicable protections)</w:t>
            </w:r>
          </w:p>
        </w:tc>
      </w:tr>
    </w:tbl>
    <w:bookmarkEnd w:id="39"/>
    <w:bookmarkStart w:id="40" w:name="interrogatories-requests-for-admission"/>
    <w:p>
      <w:pPr>
        <w:pStyle w:val="Heading3"/>
      </w:pPr>
      <w:r>
        <w:t xml:space="preserve">3. Interrogatories / Requests for Admission</w:t>
      </w:r>
    </w:p>
    <w:p>
      <w:pPr>
        <w:pStyle w:val="Compact"/>
        <w:numPr>
          <w:ilvl w:val="0"/>
          <w:numId w:val="1003"/>
        </w:numPr>
      </w:pPr>
      <w:r>
        <w:t xml:space="preserve">Identify</w:t>
      </w:r>
      <w:r>
        <w:t xml:space="preserve"> </w:t>
      </w:r>
      <w:r>
        <w:t xml:space="preserve">“</w:t>
      </w:r>
      <w:r>
        <w:t xml:space="preserve">Kiera M.</w:t>
      </w:r>
      <w:r>
        <w:t xml:space="preserve">”</w:t>
      </w:r>
      <w:r>
        <w:t xml:space="preserve"> </w:t>
      </w:r>
      <w:r>
        <w:t xml:space="preserve">(full name and relationship) and state the purpose and total amount of all transfers to her since January 1, 2023.</w:t>
      </w:r>
    </w:p>
    <w:p>
      <w:pPr>
        <w:pStyle w:val="Compact"/>
        <w:numPr>
          <w:ilvl w:val="0"/>
          <w:numId w:val="1003"/>
        </w:numPr>
      </w:pPr>
      <w:r>
        <w:t xml:space="preserve">State the exact date of separation and the date the parties ceased cohabiting; identify all facts supporting that date.</w:t>
      </w:r>
    </w:p>
    <w:p>
      <w:pPr>
        <w:pStyle w:val="Compact"/>
        <w:numPr>
          <w:ilvl w:val="0"/>
          <w:numId w:val="1003"/>
        </w:numPr>
      </w:pPr>
      <w:r>
        <w:t xml:space="preserve">State the purpose, recipient, and current location/use of the $85,000 wired on June 15, 2024 to Harborstone Financial Group account 2291; identify all accounts at Harborstone.</w:t>
      </w:r>
    </w:p>
    <w:p>
      <w:pPr>
        <w:pStyle w:val="Compact"/>
        <w:numPr>
          <w:ilvl w:val="0"/>
          <w:numId w:val="1003"/>
        </w:numPr>
      </w:pPr>
      <w:r>
        <w:t xml:space="preserve">Describe the 1035 Elm Street, Unit C property: acquisition, consideration, title, current value, rental arrangements, and management.</w:t>
      </w:r>
    </w:p>
    <w:p>
      <w:pPr>
        <w:pStyle w:val="Compact"/>
        <w:numPr>
          <w:ilvl w:val="0"/>
          <w:numId w:val="1003"/>
        </w:numPr>
      </w:pPr>
      <w:r>
        <w:t xml:space="preserve">Identify every financial account (bank, brokerage, retirement, crypto, or otherwise) in which Respondent holds an interest or signatory authority that is</w:t>
      </w:r>
      <w:r>
        <w:t xml:space="preserve"> </w:t>
      </w:r>
      <w:r>
        <w:rPr>
          <w:b/>
          <w:bCs/>
        </w:rPr>
        <w:t xml:space="preserve">not</w:t>
      </w:r>
      <w:r>
        <w:t xml:space="preserve"> </w:t>
      </w:r>
      <w:r>
        <w:t xml:space="preserve">listed in the Financial Declaration.</w:t>
      </w:r>
    </w:p>
    <w:p>
      <w:pPr>
        <w:pStyle w:val="Compact"/>
        <w:numPr>
          <w:ilvl w:val="0"/>
          <w:numId w:val="1003"/>
        </w:numPr>
      </w:pPr>
      <w:r>
        <w:t xml:space="preserve">State Respondent’s 2024 W-2 wages and all distributions or draws received from NovaBridge year-to-date.</w:t>
      </w:r>
    </w:p>
    <w:p>
      <w:pPr>
        <w:pStyle w:val="Compact"/>
        <w:numPr>
          <w:ilvl w:val="0"/>
          <w:numId w:val="1003"/>
        </w:numPr>
      </w:pPr>
      <w:r>
        <w:t xml:space="preserve">Identify every asset transferred, sold, or disposed of since January 1, 2024, including date, recipient, and consideration.</w:t>
      </w:r>
    </w:p>
    <w:p>
      <w:pPr>
        <w:pStyle w:val="Compact"/>
        <w:numPr>
          <w:ilvl w:val="0"/>
          <w:numId w:val="1003"/>
        </w:numPr>
      </w:pPr>
      <w:r>
        <w:t xml:space="preserve">Admit/deny that the $174,000 reported as</w:t>
      </w:r>
      <w:r>
        <w:t xml:space="preserve"> </w:t>
      </w:r>
      <w:r>
        <w:t xml:space="preserve">“</w:t>
      </w:r>
      <w:r>
        <w:t xml:space="preserve">K-1 Income</w:t>
      </w:r>
      <w:r>
        <w:t xml:space="preserve">”</w:t>
      </w:r>
      <w:r>
        <w:t xml:space="preserve"> </w:t>
      </w:r>
      <w:r>
        <w:t xml:space="preserve">in the declaration is the cash distribution (K-1 Box 19a) rather than the ordinary business income (K-1 Box 1, $367,200).</w:t>
      </w:r>
    </w:p>
    <w:bookmarkEnd w:id="40"/>
    <w:bookmarkStart w:id="41" w:name="depositions"/>
    <w:p>
      <w:pPr>
        <w:pStyle w:val="Heading3"/>
      </w:pPr>
      <w:r>
        <w:t xml:space="preserve">4. Depositions</w:t>
      </w:r>
    </w:p>
    <w:p>
      <w:pPr>
        <w:pStyle w:val="Compact"/>
        <w:numPr>
          <w:ilvl w:val="0"/>
          <w:numId w:val="1004"/>
        </w:numPr>
      </w:pPr>
      <w:r>
        <w:rPr>
          <w:b/>
          <w:bCs/>
        </w:rPr>
        <w:t xml:space="preserve">Darren Kwan</w:t>
      </w:r>
      <w:r>
        <w:t xml:space="preserve"> </w:t>
      </w:r>
      <w:r>
        <w:t xml:space="preserve">— income (W-2, K-1 income vs. distributions, vehicle allowance, reimbursements); the Elm Street property; the $85,000 wire and Harborstone account;</w:t>
      </w:r>
      <w:r>
        <w:t xml:space="preserve"> </w:t>
      </w:r>
      <w:r>
        <w:t xml:space="preserve">“</w:t>
      </w:r>
      <w:r>
        <w:t xml:space="preserve">Kiera M.</w:t>
      </w:r>
      <w:r>
        <w:t xml:space="preserve">”</w:t>
      </w:r>
      <w:r>
        <w:t xml:space="preserve"> </w:t>
      </w:r>
      <w:r>
        <w:t xml:space="preserve">transfers; credit-card spending and country-club dues; the two mortgages; the separation date; and NovaBridge distributions/retained earnings.</w:t>
      </w:r>
    </w:p>
    <w:p>
      <w:pPr>
        <w:pStyle w:val="Compact"/>
        <w:numPr>
          <w:ilvl w:val="0"/>
          <w:numId w:val="1004"/>
        </w:numPr>
      </w:pPr>
      <w:r>
        <w:rPr>
          <w:b/>
          <w:bCs/>
        </w:rPr>
        <w:t xml:space="preserve">Jared Ostrowski</w:t>
      </w:r>
      <w:r>
        <w:t xml:space="preserve"> </w:t>
      </w:r>
      <w:r>
        <w:t xml:space="preserve">(NovaBridge 40% co-member/CEO) — NovaBridge operations and finances, distribution decisions, related-party transactions, Respondent’s compensation and perquisites, and the §5.3 self-approval practice.</w:t>
      </w:r>
    </w:p>
    <w:p>
      <w:pPr>
        <w:pStyle w:val="Compact"/>
        <w:numPr>
          <w:ilvl w:val="0"/>
          <w:numId w:val="1004"/>
        </w:numPr>
      </w:pPr>
      <w:r>
        <w:rPr>
          <w:b/>
          <w:bCs/>
        </w:rPr>
        <w:t xml:space="preserve">Nathan Greer, CFP</w:t>
      </w:r>
      <w:r>
        <w:t xml:space="preserve"> </w:t>
      </w:r>
      <w:r>
        <w:t xml:space="preserve">(Crestline advisor) — account 9956 titling/TIN, beneficiary designations, and the June 15, 2024 wire transfer.</w:t>
      </w:r>
    </w:p>
    <w:bookmarkEnd w:id="41"/>
    <w:bookmarkStart w:id="42" w:name="motions"/>
    <w:p>
      <w:pPr>
        <w:pStyle w:val="Heading3"/>
      </w:pPr>
      <w:r>
        <w:t xml:space="preserve">5. Motions</w:t>
      </w:r>
    </w:p>
    <w:p>
      <w:pPr>
        <w:pStyle w:val="Compact"/>
        <w:numPr>
          <w:ilvl w:val="0"/>
          <w:numId w:val="1005"/>
        </w:numPr>
      </w:pPr>
      <w:r>
        <w:rPr>
          <w:b/>
          <w:bCs/>
        </w:rPr>
        <w:t xml:space="preserve">Motion to Compel Complete Production</w:t>
      </w:r>
      <w:r>
        <w:t xml:space="preserve"> </w:t>
      </w:r>
      <w:r>
        <w:t xml:space="preserve">— targeting RFP Nos. 16–22 (NovaBridge entity records) and the gaps identified in Section IV.D.</w:t>
      </w:r>
    </w:p>
    <w:p>
      <w:pPr>
        <w:pStyle w:val="Compact"/>
        <w:numPr>
          <w:ilvl w:val="0"/>
          <w:numId w:val="1005"/>
        </w:numPr>
      </w:pPr>
      <w:r>
        <w:rPr>
          <w:b/>
          <w:bCs/>
        </w:rPr>
        <w:t xml:space="preserve">Motion to Compel Privilege Log / Challenge PRIV-003</w:t>
      </w:r>
      <w:r>
        <w:t xml:space="preserve"> </w:t>
      </w:r>
      <w:r>
        <w:t xml:space="preserve">— demand a compliant privilege log within the stated 10-business-day window; move to compel in-camera review of PRIV-003 (</w:t>
      </w:r>
      <w:r>
        <w:t xml:space="preserve">“</w:t>
      </w:r>
      <w:r>
        <w:t xml:space="preserve">Preliminary analysis of marital estate</w:t>
      </w:r>
      <w:r>
        <w:t xml:space="preserve">”</w:t>
      </w:r>
      <w:r>
        <w:t xml:space="preserve">) to the extent it contains client-supplied factual information rather than legal advice.</w:t>
      </w:r>
    </w:p>
    <w:p>
      <w:pPr>
        <w:pStyle w:val="Compact"/>
        <w:numPr>
          <w:ilvl w:val="0"/>
          <w:numId w:val="1005"/>
        </w:numPr>
      </w:pPr>
      <w:r>
        <w:rPr>
          <w:b/>
          <w:bCs/>
        </w:rPr>
        <w:t xml:space="preserve">Consider a Dissipation / Breach of Fiduciary Duty Motion</w:t>
      </w:r>
      <w:r>
        <w:t xml:space="preserve"> </w:t>
      </w:r>
      <w:r>
        <w:t xml:space="preserve">— based on the $85,000 wire, the recurring</w:t>
      </w:r>
      <w:r>
        <w:t xml:space="preserve"> </w:t>
      </w:r>
      <w:r>
        <w:t xml:space="preserve">“</w:t>
      </w:r>
      <w:r>
        <w:t xml:space="preserve">Kiera M.</w:t>
      </w:r>
      <w:r>
        <w:t xml:space="preserve">”</w:t>
      </w:r>
      <w:r>
        <w:t xml:space="preserve"> </w:t>
      </w:r>
      <w:r>
        <w:t xml:space="preserve">transfers, and post-separation spending, seeking an accounting and potential set-aside/equalizing credit to the marital estate.</w:t>
      </w:r>
    </w:p>
    <w:bookmarkEnd w:id="42"/>
    <w:bookmarkStart w:id="43" w:name="expert-retention"/>
    <w:p>
      <w:pPr>
        <w:pStyle w:val="Heading3"/>
      </w:pPr>
      <w:r>
        <w:t xml:space="preserve">6. Expert Retention</w:t>
      </w:r>
    </w:p>
    <w:p>
      <w:pPr>
        <w:pStyle w:val="Compact"/>
        <w:numPr>
          <w:ilvl w:val="0"/>
          <w:numId w:val="1006"/>
        </w:numPr>
      </w:pPr>
      <w:r>
        <w:rPr>
          <w:b/>
          <w:bCs/>
        </w:rPr>
        <w:t xml:space="preserve">Forensic CPA</w:t>
      </w:r>
      <w:r>
        <w:t xml:space="preserve"> </w:t>
      </w:r>
      <w:r>
        <w:t xml:space="preserve">— reconstruct Respondent’s actual income (2022–2024), trace the $85,000 wire and</w:t>
      </w:r>
      <w:r>
        <w:t xml:space="preserve"> </w:t>
      </w:r>
      <w:r>
        <w:t xml:space="preserve">“</w:t>
      </w:r>
      <w:r>
        <w:t xml:space="preserve">Kiera M.</w:t>
      </w:r>
      <w:r>
        <w:t xml:space="preserve">”</w:t>
      </w:r>
      <w:r>
        <w:t xml:space="preserve"> </w:t>
      </w:r>
      <w:r>
        <w:t xml:space="preserve">transfers, analyze dissipation, and prepare a lifestyle/expenditure analysis reconciling the bank, card, and brokerage records to the declaration.</w:t>
      </w:r>
    </w:p>
    <w:p>
      <w:pPr>
        <w:pStyle w:val="Compact"/>
        <w:numPr>
          <w:ilvl w:val="0"/>
          <w:numId w:val="1006"/>
        </w:numPr>
      </w:pPr>
      <w:r>
        <w:rPr>
          <w:b/>
          <w:bCs/>
        </w:rPr>
        <w:t xml:space="preserve">Business Valuator</w:t>
      </w:r>
      <w:r>
        <w:t xml:space="preserve"> </w:t>
      </w:r>
      <w:r>
        <w:t xml:space="preserve">— value Respondent’s 60% membership interest in NovaBridge Solutions LLC (including the impact of the §5.3 self-approval provision and transfer restrictions in the Operating Agreement).</w:t>
      </w:r>
    </w:p>
    <w:p>
      <w:pPr>
        <w:pStyle w:val="Compact"/>
        <w:numPr>
          <w:ilvl w:val="0"/>
          <w:numId w:val="1006"/>
        </w:numPr>
      </w:pPr>
      <w:r>
        <w:rPr>
          <w:b/>
          <w:bCs/>
        </w:rPr>
        <w:t xml:space="preserve">Real Estate Appraiser(s)</w:t>
      </w:r>
      <w:r>
        <w:t xml:space="preserve"> </w:t>
      </w:r>
      <w:r>
        <w:t xml:space="preserve">— appraise both 418 Birchwood Lane (marital residence) and 1035 Elm Street, Unit C (undisclosed rental).</w:t>
      </w:r>
    </w:p>
    <w:p>
      <w:r>
        <w:pict>
          <v:rect style="width:0;height:1.5pt" o:hralign="center" o:hrstd="t" o:hr="t"/>
        </w:pict>
      </w:r>
    </w:p>
    <w:bookmarkEnd w:id="43"/>
    <w:bookmarkEnd w:id="44"/>
    <w:bookmarkStart w:id="45" w:name="vi.-priority-summary-and-next-steps"/>
    <w:p>
      <w:pPr>
        <w:pStyle w:val="Heading2"/>
      </w:pPr>
      <w:r>
        <w:t xml:space="preserve">VI. Priority Summary and Next Steps</w:t>
      </w:r>
    </w:p>
    <w:p>
      <w:pPr>
        <w:pStyle w:val="FirstParagraph"/>
      </w:pPr>
      <w:r>
        <w:t xml:space="preserve">The most time-sensitive items are:</w:t>
      </w:r>
    </w:p>
    <w:p>
      <w:pPr>
        <w:pStyle w:val="Compact"/>
        <w:numPr>
          <w:ilvl w:val="0"/>
          <w:numId w:val="1007"/>
        </w:numPr>
      </w:pPr>
      <w:r>
        <w:rPr>
          <w:b/>
          <w:bCs/>
        </w:rPr>
        <w:t xml:space="preserve">Trace the $85,000 wire</w:t>
      </w:r>
      <w:r>
        <w:t xml:space="preserve"> </w:t>
      </w:r>
      <w:r>
        <w:t xml:space="preserve">(PROD-003, 6/15/2024) to Harborstone Financial Group account 2291 — subpoena immediately, before funds can be moved further.</w:t>
      </w:r>
    </w:p>
    <w:p>
      <w:pPr>
        <w:pStyle w:val="Compact"/>
        <w:numPr>
          <w:ilvl w:val="0"/>
          <w:numId w:val="1007"/>
        </w:numPr>
      </w:pPr>
      <w:r>
        <w:rPr>
          <w:b/>
          <w:bCs/>
        </w:rPr>
        <w:t xml:space="preserve">Compel the NovaBridge entity records and Operating Agreement</w:t>
      </w:r>
      <w:r>
        <w:t xml:space="preserve"> </w:t>
      </w:r>
      <w:r>
        <w:t xml:space="preserve">(RFP 16–22) — essential to valuing the 60% interest and evaluating the self-approval/related-party concerns.</w:t>
      </w:r>
    </w:p>
    <w:p>
      <w:pPr>
        <w:pStyle w:val="Compact"/>
        <w:numPr>
          <w:ilvl w:val="0"/>
          <w:numId w:val="1007"/>
        </w:numPr>
      </w:pPr>
      <w:r>
        <w:rPr>
          <w:b/>
          <w:bCs/>
        </w:rPr>
        <w:t xml:space="preserve">Lock down the separation date</w:t>
      </w:r>
      <w:r>
        <w:t xml:space="preserve"> </w:t>
      </w:r>
      <w:r>
        <w:t xml:space="preserve">— the June 1 vs. August 1 conflict affects the characterization of multiple transactions; pursue via interrogatory and deposition.</w:t>
      </w:r>
    </w:p>
    <w:p>
      <w:pPr>
        <w:pStyle w:val="Compact"/>
        <w:numPr>
          <w:ilvl w:val="0"/>
          <w:numId w:val="1007"/>
        </w:numPr>
      </w:pPr>
      <w:r>
        <w:rPr>
          <w:b/>
          <w:bCs/>
        </w:rPr>
        <w:t xml:space="preserve">Obtain the missing account statements</w:t>
      </w:r>
      <w:r>
        <w:t xml:space="preserve"> </w:t>
      </w:r>
      <w:r>
        <w:t xml:space="preserve">— joint accounts 4821/4822, 401(k) 3310, and the Birchwood mortgage — and the complete 2023 tax return.</w:t>
      </w:r>
    </w:p>
    <w:p>
      <w:pPr>
        <w:pStyle w:val="Compact"/>
        <w:numPr>
          <w:ilvl w:val="0"/>
          <w:numId w:val="1007"/>
        </w:numPr>
      </w:pPr>
      <w:r>
        <w:rPr>
          <w:b/>
          <w:bCs/>
        </w:rPr>
        <w:t xml:space="preserve">Reconstruct income</w:t>
      </w:r>
      <w:r>
        <w:t xml:space="preserve"> </w:t>
      </w:r>
      <w:r>
        <w:t xml:space="preserve">for support purposes using the documented $571,740 (2023) figure rather than the declared $359,000.</w:t>
      </w:r>
    </w:p>
    <w:p>
      <w:pPr>
        <w:pStyle w:val="FirstParagraph"/>
      </w:pPr>
      <w:r>
        <w:t xml:space="preserve">We recommend authorizing the third-party subpoenas in Section V.2 and a meet-and-confer letter on the supplemental production items in Section V.1 this week, with a motion to compel to follow if production is not completed. We are available to draft the meet-and-confer correspondence, the subpoena requests, and the proposed interrogatories upon your authorization.</w:t>
      </w:r>
    </w:p>
    <w:p>
      <w:r>
        <w:pict>
          <v:rect style="width:0;height:1.5pt" o:hralign="center" o:hrstd="t" o:hr="t"/>
        </w:pict>
      </w:r>
    </w:p>
    <w:p>
      <w:pPr>
        <w:pStyle w:val="FirstParagraph"/>
      </w:pPr>
      <w:r>
        <w:rPr>
          <w:i/>
          <w:iCs/>
        </w:rPr>
        <w:t xml:space="preserve">Prepared by the Document Review Team. This memorandum constitutes attorney work product prepared in anticipation of litigation and is subject to the attorney-client privilege. It should not be disclosed to opposing parties or third parties.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2026-06-29T00:29:50Z</dcterms:created>
  <dcterms:modified xsi:type="dcterms:W3CDTF">2026-06-29T00:29:50Z</dcterms:modified>
</cp:coreProperties>
</file>

<file path=docProps/custom.xml><?xml version="1.0" encoding="utf-8"?>
<Properties xmlns="http://schemas.openxmlformats.org/officeDocument/2006/custom-properties" xmlns:vt="http://schemas.openxmlformats.org/officeDocument/2006/docPropsVTypes"/>
</file>