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9" w:name="X44ba7c9753b9d7672065600b3b084a0f20f0fcf"/>
    <w:p>
      <w:pPr>
        <w:pStyle w:val="Heading1"/>
      </w:pPr>
      <w:r>
        <w:t xml:space="preserve">PRIVILEGED &amp; CONFIDENTIAL — ATTORNEY WORK PRODUCT / ATTORNEY-CLIENT COMMUNICATION</w:t>
      </w:r>
    </w:p>
    <w:p>
      <w:pPr>
        <w:pStyle w:val="FirstParagraph"/>
      </w:pPr>
      <w:r>
        <w:rPr>
          <w:b/>
          <w:bCs/>
        </w:rPr>
        <w:t xml:space="preserve">WHITFIELD &amp; CRANE LLP</w:t>
      </w:r>
      <w:r>
        <w:t xml:space="preserve"> </w:t>
      </w:r>
      <w:r>
        <w:t xml:space="preserve">840 Third Avenue, 28th Floor, New York, NY 10022</w:t>
      </w:r>
    </w:p>
    <w:p>
      <w:pPr>
        <w:pStyle w:val="BodyText"/>
      </w:pPr>
      <w:r>
        <w:rPr>
          <w:b/>
          <w:bCs/>
        </w:rPr>
        <w:t xml:space="preserve">MEMORANDUM</w:t>
      </w:r>
    </w:p>
    <w:p>
      <w:pPr>
        <w:pStyle w:val="BodyText"/>
      </w:pPr>
      <w:r>
        <w:rPr>
          <w:b/>
          <w:bCs/>
        </w:rPr>
        <w:t xml:space="preserve">TO:</w:t>
      </w:r>
      <w:r>
        <w:t xml:space="preserve"> </w:t>
      </w:r>
      <w:r>
        <w:t xml:space="preserve">Angela R. Matsuda, General Counsel; David T. Heller, Chief Executive Officer — Greenleaf Nutritionals, Inc.</w:t>
      </w:r>
      <w:r>
        <w:t xml:space="preserve"> </w:t>
      </w:r>
      <w:r>
        <w:rPr>
          <w:b/>
          <w:bCs/>
        </w:rPr>
        <w:t xml:space="preserve">CC:</w:t>
      </w:r>
      <w:r>
        <w:t xml:space="preserve"> </w:t>
      </w:r>
      <w:r>
        <w:t xml:space="preserve">Jonathan F. Park, Deal Partner — Ridgeway Capital Partners</w:t>
      </w:r>
      <w:r>
        <w:t xml:space="preserve"> </w:t>
      </w:r>
      <w:r>
        <w:rPr>
          <w:b/>
          <w:bCs/>
        </w:rPr>
        <w:t xml:space="preserve">FROM:</w:t>
      </w:r>
      <w:r>
        <w:t xml:space="preserve"> </w:t>
      </w:r>
      <w:r>
        <w:t xml:space="preserve">Marcus J. Elliott, Partner; Sophia Bransfield, Senior Associate — Whitfield &amp; Crane LLP</w:t>
      </w:r>
      <w:r>
        <w:t xml:space="preserve"> </w:t>
      </w:r>
      <w:r>
        <w:rPr>
          <w:b/>
          <w:bCs/>
        </w:rPr>
        <w:t xml:space="preserve">DATE:</w:t>
      </w:r>
      <w:r>
        <w:t xml:space="preserve"> </w:t>
      </w:r>
      <w:r>
        <w:t xml:space="preserve">July 9, 2025</w:t>
      </w:r>
      <w:r>
        <w:t xml:space="preserve"> </w:t>
      </w:r>
      <w:r>
        <w:rPr>
          <w:b/>
          <w:bCs/>
        </w:rPr>
        <w:t xml:space="preserve">RE:</w:t>
      </w:r>
      <w:r>
        <w:t xml:space="preserve"> </w:t>
      </w:r>
      <w:r>
        <w:t xml:space="preserve">Severity-Rated Review of Arbitration and Dispute Resolution Provisions — Exclusive Supply Agreement (SA), Quality Assurance Side Letter (QA Letter), and IP License Agreement (IPLA) (Pacifica Botanics Pte. Ltd. / Greenleaf Nutritionals, Inc.)</w:t>
      </w:r>
    </w:p>
    <w:p>
      <w:r>
        <w:pict>
          <v:rect style="width:0;height:1.5pt" o:hralign="center" o:hrstd="t" o:hr="t"/>
        </w:pict>
      </w:r>
    </w:p>
    <w:bookmarkStart w:id="20" w:name="i.-introduction-and-scope"/>
    <w:p>
      <w:pPr>
        <w:pStyle w:val="Heading2"/>
      </w:pPr>
      <w:r>
        <w:t xml:space="preserve">I. Introduction and Scope</w:t>
      </w:r>
    </w:p>
    <w:p>
      <w:pPr>
        <w:pStyle w:val="FirstParagraph"/>
      </w:pPr>
      <w:r>
        <w:t xml:space="preserve">This memorandum sets forth our review of the arbitration and dispute resolution provisions across the three principal transaction documents (collectively, the</w:t>
      </w:r>
      <w:r>
        <w:t xml:space="preserve"> </w:t>
      </w:r>
      <w:r>
        <w:t xml:space="preserve">“</w:t>
      </w:r>
      <w:r>
        <w:t xml:space="preserve">Transaction Documents</w:t>
      </w:r>
      <w:r>
        <w:t xml:space="preserve">”</w:t>
      </w:r>
      <w:r>
        <w:t xml:space="preserve">) comprising the Pacifica/Greenleaf strategic supply relationship, together with two related communications: (i) the July 3, 2025 explanatory memorandum from Harmon &amp; Grey LLP (</w:t>
      </w:r>
      <w:r>
        <w:t xml:space="preserve">“</w:t>
      </w:r>
      <w:r>
        <w:t xml:space="preserve">H&amp;G</w:t>
      </w:r>
      <w:r>
        <w:t xml:space="preserve">”</w:t>
      </w:r>
      <w:r>
        <w:t xml:space="preserve">) summarizing the rationale for the dispute resolution architecture (the</w:t>
      </w:r>
      <w:r>
        <w:t xml:space="preserve"> </w:t>
      </w:r>
      <w:r>
        <w:t xml:space="preserve">“</w:t>
      </w:r>
      <w:r>
        <w:t xml:space="preserve">H&amp;G Memo</w:t>
      </w:r>
      <w:r>
        <w:t xml:space="preserve">”</w:t>
      </w:r>
      <w:r>
        <w:t xml:space="preserve">), and (ii) the internal Greenleaf email chain of June 30–July 1, 2025 identifying preliminary priorities (the</w:t>
      </w:r>
      <w:r>
        <w:t xml:space="preserve"> </w:t>
      </w:r>
      <w:r>
        <w:t xml:space="preserve">“</w:t>
      </w:r>
      <w:r>
        <w:t xml:space="preserve">Internal Email Chain</w:t>
      </w:r>
      <w:r>
        <w:t xml:space="preserve">”</w:t>
      </w:r>
      <w:r>
        <w:t xml:space="preserve">).</w:t>
      </w:r>
    </w:p>
    <w:p>
      <w:pPr>
        <w:pStyle w:val="BodyText"/>
      </w:pPr>
      <w:r>
        <w:t xml:space="preserve">The documents reviewed are:</w:t>
      </w:r>
    </w:p>
    <w:p>
      <w:pPr>
        <w:pStyle w:val="Compact"/>
        <w:numPr>
          <w:ilvl w:val="0"/>
          <w:numId w:val="1001"/>
        </w:numPr>
      </w:pPr>
      <w:r>
        <w:rPr>
          <w:b/>
          <w:bCs/>
        </w:rPr>
        <w:t xml:space="preserve">Exclusive Supply Agreement</w:t>
      </w:r>
      <w:r>
        <w:t xml:space="preserve"> </w:t>
      </w:r>
      <w:r>
        <w:t xml:space="preserve">(</w:t>
      </w:r>
      <w:r>
        <w:t xml:space="preserve">“</w:t>
      </w:r>
      <w:r>
        <w:t xml:space="preserve">SA</w:t>
      </w:r>
      <w:r>
        <w:t xml:space="preserve">”</w:t>
      </w:r>
      <w:r>
        <w:t xml:space="preserve">) — Article 14 (Dispute Resolution), Article 11 (Limitation of Liability), and the integration clause at Section 15.8;</w:t>
      </w:r>
    </w:p>
    <w:p>
      <w:pPr>
        <w:pStyle w:val="Compact"/>
        <w:numPr>
          <w:ilvl w:val="0"/>
          <w:numId w:val="1001"/>
        </w:numPr>
      </w:pPr>
      <w:r>
        <w:rPr>
          <w:b/>
          <w:bCs/>
        </w:rPr>
        <w:t xml:space="preserve">Quality Assurance Side Letter</w:t>
      </w:r>
      <w:r>
        <w:t xml:space="preserve"> </w:t>
      </w:r>
      <w:r>
        <w:t xml:space="preserve">(</w:t>
      </w:r>
      <w:r>
        <w:t xml:space="preserve">“</w:t>
      </w:r>
      <w:r>
        <w:t xml:space="preserve">QA Letter</w:t>
      </w:r>
      <w:r>
        <w:t xml:space="preserve">”</w:t>
      </w:r>
      <w:r>
        <w:t xml:space="preserve">) — Section 7 (Dispute Resolution), Section 6 (Recall Cost Allocation), and the integration clause at Section 8.1;</w:t>
      </w:r>
    </w:p>
    <w:p>
      <w:pPr>
        <w:pStyle w:val="Compact"/>
        <w:numPr>
          <w:ilvl w:val="0"/>
          <w:numId w:val="1001"/>
        </w:numPr>
      </w:pPr>
      <w:r>
        <w:rPr>
          <w:b/>
          <w:bCs/>
        </w:rPr>
        <w:t xml:space="preserve">IP License Agreement</w:t>
      </w:r>
      <w:r>
        <w:t xml:space="preserve"> </w:t>
      </w:r>
      <w:r>
        <w:t xml:space="preserve">(</w:t>
      </w:r>
      <w:r>
        <w:t xml:space="preserve">“</w:t>
      </w:r>
      <w:r>
        <w:t xml:space="preserve">IPLA</w:t>
      </w:r>
      <w:r>
        <w:t xml:space="preserve">”</w:t>
      </w:r>
      <w:r>
        <w:t xml:space="preserve">) — Section 9 (Dispute Resolution) and the integration clause at Section 10.3;</w:t>
      </w:r>
    </w:p>
    <w:p>
      <w:pPr>
        <w:pStyle w:val="Compact"/>
        <w:numPr>
          <w:ilvl w:val="0"/>
          <w:numId w:val="1001"/>
        </w:numPr>
      </w:pPr>
      <w:r>
        <w:rPr>
          <w:b/>
          <w:bCs/>
        </w:rPr>
        <w:t xml:space="preserve">H&amp;G Memo</w:t>
      </w:r>
      <w:r>
        <w:t xml:space="preserve"> </w:t>
      </w:r>
      <w:r>
        <w:t xml:space="preserve">— Pacifica’s counsel’s rationale for the architecture; and</w:t>
      </w:r>
    </w:p>
    <w:p>
      <w:pPr>
        <w:pStyle w:val="Compact"/>
        <w:numPr>
          <w:ilvl w:val="0"/>
          <w:numId w:val="1001"/>
        </w:numPr>
      </w:pPr>
      <w:r>
        <w:rPr>
          <w:b/>
          <w:bCs/>
        </w:rPr>
        <w:t xml:space="preserve">Internal Email Chain</w:t>
      </w:r>
      <w:r>
        <w:t xml:space="preserve"> </w:t>
      </w:r>
      <w:r>
        <w:t xml:space="preserve">— Greenleaf/Ridgeway preliminary priorities.</w:t>
      </w:r>
    </w:p>
    <w:p>
      <w:pPr>
        <w:pStyle w:val="FirstParagraph"/>
      </w:pPr>
      <w:r>
        <w:t xml:space="preserve">Our review is delivered in advance of the July 11, 2025 comment deadline and the anticipated July 18, 2025 signing / August 1, 2025 Target Effective Date. Each issue below is rated by severity and accompanied by a concrete recommendation suitable for use as a negotiation mark-up. This memorandum is privileged and prepared in anticipation of negotiation; it should not be shared with Pacifica or H&amp;G except through controlled, deliberate disclosure of specific positions.</w:t>
      </w:r>
    </w:p>
    <w:bookmarkEnd w:id="20"/>
    <w:bookmarkStart w:id="22" w:name="ii.-executive-summary"/>
    <w:p>
      <w:pPr>
        <w:pStyle w:val="Heading2"/>
      </w:pPr>
      <w:r>
        <w:t xml:space="preserve">II. Executive Summary</w:t>
      </w:r>
    </w:p>
    <w:p>
      <w:pPr>
        <w:pStyle w:val="FirstParagraph"/>
      </w:pPr>
      <w:r>
        <w:t xml:space="preserve">The dispute resolution architecture is the product of deliberate drafting by H&amp;G and reflects a defensible high-level concept: match each agreement’s subject matter to a specialized forum.</w:t>
      </w:r>
      <w:r>
        <w:t xml:space="preserve"> </w:t>
      </w:r>
      <w:r>
        <w:rPr>
          <w:b/>
          <w:bCs/>
        </w:rPr>
        <w:t xml:space="preserve">In execution, however, the provisions contain two critical defects and several high-severity problems that, in our judgment, must be corrected before signing.</w:t>
      </w:r>
      <w:r>
        <w:t xml:space="preserve"> </w:t>
      </w:r>
      <w:r>
        <w:t xml:space="preserve">The most serious risk is that the three documents, read together, create a</w:t>
      </w:r>
      <w:r>
        <w:t xml:space="preserve"> </w:t>
      </w:r>
      <w:r>
        <w:rPr>
          <w:i/>
          <w:iCs/>
        </w:rPr>
        <w:t xml:space="preserve">pathological arbitration agreement</w:t>
      </w:r>
      <w:r>
        <w:t xml:space="preserve"> </w:t>
      </w:r>
      <w:r>
        <w:t xml:space="preserve">— the precise vulnerability that caused Pacifica’s reported 14-month enforcement delay in its 2023 ICC arbitration. The H&amp;G Memo expressly states that the architecture was designed to avoid that outcome; the drafting does not achieve that goal.</w:t>
      </w:r>
    </w:p>
    <w:p>
      <w:pPr>
        <w:pStyle w:val="BodyText"/>
      </w:pPr>
      <w:r>
        <w:t xml:space="preserve">The second critical defect is commercial: a blanket consequential-damages waiver (SA § 14.11), layered on top of a liability cap (SA § 11.1) and an exclusive-supply structure with no backup source, exposes Greenleaf to recovering only a small fraction of foreseeable loss in the most probable dispute scenario (a contaminated-ingredient recall). This is consistent with the concern expressed across the Internal Email Chain and, in our view, warrants the</w:t>
      </w:r>
      <w:r>
        <w:t xml:space="preserve"> </w:t>
      </w:r>
      <w:r>
        <w:t xml:space="preserve">“</w:t>
      </w:r>
      <w:r>
        <w:t xml:space="preserve">hill to die on</w:t>
      </w:r>
      <w:r>
        <w:t xml:space="preserve">”</w:t>
      </w:r>
      <w:r>
        <w:t xml:space="preserve"> </w:t>
      </w:r>
      <w:r>
        <w:t xml:space="preserve">posture attributed to Mr. Heller.</w:t>
      </w:r>
    </w:p>
    <w:p>
      <w:pPr>
        <w:pStyle w:val="BodyText"/>
      </w:pPr>
      <w:r>
        <w:t xml:space="preserve">The table below summarizes the issues. Detailed analysis follows in Part IV.</w:t>
      </w:r>
    </w:p>
    <w:bookmarkStart w:id="21" w:name="severity-summary"/>
    <w:p>
      <w:pPr>
        <w:pStyle w:val="Heading3"/>
      </w:pPr>
      <w:r>
        <w:t xml:space="preserve">Severity Summary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Key Provision(s)</w:t>
            </w:r>
          </w:p>
        </w:tc>
        <w:tc>
          <w:tcPr/>
          <w:p>
            <w:pPr>
              <w:pStyle w:val="Compact"/>
              <w:jc w:val="left"/>
            </w:pPr>
            <w:r>
              <w:t xml:space="preserve">Severity</w:t>
            </w:r>
          </w:p>
        </w:tc>
      </w:tr>
      <w:tr>
        <w:tc>
          <w:tcPr/>
          <w:p>
            <w:pPr>
              <w:pStyle w:val="Compact"/>
              <w:jc w:val="left"/>
            </w:pPr>
            <w:r>
              <w:t xml:space="preserve">1</w:t>
            </w:r>
          </w:p>
        </w:tc>
        <w:tc>
          <w:tcPr/>
          <w:p>
            <w:pPr>
              <w:pStyle w:val="Compact"/>
              <w:jc w:val="left"/>
            </w:pPr>
            <w:r>
              <w:t xml:space="preserve">Conflicting forum-selection and hierarchy clauses create a</w:t>
            </w:r>
            <w:r>
              <w:t xml:space="preserve"> </w:t>
            </w:r>
            <w:r>
              <w:t xml:space="preserve">“</w:t>
            </w:r>
            <w:r>
              <w:t xml:space="preserve">pathological</w:t>
            </w:r>
            <w:r>
              <w:t xml:space="preserve">”</w:t>
            </w:r>
            <w:r>
              <w:t xml:space="preserve"> </w:t>
            </w:r>
            <w:r>
              <w:t xml:space="preserve">arbitration agreement</w:t>
            </w:r>
          </w:p>
        </w:tc>
        <w:tc>
          <w:tcPr/>
          <w:p>
            <w:pPr>
              <w:pStyle w:val="Compact"/>
              <w:jc w:val="left"/>
            </w:pPr>
            <w:r>
              <w:t xml:space="preserve">SA §§ 14.1, 15.8; IPLA §§ 9.1, 9.3, 10.3; QA §§ 7.1–7.3, 8.1</w:t>
            </w:r>
          </w:p>
        </w:tc>
        <w:tc>
          <w:tcPr/>
          <w:p>
            <w:pPr>
              <w:pStyle w:val="Compact"/>
              <w:jc w:val="left"/>
            </w:pPr>
            <w:r>
              <w:rPr>
                <w:b/>
                <w:bCs/>
              </w:rPr>
              <w:t xml:space="preserve">Critical</w:t>
            </w:r>
          </w:p>
        </w:tc>
      </w:tr>
      <w:tr>
        <w:tc>
          <w:tcPr/>
          <w:p>
            <w:pPr>
              <w:pStyle w:val="Compact"/>
              <w:jc w:val="left"/>
            </w:pPr>
            <w:r>
              <w:t xml:space="preserve">2</w:t>
            </w:r>
          </w:p>
        </w:tc>
        <w:tc>
          <w:tcPr/>
          <w:p>
            <w:pPr>
              <w:pStyle w:val="Compact"/>
              <w:jc w:val="left"/>
            </w:pPr>
            <w:r>
              <w:t xml:space="preserve">Fragmented architecture — three institutions, three seats, three governing laws for a single integrated transaction</w:t>
            </w:r>
          </w:p>
        </w:tc>
        <w:tc>
          <w:tcPr/>
          <w:p>
            <w:pPr>
              <w:pStyle w:val="Compact"/>
              <w:jc w:val="left"/>
            </w:pPr>
            <w:r>
              <w:t xml:space="preserve">SA Art. 14; QA § 7; IPLA § 9</w:t>
            </w:r>
          </w:p>
        </w:tc>
        <w:tc>
          <w:tcPr/>
          <w:p>
            <w:pPr>
              <w:pStyle w:val="Compact"/>
              <w:jc w:val="left"/>
            </w:pPr>
            <w:r>
              <w:rPr>
                <w:b/>
                <w:bCs/>
              </w:rPr>
              <w:t xml:space="preserve">Critical</w:t>
            </w:r>
          </w:p>
        </w:tc>
      </w:tr>
      <w:tr>
        <w:tc>
          <w:tcPr/>
          <w:p>
            <w:pPr>
              <w:pStyle w:val="Compact"/>
              <w:jc w:val="left"/>
            </w:pPr>
            <w:r>
              <w:t xml:space="preserve">3</w:t>
            </w:r>
          </w:p>
        </w:tc>
        <w:tc>
          <w:tcPr/>
          <w:p>
            <w:pPr>
              <w:pStyle w:val="Compact"/>
              <w:jc w:val="left"/>
            </w:pPr>
            <w:r>
              <w:t xml:space="preserve">Consequential-damages waiver combined with exclusivity and liability cap</w:t>
            </w:r>
          </w:p>
        </w:tc>
        <w:tc>
          <w:tcPr/>
          <w:p>
            <w:pPr>
              <w:pStyle w:val="Compact"/>
              <w:jc w:val="left"/>
            </w:pPr>
            <w:r>
              <w:t xml:space="preserve">SA §§ 14.11, 11.1, 11.2; QA § 6.6</w:t>
            </w:r>
          </w:p>
        </w:tc>
        <w:tc>
          <w:tcPr/>
          <w:p>
            <w:pPr>
              <w:pStyle w:val="Compact"/>
              <w:jc w:val="left"/>
            </w:pPr>
            <w:r>
              <w:rPr>
                <w:b/>
                <w:bCs/>
              </w:rPr>
              <w:t xml:space="preserve">Critical</w:t>
            </w:r>
          </w:p>
        </w:tc>
      </w:tr>
      <w:tr>
        <w:tc>
          <w:tcPr/>
          <w:p>
            <w:pPr>
              <w:pStyle w:val="Compact"/>
              <w:jc w:val="left"/>
            </w:pPr>
            <w:r>
              <w:t xml:space="preserve">4</w:t>
            </w:r>
          </w:p>
        </w:tc>
        <w:tc>
          <w:tcPr/>
          <w:p>
            <w:pPr>
              <w:pStyle w:val="Compact"/>
              <w:jc w:val="left"/>
            </w:pPr>
            <w:r>
              <w:t xml:space="preserve">No joinder/consolidation mechanism for non-signatory co-manufacturers</w:t>
            </w:r>
          </w:p>
        </w:tc>
        <w:tc>
          <w:tcPr/>
          <w:p>
            <w:pPr>
              <w:pStyle w:val="Compact"/>
              <w:jc w:val="left"/>
            </w:pPr>
            <w:r>
              <w:t xml:space="preserve">SA § 14.1; QA § 7; IPLA § 9 (all silent)</w:t>
            </w:r>
          </w:p>
        </w:tc>
        <w:tc>
          <w:tcPr/>
          <w:p>
            <w:pPr>
              <w:pStyle w:val="Compact"/>
              <w:jc w:val="left"/>
            </w:pPr>
            <w:r>
              <w:rPr>
                <w:b/>
                <w:bCs/>
              </w:rPr>
              <w:t xml:space="preserve">High</w:t>
            </w:r>
          </w:p>
        </w:tc>
      </w:tr>
      <w:tr>
        <w:tc>
          <w:tcPr/>
          <w:p>
            <w:pPr>
              <w:pStyle w:val="Compact"/>
              <w:jc w:val="left"/>
            </w:pPr>
            <w:r>
              <w:t xml:space="preserve">5</w:t>
            </w:r>
          </w:p>
        </w:tc>
        <w:tc>
          <w:tcPr/>
          <w:p>
            <w:pPr>
              <w:pStyle w:val="Compact"/>
              <w:jc w:val="left"/>
            </w:pPr>
            <w:r>
              <w:t xml:space="preserve">Contractual appeal on questions of law to the Singapore High Court is likely unenforceable and undermines finality</w:t>
            </w:r>
          </w:p>
        </w:tc>
        <w:tc>
          <w:tcPr/>
          <w:p>
            <w:pPr>
              <w:pStyle w:val="Compact"/>
              <w:jc w:val="left"/>
            </w:pPr>
            <w:r>
              <w:t xml:space="preserve">SA § 14.6</w:t>
            </w:r>
          </w:p>
        </w:tc>
        <w:tc>
          <w:tcPr/>
          <w:p>
            <w:pPr>
              <w:pStyle w:val="Compact"/>
              <w:jc w:val="left"/>
            </w:pPr>
            <w:r>
              <w:rPr>
                <w:b/>
                <w:bCs/>
              </w:rPr>
              <w:t xml:space="preserve">High</w:t>
            </w:r>
          </w:p>
        </w:tc>
      </w:tr>
      <w:tr>
        <w:tc>
          <w:tcPr/>
          <w:p>
            <w:pPr>
              <w:pStyle w:val="Compact"/>
              <w:jc w:val="left"/>
            </w:pPr>
            <w:r>
              <w:t xml:space="preserve">6</w:t>
            </w:r>
          </w:p>
        </w:tc>
        <w:tc>
          <w:tcPr/>
          <w:p>
            <w:pPr>
              <w:pStyle w:val="Compact"/>
              <w:jc w:val="left"/>
            </w:pPr>
            <w:r>
              <w:t xml:space="preserve">One-year limitation period is aggressive, in tension with latent-defect provisions, and sits at the UCC floor</w:t>
            </w:r>
          </w:p>
        </w:tc>
        <w:tc>
          <w:tcPr/>
          <w:p>
            <w:pPr>
              <w:pStyle w:val="Compact"/>
              <w:jc w:val="left"/>
            </w:pPr>
            <w:r>
              <w:t xml:space="preserve">SA § 14.9; cf. SA § 7.3; QA §§ 3.5, 5.1, 5.5</w:t>
            </w:r>
          </w:p>
        </w:tc>
        <w:tc>
          <w:tcPr/>
          <w:p>
            <w:pPr>
              <w:pStyle w:val="Compact"/>
              <w:jc w:val="left"/>
            </w:pPr>
            <w:r>
              <w:rPr>
                <w:b/>
                <w:bCs/>
              </w:rPr>
              <w:t xml:space="preserve">High</w:t>
            </w:r>
          </w:p>
        </w:tc>
      </w:tr>
      <w:tr>
        <w:tc>
          <w:tcPr/>
          <w:p>
            <w:pPr>
              <w:pStyle w:val="Compact"/>
              <w:jc w:val="left"/>
            </w:pPr>
            <w:r>
              <w:t xml:space="preserve">7</w:t>
            </w:r>
          </w:p>
        </w:tc>
        <w:tc>
          <w:tcPr/>
          <w:p>
            <w:pPr>
              <w:pStyle w:val="Compact"/>
              <w:jc w:val="left"/>
            </w:pPr>
            <w:r>
              <w:t xml:space="preserve">Blanket discovery prohibition cripples quality/recall claims and may be unenforceable</w:t>
            </w:r>
          </w:p>
        </w:tc>
        <w:tc>
          <w:tcPr/>
          <w:p>
            <w:pPr>
              <w:pStyle w:val="Compact"/>
              <w:jc w:val="left"/>
            </w:pPr>
            <w:r>
              <w:t xml:space="preserve">SA § 14.5; cf. QA § 4.4</w:t>
            </w:r>
          </w:p>
        </w:tc>
        <w:tc>
          <w:tcPr/>
          <w:p>
            <w:pPr>
              <w:pStyle w:val="Compact"/>
              <w:jc w:val="left"/>
            </w:pPr>
            <w:r>
              <w:rPr>
                <w:b/>
                <w:bCs/>
              </w:rPr>
              <w:t xml:space="preserve">High</w:t>
            </w:r>
          </w:p>
        </w:tc>
      </w:tr>
      <w:tr>
        <w:tc>
          <w:tcPr/>
          <w:p>
            <w:pPr>
              <w:pStyle w:val="Compact"/>
              <w:jc w:val="left"/>
            </w:pPr>
            <w:r>
              <w:t xml:space="preserve">8</w:t>
            </w:r>
          </w:p>
        </w:tc>
        <w:tc>
          <w:tcPr/>
          <w:p>
            <w:pPr>
              <w:pStyle w:val="Compact"/>
              <w:jc w:val="left"/>
            </w:pPr>
            <w:r>
              <w:t xml:space="preserve">Expert-determination</w:t>
            </w:r>
            <w:r>
              <w:t xml:space="preserve"> </w:t>
            </w:r>
            <w:r>
              <w:t xml:space="preserve">“</w:t>
            </w:r>
            <w:r>
              <w:t xml:space="preserve">challenge</w:t>
            </w:r>
            <w:r>
              <w:t xml:space="preserve">”</w:t>
            </w:r>
            <w:r>
              <w:t xml:space="preserve"> </w:t>
            </w:r>
            <w:r>
              <w:t xml:space="preserve">escape hatch defeats the two-step mechanism</w:t>
            </w:r>
          </w:p>
        </w:tc>
        <w:tc>
          <w:tcPr/>
          <w:p>
            <w:pPr>
              <w:pStyle w:val="Compact"/>
              <w:jc w:val="left"/>
            </w:pPr>
            <w:r>
              <w:t xml:space="preserve">QA §§ 7.1, 7.2</w:t>
            </w:r>
          </w:p>
        </w:tc>
        <w:tc>
          <w:tcPr/>
          <w:p>
            <w:pPr>
              <w:pStyle w:val="Compact"/>
              <w:jc w:val="left"/>
            </w:pPr>
            <w:r>
              <w:rPr>
                <w:b/>
                <w:bCs/>
              </w:rPr>
              <w:t xml:space="preserve">Medium</w:t>
            </w:r>
          </w:p>
        </w:tc>
      </w:tr>
      <w:tr>
        <w:tc>
          <w:tcPr/>
          <w:p>
            <w:pPr>
              <w:pStyle w:val="Compact"/>
              <w:jc w:val="left"/>
            </w:pPr>
            <w:r>
              <w:t xml:space="preserve">9</w:t>
            </w:r>
          </w:p>
        </w:tc>
        <w:tc>
          <w:tcPr/>
          <w:p>
            <w:pPr>
              <w:pStyle w:val="Compact"/>
              <w:jc w:val="left"/>
            </w:pPr>
            <w:r>
              <w:t xml:space="preserve">Inconsistent cost-allocation regimes across the three documents</w:t>
            </w:r>
          </w:p>
        </w:tc>
        <w:tc>
          <w:tcPr/>
          <w:p>
            <w:pPr>
              <w:pStyle w:val="Compact"/>
              <w:jc w:val="left"/>
            </w:pPr>
            <w:r>
              <w:t xml:space="preserve">SA § 14.8; IPLA § 9.4; QA §§ 7.1, 7.2</w:t>
            </w:r>
          </w:p>
        </w:tc>
        <w:tc>
          <w:tcPr/>
          <w:p>
            <w:pPr>
              <w:pStyle w:val="Compact"/>
              <w:jc w:val="left"/>
            </w:pPr>
            <w:r>
              <w:rPr>
                <w:b/>
                <w:bCs/>
              </w:rPr>
              <w:t xml:space="preserve">Medium</w:t>
            </w:r>
          </w:p>
        </w:tc>
      </w:tr>
      <w:tr>
        <w:tc>
          <w:tcPr/>
          <w:p>
            <w:pPr>
              <w:pStyle w:val="Compact"/>
              <w:jc w:val="left"/>
            </w:pPr>
            <w:r>
              <w:t xml:space="preserve">10</w:t>
            </w:r>
          </w:p>
        </w:tc>
        <w:tc>
          <w:tcPr/>
          <w:p>
            <w:pPr>
              <w:pStyle w:val="Compact"/>
              <w:jc w:val="left"/>
            </w:pPr>
            <w:r>
              <w:t xml:space="preserve">Sole-arbitrator default and inconsistent tribunal size across documents</w:t>
            </w:r>
          </w:p>
        </w:tc>
        <w:tc>
          <w:tcPr/>
          <w:p>
            <w:pPr>
              <w:pStyle w:val="Compact"/>
              <w:jc w:val="left"/>
            </w:pPr>
            <w:r>
              <w:t xml:space="preserve">SA § 14.3; QA § 7.2; IPLA § 9.1</w:t>
            </w:r>
          </w:p>
        </w:tc>
        <w:tc>
          <w:tcPr/>
          <w:p>
            <w:pPr>
              <w:pStyle w:val="Compact"/>
              <w:jc w:val="left"/>
            </w:pPr>
            <w:r>
              <w:rPr>
                <w:b/>
                <w:bCs/>
              </w:rPr>
              <w:t xml:space="preserve">Medium</w:t>
            </w:r>
          </w:p>
        </w:tc>
      </w:tr>
      <w:tr>
        <w:tc>
          <w:tcPr/>
          <w:p>
            <w:pPr>
              <w:pStyle w:val="Compact"/>
              <w:jc w:val="left"/>
            </w:pPr>
            <w:r>
              <w:t xml:space="preserve">11</w:t>
            </w:r>
          </w:p>
        </w:tc>
        <w:tc>
          <w:tcPr/>
          <w:p>
            <w:pPr>
              <w:pStyle w:val="Compact"/>
              <w:jc w:val="left"/>
            </w:pPr>
            <w:r>
              <w:t xml:space="preserve">“</w:t>
            </w:r>
            <w:r>
              <w:t xml:space="preserve">General principles of international commercial law</w:t>
            </w:r>
            <w:r>
              <w:t xml:space="preserve">”</w:t>
            </w:r>
            <w:r>
              <w:t xml:space="preserve"> </w:t>
            </w:r>
            <w:r>
              <w:t xml:space="preserve">gap-filler undermines the New York-law choice</w:t>
            </w:r>
          </w:p>
        </w:tc>
        <w:tc>
          <w:tcPr/>
          <w:p>
            <w:pPr>
              <w:pStyle w:val="Compact"/>
              <w:jc w:val="left"/>
            </w:pPr>
            <w:r>
              <w:t xml:space="preserve">SA § 14.4</w:t>
            </w:r>
          </w:p>
        </w:tc>
        <w:tc>
          <w:tcPr/>
          <w:p>
            <w:pPr>
              <w:pStyle w:val="Compact"/>
              <w:jc w:val="left"/>
            </w:pPr>
            <w:r>
              <w:rPr>
                <w:b/>
                <w:bCs/>
              </w:rPr>
              <w:t xml:space="preserve">Medium</w:t>
            </w:r>
          </w:p>
        </w:tc>
      </w:tr>
      <w:tr>
        <w:tc>
          <w:tcPr/>
          <w:p>
            <w:pPr>
              <w:pStyle w:val="Compact"/>
              <w:jc w:val="left"/>
            </w:pPr>
            <w:r>
              <w:t xml:space="preserve">12</w:t>
            </w:r>
          </w:p>
        </w:tc>
        <w:tc>
          <w:tcPr/>
          <w:p>
            <w:pPr>
              <w:pStyle w:val="Compact"/>
              <w:jc w:val="left"/>
            </w:pPr>
            <w:r>
              <w:t xml:space="preserve">No pre-arbitration negotiation/mediation tier for a 13-year strategic relationship</w:t>
            </w:r>
          </w:p>
        </w:tc>
        <w:tc>
          <w:tcPr/>
          <w:p>
            <w:pPr>
              <w:pStyle w:val="Compact"/>
              <w:jc w:val="left"/>
            </w:pPr>
            <w:r>
              <w:t xml:space="preserve">SA Art. 14; IPLA § 9; cf. QA § 3.4</w:t>
            </w:r>
          </w:p>
        </w:tc>
        <w:tc>
          <w:tcPr/>
          <w:p>
            <w:pPr>
              <w:pStyle w:val="Compact"/>
              <w:jc w:val="left"/>
            </w:pPr>
            <w:r>
              <w:rPr>
                <w:b/>
                <w:bCs/>
              </w:rPr>
              <w:t xml:space="preserve">Low</w:t>
            </w:r>
          </w:p>
        </w:tc>
      </w:tr>
      <w:tr>
        <w:tc>
          <w:tcPr/>
          <w:p>
            <w:pPr>
              <w:pStyle w:val="Compact"/>
              <w:jc w:val="left"/>
            </w:pPr>
            <w:r>
              <w:t xml:space="preserve">13</w:t>
            </w:r>
          </w:p>
        </w:tc>
        <w:tc>
          <w:tcPr/>
          <w:p>
            <w:pPr>
              <w:pStyle w:val="Compact"/>
              <w:jc w:val="left"/>
            </w:pPr>
            <w:r>
              <w:t xml:space="preserve">Confidentiality-of-proceedings provisions inconsistent or absent</w:t>
            </w:r>
          </w:p>
        </w:tc>
        <w:tc>
          <w:tcPr/>
          <w:p>
            <w:pPr>
              <w:pStyle w:val="Compact"/>
              <w:jc w:val="left"/>
            </w:pPr>
            <w:r>
              <w:t xml:space="preserve">SA § 14.10; IPLA § 5; QA (none)</w:t>
            </w:r>
          </w:p>
        </w:tc>
        <w:tc>
          <w:tcPr/>
          <w:p>
            <w:pPr>
              <w:pStyle w:val="Compact"/>
              <w:jc w:val="left"/>
            </w:pPr>
            <w:r>
              <w:rPr>
                <w:b/>
                <w:bCs/>
              </w:rPr>
              <w:t xml:space="preserve">Low</w:t>
            </w:r>
          </w:p>
        </w:tc>
      </w:tr>
      <w:tr>
        <w:tc>
          <w:tcPr/>
          <w:p>
            <w:pPr>
              <w:pStyle w:val="Compact"/>
              <w:jc w:val="left"/>
            </w:pPr>
            <w:r>
              <w:t xml:space="preserve">14</w:t>
            </w:r>
          </w:p>
        </w:tc>
        <w:tc>
          <w:tcPr/>
          <w:p>
            <w:pPr>
              <w:pStyle w:val="Compact"/>
              <w:jc w:val="left"/>
            </w:pPr>
            <w:r>
              <w:t xml:space="preserve">Overbroad interim-relief forum selection; no intervention mechanism for controlling shareholder</w:t>
            </w:r>
          </w:p>
        </w:tc>
        <w:tc>
          <w:tcPr/>
          <w:p>
            <w:pPr>
              <w:pStyle w:val="Compact"/>
              <w:jc w:val="left"/>
            </w:pPr>
            <w:r>
              <w:t xml:space="preserve">SA § 14.7; IPLA (Ridgeway as Affiliate)</w:t>
            </w:r>
          </w:p>
        </w:tc>
        <w:tc>
          <w:tcPr/>
          <w:p>
            <w:pPr>
              <w:pStyle w:val="Compact"/>
              <w:jc w:val="left"/>
            </w:pPr>
            <w:r>
              <w:rPr>
                <w:b/>
                <w:bCs/>
              </w:rPr>
              <w:t xml:space="preserve">Low</w:t>
            </w:r>
          </w:p>
        </w:tc>
      </w:tr>
    </w:tbl>
    <w:bookmarkEnd w:id="21"/>
    <w:bookmarkEnd w:id="22"/>
    <w:bookmarkStart w:id="23" w:name="iii.-severity-rating-scale"/>
    <w:p>
      <w:pPr>
        <w:pStyle w:val="Heading2"/>
      </w:pPr>
      <w:r>
        <w:t xml:space="preserve">III. Severity Rating Scale</w:t>
      </w:r>
    </w:p>
    <w:p>
      <w:pPr>
        <w:pStyle w:val="Compact"/>
        <w:numPr>
          <w:ilvl w:val="0"/>
          <w:numId w:val="1002"/>
        </w:numPr>
      </w:pPr>
      <w:r>
        <w:rPr>
          <w:b/>
          <w:bCs/>
        </w:rPr>
        <w:t xml:space="preserve">Critical</w:t>
      </w:r>
      <w:r>
        <w:t xml:space="preserve"> </w:t>
      </w:r>
      <w:r>
        <w:t xml:space="preserve">— A fundamental defect that may render the clause unenforceable, recreate pathological-clause/enforcement-delay risk, or expose Greenleaf to catastrophic and effectively unrecoverable loss. Must be corrected before signing.</w:t>
      </w:r>
    </w:p>
    <w:p>
      <w:pPr>
        <w:pStyle w:val="Compact"/>
        <w:numPr>
          <w:ilvl w:val="0"/>
          <w:numId w:val="1002"/>
        </w:numPr>
      </w:pPr>
      <w:r>
        <w:rPr>
          <w:b/>
          <w:bCs/>
        </w:rPr>
        <w:t xml:space="preserve">High</w:t>
      </w:r>
      <w:r>
        <w:t xml:space="preserve"> </w:t>
      </w:r>
      <w:r>
        <w:t xml:space="preserve">— A significant problem that materially increases litigation risk, cost, or exposure, or that is likely unenforceable as drafted. Should be corrected before signing.</w:t>
      </w:r>
    </w:p>
    <w:p>
      <w:pPr>
        <w:pStyle w:val="Compact"/>
        <w:numPr>
          <w:ilvl w:val="0"/>
          <w:numId w:val="1002"/>
        </w:numPr>
      </w:pPr>
      <w:r>
        <w:rPr>
          <w:b/>
          <w:bCs/>
        </w:rPr>
        <w:t xml:space="preserve">Medium</w:t>
      </w:r>
      <w:r>
        <w:t xml:space="preserve"> </w:t>
      </w:r>
      <w:r>
        <w:t xml:space="preserve">— A notable problem creating inefficiency, ambiguity, or moderate risk. Should be addressed during negotiation; not necessarily a signing condition.</w:t>
      </w:r>
    </w:p>
    <w:p>
      <w:pPr>
        <w:pStyle w:val="Compact"/>
        <w:numPr>
          <w:ilvl w:val="0"/>
          <w:numId w:val="1002"/>
        </w:numPr>
      </w:pPr>
      <w:r>
        <w:rPr>
          <w:b/>
          <w:bCs/>
        </w:rPr>
        <w:t xml:space="preserve">Low</w:t>
      </w:r>
      <w:r>
        <w:t xml:space="preserve"> </w:t>
      </w:r>
      <w:r>
        <w:t xml:space="preserve">— A minor drafting or consistency issue. Desirable to fix but not a priority.</w:t>
      </w:r>
    </w:p>
    <w:bookmarkEnd w:id="23"/>
    <w:bookmarkStart w:id="42" w:name="iv.-issue-analysis"/>
    <w:p>
      <w:pPr>
        <w:pStyle w:val="Heading2"/>
      </w:pPr>
      <w:r>
        <w:t xml:space="preserve">IV. Issue Analysis</w:t>
      </w:r>
    </w:p>
    <w:bookmarkStart w:id="27" w:name="critical-issues"/>
    <w:p>
      <w:pPr>
        <w:pStyle w:val="Heading3"/>
      </w:pPr>
      <w:r>
        <w:t xml:space="preserve">CRITICAL ISSUES</w:t>
      </w:r>
    </w:p>
    <w:bookmarkStart w:id="24" w:name="X7e88cd7e779adbd1b86de9a7d3d3513ea79081b"/>
    <w:p>
      <w:pPr>
        <w:pStyle w:val="Heading4"/>
      </w:pPr>
      <w:r>
        <w:t xml:space="preserve">Issue 1 — Conflicting forum-selection and hierarchy clauses create a</w:t>
      </w:r>
      <w:r>
        <w:t xml:space="preserve"> </w:t>
      </w:r>
      <w:r>
        <w:t xml:space="preserve">“</w:t>
      </w:r>
      <w:r>
        <w:t xml:space="preserve">pathological</w:t>
      </w:r>
      <w:r>
        <w:t xml:space="preserve">”</w:t>
      </w:r>
      <w:r>
        <w:t xml:space="preserve"> </w:t>
      </w:r>
      <w:r>
        <w:t xml:space="preserve">arbitration agreement</w:t>
      </w:r>
    </w:p>
    <w:p>
      <w:pPr>
        <w:pStyle w:val="FirstParagraph"/>
      </w:pPr>
      <w:r>
        <w:rPr>
          <w:b/>
          <w:bCs/>
        </w:rPr>
        <w:t xml:space="preserve">Provisions:</w:t>
      </w:r>
      <w:r>
        <w:t xml:space="preserve"> </w:t>
      </w:r>
      <w:r>
        <w:t xml:space="preserve">SA §§ 14.1, 15.8; IPLA §§ 9.1, 9.3, 10.3; QA §§ 7.1–7.3, 8.1.</w:t>
      </w:r>
    </w:p>
    <w:p>
      <w:pPr>
        <w:pStyle w:val="BodyText"/>
      </w:pPr>
      <w:r>
        <w:rPr>
          <w:b/>
          <w:bCs/>
        </w:rPr>
        <w:t xml:space="preserve">Analysis.</w:t>
      </w:r>
      <w:r>
        <w:t xml:space="preserve"> </w:t>
      </w:r>
      <w:r>
        <w:t xml:space="preserve">Each Transaction Document both (a) selects a different arbitral forum for its own subject matter and (b) contains an integration/hierarchy clause asserting that its own terms control in the event of conflict. Read together, these provisions are mutually contradictory for any dispute that touches more than one agreement — which, given the integrated nature of this transaction (supply of extracts + quality testing + IP/regulatory data), is the expected case rather than the exception.</w:t>
      </w:r>
    </w:p>
    <w:p>
      <w:pPr>
        <w:pStyle w:val="BodyText"/>
      </w:pPr>
      <w:r>
        <w:t xml:space="preserve">The specific conflicts are:</w:t>
      </w:r>
    </w:p>
    <w:p>
      <w:pPr>
        <w:pStyle w:val="Compact"/>
        <w:numPr>
          <w:ilvl w:val="0"/>
          <w:numId w:val="1003"/>
        </w:numPr>
      </w:pPr>
      <w:r>
        <w:rPr>
          <w:b/>
          <w:bCs/>
        </w:rPr>
        <w:t xml:space="preserve">SA § 14.1</w:t>
      </w:r>
      <w:r>
        <w:t xml:space="preserve"> </w:t>
      </w:r>
      <w:r>
        <w:t xml:space="preserve">sends</w:t>
      </w:r>
      <w:r>
        <w:t xml:space="preserve"> </w:t>
      </w:r>
      <w:r>
        <w:t xml:space="preserve">“</w:t>
      </w:r>
      <w:r>
        <w:t xml:space="preserve">any dispute … arising out of or relating to</w:t>
      </w:r>
      <w:r>
        <w:t xml:space="preserve">”</w:t>
      </w:r>
      <w:r>
        <w:t xml:space="preserve"> </w:t>
      </w:r>
      <w:r>
        <w:t xml:space="preserve">the SA to</w:t>
      </w:r>
      <w:r>
        <w:t xml:space="preserve"> </w:t>
      </w:r>
      <w:r>
        <w:rPr>
          <w:b/>
          <w:bCs/>
        </w:rPr>
        <w:t xml:space="preserve">ICC arbitration</w:t>
      </w:r>
      <w:r>
        <w:t xml:space="preserve"> </w:t>
      </w:r>
      <w:r>
        <w:t xml:space="preserve">(seat: Singapore; law: New York).</w:t>
      </w:r>
      <w:r>
        <w:t xml:space="preserve"> </w:t>
      </w:r>
      <w:r>
        <w:rPr>
          <w:b/>
          <w:bCs/>
        </w:rPr>
        <w:t xml:space="preserve">SA § 15.8</w:t>
      </w:r>
      <w:r>
        <w:t xml:space="preserve"> </w:t>
      </w:r>
      <w:r>
        <w:t xml:space="preserve">provides that, in the event of conflict between the SA and the QA Letter or IPLA,</w:t>
      </w:r>
      <w:r>
        <w:t xml:space="preserve"> </w:t>
      </w:r>
      <w:r>
        <w:rPr>
          <w:b/>
          <w:bCs/>
        </w:rPr>
        <w:t xml:space="preserve">the SA controls</w:t>
      </w:r>
      <w:r>
        <w:t xml:space="preserve">.</w:t>
      </w:r>
    </w:p>
    <w:p>
      <w:pPr>
        <w:pStyle w:val="Compact"/>
        <w:numPr>
          <w:ilvl w:val="0"/>
          <w:numId w:val="1003"/>
        </w:numPr>
      </w:pPr>
      <w:r>
        <w:rPr>
          <w:b/>
          <w:bCs/>
        </w:rPr>
        <w:t xml:space="preserve">IPLA § 9.3</w:t>
      </w:r>
      <w:r>
        <w:t xml:space="preserve"> </w:t>
      </w:r>
      <w:r>
        <w:t xml:space="preserve">provides that claims arising under the IPLA</w:t>
      </w:r>
      <w:r>
        <w:t xml:space="preserve"> </w:t>
      </w:r>
      <w:r>
        <w:t xml:space="preserve">“</w:t>
      </w:r>
      <w:r>
        <w:t xml:space="preserve">that also relate to obligations under the Supply Agreement shall be heard jointly in a single arbitration proceeding under this Section 9</w:t>
      </w:r>
      <w:r>
        <w:t xml:space="preserve">”</w:t>
      </w:r>
      <w:r>
        <w:t xml:space="preserve"> </w:t>
      </w:r>
      <w:r>
        <w:t xml:space="preserve">— i.e., under</w:t>
      </w:r>
      <w:r>
        <w:t xml:space="preserve"> </w:t>
      </w:r>
      <w:r>
        <w:rPr>
          <w:b/>
          <w:bCs/>
        </w:rPr>
        <w:t xml:space="preserve">LCIA arbitration</w:t>
      </w:r>
      <w:r>
        <w:t xml:space="preserve"> </w:t>
      </w:r>
      <w:r>
        <w:t xml:space="preserve">(seat: London; law: England &amp; Wales).</w:t>
      </w:r>
      <w:r>
        <w:t xml:space="preserve"> </w:t>
      </w:r>
      <w:r>
        <w:rPr>
          <w:b/>
          <w:bCs/>
        </w:rPr>
        <w:t xml:space="preserve">IPLA § 10.3</w:t>
      </w:r>
      <w:r>
        <w:t xml:space="preserve"> </w:t>
      </w:r>
      <w:r>
        <w:t xml:space="preserve">provides that the SA controls</w:t>
      </w:r>
      <w:r>
        <w:t xml:space="preserve"> </w:t>
      </w:r>
      <w:r>
        <w:t xml:space="preserve">“</w:t>
      </w:r>
      <w:r>
        <w:t xml:space="preserve">except with respect to matters specifically and exclusively addressed by this Agreement</w:t>
      </w:r>
      <w:r>
        <w:t xml:space="preserve">”</w:t>
      </w:r>
      <w:r>
        <w:t xml:space="preserve"> </w:t>
      </w:r>
      <w:r>
        <w:t xml:space="preserve">— which, by its terms, would include the IPLA’s own dispute-resolution and consolidation provisions.</w:t>
      </w:r>
    </w:p>
    <w:p>
      <w:pPr>
        <w:pStyle w:val="Compact"/>
        <w:numPr>
          <w:ilvl w:val="0"/>
          <w:numId w:val="1003"/>
        </w:numPr>
      </w:pPr>
      <w:r>
        <w:rPr>
          <w:b/>
          <w:bCs/>
        </w:rPr>
        <w:t xml:space="preserve">QA § 7</w:t>
      </w:r>
      <w:r>
        <w:t xml:space="preserve"> </w:t>
      </w:r>
      <w:r>
        <w:t xml:space="preserve">sends quality disputes to</w:t>
      </w:r>
      <w:r>
        <w:t xml:space="preserve"> </w:t>
      </w:r>
      <w:r>
        <w:rPr>
          <w:b/>
          <w:bCs/>
        </w:rPr>
        <w:t xml:space="preserve">SIAC expert determination / arbitration</w:t>
      </w:r>
      <w:r>
        <w:t xml:space="preserve"> </w:t>
      </w:r>
      <w:r>
        <w:t xml:space="preserve">(seat: Singapore; law: Singapore).</w:t>
      </w:r>
      <w:r>
        <w:t xml:space="preserve"> </w:t>
      </w:r>
      <w:r>
        <w:rPr>
          <w:b/>
          <w:bCs/>
        </w:rPr>
        <w:t xml:space="preserve">QA § 8.1</w:t>
      </w:r>
      <w:r>
        <w:t xml:space="preserve"> </w:t>
      </w:r>
      <w:r>
        <w:t xml:space="preserve">provides that the SA controls generally,</w:t>
      </w:r>
      <w:r>
        <w:t xml:space="preserve"> </w:t>
      </w:r>
      <w:r>
        <w:rPr>
          <w:i/>
          <w:iCs/>
        </w:rPr>
        <w:t xml:space="preserve">but</w:t>
      </w:r>
      <w:r>
        <w:t xml:space="preserve"> </w:t>
      </w:r>
      <w:r>
        <w:t xml:space="preserve">that the QA Letter controls</w:t>
      </w:r>
      <w:r>
        <w:t xml:space="preserve"> </w:t>
      </w:r>
      <w:r>
        <w:t xml:space="preserve">“</w:t>
      </w:r>
      <w:r>
        <w:t xml:space="preserve">with respect to the subject matters specifically addressed in this Side Letter — including … the dispute resolution mechanism set forth in Section 7.</w:t>
      </w:r>
      <w:r>
        <w:t xml:space="preserve">”</w:t>
      </w:r>
    </w:p>
    <w:p>
      <w:pPr>
        <w:pStyle w:val="FirstParagraph"/>
      </w:pPr>
      <w:r>
        <w:t xml:space="preserve">The result is a three-way contradiction. For a single contaminated-extract dispute, a tribunal or court could be invited to find jurisdiction under any of three different institutions (ICC, SIAC, or LCIA), seated in two different jurisdictions (Singapore or London), applying three different substantive laws (New York, Singapore, or English). Each document’s hierarchy clause purports to resolve the conflict in its own favor, and they do not agree on a single answer. This is the textbook definition of a</w:t>
      </w:r>
      <w:r>
        <w:t xml:space="preserve"> </w:t>
      </w:r>
      <w:r>
        <w:rPr>
          <w:b/>
          <w:bCs/>
        </w:rPr>
        <w:t xml:space="preserve">pathological arbitration clause</w:t>
      </w:r>
      <w:r>
        <w:t xml:space="preserve">.</w:t>
      </w:r>
    </w:p>
    <w:p>
      <w:pPr>
        <w:pStyle w:val="BodyText"/>
      </w:pPr>
      <w:r>
        <w:t xml:space="preserve">The practical consequences are severe and directly track Pacifica’s 2023 experience:</w:t>
      </w:r>
    </w:p>
    <w:p>
      <w:pPr>
        <w:pStyle w:val="Compact"/>
        <w:numPr>
          <w:ilvl w:val="0"/>
          <w:numId w:val="1004"/>
        </w:numPr>
      </w:pPr>
      <w:r>
        <w:rPr>
          <w:b/>
          <w:bCs/>
        </w:rPr>
        <w:t xml:space="preserve">Competing jurisdictional proceedings.</w:t>
      </w:r>
      <w:r>
        <w:t xml:space="preserve"> </w:t>
      </w:r>
      <w:r>
        <w:t xml:space="preserve">A party could commence ICC arbitration in Singapore while the other commences LCIA arbitration in London (or SIAC in Singapore) over the same facts, each invoking a different hierarchy clause. Resolving the resulting jurisdictional contest will consume time and money before any merits are reached.</w:t>
      </w:r>
    </w:p>
    <w:p>
      <w:pPr>
        <w:pStyle w:val="Compact"/>
        <w:numPr>
          <w:ilvl w:val="0"/>
          <w:numId w:val="1004"/>
        </w:numPr>
      </w:pPr>
      <w:r>
        <w:rPr>
          <w:b/>
          <w:bCs/>
        </w:rPr>
        <w:t xml:space="preserve">Enforcement defenses under the New York Convention.</w:t>
      </w:r>
      <w:r>
        <w:t xml:space="preserve"> </w:t>
      </w:r>
      <w:r>
        <w:t xml:space="preserve">A losing party will have colorable grounds to resist enforcement under Article V(1)(a) (the arbitration agreement is</w:t>
      </w:r>
      <w:r>
        <w:t xml:space="preserve"> </w:t>
      </w:r>
      <w:r>
        <w:t xml:space="preserve">“</w:t>
      </w:r>
      <w:r>
        <w:t xml:space="preserve">not valid</w:t>
      </w:r>
      <w:r>
        <w:t xml:space="preserve">”</w:t>
      </w:r>
      <w:r>
        <w:t xml:space="preserve"> </w:t>
      </w:r>
      <w:r>
        <w:t xml:space="preserve">because it is internally contradictory), Article V(1)(c) (the tribunal</w:t>
      </w:r>
      <w:r>
        <w:t xml:space="preserve"> </w:t>
      </w:r>
      <w:r>
        <w:t xml:space="preserve">“</w:t>
      </w:r>
      <w:r>
        <w:t xml:space="preserve">exceeded its authority</w:t>
      </w:r>
      <w:r>
        <w:t xml:space="preserve">”</w:t>
      </w:r>
      <w:r>
        <w:t xml:space="preserve"> </w:t>
      </w:r>
      <w:r>
        <w:t xml:space="preserve">— e.g., an LCIA tribunal hearing SA-governed supply claims), and potentially Article V(2)(b) (public policy). This is precisely the mechanism by which Pacifica’s 2023 award was delayed approximately 14 months in the Korean courts.</w:t>
      </w:r>
    </w:p>
    <w:p>
      <w:pPr>
        <w:pStyle w:val="Compact"/>
        <w:numPr>
          <w:ilvl w:val="0"/>
          <w:numId w:val="1004"/>
        </w:numPr>
      </w:pPr>
      <w:r>
        <w:rPr>
          <w:b/>
          <w:bCs/>
        </w:rPr>
        <w:t xml:space="preserve">Inconsistent awards.</w:t>
      </w:r>
      <w:r>
        <w:t xml:space="preserve"> </w:t>
      </w:r>
      <w:r>
        <w:t xml:space="preserve">Parallel proceedings before different tribunals applying different laws could produce irreconcilable findings on the same underlying facts (e.g., whether a batch was defective).</w:t>
      </w:r>
    </w:p>
    <w:p>
      <w:pPr>
        <w:pStyle w:val="FirstParagraph"/>
      </w:pPr>
      <w:r>
        <w:t xml:space="preserve">It is worth emphasizing that the H&amp;G Memo (Part V) expressly identifies avoidance of</w:t>
      </w:r>
      <w:r>
        <w:t xml:space="preserve"> </w:t>
      </w:r>
      <w:r>
        <w:t xml:space="preserve">“</w:t>
      </w:r>
      <w:r>
        <w:t xml:space="preserve">pathological</w:t>
      </w:r>
      <w:r>
        <w:t xml:space="preserve">”</w:t>
      </w:r>
      <w:r>
        <w:t xml:space="preserve"> </w:t>
      </w:r>
      <w:r>
        <w:t xml:space="preserve">clauses and post-award enforcement delay as the</w:t>
      </w:r>
      <w:r>
        <w:t xml:space="preserve"> </w:t>
      </w:r>
      <w:r>
        <w:rPr>
          <w:i/>
          <w:iCs/>
        </w:rPr>
        <w:t xml:space="preserve">animating purpose</w:t>
      </w:r>
      <w:r>
        <w:t xml:space="preserve"> </w:t>
      </w:r>
      <w:r>
        <w:t xml:space="preserve">of the entire architecture. The drafting does the opposite. This is a powerful, good-faith negotiation point: the provisions fail their own stated objective.</w:t>
      </w:r>
    </w:p>
    <w:p>
      <w:pPr>
        <w:pStyle w:val="BodyText"/>
      </w:pPr>
      <w:r>
        <w:rPr>
          <w:b/>
          <w:bCs/>
        </w:rPr>
        <w:t xml:space="preserve">Recommendation.</w:t>
      </w:r>
      <w:r>
        <w:t xml:space="preserve"> </w:t>
      </w:r>
      <w:r>
        <w:t xml:space="preserve">Adopt a single, master dispute-resolution regime that governs all Transaction Documents. Our preferred approach:</w:t>
      </w:r>
    </w:p>
    <w:p>
      <w:pPr>
        <w:pStyle w:val="Compact"/>
        <w:numPr>
          <w:ilvl w:val="0"/>
          <w:numId w:val="1005"/>
        </w:numPr>
      </w:pPr>
      <w:r>
        <w:t xml:space="preserve">Insert a comprehensive dispute-resolution article in the</w:t>
      </w:r>
      <w:r>
        <w:t xml:space="preserve"> </w:t>
      </w:r>
      <w:r>
        <w:rPr>
          <w:b/>
          <w:bCs/>
        </w:rPr>
        <w:t xml:space="preserve">SA</w:t>
      </w:r>
      <w:r>
        <w:t xml:space="preserve"> </w:t>
      </w:r>
      <w:r>
        <w:t xml:space="preserve">(the controlling document per § 15.8) that expressly governs</w:t>
      </w:r>
      <w:r>
        <w:t xml:space="preserve"> </w:t>
      </w:r>
      <w:r>
        <w:t xml:space="preserve">“</w:t>
      </w:r>
      <w:r>
        <w:t xml:space="preserve">any dispute arising out of or relating to any of the Transaction Documents,</w:t>
      </w:r>
      <w:r>
        <w:t xml:space="preserve">”</w:t>
      </w:r>
      <w:r>
        <w:t xml:space="preserve"> </w:t>
      </w:r>
      <w:r>
        <w:t xml:space="preserve">and make the QA Letter and IPLA dispute-resolution provisions expressly subordinate to (or cross-referencing) the SA regime.</w:t>
      </w:r>
    </w:p>
    <w:p>
      <w:pPr>
        <w:pStyle w:val="Compact"/>
        <w:numPr>
          <w:ilvl w:val="0"/>
          <w:numId w:val="1005"/>
        </w:numPr>
      </w:pPr>
      <w:r>
        <w:t xml:space="preserve">Select</w:t>
      </w:r>
      <w:r>
        <w:t xml:space="preserve"> </w:t>
      </w:r>
      <w:r>
        <w:rPr>
          <w:b/>
          <w:bCs/>
        </w:rPr>
        <w:t xml:space="preserve">one institution, one seat, and one governing law</w:t>
      </w:r>
      <w:r>
        <w:t xml:space="preserve"> </w:t>
      </w:r>
      <w:r>
        <w:t xml:space="preserve">for the package (see Issue 2). If the parties insist on retaining the QA Letter’s expert-determination step for technical quality issues, that step should be expressly carved out as a</w:t>
      </w:r>
      <w:r>
        <w:t xml:space="preserve"> </w:t>
      </w:r>
      <w:r>
        <w:rPr>
          <w:i/>
          <w:iCs/>
        </w:rPr>
        <w:t xml:space="preserve">preliminary</w:t>
      </w:r>
      <w:r>
        <w:t xml:space="preserve"> </w:t>
      </w:r>
      <w:r>
        <w:t xml:space="preserve">tier that feeds into (not competes with) the master arbitration regime, with a single escalation path.</w:t>
      </w:r>
    </w:p>
    <w:p>
      <w:pPr>
        <w:pStyle w:val="Compact"/>
        <w:numPr>
          <w:ilvl w:val="0"/>
          <w:numId w:val="1005"/>
        </w:numPr>
      </w:pPr>
      <w:r>
        <w:rPr>
          <w:b/>
          <w:bCs/>
        </w:rPr>
        <w:t xml:space="preserve">Delete IPLA § 9.3</w:t>
      </w:r>
      <w:r>
        <w:t xml:space="preserve"> </w:t>
      </w:r>
      <w:r>
        <w:t xml:space="preserve">in its current form. A unilateral consolidation clause that drags SA claims into an LCIA/London/English-law arbitration directly conflicts with SA § 14.1 and is the single most acute source of pathological-clause risk. If consolidation is desired, it should be achieved through a single institution’s consolidation/joinder rules under the master regime (see Issue 4), not through a competing forum-selection clause.</w:t>
      </w:r>
    </w:p>
    <w:p>
      <w:pPr>
        <w:pStyle w:val="Compact"/>
        <w:numPr>
          <w:ilvl w:val="0"/>
          <w:numId w:val="1005"/>
        </w:numPr>
      </w:pPr>
      <w:r>
        <w:t xml:space="preserve">Reconcile the hierarchy clauses so that there is</w:t>
      </w:r>
      <w:r>
        <w:t xml:space="preserve"> </w:t>
      </w:r>
      <w:r>
        <w:rPr>
          <w:b/>
          <w:bCs/>
        </w:rPr>
        <w:t xml:space="preserve">one</w:t>
      </w:r>
      <w:r>
        <w:t xml:space="preserve"> </w:t>
      </w:r>
      <w:r>
        <w:t xml:space="preserve">conflict rule, stated identically in all three documents, that unambiguously designates the controlling document and the controlling dispute-resolution forum.</w:t>
      </w:r>
    </w:p>
    <w:bookmarkEnd w:id="24"/>
    <w:bookmarkStart w:id="25" w:name="X103c27304468ece262cad19a2ead769ca7609c1"/>
    <w:p>
      <w:pPr>
        <w:pStyle w:val="Heading4"/>
      </w:pPr>
      <w:r>
        <w:t xml:space="preserve">Issue 2 — Fragmented architecture: three institutions, three seats, three governing laws</w:t>
      </w:r>
    </w:p>
    <w:p>
      <w:pPr>
        <w:pStyle w:val="FirstParagraph"/>
      </w:pPr>
      <w:r>
        <w:rPr>
          <w:b/>
          <w:bCs/>
        </w:rPr>
        <w:t xml:space="preserve">Provisions:</w:t>
      </w:r>
      <w:r>
        <w:t xml:space="preserve"> </w:t>
      </w:r>
      <w:r>
        <w:t xml:space="preserve">SA Art. 14 (ICC; seat Singapore; venue London; law New York); QA § 7 (SIAC; seat Singapore; law Singapore); IPLA § 9 (LCIA; seat London; law England &amp; Wales).</w:t>
      </w:r>
    </w:p>
    <w:p>
      <w:pPr>
        <w:pStyle w:val="BodyText"/>
      </w:pPr>
      <w:r>
        <w:rPr>
          <w:b/>
          <w:bCs/>
        </w:rPr>
        <w:t xml:space="preserve">Analysis.</w:t>
      </w:r>
      <w:r>
        <w:t xml:space="preserve"> </w:t>
      </w:r>
      <w:r>
        <w:t xml:space="preserve">Even setting aside the specific hierarchy conflict in Issue 1, the underlying architectural choice to assign three different institutions, two seats, and three substantive laws to a single integrated transaction is, in our view, not justified by the subject-matter distinctions H&amp;G invokes. The H&amp;G Memo (Part II) defends the structure on the theory that each agreement’s subject matter is best suited to a different forum. We disagree for three reasons:</w:t>
      </w:r>
    </w:p>
    <w:p>
      <w:pPr>
        <w:pStyle w:val="Compact"/>
        <w:numPr>
          <w:ilvl w:val="0"/>
          <w:numId w:val="1006"/>
        </w:numPr>
      </w:pPr>
      <w:r>
        <w:rPr>
          <w:b/>
          <w:bCs/>
        </w:rPr>
        <w:t xml:space="preserve">The subject matters overlap by design.</w:t>
      </w:r>
      <w:r>
        <w:t xml:space="preserve"> </w:t>
      </w:r>
      <w:r>
        <w:t xml:space="preserve">The Transaction Documents are expressly integrated (SA § 15.8; QA § 8.1; IPLA § 10.3) and concern a single commercial relationship. A quality dispute over a defective batch will routinely implicate the SA (supply/warranty), the QA Letter (specifications/testing/rejection), and potentially the IPLA (regulatory data accuracy). Fragmenting these across three forums guarantees the parallel-proceedings and inconsistent-results problems described in Issue 1.</w:t>
      </w:r>
    </w:p>
    <w:p>
      <w:pPr>
        <w:pStyle w:val="Compact"/>
        <w:numPr>
          <w:ilvl w:val="0"/>
          <w:numId w:val="1006"/>
        </w:numPr>
      </w:pPr>
      <w:r>
        <w:rPr>
          <w:b/>
          <w:bCs/>
        </w:rPr>
        <w:t xml:space="preserve">The governing-law choices create conflict-of-laws problems for identical facts.</w:t>
      </w:r>
      <w:r>
        <w:t xml:space="preserve"> </w:t>
      </w:r>
      <w:r>
        <w:t xml:space="preserve">Applying New York law (SA), Singapore law (QA), and English law (IPLA) to the same defective-ingredient dispute invites divergent outcomes on core questions (e.g., the measure of damages, the treatment of latent defects, the scope of indemnity). The choice of New York law for the SA is sound (UCC Article 2 governs the sale of goods; Greenleaf’s operations are U.S.-centric), but layering Singapore and English law on related obligations is unnecessary and destabilizing.</w:t>
      </w:r>
    </w:p>
    <w:p>
      <w:pPr>
        <w:pStyle w:val="Compact"/>
        <w:numPr>
          <w:ilvl w:val="0"/>
          <w:numId w:val="1006"/>
        </w:numPr>
      </w:pPr>
      <w:r>
        <w:rPr>
          <w:b/>
          <w:bCs/>
        </w:rPr>
        <w:t xml:space="preserve">Cost and management burden.</w:t>
      </w:r>
      <w:r>
        <w:t xml:space="preserve"> </w:t>
      </w:r>
      <w:r>
        <w:t xml:space="preserve">Three institutions mean three sets of filing fees, three sets of procedural rules, three potential tribunals, and three sets of outside counsel teams. For a relationship with up to $250M+ in commitments over a potential 13-year term, this is disproportionate legal spend waiting to happen.</w:t>
      </w:r>
    </w:p>
    <w:p>
      <w:pPr>
        <w:pStyle w:val="FirstParagraph"/>
      </w:pPr>
      <w:r>
        <w:t xml:space="preserve">We note that the Internal Email Chain (Mr. Park) flags this fragmentation as a concern and requests a</w:t>
      </w:r>
      <w:r>
        <w:t xml:space="preserve"> </w:t>
      </w:r>
      <w:r>
        <w:t xml:space="preserve">“</w:t>
      </w:r>
      <w:r>
        <w:t xml:space="preserve">comprehensive scrub.</w:t>
      </w:r>
      <w:r>
        <w:t xml:space="preserve">”</w:t>
      </w:r>
      <w:r>
        <w:t xml:space="preserve"> </w:t>
      </w:r>
      <w:r>
        <w:t xml:space="preserve">We agree, and our recommendation is to consolidate rather than merely harmonize.</w:t>
      </w:r>
    </w:p>
    <w:p>
      <w:pPr>
        <w:pStyle w:val="BodyText"/>
      </w:pPr>
      <w:r>
        <w:rPr>
          <w:b/>
          <w:bCs/>
        </w:rPr>
        <w:t xml:space="preserve">Recommendation.</w:t>
      </w:r>
      <w:r>
        <w:t xml:space="preserve"> </w:t>
      </w:r>
      <w:r>
        <w:t xml:space="preserve">Consolidate to a single forum. Our recommended package:</w:t>
      </w:r>
    </w:p>
    <w:p>
      <w:pPr>
        <w:pStyle w:val="Compact"/>
        <w:numPr>
          <w:ilvl w:val="0"/>
          <w:numId w:val="1007"/>
        </w:numPr>
      </w:pPr>
      <w:r>
        <w:rPr>
          <w:b/>
          <w:bCs/>
        </w:rPr>
        <w:t xml:space="preserve">Institution:</w:t>
      </w:r>
      <w:r>
        <w:t xml:space="preserve"> </w:t>
      </w:r>
      <w:r>
        <w:t xml:space="preserve">ICC (the SA’s existing choice; well-suited to complex international supply disputes; strong U.S. enforcement profile).</w:t>
      </w:r>
    </w:p>
    <w:p>
      <w:pPr>
        <w:pStyle w:val="Compact"/>
        <w:numPr>
          <w:ilvl w:val="0"/>
          <w:numId w:val="1007"/>
        </w:numPr>
      </w:pPr>
      <w:r>
        <w:rPr>
          <w:b/>
          <w:bCs/>
        </w:rPr>
        <w:t xml:space="preserve">Seat:</w:t>
      </w:r>
      <w:r>
        <w:t xml:space="preserve"> </w:t>
      </w:r>
      <w:r>
        <w:t xml:space="preserve">Singapore (acceptable to both parties; New York Convention signatory; pro-arbitration IAA/Model Law framework; facilitates enforcement against Pacifica’s Singapore assets). The London</w:t>
      </w:r>
      <w:r>
        <w:t xml:space="preserve"> </w:t>
      </w:r>
      <w:r>
        <w:rPr>
          <w:i/>
          <w:iCs/>
        </w:rPr>
        <w:t xml:space="preserve">venue</w:t>
      </w:r>
      <w:r>
        <w:t xml:space="preserve"> </w:t>
      </w:r>
      <w:r>
        <w:t xml:space="preserve">for hearings (SA § 14.2) is acceptable and can be retained as a hearing-location convenience only.</w:t>
      </w:r>
    </w:p>
    <w:p>
      <w:pPr>
        <w:pStyle w:val="Compact"/>
        <w:numPr>
          <w:ilvl w:val="0"/>
          <w:numId w:val="1007"/>
        </w:numPr>
      </w:pPr>
      <w:r>
        <w:rPr>
          <w:b/>
          <w:bCs/>
        </w:rPr>
        <w:t xml:space="preserve">Governing law:</w:t>
      </w:r>
      <w:r>
        <w:t xml:space="preserve"> </w:t>
      </w:r>
      <w:r>
        <w:t xml:space="preserve">New York (UCC Article 2 for the sale of goods; consistent with Greenleaf’s U.S. operations and the SA’s existing choice).</w:t>
      </w:r>
    </w:p>
    <w:p>
      <w:pPr>
        <w:pStyle w:val="Compact"/>
        <w:numPr>
          <w:ilvl w:val="0"/>
          <w:numId w:val="1007"/>
        </w:numPr>
      </w:pPr>
      <w:r>
        <w:rPr>
          <w:b/>
          <w:bCs/>
        </w:rPr>
        <w:t xml:space="preserve">Retain the QA Letter expert-determination step</w:t>
      </w:r>
      <w:r>
        <w:t xml:space="preserve"> </w:t>
      </w:r>
      <w:r>
        <w:t xml:space="preserve">as a preliminary tier for purely technical quality questions, but channel escalation into the master ICC arbitration (not a separate SIAC arbitration). See Issue 8.</w:t>
      </w:r>
    </w:p>
    <w:p>
      <w:pPr>
        <w:pStyle w:val="FirstParagraph"/>
      </w:pPr>
      <w:r>
        <w:t xml:space="preserve">If Pacifica will not accept full consolidation, the minimum acceptable fallback is a single institution and seat across all three documents, with the QA Letter’s expert-determination step preserved as a preliminary tier only, and a single, consistent governing law (New York) for the commercial/IP instruments. Three different institutions is, in our view, not a defensible end state.</w:t>
      </w:r>
    </w:p>
    <w:bookmarkEnd w:id="25"/>
    <w:bookmarkStart w:id="26" w:name="X2638c553d9fec7d63956ff9a7594106f67671ab"/>
    <w:p>
      <w:pPr>
        <w:pStyle w:val="Heading4"/>
      </w:pPr>
      <w:r>
        <w:t xml:space="preserve">Issue 3 — Consequential-damages waiver combined with exclusivity and the liability cap</w:t>
      </w:r>
    </w:p>
    <w:p>
      <w:pPr>
        <w:pStyle w:val="FirstParagraph"/>
      </w:pPr>
      <w:r>
        <w:rPr>
          <w:b/>
          <w:bCs/>
        </w:rPr>
        <w:t xml:space="preserve">Provisions:</w:t>
      </w:r>
      <w:r>
        <w:t xml:space="preserve"> </w:t>
      </w:r>
      <w:r>
        <w:t xml:space="preserve">SA § 14.11 (tribunal may not award punitive, exemplary, or consequential damages); SA § 11.2 (broader exclusion of indirect/incidental/special/consequential/punitive damages, including lost profits, lost revenue, loss of business opportunity, cost of substitute goods, reputational harm); SA § 11.1 (aggregate liability cap = amounts paid/payable in the 12 months preceding the event); QA § 6.6 (preserves Greenleaf’s consequential-damages rights</w:t>
      </w:r>
      <w:r>
        <w:t xml:space="preserve"> </w:t>
      </w:r>
      <w:r>
        <w:t xml:space="preserve">“</w:t>
      </w:r>
      <w:r>
        <w:t xml:space="preserve">except to the extent expressly limited by the dispute resolution provisions of Article 14 of the Supply Agreement</w:t>
      </w:r>
      <w:r>
        <w:t xml:space="preserve">”</w:t>
      </w:r>
      <w:r>
        <w:t xml:space="preserve">).</w:t>
      </w:r>
    </w:p>
    <w:p>
      <w:pPr>
        <w:pStyle w:val="BodyText"/>
      </w:pPr>
      <w:r>
        <w:rPr>
          <w:b/>
          <w:bCs/>
        </w:rPr>
        <w:t xml:space="preserve">Analysis.</w:t>
      </w:r>
      <w:r>
        <w:t xml:space="preserve"> </w:t>
      </w:r>
      <w:r>
        <w:t xml:space="preserve">This is the highest-priority commercial issue and, in our judgment, a signing condition. Three provisions interact to cap Greenleaf’s recovery at a small fraction of foreseeable loss in the most probable dispute scenario:</w:t>
      </w:r>
    </w:p>
    <w:p>
      <w:pPr>
        <w:pStyle w:val="Compact"/>
        <w:numPr>
          <w:ilvl w:val="0"/>
          <w:numId w:val="1008"/>
        </w:numPr>
      </w:pPr>
      <w:r>
        <w:rPr>
          <w:b/>
          <w:bCs/>
        </w:rPr>
        <w:t xml:space="preserve">SA § 14.11</w:t>
      </w:r>
      <w:r>
        <w:t xml:space="preserve"> </w:t>
      </w:r>
      <w:r>
        <w:t xml:space="preserve">bars the tribunal from awarding consequential damages. In an arbitration, the tribunal’s remedial authority is contractual; this clause operates as a hard ceiling.</w:t>
      </w:r>
    </w:p>
    <w:p>
      <w:pPr>
        <w:pStyle w:val="Compact"/>
        <w:numPr>
          <w:ilvl w:val="0"/>
          <w:numId w:val="1008"/>
        </w:numPr>
      </w:pPr>
      <w:r>
        <w:rPr>
          <w:b/>
          <w:bCs/>
        </w:rPr>
        <w:t xml:space="preserve">SA § 11.2</w:t>
      </w:r>
      <w:r>
        <w:t xml:space="preserve"> </w:t>
      </w:r>
      <w:r>
        <w:t xml:space="preserve">independently excludes consequential (and a broad list of other) damages as a matter of substantive liability, and</w:t>
      </w:r>
      <w:r>
        <w:t xml:space="preserve"> </w:t>
      </w:r>
      <w:r>
        <w:rPr>
          <w:b/>
          <w:bCs/>
        </w:rPr>
        <w:t xml:space="preserve">SA § 11.1</w:t>
      </w:r>
      <w:r>
        <w:t xml:space="preserve"> </w:t>
      </w:r>
      <w:r>
        <w:t xml:space="preserve">caps total liability at roughly</w:t>
      </w:r>
      <w:r>
        <w:t xml:space="preserve"> </w:t>
      </w:r>
      <w:r>
        <w:rPr>
          <w:b/>
          <w:bCs/>
        </w:rPr>
        <w:t xml:space="preserve">one year of purchase commitments</w:t>
      </w:r>
      <w:r>
        <w:t xml:space="preserve"> </w:t>
      </w:r>
      <w:r>
        <w:t xml:space="preserve">(i.e., approximately $22M in Years 1–3 or $28M in Years 4–7).</w:t>
      </w:r>
    </w:p>
    <w:p>
      <w:pPr>
        <w:pStyle w:val="Compact"/>
        <w:numPr>
          <w:ilvl w:val="0"/>
          <w:numId w:val="1008"/>
        </w:numPr>
      </w:pPr>
      <w:r>
        <w:rPr>
          <w:b/>
          <w:bCs/>
        </w:rPr>
        <w:t xml:space="preserve">Exclusivity (SA § 2.1)</w:t>
      </w:r>
      <w:r>
        <w:t xml:space="preserve"> </w:t>
      </w:r>
      <w:r>
        <w:t xml:space="preserve">means Greenleaf has</w:t>
      </w:r>
      <w:r>
        <w:t xml:space="preserve"> </w:t>
      </w:r>
      <w:r>
        <w:rPr>
          <w:b/>
          <w:bCs/>
        </w:rPr>
        <w:t xml:space="preserve">no alternative source</w:t>
      </w:r>
      <w:r>
        <w:t xml:space="preserve"> </w:t>
      </w:r>
      <w:r>
        <w:t xml:space="preserve">of these extracts. A supply failure or defective-ingredient event therefore cannot be mitigated by switching suppliers, which is the ordinary damper on consequential loss. The waiver and the exclusivity commitment compound each other — exactly as Mr. Park observes in the Internal Email Chain.</w:t>
      </w:r>
    </w:p>
    <w:p>
      <w:pPr>
        <w:pStyle w:val="FirstParagraph"/>
      </w:pPr>
      <w:r>
        <w:t xml:space="preserve">The recall scenario is the operative example. Using the Ridgeway portfolio data point referenced in the Internal Email Chain: a defective ingredient triggering an FDA Class II recall produced approximately $1.8M in direct damages (ingredient cost, shipping, disposal) but over $14M in consequential losses (lost revenue from pulled SKUs, retailer penalties, crisis PR, consumer refunds, business interruption during reformulation). Under the SA as drafted, Greenleaf could recover the direct component but would be barred from the consequential component — recovering</w:t>
      </w:r>
      <w:r>
        <w:t xml:space="preserve"> </w:t>
      </w:r>
      <w:r>
        <w:t xml:space="preserve">“</w:t>
      </w:r>
      <w:r>
        <w:t xml:space="preserve">less than 12 cents on the dollar</w:t>
      </w:r>
      <w:r>
        <w:t xml:space="preserve">”</w:t>
      </w:r>
      <w:r>
        <w:t xml:space="preserve"> </w:t>
      </w:r>
      <w:r>
        <w:t xml:space="preserve">in Mr. Park’s framing. The 12-month liability cap would further compress recovery.</w:t>
      </w:r>
    </w:p>
    <w:p>
      <w:pPr>
        <w:pStyle w:val="BodyText"/>
      </w:pPr>
      <w:r>
        <w:t xml:space="preserve">Two additional features sharpen the problem:</w:t>
      </w:r>
    </w:p>
    <w:p>
      <w:pPr>
        <w:pStyle w:val="Compact"/>
        <w:numPr>
          <w:ilvl w:val="0"/>
          <w:numId w:val="1009"/>
        </w:numPr>
      </w:pPr>
      <w:r>
        <w:rPr>
          <w:b/>
          <w:bCs/>
        </w:rPr>
        <w:t xml:space="preserve">QA § 6.6 is self-defeating.</w:t>
      </w:r>
      <w:r>
        <w:t xml:space="preserve"> </w:t>
      </w:r>
      <w:r>
        <w:t xml:space="preserve">It purports to preserve Greenleaf’s consequential-damages and indemnification rights, but then immediately subordinates them to</w:t>
      </w:r>
      <w:r>
        <w:t xml:space="preserve"> </w:t>
      </w:r>
      <w:r>
        <w:t xml:space="preserve">“</w:t>
      </w:r>
      <w:r>
        <w:t xml:space="preserve">the dispute resolution provisions of Article 14 of the Supply Agreement</w:t>
      </w:r>
      <w:r>
        <w:t xml:space="preserve">”</w:t>
      </w:r>
      <w:r>
        <w:t xml:space="preserve"> </w:t>
      </w:r>
      <w:r>
        <w:t xml:space="preserve">— i.e., to the very waiver it appears to preserve. The recall cost allocation in QA § 6.1 (which on its face makes Pacifica bear</w:t>
      </w:r>
      <w:r>
        <w:t xml:space="preserve"> </w:t>
      </w:r>
      <w:r>
        <w:t xml:space="preserve">“</w:t>
      </w:r>
      <w:r>
        <w:t xml:space="preserve">all direct costs</w:t>
      </w:r>
      <w:r>
        <w:t xml:space="preserve">”</w:t>
      </w:r>
      <w:r>
        <w:t xml:space="preserve"> </w:t>
      </w:r>
      <w:r>
        <w:t xml:space="preserve">of a Pacifica-caused recall) is therefore exposed to characterization arguments: if a tribunal treats recall costs as</w:t>
      </w:r>
      <w:r>
        <w:t xml:space="preserve"> </w:t>
      </w:r>
      <w:r>
        <w:t xml:space="preserve">“</w:t>
      </w:r>
      <w:r>
        <w:t xml:space="preserve">consequential,</w:t>
      </w:r>
      <w:r>
        <w:t xml:space="preserve">”</w:t>
      </w:r>
      <w:r>
        <w:t xml:space="preserve"> </w:t>
      </w:r>
      <w:r>
        <w:t xml:space="preserve">SA § 14.11 bars them. Whether recall costs are</w:t>
      </w:r>
      <w:r>
        <w:t xml:space="preserve"> </w:t>
      </w:r>
      <w:r>
        <w:t xml:space="preserve">“</w:t>
      </w:r>
      <w:r>
        <w:t xml:space="preserve">direct</w:t>
      </w:r>
      <w:r>
        <w:t xml:space="preserve">”</w:t>
      </w:r>
      <w:r>
        <w:t xml:space="preserve"> </w:t>
      </w:r>
      <w:r>
        <w:t xml:space="preserve">or</w:t>
      </w:r>
      <w:r>
        <w:t xml:space="preserve"> </w:t>
      </w:r>
      <w:r>
        <w:t xml:space="preserve">“</w:t>
      </w:r>
      <w:r>
        <w:t xml:space="preserve">consequential</w:t>
      </w:r>
      <w:r>
        <w:t xml:space="preserve">”</w:t>
      </w:r>
      <w:r>
        <w:t xml:space="preserve"> </w:t>
      </w:r>
      <w:r>
        <w:t xml:space="preserve">under New York law is itself litigable and uncertain (see, e.g., the line of authority distinguishing direct from consequential loss by reference to the parties’ contemplation and the certainty of proof). The clause as drafted invites precisely that fight.</w:t>
      </w:r>
    </w:p>
    <w:p>
      <w:pPr>
        <w:pStyle w:val="Compact"/>
        <w:numPr>
          <w:ilvl w:val="0"/>
          <w:numId w:val="1009"/>
        </w:numPr>
      </w:pPr>
      <w:r>
        <w:rPr>
          <w:b/>
          <w:bCs/>
        </w:rPr>
        <w:t xml:space="preserve">The time horizon amplifies exposure.</w:t>
      </w:r>
      <w:r>
        <w:t xml:space="preserve"> </w:t>
      </w:r>
      <w:r>
        <w:t xml:space="preserve">As Mr. Heller notes in the Internal Email Chain, automatic renewals extend the relationship to 13 years (through July 31, 2038), with total commitments well above the initial $178M. By Year 10, Greenleaf’s curcumin and ashwagandha product lines will be built around Pacifica’s extracts, deepening dependency and magnifying the consequential loss from any disruption.</w:t>
      </w:r>
    </w:p>
    <w:p>
      <w:pPr>
        <w:pStyle w:val="FirstParagraph"/>
      </w:pPr>
      <w:r>
        <w:rPr>
          <w:b/>
          <w:bCs/>
        </w:rPr>
        <w:t xml:space="preserve">Recommendation.</w:t>
      </w:r>
      <w:r>
        <w:t xml:space="preserve"> </w:t>
      </w:r>
      <w:r>
        <w:t xml:space="preserve">This should be a non-negotiable signing condition. We recommend, in order of preference:</w:t>
      </w:r>
    </w:p>
    <w:p>
      <w:pPr>
        <w:pStyle w:val="Compact"/>
        <w:numPr>
          <w:ilvl w:val="0"/>
          <w:numId w:val="1010"/>
        </w:numPr>
      </w:pPr>
      <w:r>
        <w:rPr>
          <w:b/>
          <w:bCs/>
        </w:rPr>
        <w:t xml:space="preserve">Carve-outs from the waiver</w:t>
      </w:r>
      <w:r>
        <w:t xml:space="preserve"> </w:t>
      </w:r>
      <w:r>
        <w:t xml:space="preserve">(preferred): exclude from the consequential-damages waiver (i) recall-related costs (notification, retrieval, destruction, replacement, regulatory communications, third-party testing, root-cause analysis), (ii) lost profits directly attributable to supply failure or defective Product, and (iii) third-party claims against Greenleaf (consumer claims, retailer claims, regulatory penalties) arising from defective Product. Retain the waiver only as to pure punitive/exemplary damages, which is a common and acceptable compromise.</w:t>
      </w:r>
    </w:p>
    <w:p>
      <w:pPr>
        <w:pStyle w:val="Compact"/>
        <w:numPr>
          <w:ilvl w:val="0"/>
          <w:numId w:val="1010"/>
        </w:numPr>
      </w:pPr>
      <w:r>
        <w:rPr>
          <w:b/>
          <w:bCs/>
        </w:rPr>
        <w:t xml:space="preserve">Replace the waiver with a cap</w:t>
      </w:r>
      <w:r>
        <w:t xml:space="preserve"> </w:t>
      </w:r>
      <w:r>
        <w:t xml:space="preserve">(alternative): if Pacifica insists on a damages limitation, substitute a negotiated aggregate cap (e.g., a multiple of annual purchase commitments, or a fixed dollar amount calibrated to insurance limits) in lieu of a blanket consequential-damages exclusion. This preserves recovery while giving Pacifica certainty.</w:t>
      </w:r>
    </w:p>
    <w:p>
      <w:pPr>
        <w:pStyle w:val="Compact"/>
        <w:numPr>
          <w:ilvl w:val="0"/>
          <w:numId w:val="1010"/>
        </w:numPr>
      </w:pPr>
      <w:r>
        <w:rPr>
          <w:b/>
          <w:bCs/>
        </w:rPr>
        <w:t xml:space="preserve">Harmonize QA § 6.6</w:t>
      </w:r>
      <w:r>
        <w:t xml:space="preserve">: delete the subordinate clause (</w:t>
      </w:r>
      <w:r>
        <w:t xml:space="preserve">“</w:t>
      </w:r>
      <w:r>
        <w:t xml:space="preserve">except to the extent expressly limited by the dispute resolution provisions of Article 14</w:t>
      </w:r>
      <w:r>
        <w:t xml:space="preserve">”</w:t>
      </w:r>
      <w:r>
        <w:t xml:space="preserve">) so that the recall cost allocation in QA § 6.1 stands on its own and is not undercut by the SA damages waiver. Confirm that recall costs are treated as</w:t>
      </w:r>
      <w:r>
        <w:t xml:space="preserve"> </w:t>
      </w:r>
      <w:r>
        <w:rPr>
          <w:b/>
          <w:bCs/>
        </w:rPr>
        <w:t xml:space="preserve">direct</w:t>
      </w:r>
      <w:r>
        <w:t xml:space="preserve"> </w:t>
      </w:r>
      <w:r>
        <w:t xml:space="preserve">damages for all purposes.</w:t>
      </w:r>
    </w:p>
    <w:p>
      <w:pPr>
        <w:pStyle w:val="Compact"/>
        <w:numPr>
          <w:ilvl w:val="0"/>
          <w:numId w:val="1010"/>
        </w:numPr>
      </w:pPr>
      <w:r>
        <w:rPr>
          <w:b/>
          <w:bCs/>
        </w:rPr>
        <w:t xml:space="preserve">Confirm insurance alignment</w:t>
      </w:r>
      <w:r>
        <w:t xml:space="preserve">: QA § 6.5 requires Pacifica to maintain $10M/$20M product-liability insurance naming Greenleaf as additional insured. Confirm that the policy covers the carved-back damages and that the contractual limitations do not operate to reduce insurable recovery below the policy limits.</w:t>
      </w:r>
    </w:p>
    <w:p>
      <w:pPr>
        <w:pStyle w:val="FirstParagraph"/>
      </w:pPr>
      <w:r>
        <w:t xml:space="preserve">We note that the H&amp;G Memo (Part III.D) characterizes the waiver as</w:t>
      </w:r>
      <w:r>
        <w:t xml:space="preserve"> </w:t>
      </w:r>
      <w:r>
        <w:t xml:space="preserve">“</w:t>
      </w:r>
      <w:r>
        <w:t xml:space="preserve">standard</w:t>
      </w:r>
      <w:r>
        <w:t xml:space="preserve">”</w:t>
      </w:r>
      <w:r>
        <w:t xml:space="preserve"> </w:t>
      </w:r>
      <w:r>
        <w:t xml:space="preserve">and</w:t>
      </w:r>
      <w:r>
        <w:t xml:space="preserve"> </w:t>
      </w:r>
      <w:r>
        <w:t xml:space="preserve">“</w:t>
      </w:r>
      <w:r>
        <w:t xml:space="preserve">mutual.</w:t>
      </w:r>
      <w:r>
        <w:t xml:space="preserve">”</w:t>
      </w:r>
      <w:r>
        <w:t xml:space="preserve"> </w:t>
      </w:r>
      <w:r>
        <w:t xml:space="preserve">The mutuality is formal only: because Pacifica is the supplier and Greenleaf is the exclusive buyer with no backup source, the waiver operates asymmetrically in practice. This is a fair point to make in negotiation.</w:t>
      </w:r>
    </w:p>
    <w:bookmarkEnd w:id="26"/>
    <w:bookmarkEnd w:id="27"/>
    <w:bookmarkStart w:id="32" w:name="high-severity-issues"/>
    <w:p>
      <w:pPr>
        <w:pStyle w:val="Heading3"/>
      </w:pPr>
      <w:r>
        <w:t xml:space="preserve">HIGH-SEVERITY ISSUES</w:t>
      </w:r>
    </w:p>
    <w:bookmarkStart w:id="28" w:name="Xd05e785158b6975f096489585a9377e2c521695"/>
    <w:p>
      <w:pPr>
        <w:pStyle w:val="Heading4"/>
      </w:pPr>
      <w:r>
        <w:t xml:space="preserve">Issue 4 — No joinder/consolidation mechanism for non-signatory co-manufacturers</w:t>
      </w:r>
    </w:p>
    <w:p>
      <w:pPr>
        <w:pStyle w:val="FirstParagraph"/>
      </w:pPr>
      <w:r>
        <w:rPr>
          <w:b/>
          <w:bCs/>
        </w:rPr>
        <w:t xml:space="preserve">Provisions:</w:t>
      </w:r>
      <w:r>
        <w:t xml:space="preserve"> </w:t>
      </w:r>
      <w:r>
        <w:t xml:space="preserve">SA § 14.1; QA § 7; IPLA § 9 (all silent as to non-signatories).</w:t>
      </w:r>
    </w:p>
    <w:p>
      <w:pPr>
        <w:pStyle w:val="BodyText"/>
      </w:pPr>
      <w:r>
        <w:rPr>
          <w:b/>
          <w:bCs/>
        </w:rPr>
        <w:t xml:space="preserve">Analysis.</w:t>
      </w:r>
      <w:r>
        <w:t xml:space="preserve"> </w:t>
      </w:r>
      <w:r>
        <w:t xml:space="preserve">None of the three arbitration clauses contains any mechanism for joinder of, or consolidation with, non-signatories. Greenleaf’s U.S. co-manufacturers (blending, encapsulation, packaging) are not parties to any Transaction Document. As the Internal Email Chain (Ms. Matsuda, Mr. Heller) explains, the most probable quality dispute — a defective Pacifica extract processed by a co-man into finished capsules before detection — will require Greenleaf to pursue claims against</w:t>
      </w:r>
      <w:r>
        <w:t xml:space="preserve"> </w:t>
      </w:r>
      <w:r>
        <w:rPr>
          <w:i/>
          <w:iCs/>
        </w:rPr>
        <w:t xml:space="preserve">both</w:t>
      </w:r>
      <w:r>
        <w:t xml:space="preserve"> </w:t>
      </w:r>
      <w:r>
        <w:t xml:space="preserve">Pacifica (as ingredient supplier) and the co-man (for failure to detect or for process contribution). The current architecture forces Greenleaf to</w:t>
      </w:r>
      <w:r>
        <w:t xml:space="preserve"> </w:t>
      </w:r>
      <w:r>
        <w:rPr>
          <w:b/>
          <w:bCs/>
        </w:rPr>
        <w:t xml:space="preserve">arbitrate</w:t>
      </w:r>
      <w:r>
        <w:t xml:space="preserve"> </w:t>
      </w:r>
      <w:r>
        <w:t xml:space="preserve">against Pacifica (ICC/SIAC/LCIA, in Singapore or London) while simultaneously</w:t>
      </w:r>
      <w:r>
        <w:t xml:space="preserve"> </w:t>
      </w:r>
      <w:r>
        <w:rPr>
          <w:b/>
          <w:bCs/>
        </w:rPr>
        <w:t xml:space="preserve">litigating</w:t>
      </w:r>
      <w:r>
        <w:t xml:space="preserve"> </w:t>
      </w:r>
      <w:r>
        <w:t xml:space="preserve">against its co-manufacturers in U.S. courts (likely North Carolina state or federal court, per the co-mans’ existing purchase-order terms).</w:t>
      </w:r>
    </w:p>
    <w:p>
      <w:pPr>
        <w:pStyle w:val="BodyText"/>
      </w:pPr>
      <w:r>
        <w:t xml:space="preserve">The consequences are exactly those the Internal Email Chain identifies:</w:t>
      </w:r>
    </w:p>
    <w:p>
      <w:pPr>
        <w:pStyle w:val="Compact"/>
        <w:numPr>
          <w:ilvl w:val="0"/>
          <w:numId w:val="1011"/>
        </w:numPr>
      </w:pPr>
      <w:r>
        <w:rPr>
          <w:b/>
          <w:bCs/>
        </w:rPr>
        <w:t xml:space="preserve">Parallel proceedings</w:t>
      </w:r>
      <w:r>
        <w:t xml:space="preserve"> </w:t>
      </w:r>
      <w:r>
        <w:t xml:space="preserve">in two or more forums on the same facts;</w:t>
      </w:r>
    </w:p>
    <w:p>
      <w:pPr>
        <w:pStyle w:val="Compact"/>
        <w:numPr>
          <w:ilvl w:val="0"/>
          <w:numId w:val="1011"/>
        </w:numPr>
      </w:pPr>
      <w:r>
        <w:rPr>
          <w:b/>
          <w:bCs/>
        </w:rPr>
        <w:t xml:space="preserve">Duplicative evidence-gathering</w:t>
      </w:r>
      <w:r>
        <w:t xml:space="preserve"> </w:t>
      </w:r>
      <w:r>
        <w:t xml:space="preserve">and inconsistent factual findings (e.g., one tribunal finding the extract defective while a court finds the co-man’s process at fault);</w:t>
      </w:r>
    </w:p>
    <w:p>
      <w:pPr>
        <w:pStyle w:val="Compact"/>
        <w:numPr>
          <w:ilvl w:val="0"/>
          <w:numId w:val="1011"/>
        </w:numPr>
      </w:pPr>
      <w:r>
        <w:rPr>
          <w:b/>
          <w:bCs/>
        </w:rPr>
        <w:t xml:space="preserve">Materially increased cost</w:t>
      </w:r>
      <w:r>
        <w:t xml:space="preserve"> </w:t>
      </w:r>
      <w:r>
        <w:t xml:space="preserve">across both forums; and</w:t>
      </w:r>
    </w:p>
    <w:p>
      <w:pPr>
        <w:pStyle w:val="Compact"/>
        <w:numPr>
          <w:ilvl w:val="0"/>
          <w:numId w:val="1011"/>
        </w:numPr>
      </w:pPr>
      <w:r>
        <w:rPr>
          <w:b/>
          <w:bCs/>
        </w:rPr>
        <w:t xml:space="preserve">No practical joinder path</w:t>
      </w:r>
      <w:r>
        <w:t xml:space="preserve">: under the ICC Rules, joinder of an additional party requires that party’s consent and is generally available only before tribunal constitution (ICC Rules, Art. 7); SIAC and LCIA joinder provisions likewise hinge on consent. Co-manufacturers will have no incentive to consent to arbitration in Singapore or London.</w:t>
      </w:r>
    </w:p>
    <w:p>
      <w:pPr>
        <w:pStyle w:val="FirstParagraph"/>
      </w:pPr>
      <w:r>
        <w:t xml:space="preserve">The problem is worsening on a known timeline: the Internal Email Chain notes that a new co-manufacturer for the encapsulation line is expected online in Q1 2026 — within six months of the Target Effective Date — and that existing co-manufacturing arrangements are governed by North Carolina choice-of-law and forum-selection clauses (NC state court), not arbitration. The mismatch is structural, not incidental.</w:t>
      </w:r>
    </w:p>
    <w:p>
      <w:pPr>
        <w:pStyle w:val="BodyText"/>
      </w:pPr>
      <w:r>
        <w:rPr>
          <w:b/>
          <w:bCs/>
        </w:rPr>
        <w:t xml:space="preserve">Recommendation.</w:t>
      </w:r>
      <w:r>
        <w:t xml:space="preserve"> </w:t>
      </w:r>
      <w:r>
        <w:t xml:space="preserve">Address before signing. Options, in combination:</w:t>
      </w:r>
    </w:p>
    <w:p>
      <w:pPr>
        <w:pStyle w:val="Compact"/>
        <w:numPr>
          <w:ilvl w:val="0"/>
          <w:numId w:val="1012"/>
        </w:numPr>
      </w:pPr>
      <w:r>
        <w:rPr>
          <w:b/>
          <w:bCs/>
        </w:rPr>
        <w:t xml:space="preserve">Contractual joinder/consent mechanism</w:t>
      </w:r>
      <w:r>
        <w:t xml:space="preserve">: add a provision in the SA (and QA Letter) under which Greenleaf may, at its election, join any co-manufacturer or other third party whose acts or omissions are alleged to have contributed to the dispute, provided that third party agrees in writing to be bound by the arbitration clause. Pair this with a Greenleaf-side commitment to require, in its co-manufacturing agreements going forward, compatible arbitration clauses (same institution, seat, and governing law) so that all related disputes can be consolidated in a single arbitration.</w:t>
      </w:r>
    </w:p>
    <w:p>
      <w:pPr>
        <w:pStyle w:val="Compact"/>
        <w:numPr>
          <w:ilvl w:val="0"/>
          <w:numId w:val="1012"/>
        </w:numPr>
      </w:pPr>
      <w:r>
        <w:rPr>
          <w:b/>
          <w:bCs/>
        </w:rPr>
        <w:t xml:space="preserve">Court carve-out for multi-party quality disputes</w:t>
      </w:r>
      <w:r>
        <w:t xml:space="preserve">: alternatively (or in addition), carve out from the arbitration obligation any dispute that necessarily requires adjudication of a non-signatory third party’s liability, allowing such disputes to proceed in a designated court (e.g., U.S. District Court for the Western District of North Carolina, or North Carolina state court), with the arbitration clause otherwise preserved for two-party disputes.</w:t>
      </w:r>
    </w:p>
    <w:p>
      <w:pPr>
        <w:pStyle w:val="Compact"/>
        <w:numPr>
          <w:ilvl w:val="0"/>
          <w:numId w:val="1012"/>
        </w:numPr>
      </w:pPr>
      <w:r>
        <w:rPr>
          <w:b/>
          <w:bCs/>
        </w:rPr>
        <w:t xml:space="preserve">Consolidation under a single institution</w:t>
      </w:r>
      <w:r>
        <w:t xml:space="preserve">: if the master-regime recommendation in Issue 2 is adopted, build in an express consolidation right (e.g., ICC Rules Art. 10) so that disputes involving multiple Transaction Documents — and, where they have consented, co-manufacturers — can be heard together.</w:t>
      </w:r>
    </w:p>
    <w:bookmarkEnd w:id="28"/>
    <w:bookmarkStart w:id="29" w:name="X5663b68d8e7a5defa4601dd1101f3bb73cb3a2f"/>
    <w:p>
      <w:pPr>
        <w:pStyle w:val="Heading4"/>
      </w:pPr>
      <w:r>
        <w:t xml:space="preserve">Issue 5 — Contractual appeal on questions of law to the Singapore High Court is likely unenforceable and undermines finality</w:t>
      </w:r>
    </w:p>
    <w:p>
      <w:pPr>
        <w:pStyle w:val="FirstParagraph"/>
      </w:pPr>
      <w:r>
        <w:rPr>
          <w:b/>
          <w:bCs/>
        </w:rPr>
        <w:t xml:space="preserve">Provisions:</w:t>
      </w:r>
      <w:r>
        <w:t xml:space="preserve"> </w:t>
      </w:r>
      <w:r>
        <w:t xml:space="preserve">SA § 14.6.</w:t>
      </w:r>
    </w:p>
    <w:p>
      <w:pPr>
        <w:pStyle w:val="BodyText"/>
      </w:pPr>
      <w:r>
        <w:rPr>
          <w:b/>
          <w:bCs/>
        </w:rPr>
        <w:t xml:space="preserve">Analysis.</w:t>
      </w:r>
      <w:r>
        <w:t xml:space="preserve"> </w:t>
      </w:r>
      <w:r>
        <w:t xml:space="preserve">SA § 14.6 provides that the award is</w:t>
      </w:r>
      <w:r>
        <w:t xml:space="preserve"> </w:t>
      </w:r>
      <w:r>
        <w:t xml:space="preserve">“</w:t>
      </w:r>
      <w:r>
        <w:t xml:space="preserve">final and binding,</w:t>
      </w:r>
      <w:r>
        <w:t xml:space="preserve">”</w:t>
      </w:r>
      <w:r>
        <w:t xml:space="preserve"> </w:t>
      </w:r>
      <w:r>
        <w:t xml:space="preserve">but that</w:t>
      </w:r>
      <w:r>
        <w:t xml:space="preserve"> </w:t>
      </w:r>
      <w:r>
        <w:t xml:space="preserve">“</w:t>
      </w:r>
      <w:r>
        <w:t xml:space="preserve">either party may appeal the award on questions of law to the High Court of Singapore.</w:t>
      </w:r>
      <w:r>
        <w:t xml:space="preserve">”</w:t>
      </w:r>
      <w:r>
        <w:t xml:space="preserve"> </w:t>
      </w:r>
      <w:r>
        <w:t xml:space="preserve">The H&amp;G Memo (Part III.B) states that this was</w:t>
      </w:r>
      <w:r>
        <w:t xml:space="preserve"> </w:t>
      </w:r>
      <w:r>
        <w:t xml:space="preserve">“</w:t>
      </w:r>
      <w:r>
        <w:t xml:space="preserve">modeled on</w:t>
      </w:r>
      <w:r>
        <w:t xml:space="preserve">”</w:t>
      </w:r>
      <w:r>
        <w:t xml:space="preserve"> </w:t>
      </w:r>
      <w:r>
        <w:t xml:space="preserve">Section 69 of the English Arbitration Act 1996, which permits parties to agree to appeal arbitral awards on questions of law to the English courts.</w:t>
      </w:r>
    </w:p>
    <w:p>
      <w:pPr>
        <w:pStyle w:val="BodyText"/>
      </w:pPr>
      <w:r>
        <w:t xml:space="preserve">The problem is that</w:t>
      </w:r>
      <w:r>
        <w:t xml:space="preserve"> </w:t>
      </w:r>
      <w:r>
        <w:rPr>
          <w:b/>
          <w:bCs/>
        </w:rPr>
        <w:t xml:space="preserve">Section 69 of the English Arbitration Act applies to arbitrations seated in England; it does not apply to arbitrations seated in Singapore.</w:t>
      </w:r>
      <w:r>
        <w:t xml:space="preserve"> </w:t>
      </w:r>
      <w:r>
        <w:t xml:space="preserve">Singapore-seated international arbitrations are governed by the International Arbitration Act (Cap. 143A) (</w:t>
      </w:r>
      <w:r>
        <w:t xml:space="preserve">“</w:t>
      </w:r>
      <w:r>
        <w:t xml:space="preserve">IAA</w:t>
      </w:r>
      <w:r>
        <w:t xml:space="preserve">”</w:t>
      </w:r>
      <w:r>
        <w:t xml:space="preserve">), which incorporates the UNCITRAL Model Law. The IAA/Model Law regime does</w:t>
      </w:r>
      <w:r>
        <w:t xml:space="preserve"> </w:t>
      </w:r>
      <w:r>
        <w:rPr>
          <w:b/>
          <w:bCs/>
        </w:rPr>
        <w:t xml:space="preserve">not</w:t>
      </w:r>
      <w:r>
        <w:t xml:space="preserve"> </w:t>
      </w:r>
      <w:r>
        <w:t xml:space="preserve">provide a general right of appeal on questions of law. The Model Law limits court intervention to setting-aside proceedings on the grounds in Article 34 (e.g., invalid arbitration agreement, lack of notice, excess of authority, procedural irregularity, public policy) and does not permit appeal on the merits of legal questions. A general appeal on questions of law is available under Singapore’s</w:t>
      </w:r>
      <w:r>
        <w:t xml:space="preserve"> </w:t>
      </w:r>
      <w:r>
        <w:rPr>
          <w:i/>
          <w:iCs/>
        </w:rPr>
        <w:t xml:space="preserve">domestic</w:t>
      </w:r>
      <w:r>
        <w:t xml:space="preserve"> </w:t>
      </w:r>
      <w:r>
        <w:t xml:space="preserve">Arbitration Act 2002 (s. 49), but that regime does not apply to IAA international arbitrations unless the parties expressly opt into it — which the SA does not do.</w:t>
      </w:r>
    </w:p>
    <w:p>
      <w:pPr>
        <w:pStyle w:val="BodyText"/>
      </w:pPr>
      <w:r>
        <w:t xml:space="preserve">Accordingly, the clause as drafted is, at best, ambiguous and, at worst,</w:t>
      </w:r>
      <w:r>
        <w:t xml:space="preserve"> </w:t>
      </w:r>
      <w:r>
        <w:rPr>
          <w:b/>
          <w:bCs/>
        </w:rPr>
        <w:t xml:space="preserve">unenforceable as a right of appeal</w:t>
      </w:r>
      <w:r>
        <w:t xml:space="preserve">. A party attempting to invoke it would face a jurisdictional challenge, generating satellite litigation — the precise outcome the H&amp;G Memo says the provision was designed to prevent. We recommend confirming this analysis with Singapore-qualified counsel, but the concern is substantial on its face.</w:t>
      </w:r>
    </w:p>
    <w:p>
      <w:pPr>
        <w:pStyle w:val="BodyText"/>
      </w:pPr>
      <w:r>
        <w:t xml:space="preserve">Two further points:</w:t>
      </w:r>
    </w:p>
    <w:p>
      <w:pPr>
        <w:pStyle w:val="Compact"/>
        <w:numPr>
          <w:ilvl w:val="0"/>
          <w:numId w:val="1013"/>
        </w:numPr>
      </w:pPr>
      <w:r>
        <w:rPr>
          <w:b/>
          <w:bCs/>
        </w:rPr>
        <w:t xml:space="preserve">Internal contradiction.</w:t>
      </w:r>
      <w:r>
        <w:t xml:space="preserve"> </w:t>
      </w:r>
      <w:r>
        <w:t xml:space="preserve">The clause simultaneously declares the award</w:t>
      </w:r>
      <w:r>
        <w:t xml:space="preserve"> </w:t>
      </w:r>
      <w:r>
        <w:t xml:space="preserve">“</w:t>
      </w:r>
      <w:r>
        <w:t xml:space="preserve">final and binding</w:t>
      </w:r>
      <w:r>
        <w:t xml:space="preserve">”</w:t>
      </w:r>
      <w:r>
        <w:t xml:space="preserve"> </w:t>
      </w:r>
      <w:r>
        <w:t xml:space="preserve">and grants an open-ended appeal right. These are in tension; the appeal right, if operative, materially erodes the finality that is a principal reason to arbitrate.</w:t>
      </w:r>
    </w:p>
    <w:p>
      <w:pPr>
        <w:pStyle w:val="Compact"/>
        <w:numPr>
          <w:ilvl w:val="0"/>
          <w:numId w:val="1013"/>
        </w:numPr>
      </w:pPr>
      <w:r>
        <w:rPr>
          <w:b/>
          <w:bCs/>
        </w:rPr>
        <w:t xml:space="preserve">It does not solve the problem it targets.</w:t>
      </w:r>
      <w:r>
        <w:t xml:space="preserve"> </w:t>
      </w:r>
      <w:r>
        <w:t xml:space="preserve">The H&amp;G Memo invokes Pacifica’s 2023 experience, in which the losing party challenged</w:t>
      </w:r>
      <w:r>
        <w:t xml:space="preserve"> </w:t>
      </w:r>
      <w:r>
        <w:rPr>
          <w:i/>
          <w:iCs/>
        </w:rPr>
        <w:t xml:space="preserve">enforcement</w:t>
      </w:r>
      <w:r>
        <w:t xml:space="preserve"> </w:t>
      </w:r>
      <w:r>
        <w:t xml:space="preserve">in the Korean courts. An appeal-on-law mechanism at the Singapore seat does nothing to prevent enforcement challenges in other Convention states; those challenges arise under local enforcement law and the New York Convention, not under a seat-court appeal procedure. The provision is, in this respect, a solution to the wrong problem.</w:t>
      </w:r>
    </w:p>
    <w:p>
      <w:pPr>
        <w:pStyle w:val="FirstParagraph"/>
      </w:pPr>
      <w:r>
        <w:rPr>
          <w:b/>
          <w:bCs/>
        </w:rPr>
        <w:t xml:space="preserve">Recommendation.</w:t>
      </w:r>
      <w:r>
        <w:t xml:space="preserve"> </w:t>
      </w:r>
      <w:r>
        <w:t xml:space="preserve">Delete the appeal-on-law sentence in SA § 14.6 and replace it with a standard finality provision: the award is final and binding, judgment may be entered on it in any court of competent jurisdiction, and the parties waive any right to appeal to the extent permitted by the law of the seat. If the parties genuinely want a limited judicial-review safety valve, it should be drafted to match the actual law of the seat — i.e., confined to the Model Law Article 34 setting-aside grounds (or, if the parties wish to opt into the domestic regime’s s. 49 appeal, that opt-in must be express and the trade-offs understood). In our view, the cleanest and most enforceable outcome is no appeal right at all, consistent with the IAA/Model Law default.</w:t>
      </w:r>
    </w:p>
    <w:bookmarkEnd w:id="29"/>
    <w:bookmarkStart w:id="30" w:name="X623751d305cfd53119e8d4cd503e50e4d9d1b0c"/>
    <w:p>
      <w:pPr>
        <w:pStyle w:val="Heading4"/>
      </w:pPr>
      <w:r>
        <w:t xml:space="preserve">Issue 6 — One-year limitation period is aggressive, in tension with latent-defect provisions, and sits at the UCC floor</w:t>
      </w:r>
    </w:p>
    <w:p>
      <w:pPr>
        <w:pStyle w:val="FirstParagraph"/>
      </w:pPr>
      <w:r>
        <w:rPr>
          <w:b/>
          <w:bCs/>
        </w:rPr>
        <w:t xml:space="preserve">Provisions:</w:t>
      </w:r>
      <w:r>
        <w:t xml:space="preserve"> </w:t>
      </w:r>
      <w:r>
        <w:t xml:space="preserve">SA § 14.9; cf. SA § 7.3; QA §§ 3.5, 5.1, 5.5.</w:t>
      </w:r>
    </w:p>
    <w:p>
      <w:pPr>
        <w:pStyle w:val="BodyText"/>
      </w:pPr>
      <w:r>
        <w:rPr>
          <w:b/>
          <w:bCs/>
        </w:rPr>
        <w:t xml:space="preserve">Analysis.</w:t>
      </w:r>
      <w:r>
        <w:t xml:space="preserve"> </w:t>
      </w:r>
      <w:r>
        <w:t xml:space="preserve">SA § 14.9 imposes a one-year limitation period for commencing arbitration, running from</w:t>
      </w:r>
      <w:r>
        <w:t xml:space="preserve"> </w:t>
      </w:r>
      <w:r>
        <w:t xml:space="preserve">“</w:t>
      </w:r>
      <w:r>
        <w:t xml:space="preserve">the date the claiming party knew or should have known of the facts giving rise to the claim.</w:t>
      </w:r>
      <w:r>
        <w:t xml:space="preserve">”</w:t>
      </w:r>
      <w:r>
        <w:t xml:space="preserve"> </w:t>
      </w:r>
      <w:r>
        <w:t xml:space="preserve">Ms. Matsuda flags this in the Internal Email Chain, and we share the concern.</w:t>
      </w:r>
    </w:p>
    <w:p>
      <w:pPr>
        <w:pStyle w:val="Compact"/>
        <w:numPr>
          <w:ilvl w:val="0"/>
          <w:numId w:val="1014"/>
        </w:numPr>
      </w:pPr>
      <w:r>
        <w:rPr>
          <w:b/>
          <w:bCs/>
        </w:rPr>
        <w:t xml:space="preserve">UCC floor.</w:t>
      </w:r>
      <w:r>
        <w:t xml:space="preserve"> </w:t>
      </w:r>
      <w:r>
        <w:t xml:space="preserve">The SA is a contract for the sale of goods (botanical extracts) governed by New York law, so UCC Article 2 applies. UCC § 2-725(1) sets a four-year default limitation period and permits the parties to reduce it</w:t>
      </w:r>
      <w:r>
        <w:t xml:space="preserve"> </w:t>
      </w:r>
      <w:r>
        <w:t xml:space="preserve">“</w:t>
      </w:r>
      <w:r>
        <w:t xml:space="preserve">to not less than one year.</w:t>
      </w:r>
      <w:r>
        <w:t xml:space="preserve">”</w:t>
      </w:r>
      <w:r>
        <w:t xml:space="preserve"> </w:t>
      </w:r>
      <w:r>
        <w:t xml:space="preserve">A one-year period therefore sits at the absolute statutory floor — it is technically enforceable, but it is the most aggressive reduction the UCC permits, and New York courts scrutinize limitations periods at or near the floor.</w:t>
      </w:r>
    </w:p>
    <w:p>
      <w:pPr>
        <w:pStyle w:val="Compact"/>
        <w:numPr>
          <w:ilvl w:val="0"/>
          <w:numId w:val="1014"/>
        </w:numPr>
      </w:pPr>
      <w:r>
        <w:rPr>
          <w:b/>
          <w:bCs/>
        </w:rPr>
        <w:t xml:space="preserve">Latent-defect tension.</w:t>
      </w:r>
      <w:r>
        <w:t xml:space="preserve"> </w:t>
      </w:r>
      <w:r>
        <w:t xml:space="preserve">The Transaction Documents elsewhere acknowledge that defects in botanical extracts may be latent and not reasonably discoverable on incoming testing: SA § 7.3 permits latent-defect claims</w:t>
      </w:r>
      <w:r>
        <w:t xml:space="preserve"> </w:t>
      </w:r>
      <w:r>
        <w:t xml:space="preserve">“</w:t>
      </w:r>
      <w:r>
        <w:t xml:space="preserve">within twelve (12) months of the date of delivery</w:t>
      </w:r>
      <w:r>
        <w:t xml:space="preserve">”</w:t>
      </w:r>
      <w:r>
        <w:t xml:space="preserve">; QA §§ 3.5, 5.1, and 5.5 preserve claims for</w:t>
      </w:r>
      <w:r>
        <w:t xml:space="preserve"> </w:t>
      </w:r>
      <w:r>
        <w:t xml:space="preserve">“</w:t>
      </w:r>
      <w:r>
        <w:t xml:space="preserve">latent defects … not reasonably discoverable through standard incoming verification testing.</w:t>
      </w:r>
      <w:r>
        <w:t xml:space="preserve">”</w:t>
      </w:r>
      <w:r>
        <w:t xml:space="preserve"> </w:t>
      </w:r>
      <w:r>
        <w:t xml:space="preserve">But SA § 14.9’s one-year clock runs from when the claimant</w:t>
      </w:r>
      <w:r>
        <w:t xml:space="preserve"> </w:t>
      </w:r>
      <w:r>
        <w:t xml:space="preserve">“</w:t>
      </w:r>
      <w:r>
        <w:t xml:space="preserve">knew or</w:t>
      </w:r>
      <w:r>
        <w:t xml:space="preserve"> </w:t>
      </w:r>
      <w:r>
        <w:rPr>
          <w:b/>
          <w:bCs/>
        </w:rPr>
        <w:t xml:space="preserve">should have known</w:t>
      </w:r>
      <w:r>
        <w:t xml:space="preserve">”</w:t>
      </w:r>
      <w:r>
        <w:t xml:space="preserve"> </w:t>
      </w:r>
      <w:r>
        <w:t xml:space="preserve">of the facts — an objective standard that a tribunal could invoke to bar a claim even where the defect was not actually discovered until later (e.g., contamination that manifests only after the extract is incorporated into finished product and consumed, triggering a recall). The</w:t>
      </w:r>
      <w:r>
        <w:t xml:space="preserve"> </w:t>
      </w:r>
      <w:r>
        <w:t xml:space="preserve">“</w:t>
      </w:r>
      <w:r>
        <w:t xml:space="preserve">should have known</w:t>
      </w:r>
      <w:r>
        <w:t xml:space="preserve">”</w:t>
      </w:r>
      <w:r>
        <w:t xml:space="preserve"> </w:t>
      </w:r>
      <w:r>
        <w:t xml:space="preserve">trigger and the latent-defect acknowledgments are in direct tension.</w:t>
      </w:r>
    </w:p>
    <w:p>
      <w:pPr>
        <w:pStyle w:val="Compact"/>
        <w:numPr>
          <w:ilvl w:val="0"/>
          <w:numId w:val="1014"/>
        </w:numPr>
      </w:pPr>
      <w:r>
        <w:rPr>
          <w:b/>
          <w:bCs/>
        </w:rPr>
        <w:t xml:space="preserve">Trigger inconsistency.</w:t>
      </w:r>
      <w:r>
        <w:t xml:space="preserve"> </w:t>
      </w:r>
      <w:r>
        <w:t xml:space="preserve">SA § 7.3 measures latent-defect claims from the</w:t>
      </w:r>
      <w:r>
        <w:t xml:space="preserve"> </w:t>
      </w:r>
      <w:r>
        <w:rPr>
          <w:b/>
          <w:bCs/>
        </w:rPr>
        <w:t xml:space="preserve">date of delivery</w:t>
      </w:r>
      <w:r>
        <w:t xml:space="preserve">, while SA § 14.9 measures the arbitration limitation from</w:t>
      </w:r>
      <w:r>
        <w:t xml:space="preserve"> </w:t>
      </w:r>
      <w:r>
        <w:rPr>
          <w:b/>
          <w:bCs/>
        </w:rPr>
        <w:t xml:space="preserve">knowledge/discoverability</w:t>
      </w:r>
      <w:r>
        <w:t xml:space="preserve">. For a latent defect discovered, say, 11 months after delivery, § 7.3 would allow a claim through month 23, but § 14.9 could be argued to bar arbitration if the claimant</w:t>
      </w:r>
      <w:r>
        <w:t xml:space="preserve"> </w:t>
      </w:r>
      <w:r>
        <w:t xml:space="preserve">“</w:t>
      </w:r>
      <w:r>
        <w:t xml:space="preserve">should have known</w:t>
      </w:r>
      <w:r>
        <w:t xml:space="preserve">”</w:t>
      </w:r>
      <w:r>
        <w:t xml:space="preserve"> </w:t>
      </w:r>
      <w:r>
        <w:t xml:space="preserve">earlier. The two provisions do not align.</w:t>
      </w:r>
    </w:p>
    <w:p>
      <w:pPr>
        <w:pStyle w:val="Compact"/>
        <w:numPr>
          <w:ilvl w:val="0"/>
          <w:numId w:val="1014"/>
        </w:numPr>
      </w:pPr>
      <w:r>
        <w:rPr>
          <w:b/>
          <w:bCs/>
        </w:rPr>
        <w:t xml:space="preserve">Relationship duration.</w:t>
      </w:r>
      <w:r>
        <w:t xml:space="preserve"> </w:t>
      </w:r>
      <w:r>
        <w:t xml:space="preserve">A one-year period is unusually short for a 7-to-13-year supply relationship involving recurring shipments and annual pricing adjustments. Latent adulteration, stability, or contamination issues in botanical extracts may not surface for years.</w:t>
      </w:r>
    </w:p>
    <w:p>
      <w:pPr>
        <w:pStyle w:val="FirstParagraph"/>
      </w:pPr>
      <w:r>
        <w:rPr>
          <w:b/>
          <w:bCs/>
        </w:rPr>
        <w:t xml:space="preserve">Recommendation.</w:t>
      </w:r>
      <w:r>
        <w:t xml:space="preserve"> </w:t>
      </w:r>
      <w:r>
        <w:t xml:space="preserve">Extend the limitation period to</w:t>
      </w:r>
      <w:r>
        <w:t xml:space="preserve"> </w:t>
      </w:r>
      <w:r>
        <w:rPr>
          <w:b/>
          <w:bCs/>
        </w:rPr>
        <w:t xml:space="preserve">four years</w:t>
      </w:r>
      <w:r>
        <w:t xml:space="preserve"> </w:t>
      </w:r>
      <w:r>
        <w:t xml:space="preserve">(the UCC § 2-725 default), or at minimum to two-to-three years, and align the trigger across provisions. Specifically: (a) harmonize SA § 14.9 with SA § 7.3 and QA §§ 3.5/5.1/5.5 so that the limitation period for latent defects runs from</w:t>
      </w:r>
      <w:r>
        <w:t xml:space="preserve"> </w:t>
      </w:r>
      <w:r>
        <w:rPr>
          <w:b/>
          <w:bCs/>
        </w:rPr>
        <w:t xml:space="preserve">actual discovery</w:t>
      </w:r>
      <w:r>
        <w:t xml:space="preserve"> </w:t>
      </w:r>
      <w:r>
        <w:t xml:space="preserve">(not constructive knowledge) and is no shorter than the latent-defect claim window; (b) confirm that the limitation period is tolled during any expert-determination, negotiation, or mediation step; and (c) preserve any longer statutory period required by applicable law (e.g., fraud, willful misconduct).</w:t>
      </w:r>
    </w:p>
    <w:bookmarkEnd w:id="30"/>
    <w:bookmarkStart w:id="31" w:name="Xf60a97b70eee2b080342e6041c4fdbe8a719001"/>
    <w:p>
      <w:pPr>
        <w:pStyle w:val="Heading4"/>
      </w:pPr>
      <w:r>
        <w:t xml:space="preserve">Issue 7 — Blanket discovery prohibition cripples quality/recall claims and may be unenforceable</w:t>
      </w:r>
    </w:p>
    <w:p>
      <w:pPr>
        <w:pStyle w:val="FirstParagraph"/>
      </w:pPr>
      <w:r>
        <w:rPr>
          <w:b/>
          <w:bCs/>
        </w:rPr>
        <w:t xml:space="preserve">Provisions:</w:t>
      </w:r>
      <w:r>
        <w:t xml:space="preserve"> </w:t>
      </w:r>
      <w:r>
        <w:t xml:space="preserve">SA § 14.5; cf. QA § 4.4 (audit rights).</w:t>
      </w:r>
    </w:p>
    <w:p>
      <w:pPr>
        <w:pStyle w:val="BodyText"/>
      </w:pPr>
      <w:r>
        <w:rPr>
          <w:b/>
          <w:bCs/>
        </w:rPr>
        <w:t xml:space="preserve">Analysis.</w:t>
      </w:r>
      <w:r>
        <w:t xml:space="preserve"> </w:t>
      </w:r>
      <w:r>
        <w:t xml:space="preserve">SA § 14.5 provides that</w:t>
      </w:r>
      <w:r>
        <w:t xml:space="preserve"> </w:t>
      </w:r>
      <w:r>
        <w:t xml:space="preserve">“</w:t>
      </w:r>
      <w:r>
        <w:t xml:space="preserve">[n]o discovery shall be permitted in the arbitration,</w:t>
      </w:r>
      <w:r>
        <w:t xml:space="preserve">”</w:t>
      </w:r>
      <w:r>
        <w:t xml:space="preserve"> </w:t>
      </w:r>
      <w:r>
        <w:t xml:space="preserve">with each party retaining the right to present documentary evidence and witness testimony at the hearing. The H&amp;G Memo (Part III.C) defends this as consistent with international norms and as protecting Pacifica’s trade secrets from U.S.-style</w:t>
      </w:r>
      <w:r>
        <w:t xml:space="preserve"> </w:t>
      </w:r>
      <w:r>
        <w:t xml:space="preserve">“</w:t>
      </w:r>
      <w:r>
        <w:t xml:space="preserve">fishing expeditions.</w:t>
      </w:r>
      <w:r>
        <w:t xml:space="preserve">”</w:t>
      </w:r>
    </w:p>
    <w:p>
      <w:pPr>
        <w:pStyle w:val="BodyText"/>
      </w:pPr>
      <w:r>
        <w:t xml:space="preserve">The trade-secret concern is legitimate, but the clause as drafted is overbroad and, in our view, problematic on two grounds:</w:t>
      </w:r>
    </w:p>
    <w:p>
      <w:pPr>
        <w:pStyle w:val="Compact"/>
        <w:numPr>
          <w:ilvl w:val="0"/>
          <w:numId w:val="1015"/>
        </w:numPr>
      </w:pPr>
      <w:r>
        <w:rPr>
          <w:b/>
          <w:bCs/>
        </w:rPr>
        <w:t xml:space="preserve">It is likely unenforceable as an absolute bar.</w:t>
      </w:r>
      <w:r>
        <w:t xml:space="preserve"> </w:t>
      </w:r>
      <w:r>
        <w:t xml:space="preserve">International arbitral tribunals have inherent authority — and, under the IAA/Model Law, statutory authority — to order such document production as is necessary for a fair hearing. An absolute</w:t>
      </w:r>
      <w:r>
        <w:t xml:space="preserve"> </w:t>
      </w:r>
      <w:r>
        <w:t xml:space="preserve">“</w:t>
      </w:r>
      <w:r>
        <w:t xml:space="preserve">no discovery</w:t>
      </w:r>
      <w:r>
        <w:t xml:space="preserve">”</w:t>
      </w:r>
      <w:r>
        <w:t xml:space="preserve"> </w:t>
      </w:r>
      <w:r>
        <w:t xml:space="preserve">clause that purports to oust the tribunal’s ability to order production of documents necessary to a party’s case may be overridden as inconsistent with due process and the mandatory provisions of the seat’s arbitration law. The prevailing international standard (reflected in the IBA Rules on the Taking of Evidence) is</w:t>
      </w:r>
      <w:r>
        <w:t xml:space="preserve"> </w:t>
      </w:r>
      <w:r>
        <w:rPr>
          <w:i/>
          <w:iCs/>
        </w:rPr>
        <w:t xml:space="preserve">limited, targeted</w:t>
      </w:r>
      <w:r>
        <w:t xml:space="preserve"> </w:t>
      </w:r>
      <w:r>
        <w:t xml:space="preserve">document production (typically via a Redfern Schedule), not a total prohibition. The H&amp;G Memo’s own citation to the IBA Rules undercuts an absolute bar, because the IBA Rules</w:t>
      </w:r>
      <w:r>
        <w:t xml:space="preserve"> </w:t>
      </w:r>
      <w:r>
        <w:rPr>
          <w:i/>
          <w:iCs/>
        </w:rPr>
        <w:t xml:space="preserve">permit</w:t>
      </w:r>
      <w:r>
        <w:t xml:space="preserve"> </w:t>
      </w:r>
      <w:r>
        <w:t xml:space="preserve">document production.</w:t>
      </w:r>
    </w:p>
    <w:p>
      <w:pPr>
        <w:pStyle w:val="Compact"/>
        <w:numPr>
          <w:ilvl w:val="0"/>
          <w:numId w:val="1015"/>
        </w:numPr>
      </w:pPr>
      <w:r>
        <w:rPr>
          <w:b/>
          <w:bCs/>
        </w:rPr>
        <w:t xml:space="preserve">It cripples Greenleaf’s ability to prove quality/recall claims.</w:t>
      </w:r>
      <w:r>
        <w:t xml:space="preserve"> </w:t>
      </w:r>
      <w:r>
        <w:t xml:space="preserve">In a contamination or adulteration dispute, Greenleaf will need Pacifica’s batch manufacturing records, out-of-specification investigation reports, Certificates of Analysis, raw-material sourcing data, and stability data. These are uniquely in Pacifica’s possession. The H&amp;G Memo’s assurance that</w:t>
      </w:r>
      <w:r>
        <w:t xml:space="preserve"> </w:t>
      </w:r>
      <w:r>
        <w:t xml:space="preserve">“</w:t>
      </w:r>
      <w:r>
        <w:t xml:space="preserve">voluntary disclosure</w:t>
      </w:r>
      <w:r>
        <w:t xml:space="preserve">”</w:t>
      </w:r>
      <w:r>
        <w:t xml:space="preserve"> </w:t>
      </w:r>
      <w:r>
        <w:t xml:space="preserve">remains available is cold comfort: in an adversarial arbitration, Pacifica will not voluntarily produce documents that support Greenleaf’s case. The clause also sits awkwardly alongside QA § 4.4, which grants Greenleaf audit rights over Pacifica’s facilities and records — but audit rights are not a substitute for compelled production in arbitration, and the SA’s hierarchy clause (§ 15.8) could be invoked to subordinate the QA audit right to the SA’s no-discovery rule in the arbitration context.</w:t>
      </w:r>
    </w:p>
    <w:p>
      <w:pPr>
        <w:pStyle w:val="FirstParagraph"/>
      </w:pPr>
      <w:r>
        <w:rPr>
          <w:b/>
          <w:bCs/>
        </w:rPr>
        <w:t xml:space="preserve">Recommendation.</w:t>
      </w:r>
      <w:r>
        <w:t xml:space="preserve"> </w:t>
      </w:r>
      <w:r>
        <w:t xml:space="preserve">Replace the absolute bar with a</w:t>
      </w:r>
      <w:r>
        <w:t xml:space="preserve"> </w:t>
      </w:r>
      <w:r>
        <w:rPr>
          <w:b/>
          <w:bCs/>
        </w:rPr>
        <w:t xml:space="preserve">limited, IBA-style document-production regime</w:t>
      </w:r>
      <w:r>
        <w:t xml:space="preserve">: each party may request specific, narrowly tailored categories of documents relevant to the issues in dispute, with the tribunal empowered to order production subject to relevance, materiality, and proportionality standards. Pair this with a robust</w:t>
      </w:r>
      <w:r>
        <w:t xml:space="preserve"> </w:t>
      </w:r>
      <w:r>
        <w:rPr>
          <w:b/>
          <w:bCs/>
        </w:rPr>
        <w:t xml:space="preserve">protective/confidentiality order</w:t>
      </w:r>
      <w:r>
        <w:t xml:space="preserve"> </w:t>
      </w:r>
      <w:r>
        <w:t xml:space="preserve">(a) designating Pacifica’s manufacturing process data and trade secrets as</w:t>
      </w:r>
      <w:r>
        <w:t xml:space="preserve"> </w:t>
      </w:r>
      <w:r>
        <w:t xml:space="preserve">“</w:t>
      </w:r>
      <w:r>
        <w:t xml:space="preserve">Confidential</w:t>
      </w:r>
      <w:r>
        <w:t xml:space="preserve">”</w:t>
      </w:r>
      <w:r>
        <w:t xml:space="preserve"> </w:t>
      </w:r>
      <w:r>
        <w:t xml:space="preserve">or</w:t>
      </w:r>
      <w:r>
        <w:t xml:space="preserve"> </w:t>
      </w:r>
      <w:r>
        <w:t xml:space="preserve">“</w:t>
      </w:r>
      <w:r>
        <w:t xml:space="preserve">Attorneys’ Eyes Only,</w:t>
      </w:r>
      <w:r>
        <w:t xml:space="preserve">”</w:t>
      </w:r>
      <w:r>
        <w:t xml:space="preserve"> </w:t>
      </w:r>
      <w:r>
        <w:t xml:space="preserve">(b) restricting access to outside counsel and tribunal-appointed experts, and (c) prohibiting use outside the arbitration. This addresses Pacifica’s legitimate trade-secret concern while preserving Greenleaf’s ability to prove its case. Confirm that the QA § 4.4 audit rights survive and are enforceable independently of the arbitration production regime.</w:t>
      </w:r>
    </w:p>
    <w:bookmarkEnd w:id="31"/>
    <w:bookmarkEnd w:id="32"/>
    <w:bookmarkStart w:id="37" w:name="medium-severity-issues"/>
    <w:p>
      <w:pPr>
        <w:pStyle w:val="Heading3"/>
      </w:pPr>
      <w:r>
        <w:t xml:space="preserve">MEDIUM-SEVERITY ISSUES</w:t>
      </w:r>
    </w:p>
    <w:bookmarkStart w:id="33" w:name="Xadc4af1b8344cb35791d01bba9395d3fb1c420a"/>
    <w:p>
      <w:pPr>
        <w:pStyle w:val="Heading4"/>
      </w:pPr>
      <w:r>
        <w:t xml:space="preserve">Issue 8 — Expert-determination</w:t>
      </w:r>
      <w:r>
        <w:t xml:space="preserve"> </w:t>
      </w:r>
      <w:r>
        <w:t xml:space="preserve">“</w:t>
      </w:r>
      <w:r>
        <w:t xml:space="preserve">challenge</w:t>
      </w:r>
      <w:r>
        <w:t xml:space="preserve">”</w:t>
      </w:r>
      <w:r>
        <w:t xml:space="preserve"> </w:t>
      </w:r>
      <w:r>
        <w:t xml:space="preserve">escape hatch defeats the two-step mechanism</w:t>
      </w:r>
    </w:p>
    <w:p>
      <w:pPr>
        <w:pStyle w:val="FirstParagraph"/>
      </w:pPr>
      <w:r>
        <w:rPr>
          <w:b/>
          <w:bCs/>
        </w:rPr>
        <w:t xml:space="preserve">Provisions:</w:t>
      </w:r>
      <w:r>
        <w:t xml:space="preserve"> </w:t>
      </w:r>
      <w:r>
        <w:t xml:space="preserve">QA §§ 7.1, 7.2.</w:t>
      </w:r>
    </w:p>
    <w:p>
      <w:pPr>
        <w:pStyle w:val="BodyText"/>
      </w:pPr>
      <w:r>
        <w:rPr>
          <w:b/>
          <w:bCs/>
        </w:rPr>
        <w:t xml:space="preserve">Analysis.</w:t>
      </w:r>
      <w:r>
        <w:t xml:space="preserve"> </w:t>
      </w:r>
      <w:r>
        <w:t xml:space="preserve">QA § 7.1 provides that the Expert’s determination is</w:t>
      </w:r>
      <w:r>
        <w:t xml:space="preserve"> </w:t>
      </w:r>
      <w:r>
        <w:t xml:space="preserve">“</w:t>
      </w:r>
      <w:r>
        <w:t xml:space="preserve">final and binding on the Parties, subject to Section 7.2.</w:t>
      </w:r>
      <w:r>
        <w:t xml:space="preserve">”</w:t>
      </w:r>
      <w:r>
        <w:t xml:space="preserve"> </w:t>
      </w:r>
      <w:r>
        <w:t xml:space="preserve">QA § 7.2 provides for escalation to full SIAC arbitration if the dispute exceeds $5 million</w:t>
      </w:r>
      <w:r>
        <w:t xml:space="preserve"> </w:t>
      </w:r>
      <w:r>
        <w:rPr>
          <w:b/>
          <w:bCs/>
        </w:rPr>
        <w:t xml:space="preserve">or</w:t>
      </w:r>
      <w:r>
        <w:t xml:space="preserve"> </w:t>
      </w:r>
      <w:r>
        <w:t xml:space="preserve">“</w:t>
      </w:r>
      <w:r>
        <w:t xml:space="preserve">if the expert determination rendered pursuant to Section 7.1 is challenged by either Party.</w:t>
      </w:r>
      <w:r>
        <w:t xml:space="preserve">”</w:t>
      </w:r>
    </w:p>
    <w:p>
      <w:pPr>
        <w:pStyle w:val="BodyText"/>
      </w:pPr>
      <w:r>
        <w:t xml:space="preserve">The $5 million threshold is an objective, workable trigger. The</w:t>
      </w:r>
      <w:r>
        <w:t xml:space="preserve"> </w:t>
      </w:r>
      <w:r>
        <w:t xml:space="preserve">“</w:t>
      </w:r>
      <w:r>
        <w:t xml:space="preserve">if … challenged by either Party</w:t>
      </w:r>
      <w:r>
        <w:t xml:space="preserve">”</w:t>
      </w:r>
      <w:r>
        <w:t xml:space="preserve"> </w:t>
      </w:r>
      <w:r>
        <w:t xml:space="preserve">trigger is not. It is an open-ended, unilateral escape hatch: any dissatisfied party can</w:t>
      </w:r>
      <w:r>
        <w:t xml:space="preserve"> </w:t>
      </w:r>
      <w:r>
        <w:t xml:space="preserve">“</w:t>
      </w:r>
      <w:r>
        <w:t xml:space="preserve">challenge</w:t>
      </w:r>
      <w:r>
        <w:t xml:space="preserve">”</w:t>
      </w:r>
      <w:r>
        <w:t xml:space="preserve"> </w:t>
      </w:r>
      <w:r>
        <w:t xml:space="preserve">the Expert’s determination and force escalation to full arbitration, with no defined standard for what constitutes a</w:t>
      </w:r>
      <w:r>
        <w:t xml:space="preserve"> </w:t>
      </w:r>
      <w:r>
        <w:t xml:space="preserve">“</w:t>
      </w:r>
      <w:r>
        <w:t xml:space="preserve">challenge</w:t>
      </w:r>
      <w:r>
        <w:t xml:space="preserve">”</w:t>
      </w:r>
      <w:r>
        <w:t xml:space="preserve"> </w:t>
      </w:r>
      <w:r>
        <w:t xml:space="preserve">(a notice? a refusal to accept? a stated objection?). In practice, this renders the Expert’s determination advisory rather than final — defeating the cost-and-speed rationale that H&amp;G invokes for expert determination in the first place. A party that loses before the Expert will invariably</w:t>
      </w:r>
      <w:r>
        <w:t xml:space="preserve"> </w:t>
      </w:r>
      <w:r>
        <w:t xml:space="preserve">“</w:t>
      </w:r>
      <w:r>
        <w:t xml:space="preserve">challenge,</w:t>
      </w:r>
      <w:r>
        <w:t xml:space="preserve">”</w:t>
      </w:r>
      <w:r>
        <w:t xml:space="preserve"> </w:t>
      </w:r>
      <w:r>
        <w:t xml:space="preserve">so the two-step mechanism collapses into a single (more expensive) arbitration step in every non-trivial case.</w:t>
      </w:r>
    </w:p>
    <w:p>
      <w:pPr>
        <w:pStyle w:val="BodyText"/>
      </w:pPr>
      <w:r>
        <w:rPr>
          <w:b/>
          <w:bCs/>
        </w:rPr>
        <w:t xml:space="preserve">Recommendation.</w:t>
      </w:r>
      <w:r>
        <w:t xml:space="preserve"> </w:t>
      </w:r>
      <w:r>
        <w:t xml:space="preserve">Make the Expert’s determination final and binding except on</w:t>
      </w:r>
      <w:r>
        <w:t xml:space="preserve"> </w:t>
      </w:r>
      <w:r>
        <w:rPr>
          <w:b/>
          <w:bCs/>
        </w:rPr>
        <w:t xml:space="preserve">defined, narrow grounds</w:t>
      </w:r>
      <w:r>
        <w:t xml:space="preserve">: (a) the dispute exceeds the $5 million threshold (objective, retained); (b) fraud, corruption, or misconduct by the Expert; or (c) manifest error on the face of the determination. Delete the open-ended</w:t>
      </w:r>
      <w:r>
        <w:t xml:space="preserve"> </w:t>
      </w:r>
      <w:r>
        <w:t xml:space="preserve">“</w:t>
      </w:r>
      <w:r>
        <w:t xml:space="preserve">challenged by either Party</w:t>
      </w:r>
      <w:r>
        <w:t xml:space="preserve">”</w:t>
      </w:r>
      <w:r>
        <w:t xml:space="preserve"> </w:t>
      </w:r>
      <w:r>
        <w:t xml:space="preserve">trigger. If the parties want a broader right of de novo review for higher-value disputes, tie it solely to the monetary threshold, not to a subjective</w:t>
      </w:r>
      <w:r>
        <w:t xml:space="preserve"> </w:t>
      </w:r>
      <w:r>
        <w:t xml:space="preserve">“</w:t>
      </w:r>
      <w:r>
        <w:t xml:space="preserve">challenge.</w:t>
      </w:r>
      <w:r>
        <w:t xml:space="preserve">”</w:t>
      </w:r>
    </w:p>
    <w:bookmarkEnd w:id="33"/>
    <w:bookmarkStart w:id="34" w:name="X2165ccc13edaa3a945fd7760f6f85ffe4377d75"/>
    <w:p>
      <w:pPr>
        <w:pStyle w:val="Heading4"/>
      </w:pPr>
      <w:r>
        <w:t xml:space="preserve">Issue 9 — Inconsistent cost-allocation regimes across the three documents</w:t>
      </w:r>
    </w:p>
    <w:p>
      <w:pPr>
        <w:pStyle w:val="FirstParagraph"/>
      </w:pPr>
      <w:r>
        <w:rPr>
          <w:b/>
          <w:bCs/>
        </w:rPr>
        <w:t xml:space="preserve">Provisions:</w:t>
      </w:r>
      <w:r>
        <w:t xml:space="preserve"> </w:t>
      </w:r>
      <w:r>
        <w:t xml:space="preserve">SA § 14.8 (loser pays all costs, including prevailing party’s reasonable attorneys’ fees); IPLA § 9.4 (each party bears its own costs; arbitrator/LCIA costs shared equally unless tribunal decides otherwise); QA § 7.1 (each party bears its own costs; Expert’s fees shared equally); QA § 7.2 (silent — defaults to SIAC Rules).</w:t>
      </w:r>
    </w:p>
    <w:p>
      <w:pPr>
        <w:pStyle w:val="BodyText"/>
      </w:pPr>
      <w:r>
        <w:rPr>
          <w:b/>
          <w:bCs/>
        </w:rPr>
        <w:t xml:space="preserve">Analysis.</w:t>
      </w:r>
      <w:r>
        <w:t xml:space="preserve"> </w:t>
      </w:r>
      <w:r>
        <w:t xml:space="preserve">The three documents adopt materially different cost regimes. The SA applies a loser-pays/fee-shifting model; the IPLA applies an each-bears-own model with tribunal discretion; the QA expert step splits the Expert’s fees; and the QA arbitration step is silent (defaulting to the SIAC Rules’ tribunal discretion). For overlapping disputes, this creates uncertainty as to which cost regime applies and produces inconsistent settlement leverage (loser-pays materially raises the stakes of weak claims; each-bears-own does not).</w:t>
      </w:r>
    </w:p>
    <w:p>
      <w:pPr>
        <w:pStyle w:val="BodyText"/>
      </w:pPr>
      <w:r>
        <w:rPr>
          <w:b/>
          <w:bCs/>
        </w:rPr>
        <w:t xml:space="preserve">Recommendation.</w:t>
      </w:r>
      <w:r>
        <w:t xml:space="preserve"> </w:t>
      </w:r>
      <w:r>
        <w:t xml:space="preserve">Harmonize to a single cost rule across all three documents. We recommend a</w:t>
      </w:r>
      <w:r>
        <w:t xml:space="preserve"> </w:t>
      </w:r>
      <w:r>
        <w:rPr>
          <w:b/>
          <w:bCs/>
        </w:rPr>
        <w:t xml:space="preserve">loser-pays regime with tribunal discretion</w:t>
      </w:r>
      <w:r>
        <w:t xml:space="preserve"> </w:t>
      </w:r>
      <w:r>
        <w:t xml:space="preserve">(consistent with the SA and with international practice): the tribunal may allocate the costs of the arbitration, including reasonable attorneys’ fees, taking into account the parties’ relative success. This deters frivolous claims while preserving flexibility for split outcomes. State the rule identically in each document (or, preferably, once in a master SA provision that governs all Transaction Documents).</w:t>
      </w:r>
    </w:p>
    <w:bookmarkEnd w:id="34"/>
    <w:bookmarkStart w:id="35" w:name="X6ca437cfb7ca33ad1749d5746aeea4abf4f178f"/>
    <w:p>
      <w:pPr>
        <w:pStyle w:val="Heading4"/>
      </w:pPr>
      <w:r>
        <w:t xml:space="preserve">Issue 10 — Sole-arbitrator default and inconsistent tribunal size across documents</w:t>
      </w:r>
    </w:p>
    <w:p>
      <w:pPr>
        <w:pStyle w:val="FirstParagraph"/>
      </w:pPr>
      <w:r>
        <w:rPr>
          <w:b/>
          <w:bCs/>
        </w:rPr>
        <w:t xml:space="preserve">Provisions:</w:t>
      </w:r>
      <w:r>
        <w:t xml:space="preserve"> </w:t>
      </w:r>
      <w:r>
        <w:t xml:space="preserve">SA § 14.3 (one arbitrator, unless either party requests three within 15 days of the Request for Arbitration); QA § 7.2 (three arbitrators, mandatory); IPLA § 9.1 (one arbitrator, mandatory).</w:t>
      </w:r>
    </w:p>
    <w:p>
      <w:pPr>
        <w:pStyle w:val="BodyText"/>
      </w:pPr>
      <w:r>
        <w:rPr>
          <w:b/>
          <w:bCs/>
        </w:rPr>
        <w:t xml:space="preserve">Analysis.</w:t>
      </w:r>
      <w:r>
        <w:t xml:space="preserve"> </w:t>
      </w:r>
      <w:r>
        <w:t xml:space="preserve">The SA defaults to a sole arbitrator with an opt-up to three within 15 days of the Request for Arbitration; the QA arbitration step mandates three; the IPLA mandates one. For a relationship with up to $250M+ in commitments and complex multi-issue disputes, a sole-arbitrator default is a cost/speed tradeoff that may be insufficient for high-value or technically complex matters. The 15-day opt-up window is tight, and the trigger (the Request for Arbitration) may not reveal the dispute’s ultimate complexity or value at the outset. The inconsistency across documents compounds the fragmentation concerns in Issues 1 and 2.</w:t>
      </w:r>
    </w:p>
    <w:p>
      <w:pPr>
        <w:pStyle w:val="BodyText"/>
      </w:pPr>
      <w:r>
        <w:rPr>
          <w:b/>
          <w:bCs/>
        </w:rPr>
        <w:t xml:space="preserve">Recommendation.</w:t>
      </w:r>
      <w:r>
        <w:t xml:space="preserve"> </w:t>
      </w:r>
      <w:r>
        <w:t xml:space="preserve">Standardize tribunal size. We recommend a</w:t>
      </w:r>
      <w:r>
        <w:t xml:space="preserve"> </w:t>
      </w:r>
      <w:r>
        <w:rPr>
          <w:b/>
          <w:bCs/>
        </w:rPr>
        <w:t xml:space="preserve">three-arbitrator default</w:t>
      </w:r>
      <w:r>
        <w:t xml:space="preserve"> </w:t>
      </w:r>
      <w:r>
        <w:t xml:space="preserve">for the master regime (appropriate to the value and complexity), or, if a sole-arbitrator default is retained, extend the opt-up window to 30 days and permit opt-up based on either party’s request at any time before tribunal constitution, with the threshold tied to a monetary trigger (e.g., claims above a defined amount automatically proceed to three). Align the QA and IPLA provisions to the same rule.</w:t>
      </w:r>
    </w:p>
    <w:bookmarkEnd w:id="35"/>
    <w:bookmarkStart w:id="36" w:name="Xe1ccb19f20f73153a2a441131a9aae33e1966b7"/>
    <w:p>
      <w:pPr>
        <w:pStyle w:val="Heading4"/>
      </w:pPr>
      <w:r>
        <w:t xml:space="preserve">Issue 11 —</w:t>
      </w:r>
      <w:r>
        <w:t xml:space="preserve"> </w:t>
      </w:r>
      <w:r>
        <w:t xml:space="preserve">“</w:t>
      </w:r>
      <w:r>
        <w:t xml:space="preserve">General principles of international commercial law</w:t>
      </w:r>
      <w:r>
        <w:t xml:space="preserve">”</w:t>
      </w:r>
      <w:r>
        <w:t xml:space="preserve"> </w:t>
      </w:r>
      <w:r>
        <w:t xml:space="preserve">gap-filler undermines the New York-law choice</w:t>
      </w:r>
    </w:p>
    <w:p>
      <w:pPr>
        <w:pStyle w:val="FirstParagraph"/>
      </w:pPr>
      <w:r>
        <w:rPr>
          <w:b/>
          <w:bCs/>
        </w:rPr>
        <w:t xml:space="preserve">Provisions:</w:t>
      </w:r>
      <w:r>
        <w:t xml:space="preserve"> </w:t>
      </w:r>
      <w:r>
        <w:t xml:space="preserve">SA § 14.4.</w:t>
      </w:r>
    </w:p>
    <w:p>
      <w:pPr>
        <w:pStyle w:val="BodyText"/>
      </w:pPr>
      <w:r>
        <w:rPr>
          <w:b/>
          <w:bCs/>
        </w:rPr>
        <w:t xml:space="preserve">Analysis.</w:t>
      </w:r>
      <w:r>
        <w:t xml:space="preserve"> </w:t>
      </w:r>
      <w:r>
        <w:t xml:space="preserve">SA § 14.4 directs the tribunal to apply New York substantive law and,</w:t>
      </w:r>
      <w:r>
        <w:t xml:space="preserve"> </w:t>
      </w:r>
      <w:r>
        <w:t xml:space="preserve">“</w:t>
      </w:r>
      <w:r>
        <w:t xml:space="preserve">[t]o the extent New York law does not address an issue,</w:t>
      </w:r>
      <w:r>
        <w:t xml:space="preserve">”</w:t>
      </w:r>
      <w:r>
        <w:t xml:space="preserve"> </w:t>
      </w:r>
      <w:r>
        <w:t xml:space="preserve">to apply</w:t>
      </w:r>
      <w:r>
        <w:t xml:space="preserve"> </w:t>
      </w:r>
      <w:r>
        <w:t xml:space="preserve">“</w:t>
      </w:r>
      <w:r>
        <w:t xml:space="preserve">general principles of international commercial law.</w:t>
      </w:r>
      <w:r>
        <w:t xml:space="preserve">”</w:t>
      </w:r>
      <w:r>
        <w:t xml:space="preserve"> </w:t>
      </w:r>
      <w:r>
        <w:t xml:space="preserve">This gap-filler is unusual and, in our view, counterproductive. New York law — including UCC Article 2 for the sale of goods and the common law of contracts — is comprehensive and will address virtually every issue likely to arise. The gap-filler is therefore largely unnecessary, but it introduces a vague, open-ended source of law (</w:t>
      </w:r>
      <w:r>
        <w:t xml:space="preserve">“</w:t>
      </w:r>
      <w:r>
        <w:t xml:space="preserve">general principles of international commercial law</w:t>
      </w:r>
      <w:r>
        <w:t xml:space="preserve">”</w:t>
      </w:r>
      <w:r>
        <w:t xml:space="preserve">) that gives the tribunal discretion to deviate from New York law on contested questions, creating unpredictability and undermining the parties’ express choice of law. It also invites argument over what the</w:t>
      </w:r>
      <w:r>
        <w:t xml:space="preserve"> </w:t>
      </w:r>
      <w:r>
        <w:t xml:space="preserve">“</w:t>
      </w:r>
      <w:r>
        <w:t xml:space="preserve">general principles</w:t>
      </w:r>
      <w:r>
        <w:t xml:space="preserve">”</w:t>
      </w:r>
      <w:r>
        <w:t xml:space="preserve"> </w:t>
      </w:r>
      <w:r>
        <w:t xml:space="preserve">are, adding a layer of meta-dispute.</w:t>
      </w:r>
    </w:p>
    <w:p>
      <w:pPr>
        <w:pStyle w:val="BodyText"/>
      </w:pPr>
      <w:r>
        <w:rPr>
          <w:b/>
          <w:bCs/>
        </w:rPr>
        <w:t xml:space="preserve">Recommendation.</w:t>
      </w:r>
      <w:r>
        <w:t xml:space="preserve"> </w:t>
      </w:r>
      <w:r>
        <w:t xml:space="preserve">Delete the gap-filler. If a residual gap-filler is desired, confine it to the law of the seat (Singapore) for procedural/curial questions only, leaving New York law as the exclusive source of substantive law. The cleaner approach is simply to state that the SA is governed by New York law (as already provided in SA § 15.11) and that the tribunal applies New York law to the merits.</w:t>
      </w:r>
    </w:p>
    <w:bookmarkEnd w:id="36"/>
    <w:bookmarkEnd w:id="37"/>
    <w:bookmarkStart w:id="41" w:name="low-severity-issues"/>
    <w:p>
      <w:pPr>
        <w:pStyle w:val="Heading3"/>
      </w:pPr>
      <w:r>
        <w:t xml:space="preserve">LOW-SEVERITY ISSUES</w:t>
      </w:r>
    </w:p>
    <w:bookmarkStart w:id="38" w:name="X7191380785e2cf6aea1a8fe9c0d7fd8e4727169"/>
    <w:p>
      <w:pPr>
        <w:pStyle w:val="Heading4"/>
      </w:pPr>
      <w:r>
        <w:t xml:space="preserve">Issue 12 — No pre-arbitration negotiation/mediation tier for a 13-year strategic relationship</w:t>
      </w:r>
    </w:p>
    <w:p>
      <w:pPr>
        <w:pStyle w:val="FirstParagraph"/>
      </w:pPr>
      <w:r>
        <w:rPr>
          <w:b/>
          <w:bCs/>
        </w:rPr>
        <w:t xml:space="preserve">Provisions:</w:t>
      </w:r>
      <w:r>
        <w:t xml:space="preserve"> </w:t>
      </w:r>
      <w:r>
        <w:t xml:space="preserve">SA Art. 14; IPLA § 9 (neither contains a negotiation/mediation step); cf. QA § 3.4 (15-business-day good-faith discussions before expert determination).</w:t>
      </w:r>
    </w:p>
    <w:p>
      <w:pPr>
        <w:pStyle w:val="BodyText"/>
      </w:pPr>
      <w:r>
        <w:rPr>
          <w:b/>
          <w:bCs/>
        </w:rPr>
        <w:t xml:space="preserve">Analysis.</w:t>
      </w:r>
      <w:r>
        <w:t xml:space="preserve"> </w:t>
      </w:r>
      <w:r>
        <w:t xml:space="preserve">The SA and IPLA proceed directly to arbitration with no structured negotiation or mediation tier. The QA Letter includes a brief good-faith-discussion step before expert determination. For a 13-year strategic supply relationship, a tiered escalation (senior-executive negotiation → mediation → arbitration) is best practice: it preserves the commercial relationship, resolves many disputes cheaply, and is consistent with the collaborative posture the parties have otherwise adopted.</w:t>
      </w:r>
    </w:p>
    <w:p>
      <w:pPr>
        <w:pStyle w:val="BodyText"/>
      </w:pPr>
      <w:r>
        <w:rPr>
          <w:b/>
          <w:bCs/>
        </w:rPr>
        <w:t xml:space="preserve">Recommendation.</w:t>
      </w:r>
      <w:r>
        <w:t xml:space="preserve"> </w:t>
      </w:r>
      <w:r>
        <w:t xml:space="preserve">Add a brief, mandatory escalation tier to the master dispute-resolution regime: e.g., 30 days of senior-executive negotiation upon written notice, followed by a 60-day mediation (under the ICC Mediation Rules or a similar institution) before either party may commence arbitration. Make clear that the limitation period (Issue 6) is tolled during this tier.</w:t>
      </w:r>
    </w:p>
    <w:bookmarkEnd w:id="38"/>
    <w:bookmarkStart w:id="39" w:name="Xd8a76cdd2259cc4ca763b08d8a8a01c77a2db8d"/>
    <w:p>
      <w:pPr>
        <w:pStyle w:val="Heading4"/>
      </w:pPr>
      <w:r>
        <w:t xml:space="preserve">Issue 13 — Confidentiality-of-proceedings provisions inconsistent or absent</w:t>
      </w:r>
    </w:p>
    <w:p>
      <w:pPr>
        <w:pStyle w:val="FirstParagraph"/>
      </w:pPr>
      <w:r>
        <w:rPr>
          <w:b/>
          <w:bCs/>
        </w:rPr>
        <w:t xml:space="preserve">Provisions:</w:t>
      </w:r>
      <w:r>
        <w:t xml:space="preserve"> </w:t>
      </w:r>
      <w:r>
        <w:t xml:space="preserve">SA § 14.10 (proceedings confidential, with a law/regulation carve-out); IPLA § 5 (confidentiality of information only; no proceedings-confidentiality clause); QA (no confidentiality-of-proceedings clause).</w:t>
      </w:r>
    </w:p>
    <w:p>
      <w:pPr>
        <w:pStyle w:val="BodyText"/>
      </w:pPr>
      <w:r>
        <w:rPr>
          <w:b/>
          <w:bCs/>
        </w:rPr>
        <w:t xml:space="preserve">Analysis.</w:t>
      </w:r>
      <w:r>
        <w:t xml:space="preserve"> </w:t>
      </w:r>
      <w:r>
        <w:t xml:space="preserve">Only the SA contains a confidentiality-of-proceedings clause. The IPLA addresses confidentiality of information but not of the arbitration itself; the QA Letter is silent. Given that disputes will routinely involve Pacifica’s trade-secret extraction processes and Greenleaf’s product-liability and recall exposure, consistent confidentiality-of-proceedings protection across all three documents is desirable.</w:t>
      </w:r>
    </w:p>
    <w:p>
      <w:pPr>
        <w:pStyle w:val="BodyText"/>
      </w:pPr>
      <w:r>
        <w:rPr>
          <w:b/>
          <w:bCs/>
        </w:rPr>
        <w:t xml:space="preserve">Recommendation.</w:t>
      </w:r>
      <w:r>
        <w:t xml:space="preserve"> </w:t>
      </w:r>
      <w:r>
        <w:t xml:space="preserve">Add an identical confidentiality-of-proceedings clause to the QA Letter and IPLA (or include it once in a master SA provision governing all Transaction Documents), with consistent carve-outs for disclosures required by law/regulation and for enforcement proceedings.</w:t>
      </w:r>
    </w:p>
    <w:bookmarkEnd w:id="39"/>
    <w:bookmarkStart w:id="40" w:name="X1dd11cb6affb8a75f6148fb796d4fbe27a38a05"/>
    <w:p>
      <w:pPr>
        <w:pStyle w:val="Heading4"/>
      </w:pPr>
      <w:r>
        <w:t xml:space="preserve">Issue 14 — Overbroad interim-relief forum selection; no intervention mechanism for controlling shareholder</w:t>
      </w:r>
    </w:p>
    <w:p>
      <w:pPr>
        <w:pStyle w:val="FirstParagraph"/>
      </w:pPr>
      <w:r>
        <w:rPr>
          <w:b/>
          <w:bCs/>
        </w:rPr>
        <w:t xml:space="preserve">Provisions:</w:t>
      </w:r>
      <w:r>
        <w:t xml:space="preserve"> </w:t>
      </w:r>
      <w:r>
        <w:t xml:space="preserve">SA § 14.7 (interim relief from</w:t>
      </w:r>
      <w:r>
        <w:t xml:space="preserve"> </w:t>
      </w:r>
      <w:r>
        <w:t xml:space="preserve">“</w:t>
      </w:r>
      <w:r>
        <w:t xml:space="preserve">any court of competent jurisdiction worldwide</w:t>
      </w:r>
      <w:r>
        <w:t xml:space="preserve">”</w:t>
      </w:r>
      <w:r>
        <w:t xml:space="preserve">); IPLA (Ridgeway defined as an Affiliate; no intervention mechanism).</w:t>
      </w:r>
    </w:p>
    <w:p>
      <w:pPr>
        <w:pStyle w:val="BodyText"/>
      </w:pPr>
      <w:r>
        <w:rPr>
          <w:b/>
          <w:bCs/>
        </w:rPr>
        <w:t xml:space="preserve">Analysis.</w:t>
      </w:r>
      <w:r>
        <w:t xml:space="preserve"> </w:t>
      </w:r>
      <w:r>
        <w:t xml:space="preserve">Two minor points. First, SA § 14.7’s authorization to seek interim relief from</w:t>
      </w:r>
      <w:r>
        <w:t xml:space="preserve"> </w:t>
      </w:r>
      <w:r>
        <w:t xml:space="preserve">“</w:t>
      </w:r>
      <w:r>
        <w:t xml:space="preserve">any court of competent jurisdiction worldwide</w:t>
      </w:r>
      <w:r>
        <w:t xml:space="preserve">”</w:t>
      </w:r>
      <w:r>
        <w:t xml:space="preserve"> </w:t>
      </w:r>
      <w:r>
        <w:t xml:space="preserve">is broad and could enable forum shopping for emergency measures; it is, however, a standard and generally acceptable carve-out, and we do not regard it as a problem requiring change (noting it only for completeness). Second, as Mr. Park observes in the Internal Email Chain, Ridgeway Capital Partners (approximately 62% equity holder, defined as a Greenleaf Affiliate in the IPLA) is not a party to any Transaction Document and has no intervention mechanism. While Ridgeway does not propose to intervene in arbitration, the absence of any mechanism means that if Greenleaf’s and Ridgeway’s interests diverge on a settlement question, there is no procedural vehicle to address it.</w:t>
      </w:r>
    </w:p>
    <w:p>
      <w:pPr>
        <w:pStyle w:val="BodyText"/>
      </w:pPr>
      <w:r>
        <w:rPr>
          <w:b/>
          <w:bCs/>
        </w:rPr>
        <w:t xml:space="preserve">Recommendation.</w:t>
      </w:r>
      <w:r>
        <w:t xml:space="preserve"> </w:t>
      </w:r>
      <w:r>
        <w:t xml:space="preserve">No change required to the interim-relief clause. On Ridgeway, consider whether a limited intervention/notice right is warranted; this is a corporate-governance matter more than a dispute-resolution one, and we flag it for the deal team’s consideration rather than as a negotiation item with Pacifica.</w:t>
      </w:r>
    </w:p>
    <w:bookmarkEnd w:id="40"/>
    <w:bookmarkEnd w:id="41"/>
    <w:bookmarkEnd w:id="42"/>
    <w:bookmarkStart w:id="46" w:name="v.-cross-cutting-observations"/>
    <w:p>
      <w:pPr>
        <w:pStyle w:val="Heading2"/>
      </w:pPr>
      <w:r>
        <w:t xml:space="preserve">V. Cross-Cutting Observations</w:t>
      </w:r>
    </w:p>
    <w:bookmarkStart w:id="43" w:name="a.-enforceability-in-u.s.-courts"/>
    <w:p>
      <w:pPr>
        <w:pStyle w:val="Heading3"/>
      </w:pPr>
      <w:r>
        <w:t xml:space="preserve">A. Enforceability in U.S. courts</w:t>
      </w:r>
    </w:p>
    <w:p>
      <w:pPr>
        <w:pStyle w:val="FirstParagraph"/>
      </w:pPr>
      <w:r>
        <w:t xml:space="preserve">Ms. Matsuda’s Priority 1 (enforceability in North Carolina and Delaware) is well placed, but the threat is not the Singapore seat — it is the drafting. Singapore is a New York Convention signatory, and awards rendered there are enforceable in the United States under Chapter 2 of the Federal Arbitration Act (9 U.S.C. §§ 201–208); courts in North Carolina and Delaware will recognize and enforce Convention awards as a matter of course. The seat itself is not an enforcement obstacle.</w:t>
      </w:r>
    </w:p>
    <w:p>
      <w:pPr>
        <w:pStyle w:val="BodyText"/>
      </w:pPr>
      <w:r>
        <w:t xml:space="preserve">The real enforceability risk is the</w:t>
      </w:r>
      <w:r>
        <w:t xml:space="preserve"> </w:t>
      </w:r>
      <w:r>
        <w:rPr>
          <w:b/>
          <w:bCs/>
        </w:rPr>
        <w:t xml:space="preserve">pathological-clause problem</w:t>
      </w:r>
      <w:r>
        <w:t xml:space="preserve"> </w:t>
      </w:r>
      <w:r>
        <w:t xml:space="preserve">(Issue 1). The conflicting forum-selection and hierarchy clauses give a losing party colorable defenses under New York Convention Article V(1)(a) (the arbitration agreement is</w:t>
      </w:r>
      <w:r>
        <w:t xml:space="preserve"> </w:t>
      </w:r>
      <w:r>
        <w:t xml:space="preserve">“</w:t>
      </w:r>
      <w:r>
        <w:t xml:space="preserve">not valid</w:t>
      </w:r>
      <w:r>
        <w:t xml:space="preserve">”</w:t>
      </w:r>
      <w:r>
        <w:t xml:space="preserve">), V(1)(c) (the tribunal</w:t>
      </w:r>
      <w:r>
        <w:t xml:space="preserve"> </w:t>
      </w:r>
      <w:r>
        <w:t xml:space="preserve">“</w:t>
      </w:r>
      <w:r>
        <w:t xml:space="preserve">exceeded its authority</w:t>
      </w:r>
      <w:r>
        <w:t xml:space="preserve">”</w:t>
      </w:r>
      <w:r>
        <w:t xml:space="preserve">), and potentially V(2)(b) (public policy). This is the precise mechanism behind Pacifica’s reported 14-month enforcement delay in 2023. The appeal-on-law clause (Issue 5) compounds the risk by creating uncertainty about the finality and form of the award to be enforced.</w:t>
      </w:r>
      <w:r>
        <w:t xml:space="preserve"> </w:t>
      </w:r>
      <w:r>
        <w:rPr>
          <w:b/>
          <w:bCs/>
        </w:rPr>
        <w:t xml:space="preserve">Cleaning up the clause architecture (Issues 1, 2, and 5) is the single most effective thing the parties can do to protect enforceability</w:t>
      </w:r>
      <w:r>
        <w:t xml:space="preserve"> </w:t>
      </w:r>
      <w:r>
        <w:t xml:space="preserve">— far more than any change to the seat.</w:t>
      </w:r>
    </w:p>
    <w:bookmarkEnd w:id="43"/>
    <w:bookmarkStart w:id="44" w:name="b.-the-hg-memo-as-a-negotiation-tool"/>
    <w:p>
      <w:pPr>
        <w:pStyle w:val="Heading3"/>
      </w:pPr>
      <w:r>
        <w:t xml:space="preserve">B. The H&amp;G Memo as a negotiation tool</w:t>
      </w:r>
    </w:p>
    <w:p>
      <w:pPr>
        <w:pStyle w:val="FirstParagraph"/>
      </w:pPr>
      <w:r>
        <w:t xml:space="preserve">The H&amp;G Memo is shared with Greenleaf for negotiation purposes (per its distribution notice) and is not privileged as against Greenleaf. It is a useful document for several reasons:</w:t>
      </w:r>
    </w:p>
    <w:p>
      <w:pPr>
        <w:pStyle w:val="Compact"/>
        <w:numPr>
          <w:ilvl w:val="0"/>
          <w:numId w:val="1016"/>
        </w:numPr>
      </w:pPr>
      <w:r>
        <w:t xml:space="preserve">It</w:t>
      </w:r>
      <w:r>
        <w:t xml:space="preserve"> </w:t>
      </w:r>
      <w:r>
        <w:rPr>
          <w:b/>
          <w:bCs/>
        </w:rPr>
        <w:t xml:space="preserve">concedes the objective</w:t>
      </w:r>
      <w:r>
        <w:t xml:space="preserve"> </w:t>
      </w:r>
      <w:r>
        <w:t xml:space="preserve">that the architecture is meant to avoid pathological clauses and enforcement delay (Part V) — yet the drafting recreates that very risk (Issue 1). This is a powerful, good-faith point: the provisions fail their own stated purpose.</w:t>
      </w:r>
    </w:p>
    <w:p>
      <w:pPr>
        <w:pStyle w:val="Compact"/>
        <w:numPr>
          <w:ilvl w:val="0"/>
          <w:numId w:val="1016"/>
        </w:numPr>
      </w:pPr>
      <w:r>
        <w:t xml:space="preserve">It</w:t>
      </w:r>
      <w:r>
        <w:t xml:space="preserve"> </w:t>
      </w:r>
      <w:r>
        <w:rPr>
          <w:b/>
          <w:bCs/>
        </w:rPr>
        <w:t xml:space="preserve">explains the trade-secret rationale</w:t>
      </w:r>
      <w:r>
        <w:t xml:space="preserve"> </w:t>
      </w:r>
      <w:r>
        <w:t xml:space="preserve">for the discovery bar (Part III.C), which supports our recommended compromise (limited IBA-style production plus a protective order) rather than an absolute bar.</w:t>
      </w:r>
    </w:p>
    <w:p>
      <w:pPr>
        <w:pStyle w:val="Compact"/>
        <w:numPr>
          <w:ilvl w:val="0"/>
          <w:numId w:val="1016"/>
        </w:numPr>
      </w:pPr>
      <w:r>
        <w:t xml:space="preserve">It</w:t>
      </w:r>
      <w:r>
        <w:t xml:space="preserve"> </w:t>
      </w:r>
      <w:r>
        <w:rPr>
          <w:b/>
          <w:bCs/>
        </w:rPr>
        <w:t xml:space="preserve">concedes the appeal mechanism is modeled on English Arbitration Act s.69</w:t>
      </w:r>
      <w:r>
        <w:t xml:space="preserve"> </w:t>
      </w:r>
      <w:r>
        <w:t xml:space="preserve">(Part III.B), which supports our position that the clause is mismatched to a Singapore seat and likely unenforceable.</w:t>
      </w:r>
    </w:p>
    <w:p>
      <w:pPr>
        <w:pStyle w:val="Compact"/>
        <w:numPr>
          <w:ilvl w:val="0"/>
          <w:numId w:val="1016"/>
        </w:numPr>
      </w:pPr>
      <w:r>
        <w:t xml:space="preserve">It</w:t>
      </w:r>
      <w:r>
        <w:t xml:space="preserve"> </w:t>
      </w:r>
      <w:r>
        <w:rPr>
          <w:b/>
          <w:bCs/>
        </w:rPr>
        <w:t xml:space="preserve">characterizes the damages waiver as</w:t>
      </w:r>
      <w:r>
        <w:rPr>
          <w:b/>
          <w:bCs/>
        </w:rPr>
        <w:t xml:space="preserve"> </w:t>
      </w:r>
      <w:r>
        <w:rPr>
          <w:b/>
          <w:bCs/>
        </w:rPr>
        <w:t xml:space="preserve">“</w:t>
      </w:r>
      <w:r>
        <w:rPr>
          <w:b/>
          <w:bCs/>
        </w:rPr>
        <w:t xml:space="preserve">standard</w:t>
      </w:r>
      <w:r>
        <w:rPr>
          <w:b/>
          <w:bCs/>
        </w:rPr>
        <w:t xml:space="preserve">”</w:t>
      </w:r>
      <w:r>
        <w:rPr>
          <w:b/>
          <w:bCs/>
        </w:rPr>
        <w:t xml:space="preserve"> </w:t>
      </w:r>
      <w:r>
        <w:rPr>
          <w:b/>
          <w:bCs/>
        </w:rPr>
        <w:t xml:space="preserve">and</w:t>
      </w:r>
      <w:r>
        <w:rPr>
          <w:b/>
          <w:bCs/>
        </w:rPr>
        <w:t xml:space="preserve"> </w:t>
      </w:r>
      <w:r>
        <w:rPr>
          <w:b/>
          <w:bCs/>
        </w:rPr>
        <w:t xml:space="preserve">“</w:t>
      </w:r>
      <w:r>
        <w:rPr>
          <w:b/>
          <w:bCs/>
        </w:rPr>
        <w:t xml:space="preserve">mutual</w:t>
      </w:r>
      <w:r>
        <w:rPr>
          <w:b/>
          <w:bCs/>
        </w:rPr>
        <w:t xml:space="preserve">”</w:t>
      </w:r>
      <w:r>
        <w:t xml:space="preserve"> </w:t>
      </w:r>
      <w:r>
        <w:t xml:space="preserve">(Part III.D), which we can rebut on the asymmetry/exclusivity point (Issue 3).</w:t>
      </w:r>
    </w:p>
    <w:p>
      <w:pPr>
        <w:pStyle w:val="FirstParagraph"/>
      </w:pPr>
      <w:r>
        <w:t xml:space="preserve">We recommend using these concessions deliberately in negotiation rather than disclosing our full analysis.</w:t>
      </w:r>
    </w:p>
    <w:bookmarkEnd w:id="44"/>
    <w:bookmarkStart w:id="45" w:name="Xbc66e24f3f060a0d77e2e4ae553dab862fb3736"/>
    <w:p>
      <w:pPr>
        <w:pStyle w:val="Heading3"/>
      </w:pPr>
      <w:r>
        <w:t xml:space="preserve">C. Internal consistency and the integration clauses</w:t>
      </w:r>
    </w:p>
    <w:p>
      <w:pPr>
        <w:pStyle w:val="FirstParagraph"/>
      </w:pPr>
      <w:r>
        <w:t xml:space="preserve">The three integration clauses (SA § 15.8; QA § 8.1; IPLA § 10.3) do not agree on a single hierarchy. The SA says the SA always controls; the QA Letter says it controls for its specific subjects (including its dispute-resolution mechanism); the IPLA says it controls for matters it</w:t>
      </w:r>
      <w:r>
        <w:t xml:space="preserve"> </w:t>
      </w:r>
      <w:r>
        <w:t xml:space="preserve">“</w:t>
      </w:r>
      <w:r>
        <w:t xml:space="preserve">specifically and exclusively</w:t>
      </w:r>
      <w:r>
        <w:t xml:space="preserve">”</w:t>
      </w:r>
      <w:r>
        <w:t xml:space="preserve"> </w:t>
      </w:r>
      <w:r>
        <w:t xml:space="preserve">addresses. Until these are reconciled into a single, identically worded conflict rule (Issue 1), the hierarchy itself is a source of dispute. This should be fixed as part of the master-regime recommendation.</w:t>
      </w:r>
    </w:p>
    <w:bookmarkEnd w:id="45"/>
    <w:bookmarkEnd w:id="46"/>
    <w:bookmarkStart w:id="47" w:name="X9e1f2f6ead697c701cf2f47cd3eeaa22f36bebd"/>
    <w:p>
      <w:pPr>
        <w:pStyle w:val="Heading2"/>
      </w:pPr>
      <w:r>
        <w:t xml:space="preserve">VI. Prioritized Recommendations and Negotiation Plan</w:t>
      </w:r>
    </w:p>
    <w:p>
      <w:pPr>
        <w:pStyle w:val="FirstParagraph"/>
      </w:pPr>
      <w:r>
        <w:t xml:space="preserve">Consistent with the Internal Email Chain’s priorities and our severity ratings, we recommend the following negotiation sequence. Items 1–3 are, in our view, signing conditions.</w:t>
      </w:r>
    </w:p>
    <w:p>
      <w:pPr>
        <w:numPr>
          <w:ilvl w:val="0"/>
          <w:numId w:val="1017"/>
        </w:numPr>
      </w:pPr>
      <w:r>
        <w:rPr>
          <w:b/>
          <w:bCs/>
        </w:rPr>
        <w:t xml:space="preserve">(Critical — Issue 1 &amp; 2) Harmonize the forum architecture.</w:t>
      </w:r>
      <w:r>
        <w:t xml:space="preserve"> </w:t>
      </w:r>
      <w:r>
        <w:t xml:space="preserve">Adopt a single master dispute-resolution regime in the SA governing all Transaction Documents: one institution (ICC), one seat (Singapore, with London as hearing venue only), one governing law (New York). Delete IPLA § 9.3 in its current form. Reconcile the three integration clauses into a single, identically worded hierarchy rule.</w:t>
      </w:r>
      <w:r>
        <w:t xml:space="preserve"> </w:t>
      </w:r>
      <w:r>
        <w:rPr>
          <w:i/>
          <w:iCs/>
        </w:rPr>
        <w:t xml:space="preserve">This is the top legal priority and the principal enforceability protection.</w:t>
      </w:r>
    </w:p>
    <w:p>
      <w:pPr>
        <w:numPr>
          <w:ilvl w:val="0"/>
          <w:numId w:val="1017"/>
        </w:numPr>
      </w:pPr>
      <w:r>
        <w:rPr>
          <w:b/>
          <w:bCs/>
        </w:rPr>
        <w:t xml:space="preserve">(Critical — Issue 3) Restructure the damages limitation.</w:t>
      </w:r>
      <w:r>
        <w:t xml:space="preserve"> </w:t>
      </w:r>
      <w:r>
        <w:t xml:space="preserve">Negotiate carve-outs from the consequential-damages waiver for (i) recall-related costs, (ii) lost profits directly attributable to supply failure/defective Product, and (iii) third-party claims arising from defective Product; or replace the waiver with a negotiated cap. Harmonize QA § 6.6 so the recall cost allocation is not subordinated to the SA waiver. Confirm insurance alignment.</w:t>
      </w:r>
      <w:r>
        <w:t xml:space="preserve"> </w:t>
      </w:r>
      <w:r>
        <w:rPr>
          <w:i/>
          <w:iCs/>
        </w:rPr>
        <w:t xml:space="preserve">This is the top commercial priority and a signing condition.</w:t>
      </w:r>
    </w:p>
    <w:p>
      <w:pPr>
        <w:numPr>
          <w:ilvl w:val="0"/>
          <w:numId w:val="1017"/>
        </w:numPr>
      </w:pPr>
      <w:r>
        <w:rPr>
          <w:b/>
          <w:bCs/>
        </w:rPr>
        <w:t xml:space="preserve">(High — Issue 4) Add a joinder/consolidation mechanism</w:t>
      </w:r>
      <w:r>
        <w:t xml:space="preserve"> </w:t>
      </w:r>
      <w:r>
        <w:t xml:space="preserve">for co-manufacturers (contractual consent-to-arbitration or a court carve-out for multi-party quality disputes), paired with a Greenleaf commitment to adopt compatible arbitration clauses in future co-manufacturing agreements.</w:t>
      </w:r>
    </w:p>
    <w:p>
      <w:pPr>
        <w:numPr>
          <w:ilvl w:val="0"/>
          <w:numId w:val="1017"/>
        </w:numPr>
      </w:pPr>
      <w:r>
        <w:rPr>
          <w:b/>
          <w:bCs/>
        </w:rPr>
        <w:t xml:space="preserve">(High — Issue 5) Delete the appeal-on-law clause</w:t>
      </w:r>
      <w:r>
        <w:t xml:space="preserve"> </w:t>
      </w:r>
      <w:r>
        <w:t xml:space="preserve">in SA § 14.6; replace with a standard finality provision (or, if a safety valve is desired, confine it to Model Law Art. 34 grounds). Confirm with Singapore counsel.</w:t>
      </w:r>
    </w:p>
    <w:p>
      <w:pPr>
        <w:numPr>
          <w:ilvl w:val="0"/>
          <w:numId w:val="1017"/>
        </w:numPr>
      </w:pPr>
      <w:r>
        <w:rPr>
          <w:b/>
          <w:bCs/>
        </w:rPr>
        <w:t xml:space="preserve">(High — Issue 6) Extend the limitation period</w:t>
      </w:r>
      <w:r>
        <w:t xml:space="preserve"> </w:t>
      </w:r>
      <w:r>
        <w:t xml:space="preserve">to four years (UCC default) or at minimum two-to-three years; align the trigger with the latent-defect provisions; toll during pre-arbitration tiers.</w:t>
      </w:r>
    </w:p>
    <w:p>
      <w:pPr>
        <w:numPr>
          <w:ilvl w:val="0"/>
          <w:numId w:val="1017"/>
        </w:numPr>
      </w:pPr>
      <w:r>
        <w:rPr>
          <w:b/>
          <w:bCs/>
        </w:rPr>
        <w:t xml:space="preserve">(High — Issue 7) Replace the discovery bar</w:t>
      </w:r>
      <w:r>
        <w:t xml:space="preserve"> </w:t>
      </w:r>
      <w:r>
        <w:t xml:space="preserve">with limited, IBA-style document production plus a robust protective/confidentiality order; preserve QA § 4.4 audit rights.</w:t>
      </w:r>
    </w:p>
    <w:p>
      <w:pPr>
        <w:numPr>
          <w:ilvl w:val="0"/>
          <w:numId w:val="1017"/>
        </w:numPr>
      </w:pPr>
      <w:r>
        <w:rPr>
          <w:b/>
          <w:bCs/>
        </w:rPr>
        <w:t xml:space="preserve">(Medium — Issue 8) Narrow the expert-determination escalation</w:t>
      </w:r>
      <w:r>
        <w:t xml:space="preserve"> </w:t>
      </w:r>
      <w:r>
        <w:t xml:space="preserve">to objective/defined grounds; delete the open-ended</w:t>
      </w:r>
      <w:r>
        <w:t xml:space="preserve"> </w:t>
      </w:r>
      <w:r>
        <w:t xml:space="preserve">“</w:t>
      </w:r>
      <w:r>
        <w:t xml:space="preserve">challenge</w:t>
      </w:r>
      <w:r>
        <w:t xml:space="preserve">”</w:t>
      </w:r>
      <w:r>
        <w:t xml:space="preserve"> </w:t>
      </w:r>
      <w:r>
        <w:t xml:space="preserve">trigger.</w:t>
      </w:r>
    </w:p>
    <w:p>
      <w:pPr>
        <w:numPr>
          <w:ilvl w:val="0"/>
          <w:numId w:val="1017"/>
        </w:numPr>
      </w:pPr>
      <w:r>
        <w:rPr>
          <w:b/>
          <w:bCs/>
        </w:rPr>
        <w:t xml:space="preserve">(Medium — Issues 9, 10, 11) Harmonize cost allocation, tribunal size, and the governing-law gap-filler</w:t>
      </w:r>
      <w:r>
        <w:t xml:space="preserve"> </w:t>
      </w:r>
      <w:r>
        <w:t xml:space="preserve">across all three documents (or in a single master provision).</w:t>
      </w:r>
    </w:p>
    <w:p>
      <w:pPr>
        <w:numPr>
          <w:ilvl w:val="0"/>
          <w:numId w:val="1017"/>
        </w:numPr>
      </w:pPr>
      <w:r>
        <w:rPr>
          <w:b/>
          <w:bCs/>
        </w:rPr>
        <w:t xml:space="preserve">(Low — Issues 12, 13, 14) Add a negotiation/mediation tier; add consistent confidentiality-of-proceedings clauses; consider Ridgeway’s position.</w:t>
      </w:r>
    </w:p>
    <w:p>
      <w:pPr>
        <w:pStyle w:val="FirstParagraph"/>
      </w:pPr>
      <w:r>
        <w:t xml:space="preserve">We are available to prepare redlines of the affected provisions and to participate in the negotiation call with H&amp;G. Given the July 11 comment deadline and the July 18 signing date, we recommend circulating our proposed mark-ups to the deal team by July 10.</w:t>
      </w:r>
    </w:p>
    <w:bookmarkEnd w:id="47"/>
    <w:bookmarkStart w:id="48" w:name="vii.-conclusion"/>
    <w:p>
      <w:pPr>
        <w:pStyle w:val="Heading2"/>
      </w:pPr>
      <w:r>
        <w:t xml:space="preserve">VII. Conclusion</w:t>
      </w:r>
    </w:p>
    <w:p>
      <w:pPr>
        <w:pStyle w:val="FirstParagraph"/>
      </w:pPr>
      <w:r>
        <w:t xml:space="preserve">The dispute resolution framework reflects a thoughtful concept that is undermined by its execution. Two critical defects — a pathological, self-contradictory forum architecture and an overbroad consequential-damages waiver layered on an exclusive-supply structure — must be corrected before signing. Four high-severity issues (joinder, the appeal-on-law clause, the limitation period, and the discovery bar) should also be addressed. The medium and low issues are matters of efficiency and consistency that can be resolved in the same negotiation pass. With the changes recommended above, the framework can be made enforceable, efficient, and commercially balanced while preserving Pacifica’s legitimate interests in a Singapore-connected forum and trade-secret protection.</w:t>
      </w:r>
    </w:p>
    <w:p>
      <w:pPr>
        <w:pStyle w:val="BodyText"/>
      </w:pPr>
      <w:r>
        <w:t xml:space="preserve">We are happy to discuss any of the foregoing at your convenience.</w:t>
      </w:r>
    </w:p>
    <w:p>
      <w:pPr>
        <w:pStyle w:val="BodyText"/>
      </w:pPr>
      <w:r>
        <w:t xml:space="preserve">Respectfully submitted,</w:t>
      </w:r>
    </w:p>
    <w:p>
      <w:pPr>
        <w:pStyle w:val="BodyText"/>
      </w:pPr>
      <w:r>
        <w:rPr>
          <w:b/>
          <w:bCs/>
        </w:rPr>
        <w:t xml:space="preserve">Marcus J. Elliott</w:t>
      </w:r>
      <w:r>
        <w:t xml:space="preserve"> </w:t>
      </w:r>
      <w:r>
        <w:t xml:space="preserve">Partner</w:t>
      </w:r>
      <w:r>
        <w:t xml:space="preserve"> </w:t>
      </w:r>
      <w:r>
        <w:t xml:space="preserve">Whitfield &amp; Crane LLP</w:t>
      </w:r>
      <w:r>
        <w:t xml:space="preserve"> </w:t>
      </w:r>
      <w:r>
        <w:t xml:space="preserve">840 Third Avenue, 28th Floor, New York, NY 10022</w:t>
      </w:r>
      <w:r>
        <w:t xml:space="preserve"> </w:t>
      </w:r>
      <w:r>
        <w:t xml:space="preserve">Tel: (212) 555-0142 | Email: melliott@whitfieldcrane.com</w:t>
      </w:r>
    </w:p>
    <w:p>
      <w:pPr>
        <w:pStyle w:val="BodyText"/>
      </w:pPr>
      <w:r>
        <w:rPr>
          <w:b/>
          <w:bCs/>
        </w:rPr>
        <w:t xml:space="preserve">Sophia Bransfield</w:t>
      </w:r>
      <w:r>
        <w:t xml:space="preserve"> </w:t>
      </w:r>
      <w:r>
        <w:t xml:space="preserve">Senior Associate</w:t>
      </w:r>
      <w:r>
        <w:t xml:space="preserve"> </w:t>
      </w:r>
      <w:r>
        <w:t xml:space="preserve">Whitfield &amp; Crane LLP</w:t>
      </w:r>
      <w:r>
        <w:t xml:space="preserve"> </w:t>
      </w:r>
      <w:r>
        <w:t xml:space="preserve">Tel: (212) 555-0188 | Email: sbransfield@whitfieldcrane.com</w:t>
      </w:r>
    </w:p>
    <w:p>
      <w:r>
        <w:pict>
          <v:rect style="width:0;height:1.5pt" o:hralign="center" o:hrstd="t" o:hr="t"/>
        </w:pict>
      </w:r>
    </w:p>
    <w:p>
      <w:pPr>
        <w:pStyle w:val="FirstParagraph"/>
      </w:pPr>
      <w:r>
        <w:rPr>
          <w:i/>
          <w:iCs/>
        </w:rPr>
        <w:t xml:space="preserve">This memorandum is privileged and confidential attorney work product prepared in anticipation of negotiation. It is intended for the named Greenleaf and Ridgeway recipients and their counsel. It should not be disclosed to Pacifica Botanics Pte. Ltd. or Harmon &amp; Grey LLP except through deliberate, controlled disclosure of specific negotiating positions. This memorandum provides legal analysis for negotiation purposes and does not constitute a final legal opinion on enforceability under Singapore or English law; questions of foreign-law enforceability (particularly Issue 5) should be confirmed with qualified local counsel.</w:t>
      </w:r>
    </w:p>
    <w:bookmarkEnd w:id="48"/>
    <w:bookmarkEnd w:id="4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2026-06-23T05:20:11Z</dcterms:created>
  <dcterms:modified xsi:type="dcterms:W3CDTF">2026-06-23T05:20:11Z</dcterms:modified>
</cp:coreProperties>
</file>

<file path=docProps/custom.xml><?xml version="1.0" encoding="utf-8"?>
<Properties xmlns="http://schemas.openxmlformats.org/officeDocument/2006/custom-properties" xmlns:vt="http://schemas.openxmlformats.org/officeDocument/2006/docPropsVTypes"/>
</file>