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b00a8ce9f01252ee933d31ffed2c10f1672bce1"/>
    <w:p>
      <w:pPr>
        <w:pStyle w:val="Heading1"/>
      </w:pPr>
      <w:r>
        <w:t xml:space="preserve">PRIVILEGED &amp; CONFIDENTIAL — ATTORNEY-CLIENT COMMUNICATION / ATTORNEY WORK PRODUCT</w:t>
      </w:r>
    </w:p>
    <w:p>
      <w:pPr>
        <w:pStyle w:val="FirstParagraph"/>
      </w:pPr>
      <w:r>
        <w:rPr>
          <w:b/>
          <w:bCs/>
        </w:rPr>
        <w:t xml:space="preserve">WHITFIELD &amp; CRANE LLP</w:t>
      </w:r>
    </w:p>
    <w:p>
      <w:pPr>
        <w:pStyle w:val="BodyText"/>
      </w:pPr>
      <w:r>
        <w:t xml:space="preserve">840 Third Avenue, 28th Floor, New York, NY 10022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Angela R. Matsuda, General Counsel, Greenleaf Nutritionals, Inc.</w:t>
      </w:r>
    </w:p>
    <w:p>
      <w:pPr>
        <w:pStyle w:val="BodyText"/>
      </w:pPr>
      <w:r>
        <w:rPr>
          <w:b/>
          <w:bCs/>
        </w:rPr>
        <w:t xml:space="preserve">CC:</w:t>
      </w:r>
      <w:r>
        <w:t xml:space="preserve"> </w:t>
      </w:r>
      <w:r>
        <w:t xml:space="preserve">David T. Heller, Chief Executive Officer, Greenleaf Nutritionals, Inc.; Jonathan F. Park, Deal Partner, Ridgeway Capital Partners</w:t>
      </w:r>
    </w:p>
    <w:p>
      <w:pPr>
        <w:pStyle w:val="BodyText"/>
      </w:pPr>
      <w:r>
        <w:rPr>
          <w:b/>
          <w:bCs/>
        </w:rPr>
        <w:t xml:space="preserve">FROM:</w:t>
      </w:r>
      <w:r>
        <w:t xml:space="preserve"> </w:t>
      </w:r>
      <w:r>
        <w:t xml:space="preserve">Marcus J. Elliott, Partner; Sophia Bransfield, Senior Associate — Whitfield &amp; Crane LLP</w:t>
      </w:r>
    </w:p>
    <w:p>
      <w:pPr>
        <w:pStyle w:val="BodyText"/>
      </w:pPr>
      <w:r>
        <w:rPr>
          <w:b/>
          <w:bCs/>
        </w:rPr>
        <w:t xml:space="preserve">DATE:</w:t>
      </w:r>
      <w:r>
        <w:t xml:space="preserve"> </w:t>
      </w:r>
      <w:r>
        <w:t xml:space="preserve">July 11, 2025</w:t>
      </w:r>
    </w:p>
    <w:p>
      <w:pPr>
        <w:pStyle w:val="BodyText"/>
      </w:pPr>
      <w:r>
        <w:rPr>
          <w:b/>
          <w:bCs/>
        </w:rPr>
        <w:t xml:space="preserve">RE:</w:t>
      </w:r>
      <w:r>
        <w:t xml:space="preserve"> </w:t>
      </w:r>
      <w:r>
        <w:t xml:space="preserve">Severity-Rated Review of Arbitration and Dispute Resolution Provisions — Exclusive Supply Agreement (</w:t>
      </w:r>
      <w:r>
        <w:t xml:space="preserve">“</w:t>
      </w:r>
      <w:r>
        <w:t xml:space="preserve">SA</w:t>
      </w:r>
      <w:r>
        <w:t xml:space="preserve">”</w:t>
      </w:r>
      <w:r>
        <w:t xml:space="preserve">), Quality Assurance Side Letter (</w:t>
      </w:r>
      <w:r>
        <w:t xml:space="preserve">“</w:t>
      </w:r>
      <w:r>
        <w:t xml:space="preserve">QA Letter</w:t>
      </w:r>
      <w:r>
        <w:t xml:space="preserve">”</w:t>
      </w:r>
      <w:r>
        <w:t xml:space="preserve">), and IP License Agreement (</w:t>
      </w:r>
      <w:r>
        <w:t xml:space="preserve">“</w:t>
      </w:r>
      <w:r>
        <w:t xml:space="preserve">IPLA</w:t>
      </w:r>
      <w:r>
        <w:t xml:space="preserve">”</w:t>
      </w:r>
      <w:r>
        <w:t xml:space="preserve">) (Pacifica Botanics Pte. Ltd. / Greenleaf Nutritionals, Inc. transaction)</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You asked us to review the arbitration and dispute resolution provisions across the three principal transaction documents for the Pacifica/Greenleaf strategic supply relationship — the Exclusive Supply Agreement (Article 14), the Quality Assurance Side Letter (Section 7), and the IP License Agreement (Section 9) — together with the explanatory memorandum prepared by Harmon &amp; Grey LLP (</w:t>
      </w:r>
      <w:r>
        <w:t xml:space="preserve">“</w:t>
      </w:r>
      <w:r>
        <w:t xml:space="preserve">H&amp;G</w:t>
      </w:r>
      <w:r>
        <w:t xml:space="preserve">”</w:t>
      </w:r>
      <w:r>
        <w:t xml:space="preserve">) dated July 3, 2025 and the internal Greenleaf email chain of June 30–July 1, 2025. This memorandum sets out the issues we have identified, each rated by severity, with a concrete recommendation for each. Our focus, consistent with your instructions, is on (i) enforceability of awards in U.S. courts, (ii) joinder of non-signatory co-manufacturers, (iii) the scope of available remedies (principally the consequential-damages waiver), (iv) cross-document consistency, and (v) the limitation period and discovery bar.</w:t>
      </w:r>
    </w:p>
    <w:p>
      <w:pPr>
        <w:pStyle w:val="BodyText"/>
      </w:pPr>
      <w:r>
        <w:t xml:space="preserve">This is a negotiating-stage review of execution drafts dated July 18, 2025 (signing) with a target effective date of August 1, 2025. None of the documents has been executed. All issues identified below are addressable through redrafting before signing.</w: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Short Name</w:t>
            </w:r>
          </w:p>
        </w:tc>
        <w:tc>
          <w:tcPr/>
          <w:p>
            <w:pPr>
              <w:pStyle w:val="Compact"/>
              <w:jc w:val="left"/>
            </w:pPr>
            <w:r>
              <w:t xml:space="preserve">Document</w:t>
            </w:r>
          </w:p>
        </w:tc>
        <w:tc>
          <w:tcPr/>
          <w:p>
            <w:pPr>
              <w:pStyle w:val="Compact"/>
              <w:jc w:val="left"/>
            </w:pPr>
            <w:r>
              <w:t xml:space="preserve">DR Provision</w:t>
            </w:r>
          </w:p>
        </w:tc>
      </w:tr>
      <w:tr>
        <w:tc>
          <w:tcPr/>
          <w:p>
            <w:pPr>
              <w:pStyle w:val="Compact"/>
              <w:jc w:val="left"/>
            </w:pPr>
            <w:r>
              <w:t xml:space="preserve">SA</w:t>
            </w:r>
          </w:p>
        </w:tc>
        <w:tc>
          <w:tcPr/>
          <w:p>
            <w:pPr>
              <w:pStyle w:val="Compact"/>
              <w:jc w:val="left"/>
            </w:pPr>
            <w:r>
              <w:t xml:space="preserve">Exclusive Supply Agreement (Aug. 1, 2025)</w:t>
            </w:r>
          </w:p>
        </w:tc>
        <w:tc>
          <w:tcPr/>
          <w:p>
            <w:pPr>
              <w:pStyle w:val="Compact"/>
              <w:jc w:val="left"/>
            </w:pPr>
            <w:r>
              <w:t xml:space="preserve">Article 14 (§§ 14.1–14.11); § 15.8 (integration); § 15.11 (governing law)</w:t>
            </w:r>
          </w:p>
        </w:tc>
      </w:tr>
      <w:tr>
        <w:tc>
          <w:tcPr/>
          <w:p>
            <w:pPr>
              <w:pStyle w:val="Compact"/>
              <w:jc w:val="left"/>
            </w:pPr>
            <w:r>
              <w:t xml:space="preserve">QA Letter</w:t>
            </w:r>
          </w:p>
        </w:tc>
        <w:tc>
          <w:tcPr/>
          <w:p>
            <w:pPr>
              <w:pStyle w:val="Compact"/>
              <w:jc w:val="left"/>
            </w:pPr>
            <w:r>
              <w:t xml:space="preserve">Quality Assurance Side Letter (Aug. 1, 2025)</w:t>
            </w:r>
          </w:p>
        </w:tc>
        <w:tc>
          <w:tcPr/>
          <w:p>
            <w:pPr>
              <w:pStyle w:val="Compact"/>
              <w:jc w:val="left"/>
            </w:pPr>
            <w:r>
              <w:t xml:space="preserve">Section 7 (§§ 7.1–7.3); § 8.1 (conflict hierarchy); § 6.6</w:t>
            </w:r>
          </w:p>
        </w:tc>
      </w:tr>
      <w:tr>
        <w:tc>
          <w:tcPr/>
          <w:p>
            <w:pPr>
              <w:pStyle w:val="Compact"/>
              <w:jc w:val="left"/>
            </w:pPr>
            <w:r>
              <w:t xml:space="preserve">IPLA</w:t>
            </w:r>
          </w:p>
        </w:tc>
        <w:tc>
          <w:tcPr/>
          <w:p>
            <w:pPr>
              <w:pStyle w:val="Compact"/>
              <w:jc w:val="left"/>
            </w:pPr>
            <w:r>
              <w:t xml:space="preserve">IP License Agreement (July 18, 2025)</w:t>
            </w:r>
          </w:p>
        </w:tc>
        <w:tc>
          <w:tcPr/>
          <w:p>
            <w:pPr>
              <w:pStyle w:val="Compact"/>
              <w:jc w:val="left"/>
            </w:pPr>
            <w:r>
              <w:t xml:space="preserve">Section 9 (§§ 9.1–9.4); § 10.3 (conflict hierarchy)</w:t>
            </w:r>
          </w:p>
        </w:tc>
      </w:tr>
      <w:tr>
        <w:tc>
          <w:tcPr/>
          <w:p>
            <w:pPr>
              <w:pStyle w:val="Compact"/>
              <w:jc w:val="left"/>
            </w:pPr>
            <w:r>
              <w:t xml:space="preserve">H&amp;G Memo</w:t>
            </w:r>
          </w:p>
        </w:tc>
        <w:tc>
          <w:tcPr/>
          <w:p>
            <w:pPr>
              <w:pStyle w:val="Compact"/>
              <w:jc w:val="left"/>
            </w:pPr>
            <w:r>
              <w:t xml:space="preserve">Harmon &amp; Grey LLP memo to Pacifica (July 3, 2025)</w:t>
            </w:r>
          </w:p>
        </w:tc>
        <w:tc>
          <w:tcPr/>
          <w:p>
            <w:pPr>
              <w:pStyle w:val="Compact"/>
              <w:jc w:val="left"/>
            </w:pPr>
            <w:r>
              <w:t xml:space="preserve">Explains drafting rationale for all three DR architectures</w:t>
            </w:r>
          </w:p>
        </w:tc>
      </w:tr>
      <w:tr>
        <w:tc>
          <w:tcPr/>
          <w:p>
            <w:pPr>
              <w:pStyle w:val="Compact"/>
              <w:jc w:val="left"/>
            </w:pPr>
            <w:r>
              <w:t xml:space="preserve">Email Chain</w:t>
            </w:r>
          </w:p>
        </w:tc>
        <w:tc>
          <w:tcPr/>
          <w:p>
            <w:pPr>
              <w:pStyle w:val="Compact"/>
              <w:jc w:val="left"/>
            </w:pPr>
            <w:r>
              <w:t xml:space="preserve">Greenleaf internal emails (June 30–July 1, 2025)</w:t>
            </w:r>
          </w:p>
        </w:tc>
        <w:tc>
          <w:tcPr/>
          <w:p>
            <w:pPr>
              <w:pStyle w:val="Compact"/>
              <w:jc w:val="left"/>
            </w:pPr>
            <w:r>
              <w:t xml:space="preserve">States Greenleaf/Ridgeway negotiating priorities</w:t>
            </w:r>
          </w:p>
        </w:tc>
      </w:tr>
    </w:tbl>
    <w:bookmarkEnd w:id="21"/>
    <w:bookmarkStart w:id="24" w:name="iii.-executive-summary"/>
    <w:p>
      <w:pPr>
        <w:pStyle w:val="Heading2"/>
      </w:pPr>
      <w:r>
        <w:t xml:space="preserve">III. Executive Summary</w:t>
      </w:r>
    </w:p>
    <w:p>
      <w:pPr>
        <w:pStyle w:val="FirstParagraph"/>
      </w:pPr>
      <w:r>
        <w:t xml:space="preserve">The dispute resolution architecture is structurally fragmented and internally inconsistent in ways that create a material risk of parallel proceedings, inconsistent outcomes, and — most importantly — the very kind of post-award challenge and enforcement delay that Pacifica itself suffered in its 2023 Hong Kong-seated ICC arbitration (a 14-month enforcement delay caused by a</w:t>
      </w:r>
      <w:r>
        <w:t xml:space="preserve"> </w:t>
      </w:r>
      <w:r>
        <w:t xml:space="preserve">“</w:t>
      </w:r>
      <w:r>
        <w:t xml:space="preserve">pathological</w:t>
      </w:r>
      <w:r>
        <w:t xml:space="preserve">”</w:t>
      </w:r>
      <w:r>
        <w:t xml:space="preserve"> </w:t>
      </w:r>
      <w:r>
        <w:t xml:space="preserve">arbitration clause, as recounted in the H&amp;G Memo at Part V). Several provisions are likely unenforceable as drafted. The single most important commercial issue is the consequential-damages waiver in SA § 14.11, which, combined with the exclusivity structure and the 13-year potential term, is a deal-level concern that Mr. Heller has flagged as a potential walk-away point.</w:t>
      </w:r>
    </w:p>
    <w:p>
      <w:pPr>
        <w:pStyle w:val="BodyText"/>
      </w:pPr>
      <w:r>
        <w:t xml:space="preserve">We identified</w:t>
      </w:r>
      <w:r>
        <w:t xml:space="preserve"> </w:t>
      </w:r>
      <w:r>
        <w:rPr>
          <w:b/>
          <w:bCs/>
        </w:rPr>
        <w:t xml:space="preserve">22 distinct issues</w:t>
      </w:r>
      <w:r>
        <w:t xml:space="preserve">, rated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C1–C4</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H1–H6</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M1–M8</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L1–L4</w:t>
            </w:r>
          </w:p>
        </w:tc>
      </w:tr>
    </w:tbl>
    <w:bookmarkStart w:id="22" w:name="severity-definitions"/>
    <w:p>
      <w:pPr>
        <w:pStyle w:val="Heading3"/>
      </w:pPr>
      <w:r>
        <w:t xml:space="preserve">Severity definitions</w:t>
      </w:r>
    </w:p>
    <w:p>
      <w:pPr>
        <w:pStyle w:val="Compact"/>
        <w:numPr>
          <w:ilvl w:val="0"/>
          <w:numId w:val="1001"/>
        </w:numPr>
      </w:pPr>
      <w:r>
        <w:rPr>
          <w:b/>
          <w:bCs/>
        </w:rPr>
        <w:t xml:space="preserve">Critical</w:t>
      </w:r>
      <w:r>
        <w:t xml:space="preserve"> </w:t>
      </w:r>
      <w:r>
        <w:t xml:space="preserve">— Creates a material risk of unenforceability, parallel/inconsistent proceedings, or a fundamental commercial imbalance that could jeopardize the transaction or expose Greenleaf to catastrophic, effectively unrecoverable loss. Must be resolved before signing.</w:t>
      </w:r>
    </w:p>
    <w:p>
      <w:pPr>
        <w:pStyle w:val="Compact"/>
        <w:numPr>
          <w:ilvl w:val="0"/>
          <w:numId w:val="1001"/>
        </w:numPr>
      </w:pPr>
      <w:r>
        <w:rPr>
          <w:b/>
          <w:bCs/>
        </w:rPr>
        <w:t xml:space="preserve">High</w:t>
      </w:r>
      <w:r>
        <w:t xml:space="preserve"> </w:t>
      </w:r>
      <w:r>
        <w:t xml:space="preserve">— Creates significant litigation/arbitration risk, cost, or delay, or materially undermines Greenleaf’s remedies; not necessarily a deal-breaker alone but should be resolved before signing.</w:t>
      </w:r>
    </w:p>
    <w:p>
      <w:pPr>
        <w:pStyle w:val="Compact"/>
        <w:numPr>
          <w:ilvl w:val="0"/>
          <w:numId w:val="1001"/>
        </w:numPr>
      </w:pPr>
      <w:r>
        <w:rPr>
          <w:b/>
          <w:bCs/>
        </w:rPr>
        <w:t xml:space="preserve">Medium</w:t>
      </w:r>
      <w:r>
        <w:t xml:space="preserve"> </w:t>
      </w:r>
      <w:r>
        <w:t xml:space="preserve">— Creates ambiguity, inefficiency, or moderate risk; resolvable through clarification or modest redrafting.</w:t>
      </w:r>
    </w:p>
    <w:p>
      <w:pPr>
        <w:pStyle w:val="Compact"/>
        <w:numPr>
          <w:ilvl w:val="0"/>
          <w:numId w:val="1001"/>
        </w:numPr>
      </w:pPr>
      <w:r>
        <w:rPr>
          <w:b/>
          <w:bCs/>
        </w:rPr>
        <w:t xml:space="preserve">Low</w:t>
      </w:r>
      <w:r>
        <w:t xml:space="preserve"> </w:t>
      </w:r>
      <w:r>
        <w:t xml:space="preserve">— Minor, cosmetic, or low-probability; desirable to fix but not signing-critical.</w:t>
      </w:r>
    </w:p>
    <w:bookmarkEnd w:id="22"/>
    <w:bookmarkStart w:id="23" w:name="issue-index"/>
    <w:p>
      <w:pPr>
        <w:pStyle w:val="Heading3"/>
      </w:pPr>
      <w:r>
        <w:t xml:space="preserve">Issue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C1</w:t>
            </w:r>
          </w:p>
        </w:tc>
        <w:tc>
          <w:tcPr/>
          <w:p>
            <w:pPr>
              <w:pStyle w:val="Compact"/>
              <w:jc w:val="left"/>
            </w:pPr>
            <w:r>
              <w:t xml:space="preserve">Fragmented architecture: three institutions, three governing laws, three seats, no workable consolidation</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No joinder mechanism for non-signatory co-manufacturers</w:t>
            </w:r>
          </w:p>
        </w:tc>
        <w:tc>
          <w:tcPr/>
          <w:p>
            <w:pPr>
              <w:pStyle w:val="Compact"/>
              <w:jc w:val="left"/>
            </w:pPr>
            <w:r>
              <w:t xml:space="preserve">Critical</w:t>
            </w:r>
          </w:p>
        </w:tc>
      </w:tr>
      <w:tr>
        <w:tc>
          <w:tcPr/>
          <w:p>
            <w:pPr>
              <w:pStyle w:val="Compact"/>
              <w:jc w:val="left"/>
            </w:pPr>
            <w:r>
              <w:t xml:space="preserve">C3</w:t>
            </w:r>
          </w:p>
        </w:tc>
        <w:tc>
          <w:tcPr/>
          <w:p>
            <w:pPr>
              <w:pStyle w:val="Compact"/>
              <w:jc w:val="left"/>
            </w:pPr>
            <w:r>
              <w:t xml:space="preserve">Consequential-damages waiver (SA § 14.11) overbroad and one-sided; internal inconsistency with QA Letter §§ 6.6 and 7.2</w:t>
            </w:r>
          </w:p>
        </w:tc>
        <w:tc>
          <w:tcPr/>
          <w:p>
            <w:pPr>
              <w:pStyle w:val="Compact"/>
              <w:jc w:val="left"/>
            </w:pPr>
            <w:r>
              <w:t xml:space="preserve">Critical</w:t>
            </w:r>
          </w:p>
        </w:tc>
      </w:tr>
      <w:tr>
        <w:tc>
          <w:tcPr/>
          <w:p>
            <w:pPr>
              <w:pStyle w:val="Compact"/>
              <w:jc w:val="left"/>
            </w:pPr>
            <w:r>
              <w:t xml:space="preserve">C4</w:t>
            </w:r>
          </w:p>
        </w:tc>
        <w:tc>
          <w:tcPr/>
          <w:p>
            <w:pPr>
              <w:pStyle w:val="Compact"/>
              <w:jc w:val="left"/>
            </w:pPr>
            <w:r>
              <w:t xml:space="preserve">Appeal on questions of law to the High Court of Singapore (SA § 14.6) likely unenforceable; undermines finality and U.S. enforcement</w:t>
            </w:r>
          </w:p>
        </w:tc>
        <w:tc>
          <w:tcPr/>
          <w:p>
            <w:pPr>
              <w:pStyle w:val="Compact"/>
              <w:jc w:val="left"/>
            </w:pPr>
            <w:r>
              <w:t xml:space="preserve">Critical</w:t>
            </w:r>
          </w:p>
        </w:tc>
      </w:tr>
      <w:tr>
        <w:tc>
          <w:tcPr/>
          <w:p>
            <w:pPr>
              <w:pStyle w:val="Compact"/>
              <w:jc w:val="left"/>
            </w:pPr>
            <w:r>
              <w:t xml:space="preserve">H1</w:t>
            </w:r>
          </w:p>
        </w:tc>
        <w:tc>
          <w:tcPr/>
          <w:p>
            <w:pPr>
              <w:pStyle w:val="Compact"/>
              <w:jc w:val="left"/>
            </w:pPr>
            <w:r>
              <w:t xml:space="preserve">IPLA § 9.3 consolidation clause conflicts with SA § 14.1 (pathological clause)</w:t>
            </w:r>
          </w:p>
        </w:tc>
        <w:tc>
          <w:tcPr/>
          <w:p>
            <w:pPr>
              <w:pStyle w:val="Compact"/>
              <w:jc w:val="left"/>
            </w:pPr>
            <w:r>
              <w:t xml:space="preserve">High</w:t>
            </w:r>
          </w:p>
        </w:tc>
      </w:tr>
      <w:tr>
        <w:tc>
          <w:tcPr/>
          <w:p>
            <w:pPr>
              <w:pStyle w:val="Compact"/>
              <w:jc w:val="left"/>
            </w:pPr>
            <w:r>
              <w:t xml:space="preserve">H2</w:t>
            </w:r>
          </w:p>
        </w:tc>
        <w:tc>
          <w:tcPr/>
          <w:p>
            <w:pPr>
              <w:pStyle w:val="Compact"/>
              <w:jc w:val="left"/>
            </w:pPr>
            <w:r>
              <w:t xml:space="preserve">Three inconsistent conflict-hierarchy clauses (SA § 15.8; QA § 8.1; IPLA § 10.3)</w:t>
            </w:r>
          </w:p>
        </w:tc>
        <w:tc>
          <w:tcPr/>
          <w:p>
            <w:pPr>
              <w:pStyle w:val="Compact"/>
              <w:jc w:val="left"/>
            </w:pPr>
            <w:r>
              <w:t xml:space="preserve">High</w:t>
            </w:r>
          </w:p>
        </w:tc>
      </w:tr>
      <w:tr>
        <w:tc>
          <w:tcPr/>
          <w:p>
            <w:pPr>
              <w:pStyle w:val="Compact"/>
              <w:jc w:val="left"/>
            </w:pPr>
            <w:r>
              <w:t xml:space="preserve">H3</w:t>
            </w:r>
          </w:p>
        </w:tc>
        <w:tc>
          <w:tcPr/>
          <w:p>
            <w:pPr>
              <w:pStyle w:val="Compact"/>
              <w:jc w:val="left"/>
            </w:pPr>
            <w:r>
              <w:t xml:space="preserve">One-year limitation period (SA § 14.9) too aggressive; bars indemnification, latent-defect, and IP claims prematurely</w:t>
            </w:r>
          </w:p>
        </w:tc>
        <w:tc>
          <w:tcPr/>
          <w:p>
            <w:pPr>
              <w:pStyle w:val="Compact"/>
              <w:jc w:val="left"/>
            </w:pPr>
            <w:r>
              <w:t xml:space="preserve">High</w:t>
            </w:r>
          </w:p>
        </w:tc>
      </w:tr>
      <w:tr>
        <w:tc>
          <w:tcPr/>
          <w:p>
            <w:pPr>
              <w:pStyle w:val="Compact"/>
              <w:jc w:val="left"/>
            </w:pPr>
            <w:r>
              <w:t xml:space="preserve">H4</w:t>
            </w:r>
          </w:p>
        </w:tc>
        <w:tc>
          <w:tcPr/>
          <w:p>
            <w:pPr>
              <w:pStyle w:val="Compact"/>
              <w:jc w:val="left"/>
            </w:pPr>
            <w:r>
              <w:t xml:space="preserve">Blanket no-discovery bar (SA § 14.5) cripples proof of quality/contamination claims; exceeds the IBA norm H&amp;G cites</w:t>
            </w:r>
          </w:p>
        </w:tc>
        <w:tc>
          <w:tcPr/>
          <w:p>
            <w:pPr>
              <w:pStyle w:val="Compact"/>
              <w:jc w:val="left"/>
            </w:pPr>
            <w:r>
              <w:t xml:space="preserve">High</w:t>
            </w:r>
          </w:p>
        </w:tc>
      </w:tr>
      <w:tr>
        <w:tc>
          <w:tcPr/>
          <w:p>
            <w:pPr>
              <w:pStyle w:val="Compact"/>
              <w:jc w:val="left"/>
            </w:pPr>
            <w:r>
              <w:t xml:space="preserve">H5</w:t>
            </w:r>
          </w:p>
        </w:tc>
        <w:tc>
          <w:tcPr/>
          <w:p>
            <w:pPr>
              <w:pStyle w:val="Compact"/>
              <w:jc w:val="left"/>
            </w:pPr>
            <w:r>
              <w:t xml:space="preserve">Conflicting governing laws across the three documents</w:t>
            </w:r>
          </w:p>
        </w:tc>
        <w:tc>
          <w:tcPr/>
          <w:p>
            <w:pPr>
              <w:pStyle w:val="Compact"/>
              <w:jc w:val="left"/>
            </w:pPr>
            <w:r>
              <w:t xml:space="preserve">High</w:t>
            </w:r>
          </w:p>
        </w:tc>
      </w:tr>
      <w:tr>
        <w:tc>
          <w:tcPr/>
          <w:p>
            <w:pPr>
              <w:pStyle w:val="Compact"/>
              <w:jc w:val="left"/>
            </w:pPr>
            <w:r>
              <w:t xml:space="preserve">H6</w:t>
            </w:r>
          </w:p>
        </w:tc>
        <w:tc>
          <w:tcPr/>
          <w:p>
            <w:pPr>
              <w:pStyle w:val="Compact"/>
              <w:jc w:val="left"/>
            </w:pPr>
            <w:r>
              <w:t xml:space="preserve">Inconsistent tribunal authority on remedies (damages, specific performance, injunctive relief)</w:t>
            </w:r>
          </w:p>
        </w:tc>
        <w:tc>
          <w:tcPr/>
          <w:p>
            <w:pPr>
              <w:pStyle w:val="Compact"/>
              <w:jc w:val="left"/>
            </w:pPr>
            <w:r>
              <w:t xml:space="preserve">High</w:t>
            </w:r>
          </w:p>
        </w:tc>
      </w:tr>
      <w:tr>
        <w:tc>
          <w:tcPr/>
          <w:p>
            <w:pPr>
              <w:pStyle w:val="Compact"/>
              <w:jc w:val="left"/>
            </w:pPr>
            <w:r>
              <w:t xml:space="preserve">M1</w:t>
            </w:r>
          </w:p>
        </w:tc>
        <w:tc>
          <w:tcPr/>
          <w:p>
            <w:pPr>
              <w:pStyle w:val="Compact"/>
              <w:jc w:val="left"/>
            </w:pPr>
            <w:r>
              <w:t xml:space="preserve">Latent-defect claim periods inconsistent (SA § 7.3 vs. QA § 5.1)</w:t>
            </w:r>
          </w:p>
        </w:tc>
        <w:tc>
          <w:tcPr/>
          <w:p>
            <w:pPr>
              <w:pStyle w:val="Compact"/>
              <w:jc w:val="left"/>
            </w:pPr>
            <w:r>
              <w:t xml:space="preserve">Medium</w:t>
            </w:r>
          </w:p>
        </w:tc>
      </w:tr>
      <w:tr>
        <w:tc>
          <w:tcPr/>
          <w:p>
            <w:pPr>
              <w:pStyle w:val="Compact"/>
              <w:jc w:val="left"/>
            </w:pPr>
            <w:r>
              <w:t xml:space="preserve">M2</w:t>
            </w:r>
          </w:p>
        </w:tc>
        <w:tc>
          <w:tcPr/>
          <w:p>
            <w:pPr>
              <w:pStyle w:val="Compact"/>
              <w:jc w:val="left"/>
            </w:pPr>
            <w:r>
              <w:t xml:space="preserve">Cost allocation inconsistent (SA loser-pays vs. IPLA/QA each-bears-own)</w:t>
            </w:r>
          </w:p>
        </w:tc>
        <w:tc>
          <w:tcPr/>
          <w:p>
            <w:pPr>
              <w:pStyle w:val="Compact"/>
              <w:jc w:val="left"/>
            </w:pPr>
            <w:r>
              <w:t xml:space="preserve">Medium</w:t>
            </w:r>
          </w:p>
        </w:tc>
      </w:tr>
      <w:tr>
        <w:tc>
          <w:tcPr/>
          <w:p>
            <w:pPr>
              <w:pStyle w:val="Compact"/>
              <w:jc w:val="left"/>
            </w:pPr>
            <w:r>
              <w:t xml:space="preserve">M3</w:t>
            </w:r>
          </w:p>
        </w:tc>
        <w:tc>
          <w:tcPr/>
          <w:p>
            <w:pPr>
              <w:pStyle w:val="Compact"/>
              <w:jc w:val="left"/>
            </w:pPr>
            <w:r>
              <w:t xml:space="preserve">Number of arbitrators inconsistent (SA 1-or-3 vs. QA 3 vs. IPLA 1)</w:t>
            </w:r>
          </w:p>
        </w:tc>
        <w:tc>
          <w:tcPr/>
          <w:p>
            <w:pPr>
              <w:pStyle w:val="Compact"/>
              <w:jc w:val="left"/>
            </w:pPr>
            <w:r>
              <w:t xml:space="preserve">Medium</w:t>
            </w:r>
          </w:p>
        </w:tc>
      </w:tr>
      <w:tr>
        <w:tc>
          <w:tcPr/>
          <w:p>
            <w:pPr>
              <w:pStyle w:val="Compact"/>
              <w:jc w:val="left"/>
            </w:pPr>
            <w:r>
              <w:t xml:space="preserve">M4</w:t>
            </w:r>
          </w:p>
        </w:tc>
        <w:tc>
          <w:tcPr/>
          <w:p>
            <w:pPr>
              <w:pStyle w:val="Compact"/>
              <w:jc w:val="left"/>
            </w:pPr>
            <w:r>
              <w:t xml:space="preserve">Interim/injunctive relief carve-out appears only in SA § 14.7; QA and IPLA silent</w:t>
            </w:r>
          </w:p>
        </w:tc>
        <w:tc>
          <w:tcPr/>
          <w:p>
            <w:pPr>
              <w:pStyle w:val="Compact"/>
              <w:jc w:val="left"/>
            </w:pPr>
            <w:r>
              <w:t xml:space="preserve">Medium</w:t>
            </w:r>
          </w:p>
        </w:tc>
      </w:tr>
      <w:tr>
        <w:tc>
          <w:tcPr/>
          <w:p>
            <w:pPr>
              <w:pStyle w:val="Compact"/>
              <w:jc w:val="left"/>
            </w:pPr>
            <w:r>
              <w:t xml:space="preserve">M5</w:t>
            </w:r>
          </w:p>
        </w:tc>
        <w:tc>
          <w:tcPr/>
          <w:p>
            <w:pPr>
              <w:pStyle w:val="Compact"/>
              <w:jc w:val="left"/>
            </w:pPr>
            <w:r>
              <w:t xml:space="preserve">Confidentiality of arbitration appears only in SA § 14.10; QA and IPLA silent</w:t>
            </w:r>
          </w:p>
        </w:tc>
        <w:tc>
          <w:tcPr/>
          <w:p>
            <w:pPr>
              <w:pStyle w:val="Compact"/>
              <w:jc w:val="left"/>
            </w:pPr>
            <w:r>
              <w:t xml:space="preserve">Medium</w:t>
            </w:r>
          </w:p>
        </w:tc>
      </w:tr>
      <w:tr>
        <w:tc>
          <w:tcPr/>
          <w:p>
            <w:pPr>
              <w:pStyle w:val="Compact"/>
              <w:jc w:val="left"/>
            </w:pPr>
            <w:r>
              <w:t xml:space="preserve">M6</w:t>
            </w:r>
          </w:p>
        </w:tc>
        <w:tc>
          <w:tcPr/>
          <w:p>
            <w:pPr>
              <w:pStyle w:val="Compact"/>
              <w:jc w:val="left"/>
            </w:pPr>
            <w:r>
              <w:t xml:space="preserve">Expert-determination escalation trigger</w:t>
            </w:r>
            <w:r>
              <w:t xml:space="preserve"> </w:t>
            </w:r>
            <w:r>
              <w:t xml:space="preserve">“</w:t>
            </w:r>
            <w:r>
              <w:t xml:space="preserve">challenged by either Party</w:t>
            </w:r>
            <w:r>
              <w:t xml:space="preserve">”</w:t>
            </w:r>
            <w:r>
              <w:t xml:space="preserve"> </w:t>
            </w:r>
            <w:r>
              <w:t xml:space="preserve">is open-ended (QA § 7.2)</w:t>
            </w:r>
          </w:p>
        </w:tc>
        <w:tc>
          <w:tcPr/>
          <w:p>
            <w:pPr>
              <w:pStyle w:val="Compact"/>
              <w:jc w:val="left"/>
            </w:pPr>
            <w:r>
              <w:t xml:space="preserve">Medium</w:t>
            </w:r>
          </w:p>
        </w:tc>
      </w:tr>
      <w:tr>
        <w:tc>
          <w:tcPr/>
          <w:p>
            <w:pPr>
              <w:pStyle w:val="Compact"/>
              <w:jc w:val="left"/>
            </w:pPr>
            <w:r>
              <w:t xml:space="preserve">M7</w:t>
            </w:r>
          </w:p>
        </w:tc>
        <w:tc>
          <w:tcPr/>
          <w:p>
            <w:pPr>
              <w:pStyle w:val="Compact"/>
              <w:jc w:val="left"/>
            </w:pPr>
            <w:r>
              <w:t xml:space="preserve">Law of the arbitration agreement not specified in any document</w:t>
            </w:r>
          </w:p>
        </w:tc>
        <w:tc>
          <w:tcPr/>
          <w:p>
            <w:pPr>
              <w:pStyle w:val="Compact"/>
              <w:jc w:val="left"/>
            </w:pPr>
            <w:r>
              <w:t xml:space="preserve">Medium</w:t>
            </w:r>
          </w:p>
        </w:tc>
      </w:tr>
      <w:tr>
        <w:tc>
          <w:tcPr/>
          <w:p>
            <w:pPr>
              <w:pStyle w:val="Compact"/>
              <w:jc w:val="left"/>
            </w:pPr>
            <w:r>
              <w:t xml:space="preserve">M8</w:t>
            </w:r>
          </w:p>
        </w:tc>
        <w:tc>
          <w:tcPr/>
          <w:p>
            <w:pPr>
              <w:pStyle w:val="Compact"/>
              <w:jc w:val="left"/>
            </w:pPr>
            <w:r>
              <w:t xml:space="preserve">Scope of the SA limitation period ambiguous (expert determination? other documents?)</w:t>
            </w:r>
          </w:p>
        </w:tc>
        <w:tc>
          <w:tcPr/>
          <w:p>
            <w:pPr>
              <w:pStyle w:val="Compact"/>
              <w:jc w:val="left"/>
            </w:pPr>
            <w:r>
              <w:t xml:space="preserve">Medium</w:t>
            </w:r>
          </w:p>
        </w:tc>
      </w:tr>
      <w:tr>
        <w:tc>
          <w:tcPr/>
          <w:p>
            <w:pPr>
              <w:pStyle w:val="Compact"/>
              <w:jc w:val="left"/>
            </w:pPr>
            <w:r>
              <w:t xml:space="preserve">L1</w:t>
            </w:r>
          </w:p>
        </w:tc>
        <w:tc>
          <w:tcPr/>
          <w:p>
            <w:pPr>
              <w:pStyle w:val="Compact"/>
              <w:jc w:val="left"/>
            </w:pPr>
            <w:r>
              <w:t xml:space="preserve">Seat/venue split (Singapore seat, London hearings) adds cost and complexity</w:t>
            </w:r>
          </w:p>
        </w:tc>
        <w:tc>
          <w:tcPr/>
          <w:p>
            <w:pPr>
              <w:pStyle w:val="Compact"/>
              <w:jc w:val="left"/>
            </w:pPr>
            <w:r>
              <w:t xml:space="preserve">Low</w:t>
            </w:r>
          </w:p>
        </w:tc>
      </w:tr>
      <w:tr>
        <w:tc>
          <w:tcPr/>
          <w:p>
            <w:pPr>
              <w:pStyle w:val="Compact"/>
              <w:jc w:val="left"/>
            </w:pPr>
            <w:r>
              <w:t xml:space="preserve">L2</w:t>
            </w:r>
          </w:p>
        </w:tc>
        <w:tc>
          <w:tcPr/>
          <w:p>
            <w:pPr>
              <w:pStyle w:val="Compact"/>
              <w:jc w:val="left"/>
            </w:pPr>
            <w:r>
              <w:t xml:space="preserve">$5M escalation threshold (QA § 7.2) —</w:t>
            </w:r>
            <w:r>
              <w:t xml:space="preserve"> </w:t>
            </w:r>
            <w:r>
              <w:t xml:space="preserve">“</w:t>
            </w:r>
            <w:r>
              <w:t xml:space="preserve">amount in dispute</w:t>
            </w:r>
            <w:r>
              <w:t xml:space="preserve">”</w:t>
            </w:r>
            <w:r>
              <w:t xml:space="preserve"> </w:t>
            </w:r>
            <w:r>
              <w:t xml:space="preserve">undefined</w:t>
            </w:r>
          </w:p>
        </w:tc>
        <w:tc>
          <w:tcPr/>
          <w:p>
            <w:pPr>
              <w:pStyle w:val="Compact"/>
              <w:jc w:val="left"/>
            </w:pPr>
            <w:r>
              <w:t xml:space="preserve">Low</w:t>
            </w:r>
          </w:p>
        </w:tc>
      </w:tr>
      <w:tr>
        <w:tc>
          <w:tcPr/>
          <w:p>
            <w:pPr>
              <w:pStyle w:val="Compact"/>
              <w:jc w:val="left"/>
            </w:pPr>
            <w:r>
              <w:t xml:space="preserve">L3</w:t>
            </w:r>
          </w:p>
        </w:tc>
        <w:tc>
          <w:tcPr/>
          <w:p>
            <w:pPr>
              <w:pStyle w:val="Compact"/>
              <w:jc w:val="left"/>
            </w:pPr>
            <w:r>
              <w:t xml:space="preserve">Ridgeway (62% equity holder) has no intervention/notice mechanism</w:t>
            </w:r>
          </w:p>
        </w:tc>
        <w:tc>
          <w:tcPr/>
          <w:p>
            <w:pPr>
              <w:pStyle w:val="Compact"/>
              <w:jc w:val="left"/>
            </w:pPr>
            <w:r>
              <w:t xml:space="preserve">Low</w:t>
            </w:r>
          </w:p>
        </w:tc>
      </w:tr>
      <w:tr>
        <w:tc>
          <w:tcPr/>
          <w:p>
            <w:pPr>
              <w:pStyle w:val="Compact"/>
              <w:jc w:val="left"/>
            </w:pPr>
            <w:r>
              <w:t xml:space="preserve">L4</w:t>
            </w:r>
          </w:p>
        </w:tc>
        <w:tc>
          <w:tcPr/>
          <w:p>
            <w:pPr>
              <w:pStyle w:val="Compact"/>
              <w:jc w:val="left"/>
            </w:pPr>
            <w:r>
              <w:t xml:space="preserve">SA § 14.3 unilateral three-arbitrator trigger has no value threshold</w:t>
            </w:r>
          </w:p>
        </w:tc>
        <w:tc>
          <w:tcPr/>
          <w:p>
            <w:pPr>
              <w:pStyle w:val="Compact"/>
              <w:jc w:val="left"/>
            </w:pPr>
            <w:r>
              <w:t xml:space="preserve">Low</w:t>
            </w:r>
          </w:p>
        </w:tc>
      </w:tr>
    </w:tbl>
    <w:p>
      <w:r>
        <w:pict>
          <v:rect style="width:0;height:1.5pt" o:hralign="center" o:hrstd="t" o:hr="t"/>
        </w:pict>
      </w:r>
    </w:p>
    <w:bookmarkEnd w:id="23"/>
    <w:bookmarkEnd w:id="24"/>
    <w:bookmarkStart w:id="29" w:name="iv.-critical-issues"/>
    <w:p>
      <w:pPr>
        <w:pStyle w:val="Heading2"/>
      </w:pPr>
      <w:r>
        <w:t xml:space="preserve">IV. Critical Issues</w:t>
      </w:r>
    </w:p>
    <w:bookmarkStart w:id="25" w:name="X02eb0960de6beb19cce129b54bb788a3160b13e"/>
    <w:p>
      <w:pPr>
        <w:pStyle w:val="Heading3"/>
      </w:pPr>
      <w:r>
        <w:t xml:space="preserve">C1 — Fragmented dispute resolution architecture: three institutions, three governing laws, three seats, and no workable consolidation mechanism</w:t>
      </w:r>
    </w:p>
    <w:p>
      <w:pPr>
        <w:pStyle w:val="FirstParagraph"/>
      </w:pPr>
      <w:r>
        <w:rPr>
          <w:b/>
          <w:bCs/>
        </w:rPr>
        <w:t xml:space="preserve">Citations.</w:t>
      </w:r>
      <w:r>
        <w:t xml:space="preserve"> </w:t>
      </w:r>
      <w:r>
        <w:t xml:space="preserve">SA §§ 14.1–14.4 (ICC; seat Singapore; hearings London; New York law); QA Letter §§ 7.1–7.3 (SIAC expert determination then SIAC arbitration; seat Singapore; Singapore law); IPLA §§ 9.1–9.2 (LCIA; seat London; England &amp; Wales law). H&amp;G Memo Part II (describing the</w:t>
      </w:r>
      <w:r>
        <w:t xml:space="preserve"> </w:t>
      </w:r>
      <w:r>
        <w:t xml:space="preserve">“</w:t>
      </w:r>
      <w:r>
        <w:t xml:space="preserve">three-tier</w:t>
      </w:r>
      <w:r>
        <w:t xml:space="preserve">”</w:t>
      </w:r>
      <w:r>
        <w:t xml:space="preserve"> </w:t>
      </w:r>
      <w:r>
        <w:t xml:space="preserve">structure as deliberate). Email chain (Park:</w:t>
      </w:r>
      <w:r>
        <w:t xml:space="preserve"> </w:t>
      </w:r>
      <w:r>
        <w:t xml:space="preserve">“</w:t>
      </w:r>
      <w:r>
        <w:t xml:space="preserve">three different arbitral institutions and three different governing laws … is that intentional or a drafting oversight?</w:t>
      </w:r>
      <w:r>
        <w:t xml:space="preserve">”</w:t>
      </w:r>
      <w:r>
        <w:t xml:space="preserve">; Matsuda:</w:t>
      </w:r>
      <w:r>
        <w:t xml:space="preserve"> </w:t>
      </w:r>
      <w:r>
        <w:t xml:space="preserve">“</w:t>
      </w:r>
      <w:r>
        <w:t xml:space="preserve">comprehensive scrub</w:t>
      </w:r>
      <w:r>
        <w:t xml:space="preserve">”</w:t>
      </w:r>
      <w:r>
        <w:t xml:space="preserve">).</w:t>
      </w:r>
    </w:p>
    <w:p>
      <w:pPr>
        <w:pStyle w:val="BodyText"/>
      </w:pPr>
      <w:r>
        <w:rPr>
          <w:b/>
          <w:bCs/>
        </w:rPr>
        <w:t xml:space="preserve">The issue.</w:t>
      </w:r>
      <w:r>
        <w:t xml:space="preserve"> </w:t>
      </w:r>
      <w:r>
        <w:t xml:space="preserve">A single real-world dispute will frequently implicate all three agreements at once. The most likely dispute scenario — a defective or contaminated batch of botanical extract that enters finished product and triggers an FDA recall — simultaneously raises (a) supply, warranty, and exclusivity claims under the SA; (b) specification, testing, rejection, and recall-cost-allocation claims under the QA Letter; and (c) potentially regulatory-data and licensed-IP claims under the IPLA. Under the current architecture, that single factual dispute would be carved up among three different institutions (ICC, SIAC, LCIA), seated in two different jurisdictions (Singapore and London), applying three different bodies of substantive law (New York, Singapore, England &amp; Wales), with three different tribunal configurations and three different cost regimes. There is no mechanism — in any of the three documents — to consolidate these related claims into a single proceeding. The only consolidation attempt (IPLA § 9.3) is itself unenforceable and conflicting (see H1).</w:t>
      </w:r>
    </w:p>
    <w:p>
      <w:pPr>
        <w:pStyle w:val="BodyText"/>
      </w:pPr>
      <w:r>
        <w:rPr>
          <w:b/>
          <w:bCs/>
        </w:rPr>
        <w:t xml:space="preserve">Why it matters.</w:t>
      </w:r>
      <w:r>
        <w:t xml:space="preserve"> </w:t>
      </w:r>
      <w:r>
        <w:t xml:space="preserve">Fragmentation of this kind predictably produces (i) parallel proceedings, (ii) duplicative evidence-gathering and expert proof, (iii) inconsistent findings of fact (e.g., one tribunal finding the extract defective while another finds the co-manufacturer’s process at fault), (iv) forum-shopping over which agreement’s clause to invoke, and (v) materially increased legal spend. It also generates the precise conditions for a</w:t>
      </w:r>
      <w:r>
        <w:t xml:space="preserve"> </w:t>
      </w:r>
      <w:r>
        <w:t xml:space="preserve">“</w:t>
      </w:r>
      <w:r>
        <w:t xml:space="preserve">pathological clause</w:t>
      </w:r>
      <w:r>
        <w:t xml:space="preserve">”</w:t>
      </w:r>
      <w:r>
        <w:t xml:space="preserve"> </w:t>
      </w:r>
      <w:r>
        <w:t xml:space="preserve">challenge — ambiguous, overlapping forum designations — that caused Pacifica’s 14-month enforcement delay in 2023 (H&amp;G Memo Part V). H&amp;G acknowledges the parties</w:t>
      </w:r>
      <w:r>
        <w:t xml:space="preserve"> </w:t>
      </w:r>
      <w:r>
        <w:t xml:space="preserve">“</w:t>
      </w:r>
      <w:r>
        <w:t xml:space="preserve">may wish to discuss whether to harmonize</w:t>
      </w:r>
      <w:r>
        <w:t xml:space="preserve">”</w:t>
      </w:r>
      <w:r>
        <w:t xml:space="preserve"> </w:t>
      </w:r>
      <w:r>
        <w:t xml:space="preserve">the mechanisms (H&amp;G Memo Part IV) but asserts the structure is</w:t>
      </w:r>
      <w:r>
        <w:t xml:space="preserve"> </w:t>
      </w:r>
      <w:r>
        <w:t xml:space="preserve">“</w:t>
      </w:r>
      <w:r>
        <w:t xml:space="preserve">workable.</w:t>
      </w:r>
      <w:r>
        <w:t xml:space="preserve">”</w:t>
      </w:r>
      <w:r>
        <w:t xml:space="preserve"> </w:t>
      </w:r>
      <w:r>
        <w:t xml:space="preserve">We disagree: as drafted, the structure is a primary source of dispute-resolution risk and should be restructured, not merely harmonized.</w:t>
      </w:r>
    </w:p>
    <w:p>
      <w:pPr>
        <w:pStyle w:val="BodyText"/>
      </w:pPr>
      <w:r>
        <w:rPr>
          <w:b/>
          <w:bCs/>
        </w:rPr>
        <w:t xml:space="preserve">Recommendation.</w:t>
      </w:r>
      <w:r>
        <w:t xml:space="preserve"> </w:t>
      </w:r>
      <w:r>
        <w:t xml:space="preserve">Adopt a single administering institution and a single seat for all three documents (our preference, given the U.S.-centric commercial relationship and the sale-of-goods character, would be ICC arbitration seated in Singapore or New York with New York substantive law throughout; Singapore as seat is acceptable and Convention-friendly). If three institutions must be retained for political reasons, add a single, express cross-agreement consolidation clause designating one institution as the consolidating forum for any dispute touching two or more of the Transaction Documents, with each party’s consent to joinder of all related claims. Either way, harmonize the governing law, tribunal size, cost allocation, and limitation period across the suite (see H5, M2, M3, H3).</w:t>
      </w:r>
    </w:p>
    <w:bookmarkEnd w:id="25"/>
    <w:bookmarkStart w:id="26" w:name="X3b82014a127019d39434b33703a957664ebc7a8"/>
    <w:p>
      <w:pPr>
        <w:pStyle w:val="Heading3"/>
      </w:pPr>
      <w:r>
        <w:t xml:space="preserve">C2 — No joinder mechanism for non-signatory co-manufacturers</w:t>
      </w:r>
    </w:p>
    <w:p>
      <w:pPr>
        <w:pStyle w:val="FirstParagraph"/>
      </w:pPr>
      <w:r>
        <w:rPr>
          <w:b/>
          <w:bCs/>
        </w:rPr>
        <w:t xml:space="preserve">Citations.</w:t>
      </w:r>
      <w:r>
        <w:t xml:space="preserve"> </w:t>
      </w:r>
      <w:r>
        <w:t xml:space="preserve">SA Art. 14 (no joinder provision); QA Letter § 7 (no joinder provision); IPLA § 9 (no joinder provision). Email chain (Matsuda, Priority 2:</w:t>
      </w:r>
      <w:r>
        <w:t xml:space="preserve"> </w:t>
      </w:r>
      <w:r>
        <w:t xml:space="preserve">“</w:t>
      </w:r>
      <w:r>
        <w:t xml:space="preserve">none of the three arbitration clauses … contain any mechanism for joinder of non-signatories or third parties</w:t>
      </w:r>
      <w:r>
        <w:t xml:space="preserve">”</w:t>
      </w:r>
      <w:r>
        <w:t xml:space="preserve">; Heller:</w:t>
      </w:r>
      <w:r>
        <w:t xml:space="preserve"> </w:t>
      </w:r>
      <w:r>
        <w:t xml:space="preserve">“</w:t>
      </w:r>
      <w:r>
        <w:t xml:space="preserve">we’ll literally be in Singapore (or London) arbitrating against Pacifica while simultaneously in Mecklenburg County Superior Court against the co-man. That’s not workable</w:t>
      </w:r>
      <w:r>
        <w:t xml:space="preserve">”</w:t>
      </w:r>
      <w:r>
        <w:t xml:space="preserve">; Heller: new co-manufacturer expected online Q1 2026).</w:t>
      </w:r>
    </w:p>
    <w:p>
      <w:pPr>
        <w:pStyle w:val="BodyText"/>
      </w:pPr>
      <w:r>
        <w:rPr>
          <w:b/>
          <w:bCs/>
        </w:rPr>
        <w:t xml:space="preserve">The issue.</w:t>
      </w:r>
      <w:r>
        <w:t xml:space="preserve"> </w:t>
      </w:r>
      <w:r>
        <w:t xml:space="preserve">Greenleaf’s manufacturing model depends on U.S.-based co-manufacturers that blend, encapsulate, and package finished supplements using Pacifica’s extracts. The co-manufacturers are not parties to the SA, the QA Letter, or the IPLA, and their own contracts are governed by North Carolina choice-of-law and forum-selection clauses (NC state court), not arbitration. None of the three arbitration clauses contains any mechanism — contractual consent-to-joinder, multi-party arbitration, or a litigation carve-out for multi-party quality disputes — to bring a co-manufacturer into the same proceeding as Pacifica.</w:t>
      </w:r>
    </w:p>
    <w:p>
      <w:pPr>
        <w:pStyle w:val="BodyText"/>
      </w:pPr>
      <w:r>
        <w:rPr>
          <w:b/>
          <w:bCs/>
        </w:rPr>
        <w:t xml:space="preserve">Why it matters.</w:t>
      </w:r>
      <w:r>
        <w:t xml:space="preserve"> </w:t>
      </w:r>
      <w:r>
        <w:t xml:space="preserve">A quality dispute will routinely require claims against both Pacifica (defective ingredient) and the co-manufacturer (failure to detect, or contribution to, the defect). Under the ICC, SIAC, and LCIA Rules, joinder of a non-signatory requires the non-signatory’s consent, which a co-manufacturer has no incentive to give. The result is exactly the scenario Mr. Heller describes: Greenleaf arbitrating against Pacifica in Singapore/London while simultaneously litigating against its co-manufacturer in Mecklenburg County — parallel proceedings, duplicative discovery, a real risk of inconsistent factual findings, and roughly double the cost. The problem compounds as Greenleaf adds co-manufacturers (a new encapsulation co-man is expected online in Q1 2026, within six months of the effective date). This is a Priority 2 item for Greenleaf and, in our view, rises to Critical because it makes the most probable category of dispute (quality) effectively unmanageable.</w:t>
      </w:r>
    </w:p>
    <w:p>
      <w:pPr>
        <w:pStyle w:val="BodyText"/>
      </w:pPr>
      <w:r>
        <w:rPr>
          <w:b/>
          <w:bCs/>
        </w:rPr>
        <w:t xml:space="preserve">Recommendation.</w:t>
      </w:r>
      <w:r>
        <w:t xml:space="preserve"> </w:t>
      </w:r>
      <w:r>
        <w:t xml:space="preserve">Negotiate one or both of the following: (a) a contractual joinder/consent-to-joinder provision in each arbitration clause permitting Greenleaf to join any co-manufacturer whose conduct is alleged to have contributed to the loss, with the co-manufacturer’s participation subject to its consent (and, going forward, require Greenleaf’s co-manufacturing agreements to include a compatible arbitration clause — same institution, same seat — so joinder is achievable); or (b) a carve-out allowing quality disputes that necessarily involve third parties to be litigated in a specified U.S. court (e.g., state or federal court in Charlotte, NC) rather than arbitrated. Option (a) is preferable because it preserves arbitration; option (b) is the fallback if Pacifica will not accept joinder.</w:t>
      </w:r>
    </w:p>
    <w:bookmarkEnd w:id="26"/>
    <w:bookmarkStart w:id="27" w:name="X6bebed8d64246bebd1e0ca191a012ecbdc38bc6"/>
    <w:p>
      <w:pPr>
        <w:pStyle w:val="Heading3"/>
      </w:pPr>
      <w:r>
        <w:t xml:space="preserve">C3 — Consequential-damages waiver (SA § 14.11) is overbroad and commercially one-sided; internally inconsistent with the QA Letter</w:t>
      </w:r>
    </w:p>
    <w:p>
      <w:pPr>
        <w:pStyle w:val="FirstParagraph"/>
      </w:pPr>
      <w:r>
        <w:rPr>
          <w:b/>
          <w:bCs/>
        </w:rPr>
        <w:t xml:space="preserve">Citations.</w:t>
      </w:r>
      <w:r>
        <w:t xml:space="preserve"> </w:t>
      </w:r>
      <w:r>
        <w:t xml:space="preserve">SA § 14.11 (</w:t>
      </w:r>
      <w:r>
        <w:t xml:space="preserve">“</w:t>
      </w:r>
      <w:r>
        <w:t xml:space="preserve">The arbitral tribunal shall not have the authority to award punitive, exemplary, or consequential damages</w:t>
      </w:r>
      <w:r>
        <w:t xml:space="preserve">”</w:t>
      </w:r>
      <w:r>
        <w:t xml:space="preserve">); SA § 11.2 (substantive exclusion of consequential damages, subject to indemnification carve-out); QA Letter § 6.6 (</w:t>
      </w:r>
      <w:r>
        <w:t xml:space="preserve">“</w:t>
      </w:r>
      <w:r>
        <w:t xml:space="preserve">Nothing in this Section 6 shall limit or modify Greenleaf’s rights to consequential damages, indemnification, or other remedies as provided in the Supply Agreement, except to the extent expressly limited by the dispute resolution provisions of Article 14 of the Supply Agreement</w:t>
      </w:r>
      <w:r>
        <w:t xml:space="preserve">”</w:t>
      </w:r>
      <w:r>
        <w:t xml:space="preserve">); QA Letter § 7.2 (SIAC tribunal</w:t>
      </w:r>
      <w:r>
        <w:t xml:space="preserve"> </w:t>
      </w:r>
      <w:r>
        <w:t xml:space="preserve">“</w:t>
      </w:r>
      <w:r>
        <w:t xml:space="preserve">shall have the authority to award any remedy or relief available under applicable law, including injunctive relief, specific performance, and damages</w:t>
      </w:r>
      <w:r>
        <w:t xml:space="preserve">”</w:t>
      </w:r>
      <w:r>
        <w:t xml:space="preserve">). Email chain (Park: Ridgeway portfolio example — $1.8M direct vs. $14M consequential, recovery of</w:t>
      </w:r>
      <w:r>
        <w:t xml:space="preserve"> </w:t>
      </w:r>
      <w:r>
        <w:t xml:space="preserve">“</w:t>
      </w:r>
      <w:r>
        <w:t xml:space="preserve">less than 12 cents on the dollar</w:t>
      </w:r>
      <w:r>
        <w:t xml:space="preserve">”</w:t>
      </w:r>
      <w:r>
        <w:t xml:space="preserve">; Heller:</w:t>
      </w:r>
      <w:r>
        <w:t xml:space="preserve"> </w:t>
      </w:r>
      <w:r>
        <w:t xml:space="preserve">“</w:t>
      </w:r>
      <w:r>
        <w:t xml:space="preserve">hill we’re willing to die on</w:t>
      </w:r>
      <w:r>
        <w:t xml:space="preserve">”</w:t>
      </w:r>
      <w:r>
        <w:t xml:space="preserve">; Heller: 13-year horizon through July 31, 2038).</w:t>
      </w:r>
    </w:p>
    <w:p>
      <w:pPr>
        <w:pStyle w:val="BodyText"/>
      </w:pPr>
      <w:r>
        <w:rPr>
          <w:b/>
          <w:bCs/>
        </w:rPr>
        <w:t xml:space="preserve">The issue.</w:t>
      </w:r>
      <w:r>
        <w:t xml:space="preserve"> </w:t>
      </w:r>
      <w:r>
        <w:t xml:space="preserve">SA § 14.11 strips the tribunal of authority to award consequential damages, and SA § 11.2 separately excludes them as a matter of substantive liability. Although drafted as a mutual waiver, the provision is profoundly one-sided in operation because of the exclusivity structure: Greenleaf has no backup supplier, so a supply disruption or a defective-ingredient recall generates consequential losses (lost profits from unfulfilled downstream orders, retailer penalties and slotting-fee losses, recall costs, crisis PR, consumer-refund programs, reformulation and re-sourcing costs, reputational harm) that dwarf the direct damages (the cost of the ingredient itself). Mr. Park’s portfolio example is instructive: in a comparable FDA Class II recall, direct damages were ~$1.8M while consequential damages exceeded $14M — a waiver would have capped recovery at under 12 cents on the dollar. The asymmetry deepens over time: by Year 10, Greenleaf’s curcumin and ashwagandha product lines will be built around Pacifica’s extracts, and the potential term runs to July 31, 2038 (13 years).</w:t>
      </w:r>
    </w:p>
    <w:p>
      <w:pPr>
        <w:pStyle w:val="BodyText"/>
      </w:pPr>
      <w:r>
        <w:t xml:space="preserve">The provision is also internally inconsistent across the suite. QA § 6.6 purports to preserve Greenleaf’s consequential-damages rights</w:t>
      </w:r>
      <w:r>
        <w:t xml:space="preserve"> </w:t>
      </w:r>
      <w:r>
        <w:t xml:space="preserve">“</w:t>
      </w:r>
      <w:r>
        <w:t xml:space="preserve">except to the extent expressly limited by the dispute resolution provisions of Article 14 of the Supply Agreement</w:t>
      </w:r>
      <w:r>
        <w:t xml:space="preserve">”</w:t>
      </w:r>
      <w:r>
        <w:t xml:space="preserve"> </w:t>
      </w:r>
      <w:r>
        <w:t xml:space="preserve">— i.e., it subordinates the recall-cost allocation regime to SA § 14.11. But QA § 7.2 simultaneously grants the SIAC tribunal authority to award</w:t>
      </w:r>
      <w:r>
        <w:t xml:space="preserve"> </w:t>
      </w:r>
      <w:r>
        <w:t xml:space="preserve">“</w:t>
      </w:r>
      <w:r>
        <w:t xml:space="preserve">any remedy or relief available under applicable law, including … damages,</w:t>
      </w:r>
      <w:r>
        <w:t xml:space="preserve">”</w:t>
      </w:r>
      <w:r>
        <w:t xml:space="preserve"> </w:t>
      </w:r>
      <w:r>
        <w:t xml:space="preserve">with no consequential-damages exclusion, and QA § 8.1 makes the QA Letter’s dispute-resolution mechanism (Section 7) control over the SA for QA-specific subjects. The net effect is unpredictable: a tribunal could read QA § 7.2 as authorizing consequential damages for a recall dispute, or read QA § 6.6 / SA § 14.11 as excluding them. This triangle (QA § 6.6 / QA § 7.2 / SA § 14.11) must be resolved.</w:t>
      </w:r>
    </w:p>
    <w:p>
      <w:pPr>
        <w:pStyle w:val="BodyText"/>
      </w:pPr>
      <w:r>
        <w:rPr>
          <w:b/>
          <w:bCs/>
        </w:rPr>
        <w:t xml:space="preserve">Why it matters.</w:t>
      </w:r>
      <w:r>
        <w:t xml:space="preserve"> </w:t>
      </w:r>
      <w:r>
        <w:t xml:space="preserve">This is the single most important commercial issue in the package. Mr. Heller has stated Greenleaf would</w:t>
      </w:r>
      <w:r>
        <w:t xml:space="preserve"> </w:t>
      </w:r>
      <w:r>
        <w:t xml:space="preserve">“</w:t>
      </w:r>
      <w:r>
        <w:t xml:space="preserve">rather walk away from the deal than sign a blanket consequential damages waiver on a $178M+ exclusive supply agreement.</w:t>
      </w:r>
      <w:r>
        <w:t xml:space="preserve">”</w:t>
      </w:r>
      <w:r>
        <w:t xml:space="preserve"> </w:t>
      </w:r>
      <w:r>
        <w:t xml:space="preserve">The waiver, combined with exclusivity and the 13-year horizon, effectively gives Pacifica a</w:t>
      </w:r>
      <w:r>
        <w:t xml:space="preserve"> </w:t>
      </w:r>
      <w:r>
        <w:t xml:space="preserve">“</w:t>
      </w:r>
      <w:r>
        <w:t xml:space="preserve">free pass</w:t>
      </w:r>
      <w:r>
        <w:t xml:space="preserve">”</w:t>
      </w:r>
      <w:r>
        <w:t xml:space="preserve"> </w:t>
      </w:r>
      <w:r>
        <w:t xml:space="preserve">to disrupt Greenleaf’s business with limited financial consequence. It also undermines the recall-cost-allocation regime in QA § 6, which is the principal protection Greenleaf negotiated for the most probable loss scenario.</w:t>
      </w:r>
    </w:p>
    <w:p>
      <w:pPr>
        <w:pStyle w:val="BodyText"/>
      </w:pPr>
      <w:r>
        <w:rPr>
          <w:b/>
          <w:bCs/>
        </w:rPr>
        <w:t xml:space="preserve">Recommendation.</w:t>
      </w:r>
      <w:r>
        <w:t xml:space="preserve"> </w:t>
      </w:r>
      <w:r>
        <w:t xml:space="preserve">Restructure SA § 14.11 (and conform SA § 11.2) along one of the following lines, in descending order of preference: (a) carve out from the waiver (i) recall-related costs, (ii) lost profits directly attributable to supply failure or defective ingredient, and (iii) third-party claims against Greenleaf arising from defective ingredients, while retaining the mutual waiver of punitive and exemplary damages (which Greenleaf has indicated it can accept); or (b) replace the blanket waiver with a damages cap calibrated to the relationship (e.g., a multiple of annual purchase volume) that preserves consequential recovery up to the cap; or (c) at minimum, carve out indemnification and recall claims from both § 14.11 and § 11.2 so that the QA § 6 recall-cost-allocation regime is not undermined. Simultaneously, delete the limiting language in QA § 6.6 (or rewrite it to make clear that consequential and recall damages are recoverable in QA arbitration) and conform QA § 7.2 and SA § 14.11 so that the availability of consequential damages does not depend on which forum hears the dispute (see H6).</w:t>
      </w:r>
    </w:p>
    <w:bookmarkEnd w:id="27"/>
    <w:bookmarkStart w:id="28" w:name="X58835b192a3f2b544306349f5e48f9073f47ee8"/>
    <w:p>
      <w:pPr>
        <w:pStyle w:val="Heading3"/>
      </w:pPr>
      <w:r>
        <w:t xml:space="preserve">C4 — Appeal on questions of law to the High Court of Singapore (SA § 14.6) is likely unenforceable and undermines finality and U.S. enforcement</w:t>
      </w:r>
    </w:p>
    <w:p>
      <w:pPr>
        <w:pStyle w:val="FirstParagraph"/>
      </w:pPr>
      <w:r>
        <w:rPr>
          <w:b/>
          <w:bCs/>
        </w:rPr>
        <w:t xml:space="preserve">Citations.</w:t>
      </w:r>
      <w:r>
        <w:t xml:space="preserve"> </w:t>
      </w:r>
      <w:r>
        <w:t xml:space="preserve">SA § 14.6 (</w:t>
      </w:r>
      <w:r>
        <w:t xml:space="preserve">“</w:t>
      </w:r>
      <w:r>
        <w:t xml:space="preserve">either party may appeal the award on questions of law to the High Court of Singapore</w:t>
      </w:r>
      <w:r>
        <w:t xml:space="preserve">”</w:t>
      </w:r>
      <w:r>
        <w:t xml:space="preserve">). H&amp;G Memo Part III.B (stating the provision was</w:t>
      </w:r>
      <w:r>
        <w:t xml:space="preserve"> </w:t>
      </w:r>
      <w:r>
        <w:t xml:space="preserve">“</w:t>
      </w:r>
      <w:r>
        <w:t xml:space="preserve">modeled on the approach under the English Arbitration Act 1996, specifically Section 69</w:t>
      </w:r>
      <w:r>
        <w:t xml:space="preserve">”</w:t>
      </w:r>
      <w:r>
        <w:t xml:space="preserve">). Email chain (Matsuda, Priority 1: enforceability in U.S. courts; Heller: 14-month enforcement delay</w:t>
      </w:r>
      <w:r>
        <w:t xml:space="preserve"> </w:t>
      </w:r>
      <w:r>
        <w:t xml:space="preserve">“</w:t>
      </w:r>
      <w:r>
        <w:t xml:space="preserve">keeps me up at night</w:t>
      </w:r>
      <w:r>
        <w:t xml:space="preserve">”</w:t>
      </w:r>
      <w:r>
        <w:t xml:space="preserve">).</w:t>
      </w:r>
    </w:p>
    <w:p>
      <w:pPr>
        <w:pStyle w:val="BodyText"/>
      </w:pPr>
      <w:r>
        <w:rPr>
          <w:b/>
          <w:bCs/>
        </w:rPr>
        <w:t xml:space="preserve">The issue.</w:t>
      </w:r>
      <w:r>
        <w:t xml:space="preserve"> </w:t>
      </w:r>
      <w:r>
        <w:t xml:space="preserve">H&amp;G states that § 14.6 was</w:t>
      </w:r>
      <w:r>
        <w:t xml:space="preserve"> </w:t>
      </w:r>
      <w:r>
        <w:t xml:space="preserve">“</w:t>
      </w:r>
      <w:r>
        <w:t xml:space="preserve">modeled on</w:t>
      </w:r>
      <w:r>
        <w:t xml:space="preserve">”</w:t>
      </w:r>
      <w:r>
        <w:t xml:space="preserve"> </w:t>
      </w:r>
      <w:r>
        <w:t xml:space="preserve">Section 69 of the English Arbitration Act 1996, which permits parties to agree to appeal arbitral awards on questions of law to the English courts. The problem is that the seat is Singapore, not England, and Singapore’s arbitration statute for international arbitrations — the International Arbitration Act (Cap. 143A) (</w:t>
      </w:r>
      <w:r>
        <w:t xml:space="preserve">“</w:t>
      </w:r>
      <w:r>
        <w:t xml:space="preserve">IAA</w:t>
      </w:r>
      <w:r>
        <w:t xml:space="preserve">”</w:t>
      </w:r>
      <w:r>
        <w:t xml:space="preserve">), which incorporates the UNCITRAL Model Law — does</w:t>
      </w:r>
      <w:r>
        <w:t xml:space="preserve"> </w:t>
      </w:r>
      <w:r>
        <w:rPr>
          <w:b/>
          <w:bCs/>
        </w:rPr>
        <w:t xml:space="preserve">not</w:t>
      </w:r>
      <w:r>
        <w:t xml:space="preserve"> </w:t>
      </w:r>
      <w:r>
        <w:t xml:space="preserve">contain a Section 69-equivalent. Under the IAA, recourse against an award in an international arbitration is limited to the Model Law grounds for setting aside (Art. 34: procedural irregularity, lack of jurisdiction, public policy, etc.) and refusal of enforcement (Art. 36). There is no general right of appeal on questions of law. (A limited right to determine a preliminary question of law exists under s.10 of the IAA, but only with tribunal consent or party agreement and the court’s permission, and it is not an appeal of a final award.) Parties cannot create an appellate jurisdiction in the Singapore High Court by contract that the IAA does not confer. The domestic Arbitration Act 2002 does contain a limited appeal-on-law mechanism (s.49), but it does not apply to international arbitrations unless the parties expressly opt in, which § 14.6 does not do.</w:t>
      </w:r>
    </w:p>
    <w:p>
      <w:pPr>
        <w:pStyle w:val="BodyText"/>
      </w:pPr>
      <w:r>
        <w:rPr>
          <w:b/>
          <w:bCs/>
        </w:rPr>
        <w:t xml:space="preserve">Why it matters.</w:t>
      </w:r>
      <w:r>
        <w:t xml:space="preserve"> </w:t>
      </w:r>
      <w:r>
        <w:t xml:space="preserve">This is, ironically, a</w:t>
      </w:r>
      <w:r>
        <w:t xml:space="preserve"> </w:t>
      </w:r>
      <w:r>
        <w:t xml:space="preserve">“</w:t>
      </w:r>
      <w:r>
        <w:t xml:space="preserve">pathological</w:t>
      </w:r>
      <w:r>
        <w:t xml:space="preserve">”</w:t>
      </w:r>
      <w:r>
        <w:t xml:space="preserve"> </w:t>
      </w:r>
      <w:r>
        <w:t xml:space="preserve">clause — the very category of defect H&amp;G says it drafted to avoid in light of Pacifica’s 2023 experience. A clause purporting to grant an appeal right that the curial law does not provide is, at best, unenforceable and, at worst, a magnet for satellite litigation: the party seeking to appeal will try to invoke it, the opposing party will resist, and the Singapore court will have to decide whether to entertain it — all of which consumes time and money. More fundamentally, the provision defeats the finality that is the principal reason to arbitrate. It also directly creates the enforcement-delay risk that is Greenleaf’s threshold concern: under Chapter 2 of the Federal Arbitration Act and Article VI of the New York Convention, a U.S. court may stay enforcement of an award while a setting-aside or appeal proceeding is pending at the seat. A § 14.6 appeal — even an unsuccessful one — could delay U.S. enforcement for many months, replicating Pacifica’s 14-month ordeal from the opposite side of the table. Finally, the provision asks the Singapore High Court to review questions of New York law (the SA’s substantive law), a posture for which the English s.69 model (English court reviewing English law) was never designed.</w:t>
      </w:r>
    </w:p>
    <w:p>
      <w:pPr>
        <w:pStyle w:val="BodyText"/>
      </w:pPr>
      <w:r>
        <w:rPr>
          <w:b/>
          <w:bCs/>
        </w:rPr>
        <w:t xml:space="preserve">Recommendation.</w:t>
      </w:r>
      <w:r>
        <w:t xml:space="preserve"> </w:t>
      </w:r>
      <w:r>
        <w:t xml:space="preserve">Delete the appeal provision in § 14.6 in its entirety and rely on the standard Model Law grounds for setting aside at the Singapore seat. If Pacifica genuinely requires an appeal-on-law mechanism, the only clean way to provide one is to seat the arbitration in England (where s.69 is available by party agreement) and apply English law — but that would require relocating the seat and is inconsistent with Pacifica’s stated preference for a Singapore-connected seat. Given that conflict, our recommendation is to remove the appeal right and accept the finality that arbitration is meant to provide. This single change substantially de-risks U.S. enforcement (see also the enforceability discussion under H1 and the overarching recommendation in Part VII).</w:t>
      </w:r>
    </w:p>
    <w:p>
      <w:r>
        <w:pict>
          <v:rect style="width:0;height:1.5pt" o:hralign="center" o:hrstd="t" o:hr="t"/>
        </w:pict>
      </w:r>
    </w:p>
    <w:bookmarkEnd w:id="28"/>
    <w:bookmarkEnd w:id="29"/>
    <w:bookmarkStart w:id="36" w:name="v.-high-severity-issues"/>
    <w:p>
      <w:pPr>
        <w:pStyle w:val="Heading2"/>
      </w:pPr>
      <w:r>
        <w:t xml:space="preserve">V. High-Severity Issues</w:t>
      </w:r>
    </w:p>
    <w:bookmarkStart w:id="30" w:name="X4f3b1fb3954899e584f8bf4c2c6a7882f5edd35"/>
    <w:p>
      <w:pPr>
        <w:pStyle w:val="Heading3"/>
      </w:pPr>
      <w:r>
        <w:t xml:space="preserve">H1 — IPLA § 9.3 consolidation clause conflicts with SA § 14.1 (pathological clause)</w:t>
      </w:r>
    </w:p>
    <w:p>
      <w:pPr>
        <w:pStyle w:val="FirstParagraph"/>
      </w:pPr>
      <w:r>
        <w:rPr>
          <w:b/>
          <w:bCs/>
        </w:rPr>
        <w:t xml:space="preserve">Citations.</w:t>
      </w:r>
      <w:r>
        <w:t xml:space="preserve"> </w:t>
      </w:r>
      <w:r>
        <w:t xml:space="preserve">IPLA § 9.3 (</w:t>
      </w:r>
      <w:r>
        <w:t xml:space="preserve">“</w:t>
      </w:r>
      <w:r>
        <w:t xml:space="preserve">claims arising under this Agreement that also relate to obligations under the Supply Agreement shall be heard jointly in a single arbitration proceeding under this Section 9</w:t>
      </w:r>
      <w:r>
        <w:t xml:space="preserve">”</w:t>
      </w:r>
      <w:r>
        <w:t xml:space="preserve"> </w:t>
      </w:r>
      <w:r>
        <w:t xml:space="preserve">— i.e., LCIA, London). SA § 14.1 (SA disputes</w:t>
      </w:r>
      <w:r>
        <w:t xml:space="preserve"> </w:t>
      </w:r>
      <w:r>
        <w:t xml:space="preserve">“</w:t>
      </w:r>
      <w:r>
        <w:t xml:space="preserve">shall be finally resolved by arbitration administered by the [ICC]</w:t>
      </w:r>
      <w:r>
        <w:t xml:space="preserve">”</w:t>
      </w:r>
      <w:r>
        <w:t xml:space="preserve">). SA § 15.8 (SA controls in any conflict with the IPLA). H&amp;G Memo Part II.C (describing § 9.3 as a</w:t>
      </w:r>
      <w:r>
        <w:t xml:space="preserve"> </w:t>
      </w:r>
      <w:r>
        <w:t xml:space="preserve">“</w:t>
      </w:r>
      <w:r>
        <w:t xml:space="preserve">practical efficiency measure</w:t>
      </w:r>
      <w:r>
        <w:t xml:space="preserve">”</w:t>
      </w:r>
      <w:r>
        <w:t xml:space="preserve">).</w:t>
      </w:r>
    </w:p>
    <w:p>
      <w:pPr>
        <w:pStyle w:val="BodyText"/>
      </w:pPr>
      <w:r>
        <w:rPr>
          <w:b/>
          <w:bCs/>
        </w:rPr>
        <w:t xml:space="preserve">The issue.</w:t>
      </w:r>
      <w:r>
        <w:t xml:space="preserve"> </w:t>
      </w:r>
      <w:r>
        <w:t xml:space="preserve">IPLA § 9.3 purports to pull claims</w:t>
      </w:r>
      <w:r>
        <w:t xml:space="preserve"> </w:t>
      </w:r>
      <w:r>
        <w:t xml:space="preserve">“</w:t>
      </w:r>
      <w:r>
        <w:t xml:space="preserve">arising under</w:t>
      </w:r>
      <w:r>
        <w:t xml:space="preserve">”</w:t>
      </w:r>
      <w:r>
        <w:t xml:space="preserve"> </w:t>
      </w:r>
      <w:r>
        <w:t xml:space="preserve">the IPLA that</w:t>
      </w:r>
      <w:r>
        <w:t xml:space="preserve"> </w:t>
      </w:r>
      <w:r>
        <w:t xml:space="preserve">“</w:t>
      </w:r>
      <w:r>
        <w:t xml:space="preserve">also relate to obligations under the Supply Agreement</w:t>
      </w:r>
      <w:r>
        <w:t xml:space="preserve">”</w:t>
      </w:r>
      <w:r>
        <w:t xml:space="preserve"> </w:t>
      </w:r>
      <w:r>
        <w:t xml:space="preserve">into a single LCIA arbitration in London. But SA § 14.1 directs SA disputes to ICC arbitration, and SA § 15.8 provides that the SA controls in any conflict with the IPLA. The two provisions are in direct conflict: the IPLA says</w:t>
      </w:r>
      <w:r>
        <w:t xml:space="preserve"> </w:t>
      </w:r>
      <w:r>
        <w:t xml:space="preserve">“</w:t>
      </w:r>
      <w:r>
        <w:t xml:space="preserve">LCIA London for combined SA/IPLA claims</w:t>
      </w:r>
      <w:r>
        <w:t xml:space="preserve">”</w:t>
      </w:r>
      <w:r>
        <w:t xml:space="preserve">; the SA says</w:t>
      </w:r>
      <w:r>
        <w:t xml:space="preserve"> </w:t>
      </w:r>
      <w:r>
        <w:t xml:space="preserve">“</w:t>
      </w:r>
      <w:r>
        <w:t xml:space="preserve">ICC Singapore for SA claims,</w:t>
      </w:r>
      <w:r>
        <w:t xml:space="preserve">”</w:t>
      </w:r>
      <w:r>
        <w:t xml:space="preserve"> </w:t>
      </w:r>
      <w:r>
        <w:t xml:space="preserve">and the SA’s hierarchy clause says the SA wins. The likely operative result is that SA § 15.8 overrides IPLA § 9.3, defeating the consolidation it was meant to provide — leaving the parties back in fragmented proceedings. Even if § 9.3 were given effect, it consolidates only IPLA and SA claims; it does not reach QA Letter claims (SIAC), so a three-agreement dispute remains fragmented. And the LCIA has no mechanism to compel an ICC-seated SA claim into an LCIA arbitration without party consent, which Pacifica (as the party benefiting from the SA’s ICC forum) may withhold.</w:t>
      </w:r>
    </w:p>
    <w:p>
      <w:pPr>
        <w:pStyle w:val="BodyText"/>
      </w:pPr>
      <w:r>
        <w:rPr>
          <w:b/>
          <w:bCs/>
        </w:rPr>
        <w:t xml:space="preserve">Why it matters.</w:t>
      </w:r>
      <w:r>
        <w:t xml:space="preserve"> </w:t>
      </w:r>
      <w:r>
        <w:t xml:space="preserve">This is a textbook pathological clause — conflicting forum designations for the same claims — and it is the precise mechanism by which Pacifica’s 2023 award was challenged (the Korean buyer argued the clause was</w:t>
      </w:r>
      <w:r>
        <w:t xml:space="preserve"> </w:t>
      </w:r>
      <w:r>
        <w:t xml:space="preserve">“</w:t>
      </w:r>
      <w:r>
        <w:t xml:space="preserve">pathological</w:t>
      </w:r>
      <w:r>
        <w:t xml:space="preserve">”</w:t>
      </w:r>
      <w:r>
        <w:t xml:space="preserve">). It invites a jurisdictional challenge at the outset of any multi-agreement dispute, with attendant cost and delay, and it may render the consolidation unenforceable.</w:t>
      </w:r>
    </w:p>
    <w:p>
      <w:pPr>
        <w:pStyle w:val="BodyText"/>
      </w:pPr>
      <w:r>
        <w:rPr>
          <w:b/>
          <w:bCs/>
        </w:rPr>
        <w:t xml:space="preserve">Recommendation.</w:t>
      </w:r>
      <w:r>
        <w:t xml:space="preserve"> </w:t>
      </w:r>
      <w:r>
        <w:t xml:space="preserve">Delete IPLA § 9.3 and replace it with a single, consistent consolidation mechanism that operates across all three Transaction Documents (see C1). If a single institution is adopted for the suite (our preferred approach), consolidation becomes a matter of that institution’s rules plus a contractual consent-to-consolidation clause, and the conflict disappears.</w:t>
      </w:r>
    </w:p>
    <w:bookmarkEnd w:id="30"/>
    <w:bookmarkStart w:id="31" w:name="Xef7c43706f4b425a0270021cb7fd9f715d9064c"/>
    <w:p>
      <w:pPr>
        <w:pStyle w:val="Heading3"/>
      </w:pPr>
      <w:r>
        <w:t xml:space="preserve">H2 — Three inconsistent conflict-hierarchy clauses</w:t>
      </w:r>
    </w:p>
    <w:p>
      <w:pPr>
        <w:pStyle w:val="FirstParagraph"/>
      </w:pPr>
      <w:r>
        <w:rPr>
          <w:b/>
          <w:bCs/>
        </w:rPr>
        <w:t xml:space="preserve">Citations.</w:t>
      </w:r>
      <w:r>
        <w:t xml:space="preserve"> </w:t>
      </w:r>
      <w:r>
        <w:t xml:space="preserve">SA § 15.8 (</w:t>
      </w:r>
      <w:r>
        <w:t xml:space="preserve">“</w:t>
      </w:r>
      <w:r>
        <w:t xml:space="preserve">In the event of a conflict between the terms of this Agreement and the terms of the QA Side Letter or the IPLA, this Agreement shall control</w:t>
      </w:r>
      <w:r>
        <w:t xml:space="preserve">”</w:t>
      </w:r>
      <w:r>
        <w:t xml:space="preserve">). QA Letter § 8.1 (</w:t>
      </w:r>
      <w:r>
        <w:t xml:space="preserve">“</w:t>
      </w:r>
      <w:r>
        <w:t xml:space="preserve">the Supply Agreement shall control; provided, however, that with respect to the subject matters specifically addressed in this Side Letter — including testing protocols, rejection and return procedures, recall cost allocation, and the dispute resolution mechanism set forth in Section 7 — this Side Letter shall control</w:t>
      </w:r>
      <w:r>
        <w:t xml:space="preserve">”</w:t>
      </w:r>
      <w:r>
        <w:t xml:space="preserve">). IPLA § 10.3 (</w:t>
      </w:r>
      <w:r>
        <w:t xml:space="preserve">“</w:t>
      </w:r>
      <w:r>
        <w:t xml:space="preserve">the Supply Agreement shall control, except with respect to matters specifically and exclusively addressed by this Agreement</w:t>
      </w:r>
      <w:r>
        <w:t xml:space="preserve">”</w:t>
      </w:r>
      <w:r>
        <w:t xml:space="preserve">).</w:t>
      </w:r>
    </w:p>
    <w:p>
      <w:pPr>
        <w:pStyle w:val="BodyText"/>
      </w:pPr>
      <w:r>
        <w:rPr>
          <w:b/>
          <w:bCs/>
        </w:rPr>
        <w:t xml:space="preserve">The issue.</w:t>
      </w:r>
      <w:r>
        <w:t xml:space="preserve"> </w:t>
      </w:r>
      <w:r>
        <w:t xml:space="preserve">The three documents each contain a different conflict-hierarchy clause, and they do not align. The SA uses a broad</w:t>
      </w:r>
      <w:r>
        <w:t xml:space="preserve"> </w:t>
      </w:r>
      <w:r>
        <w:t xml:space="preserve">“</w:t>
      </w:r>
      <w:r>
        <w:t xml:space="preserve">SA controls</w:t>
      </w:r>
      <w:r>
        <w:t xml:space="preserve">”</w:t>
      </w:r>
      <w:r>
        <w:t xml:space="preserve"> </w:t>
      </w:r>
      <w:r>
        <w:t xml:space="preserve">rule. The QA Letter carves out specific QA subjects (including its own dispute-resolution mechanism) where the QA Letter controls. The IPLA carves out matters</w:t>
      </w:r>
      <w:r>
        <w:t xml:space="preserve"> </w:t>
      </w:r>
      <w:r>
        <w:t xml:space="preserve">“</w:t>
      </w:r>
      <w:r>
        <w:t xml:space="preserve">specifically and exclusively addressed</w:t>
      </w:r>
      <w:r>
        <w:t xml:space="preserve">”</w:t>
      </w:r>
      <w:r>
        <w:t xml:space="preserve"> </w:t>
      </w:r>
      <w:r>
        <w:t xml:space="preserve">by the IPLA. For a dispute that touches multiple agreements, these clauses interact unpredictably: the QA Letter says its SIAC dispute-resolution mechanism controls for QA subjects, but the SA says the SA controls in any conflict, and the IPLA says it controls for matters it</w:t>
      </w:r>
      <w:r>
        <w:t xml:space="preserve"> </w:t>
      </w:r>
      <w:r>
        <w:t xml:space="preserve">“</w:t>
      </w:r>
      <w:r>
        <w:t xml:space="preserve">exclusively</w:t>
      </w:r>
      <w:r>
        <w:t xml:space="preserve">”</w:t>
      </w:r>
      <w:r>
        <w:t xml:space="preserve"> </w:t>
      </w:r>
      <w:r>
        <w:t xml:space="preserve">addresses. The differing language (</w:t>
      </w:r>
      <w:r>
        <w:t xml:space="preserve">“</w:t>
      </w:r>
      <w:r>
        <w:t xml:space="preserve">conflict</w:t>
      </w:r>
      <w:r>
        <w:t xml:space="preserve">”</w:t>
      </w:r>
      <w:r>
        <w:t xml:space="preserve"> </w:t>
      </w:r>
      <w:r>
        <w:t xml:space="preserve">vs. </w:t>
      </w:r>
      <w:r>
        <w:t xml:space="preserve">“</w:t>
      </w:r>
      <w:r>
        <w:t xml:space="preserve">conflict or inconsistency</w:t>
      </w:r>
      <w:r>
        <w:t xml:space="preserve">”</w:t>
      </w:r>
      <w:r>
        <w:t xml:space="preserve"> </w:t>
      </w:r>
      <w:r>
        <w:t xml:space="preserve">vs. </w:t>
      </w:r>
      <w:r>
        <w:t xml:space="preserve">“</w:t>
      </w:r>
      <w:r>
        <w:t xml:space="preserve">specifically and exclusively addressed</w:t>
      </w:r>
      <w:r>
        <w:t xml:space="preserve">”</w:t>
      </w:r>
      <w:r>
        <w:t xml:space="preserve">) itself creates interpretive ambiguity. Critically, the carve-outs in the QA Letter and IPLA for their own dispute-resolution mechanisms are in tension with the SA’s broad control rule, producing a circular conflict over which forum governs a multi-agreement dispute.</w:t>
      </w:r>
    </w:p>
    <w:p>
      <w:pPr>
        <w:pStyle w:val="BodyText"/>
      </w:pPr>
      <w:r>
        <w:rPr>
          <w:b/>
          <w:bCs/>
        </w:rPr>
        <w:t xml:space="preserve">Why it matters.</w:t>
      </w:r>
      <w:r>
        <w:t xml:space="preserve"> </w:t>
      </w:r>
      <w:r>
        <w:t xml:space="preserve">A hierarchy clause is supposed to resolve conflicts; here, the three hierarchy clauses conflict with each other. The result is that the forum for any given multi-agreement dispute is genuinely uncertain, which is an invitation to preliminary jurisdictional litigation.</w:t>
      </w:r>
    </w:p>
    <w:p>
      <w:pPr>
        <w:pStyle w:val="BodyText"/>
      </w:pPr>
      <w:r>
        <w:rPr>
          <w:b/>
          <w:bCs/>
        </w:rPr>
        <w:t xml:space="preserve">Recommendation.</w:t>
      </w:r>
      <w:r>
        <w:t xml:space="preserve"> </w:t>
      </w:r>
      <w:r>
        <w:t xml:space="preserve">Adopt a single, uniform conflict-hierarchy clause across all three documents, expressed identically, with an explicit rule for which document’s dispute-resolution provision governs a dispute that arises under more than one agreement (ideally: the dispute-resolution provision of a single designated</w:t>
      </w:r>
      <w:r>
        <w:t xml:space="preserve"> </w:t>
      </w:r>
      <w:r>
        <w:t xml:space="preserve">“</w:t>
      </w:r>
      <w:r>
        <w:t xml:space="preserve">lead</w:t>
      </w:r>
      <w:r>
        <w:t xml:space="preserve">”</w:t>
      </w:r>
      <w:r>
        <w:t xml:space="preserve"> </w:t>
      </w:r>
      <w:r>
        <w:t xml:space="preserve">document governs all multi-agreement disputes). This should be drafted in tandem with the consolidation fix in C1/H1.</w:t>
      </w:r>
    </w:p>
    <w:bookmarkEnd w:id="31"/>
    <w:bookmarkStart w:id="32" w:name="X31f544eecf71d382e042387d0c3e647cfb626d1"/>
    <w:p>
      <w:pPr>
        <w:pStyle w:val="Heading3"/>
      </w:pPr>
      <w:r>
        <w:t xml:space="preserve">H3 — One-year limitation period (SA § 14.9) is too aggressive and will bar meritorious claims prematurely</w:t>
      </w:r>
    </w:p>
    <w:p>
      <w:pPr>
        <w:pStyle w:val="FirstParagraph"/>
      </w:pPr>
      <w:r>
        <w:rPr>
          <w:b/>
          <w:bCs/>
        </w:rPr>
        <w:t xml:space="preserve">Citations.</w:t>
      </w:r>
      <w:r>
        <w:t xml:space="preserve"> </w:t>
      </w:r>
      <w:r>
        <w:t xml:space="preserve">SA § 14.9 (</w:t>
      </w:r>
      <w:r>
        <w:t xml:space="preserve">“</w:t>
      </w:r>
      <w:r>
        <w:t xml:space="preserve">The limitation period for commencing arbitration shall be one (1) year from the date the claiming party knew or should have known of the facts giving rise to the claim</w:t>
      </w:r>
      <w:r>
        <w:t xml:space="preserve">”</w:t>
      </w:r>
      <w:r>
        <w:t xml:space="preserve">). SA § 7.3 (latent-defect claims must be raised</w:t>
      </w:r>
      <w:r>
        <w:t xml:space="preserve"> </w:t>
      </w:r>
      <w:r>
        <w:t xml:space="preserve">“</w:t>
      </w:r>
      <w:r>
        <w:t xml:space="preserve">within twelve (12) months of the date of delivery</w:t>
      </w:r>
      <w:r>
        <w:t xml:space="preserve">”</w:t>
      </w:r>
      <w:r>
        <w:t xml:space="preserve">). SA § 12.1 (confidentiality survives five years). IPLA § 5.4 (confidentiality survives seven years). SA Art. 10 (indemnification). Email chain (Matsuda:</w:t>
      </w:r>
      <w:r>
        <w:t xml:space="preserve"> </w:t>
      </w:r>
      <w:r>
        <w:t xml:space="preserve">“</w:t>
      </w:r>
      <w:r>
        <w:t xml:space="preserve">I have questions about whether that’s enforceable under New York law for a UCC-governed sale of goods … very aggressive for a 7-year supply relationship where latent defects in botanical extracts may not be discovered for years after delivery</w:t>
      </w:r>
      <w:r>
        <w:t xml:space="preserve">”</w:t>
      </w:r>
      <w:r>
        <w:t xml:space="preserve">).</w:t>
      </w:r>
    </w:p>
    <w:p>
      <w:pPr>
        <w:pStyle w:val="BodyText"/>
      </w:pPr>
      <w:r>
        <w:rPr>
          <w:b/>
          <w:bCs/>
        </w:rPr>
        <w:t xml:space="preserve">The issue.</w:t>
      </w:r>
      <w:r>
        <w:t xml:space="preserve"> </w:t>
      </w:r>
      <w:r>
        <w:t xml:space="preserve">A one-year limitation period is unusually short for a seven-to-thirteen-year supply relationship involving botanical extracts, where latent defects (e.g., stability failure, contamination discovered only after shelf-life or stability testing, or adulteration detected by a regulator) may not manifest for years. Several specific problems:</w:t>
      </w:r>
    </w:p>
    <w:p>
      <w:pPr>
        <w:numPr>
          <w:ilvl w:val="0"/>
          <w:numId w:val="1002"/>
        </w:numPr>
      </w:pPr>
      <w:r>
        <w:rPr>
          <w:b/>
          <w:bCs/>
        </w:rPr>
        <w:t xml:space="preserve">Indemnification claims.</w:t>
      </w:r>
      <w:r>
        <w:t xml:space="preserve"> </w:t>
      </w:r>
      <w:r>
        <w:t xml:space="preserve">SA Art. 10 indemnification obligations are triggered by third-party claims. A third-party product-liability or consumer claim arising from a defective ingredient may not be filed, let alone resolved, within one year of Greenleaf’s knowledge of the underlying defect. A one-year bar could extinguish Greenleaf’s indemnification rights before the underlying claim ripens.</w:t>
      </w:r>
    </w:p>
    <w:p>
      <w:pPr>
        <w:numPr>
          <w:ilvl w:val="0"/>
          <w:numId w:val="1002"/>
        </w:numPr>
      </w:pPr>
      <w:r>
        <w:rPr>
          <w:b/>
          <w:bCs/>
        </w:rPr>
        <w:t xml:space="preserve">Latent defects.</w:t>
      </w:r>
      <w:r>
        <w:t xml:space="preserve"> </w:t>
      </w:r>
      <w:r>
        <w:t xml:space="preserve">SA § 7.3 imposes a 12-months-from-delivery outer limit on latent-defect claims, while QA § 5.1 allows latent-defect rejection within 30 days of discovery with no outer limit (see M1). SA § 14.9’s one-year-from-knowledge period interacts awkwardly with both: a latent defect discovered 18 months after delivery may be time-barred under SA § 7.3 but not under QA § 5.1, and the arbitration limitation period adds a third accrual rule.</w:t>
      </w:r>
    </w:p>
    <w:p>
      <w:pPr>
        <w:numPr>
          <w:ilvl w:val="0"/>
          <w:numId w:val="1002"/>
        </w:numPr>
      </w:pPr>
      <w:r>
        <w:rPr>
          <w:b/>
          <w:bCs/>
        </w:rPr>
        <w:t xml:space="preserve">Confidentiality and IP.</w:t>
      </w:r>
      <w:r>
        <w:t xml:space="preserve"> </w:t>
      </w:r>
      <w:r>
        <w:t xml:space="preserve">Confidentiality survives five years (SA) and seven years (IPLA), yet a one-year limitation could bar a confidentiality or IP-misuse claim discovered late in the survival period — preserving a right for seven years but allowing only one year to sue on it from knowledge is conceptually incoherent.</w:t>
      </w:r>
    </w:p>
    <w:p>
      <w:pPr>
        <w:numPr>
          <w:ilvl w:val="0"/>
          <w:numId w:val="1002"/>
        </w:numPr>
      </w:pPr>
      <w:r>
        <w:rPr>
          <w:b/>
          <w:bCs/>
        </w:rPr>
        <w:t xml:space="preserve">Enforceability.</w:t>
      </w:r>
      <w:r>
        <w:t xml:space="preserve"> </w:t>
      </w:r>
      <w:r>
        <w:t xml:space="preserve">For sale-of-goods claims, UCC § 2-725 permits parties to reduce the limitation period to</w:t>
      </w:r>
      <w:r>
        <w:t xml:space="preserve"> </w:t>
      </w:r>
      <w:r>
        <w:t xml:space="preserve">“</w:t>
      </w:r>
      <w:r>
        <w:t xml:space="preserve">not less than one year,</w:t>
      </w:r>
      <w:r>
        <w:t xml:space="preserve">”</w:t>
      </w:r>
      <w:r>
        <w:t xml:space="preserve"> </w:t>
      </w:r>
      <w:r>
        <w:t xml:space="preserve">so one year sits at the statutory floor and is technically permissible for goods claims. For non-goods claims (indemnification, IP, confidentiality, exclusivity), however, New York’s general six-year contract limitation (CPLR 214) would otherwise apply, and a one-year contractual reduction is vulnerable to challenge as unreasonable or unconscionable, particularly for indemnification and latent-defect claims. H&amp;G’s rationale (preventing</w:t>
      </w:r>
      <w:r>
        <w:t xml:space="preserve"> </w:t>
      </w:r>
      <w:r>
        <w:t xml:space="preserve">“</w:t>
      </w:r>
      <w:r>
        <w:t xml:space="preserve">stale claims</w:t>
      </w:r>
      <w:r>
        <w:t xml:space="preserve">”</w:t>
      </w:r>
      <w:r>
        <w:t xml:space="preserve">) does not address these categories.</w:t>
      </w:r>
    </w:p>
    <w:p>
      <w:pPr>
        <w:numPr>
          <w:ilvl w:val="0"/>
          <w:numId w:val="1002"/>
        </w:numPr>
      </w:pPr>
      <w:r>
        <w:rPr>
          <w:b/>
          <w:bCs/>
        </w:rPr>
        <w:t xml:space="preserve">Scope.</w:t>
      </w:r>
      <w:r>
        <w:t xml:space="preserve"> </w:t>
      </w:r>
      <w:r>
        <w:t xml:space="preserve">§ 14.9 by its terms applies to</w:t>
      </w:r>
      <w:r>
        <w:t xml:space="preserve"> </w:t>
      </w:r>
      <w:r>
        <w:t xml:space="preserve">“</w:t>
      </w:r>
      <w:r>
        <w:t xml:space="preserve">commencing arbitration.</w:t>
      </w:r>
      <w:r>
        <w:t xml:space="preserve">”</w:t>
      </w:r>
      <w:r>
        <w:t xml:space="preserve"> </w:t>
      </w:r>
      <w:r>
        <w:t xml:space="preserve">It is silent on whether it governs QA expert determination (which is not</w:t>
      </w:r>
      <w:r>
        <w:t xml:space="preserve"> </w:t>
      </w:r>
      <w:r>
        <w:t xml:space="preserve">“</w:t>
      </w:r>
      <w:r>
        <w:t xml:space="preserve">arbitration</w:t>
      </w:r>
      <w:r>
        <w:t xml:space="preserve">”</w:t>
      </w:r>
      <w:r>
        <w:t xml:space="preserve">) or IPLA arbitration (which has no limitation period and would default to English law’s six-year period). The result is three different limitation regimes for related claims.</w:t>
      </w:r>
    </w:p>
    <w:p>
      <w:pPr>
        <w:pStyle w:val="FirstParagraph"/>
      </w:pPr>
      <w:r>
        <w:rPr>
          <w:b/>
          <w:bCs/>
        </w:rPr>
        <w:t xml:space="preserve">Why it matters.</w:t>
      </w:r>
      <w:r>
        <w:t xml:space="preserve"> </w:t>
      </w:r>
      <w:r>
        <w:t xml:space="preserve">The provision will function to bar Greenleaf’s most valuable claims — indemnification, latent-defect, and IP/confidentiality claims — precisely the claims most likely to arise late and to involve the largest amounts. It is a one-way ratchet that benefits the supplier.</w:t>
      </w:r>
    </w:p>
    <w:p>
      <w:pPr>
        <w:pStyle w:val="BodyText"/>
      </w:pPr>
      <w:r>
        <w:rPr>
          <w:b/>
          <w:bCs/>
        </w:rPr>
        <w:t xml:space="preserve">Recommendation.</w:t>
      </w:r>
      <w:r>
        <w:t xml:space="preserve"> </w:t>
      </w:r>
      <w:r>
        <w:t xml:space="preserve">Extend the limitation period to at least two to three years from discovery, with a long-stop outer limit (e.g., four to six years from the event) aligned to the UCC. Carve out indemnification claims (to run from resolution of the underlying third-party claim), latent-defect claims (to align with QA § 5.1), and IP/confidentiality claims (to run throughout the survival period). Specify that the limitation period applies uniformly across all three documents and to expert determination as well as arbitration. Conform SA § 7.3 and QA § 5.1 to a single latent-defect regime (see M1).</w:t>
      </w:r>
    </w:p>
    <w:bookmarkEnd w:id="32"/>
    <w:bookmarkStart w:id="33" w:name="Xa0d129b3fb5112167d90db6ae26badf3141c7b0"/>
    <w:p>
      <w:pPr>
        <w:pStyle w:val="Heading3"/>
      </w:pPr>
      <w:r>
        <w:t xml:space="preserve">H4 — Blanket no-discovery bar (SA § 14.5) cripples proof of quality and contamination claims</w:t>
      </w:r>
    </w:p>
    <w:p>
      <w:pPr>
        <w:pStyle w:val="FirstParagraph"/>
      </w:pPr>
      <w:r>
        <w:rPr>
          <w:b/>
          <w:bCs/>
        </w:rPr>
        <w:t xml:space="preserve">Citations.</w:t>
      </w:r>
      <w:r>
        <w:t xml:space="preserve"> </w:t>
      </w:r>
      <w:r>
        <w:t xml:space="preserve">SA § 14.5 (</w:t>
      </w:r>
      <w:r>
        <w:t xml:space="preserve">“</w:t>
      </w:r>
      <w:r>
        <w:t xml:space="preserve">No discovery shall be permitted in the arbitration. Each party shall have the right to present documentary evidence and witness testimony at the hearing</w:t>
      </w:r>
      <w:r>
        <w:t xml:space="preserve">”</w:t>
      </w:r>
      <w:r>
        <w:t xml:space="preserve">). QA Letter §§ 3.4, 4.4 (exchange of retained samples and testing data; audit rights). H&amp;G Memo Part III.C (framing § 14.5 as consistent with the IBA Rules on the Taking of Evidence). Email chain (Matsuda:</w:t>
      </w:r>
      <w:r>
        <w:t xml:space="preserve"> </w:t>
      </w:r>
      <w:r>
        <w:t xml:space="preserve">“</w:t>
      </w:r>
      <w:r>
        <w:t xml:space="preserve">In a quality dispute, we’ll need access to Pacifica’s manufacturing records, batch testing data, and Certificates of Analysis. A blanket discovery bar could cripple our ability to prove a contamination or adulteration claim</w:t>
      </w:r>
      <w:r>
        <w:t xml:space="preserve">”</w:t>
      </w:r>
      <w:r>
        <w:t xml:space="preserve">).</w:t>
      </w:r>
    </w:p>
    <w:p>
      <w:pPr>
        <w:pStyle w:val="BodyText"/>
      </w:pPr>
      <w:r>
        <w:rPr>
          <w:b/>
          <w:bCs/>
        </w:rPr>
        <w:t xml:space="preserve">The issue.</w:t>
      </w:r>
      <w:r>
        <w:t xml:space="preserve"> </w:t>
      </w:r>
      <w:r>
        <w:t xml:space="preserve">SA § 14.5 imposes a total bar on</w:t>
      </w:r>
      <w:r>
        <w:t xml:space="preserve"> </w:t>
      </w:r>
      <w:r>
        <w:t xml:space="preserve">“</w:t>
      </w:r>
      <w:r>
        <w:t xml:space="preserve">discovery.</w:t>
      </w:r>
      <w:r>
        <w:t xml:space="preserve">”</w:t>
      </w:r>
      <w:r>
        <w:t xml:space="preserve"> </w:t>
      </w:r>
      <w:r>
        <w:t xml:space="preserve">H&amp;G justifies this as consistent with the IBA Rules on the Taking of Evidence, but the IBA Rules do</w:t>
      </w:r>
      <w:r>
        <w:t xml:space="preserve"> </w:t>
      </w:r>
      <w:r>
        <w:rPr>
          <w:b/>
          <w:bCs/>
        </w:rPr>
        <w:t xml:space="preserve">not</w:t>
      </w:r>
      <w:r>
        <w:t xml:space="preserve"> </w:t>
      </w:r>
      <w:r>
        <w:t xml:space="preserve">prohibit document production — they regulate it, permitting reasonable, targeted document production through a</w:t>
      </w:r>
      <w:r>
        <w:t xml:space="preserve"> </w:t>
      </w:r>
      <w:r>
        <w:t xml:space="preserve">“</w:t>
      </w:r>
      <w:r>
        <w:t xml:space="preserve">Redfern schedule</w:t>
      </w:r>
      <w:r>
        <w:t xml:space="preserve">”</w:t>
      </w:r>
      <w:r>
        <w:t xml:space="preserve"> </w:t>
      </w:r>
      <w:r>
        <w:t xml:space="preserve">of specific requests tied to material facts in dispute. SA § 14.5 goes well beyond the IBA norm: it is an absolute bar, not a limitation. In a quality, contamination, or adulteration dispute — the most probable dispute category — Greenleaf’s ability to prove its case depends on documents that only Pacifica holds: manufacturing and batch records, COAs, out-of-specification and deviation reports, reserve-sample testing data, change-control records, and raw-material sourcing data. A blanket bar means Greenleaf can present its own evidence but cannot compel production of Pacifica’s, which is typically dispositive in a contamination/adulteration case. The provision also sits in tension with QA §§ 3.4 and 4.4, which contemplate exchange of testing data and audit access — rights that are of limited value if they cannot be enforced through document production in the ensuing arbitration. It is also unclear whether § 14.5’s bar applies to QA arbitration (SIAC) or IPLA arbitration (LCIA), neither of which contains its own discovery provision; the SIAC and LCIA Rules each have their own document-production regimes that § 14.5 may or may not override.</w:t>
      </w:r>
    </w:p>
    <w:p>
      <w:pPr>
        <w:pStyle w:val="BodyText"/>
      </w:pPr>
      <w:r>
        <w:rPr>
          <w:b/>
          <w:bCs/>
        </w:rPr>
        <w:t xml:space="preserve">Why it matters.</w:t>
      </w:r>
      <w:r>
        <w:t xml:space="preserve"> </w:t>
      </w:r>
      <w:r>
        <w:t xml:space="preserve">A discovery bar that prevents Greenleaf from obtaining the supplier’s own quality records effectively immunizes Pacifica from the most probable and most damaging category of claim. It converts the arbitration into a one-sided proceeding in which the party holding the proof cannot be compelled to produce it.</w:t>
      </w:r>
    </w:p>
    <w:p>
      <w:pPr>
        <w:pStyle w:val="BodyText"/>
      </w:pPr>
      <w:r>
        <w:rPr>
          <w:b/>
          <w:bCs/>
        </w:rPr>
        <w:t xml:space="preserve">Recommendation.</w:t>
      </w:r>
      <w:r>
        <w:t xml:space="preserve"> </w:t>
      </w:r>
      <w:r>
        <w:t xml:space="preserve">Replace the blanket bar with an IBA-style limited, targeted document-production regime: each party may request specific, narrowly tailored categories of documents relevant to material facts in dispute, subject to a Redfern-schedule process and tribunal control for relevance, proportionality, and confidentiality. Expressly preserve Greenleaf’s right to request Pacifica’s manufacturing records, batch and testing data, COAs, OOS/deviation reports, and change-control records in quality disputes, with a confidentiality/attorney-eyes-only protocol to protect Pacifica’s trade secrets (which addresses H&amp;G’s stated concern about fishing expeditions). Add a conforming provision to the QA and IPLA arbitration clauses or specify that the SA’s production regime applies to all three.</w:t>
      </w:r>
    </w:p>
    <w:bookmarkEnd w:id="33"/>
    <w:bookmarkStart w:id="34" w:name="X967fbe4cca78c746a510c4509e9d6f51cdec62a"/>
    <w:p>
      <w:pPr>
        <w:pStyle w:val="Heading3"/>
      </w:pPr>
      <w:r>
        <w:t xml:space="preserve">H5 — Conflicting governing laws across the three documents</w:t>
      </w:r>
    </w:p>
    <w:p>
      <w:pPr>
        <w:pStyle w:val="FirstParagraph"/>
      </w:pPr>
      <w:r>
        <w:rPr>
          <w:b/>
          <w:bCs/>
        </w:rPr>
        <w:t xml:space="preserve">Citations.</w:t>
      </w:r>
      <w:r>
        <w:t xml:space="preserve"> </w:t>
      </w:r>
      <w:r>
        <w:t xml:space="preserve">SA §§ 14.4, 15.11 (New York law, without regard to conflict of laws). QA Letter § 7.3 (Singapore law). IPLA § 9.2 (England &amp; Wales law). Email chain (Park:</w:t>
      </w:r>
      <w:r>
        <w:t xml:space="preserve"> </w:t>
      </w:r>
      <w:r>
        <w:t xml:space="preserve">“</w:t>
      </w:r>
      <w:r>
        <w:t xml:space="preserve">three different arbitral institutions and three different governing laws</w:t>
      </w:r>
      <w:r>
        <w:t xml:space="preserve">”</w:t>
      </w:r>
      <w:r>
        <w:t xml:space="preserve">).</w:t>
      </w:r>
    </w:p>
    <w:p>
      <w:pPr>
        <w:pStyle w:val="BodyText"/>
      </w:pPr>
      <w:r>
        <w:rPr>
          <w:b/>
          <w:bCs/>
        </w:rPr>
        <w:t xml:space="preserve">The issue.</w:t>
      </w:r>
      <w:r>
        <w:t xml:space="preserve"> </w:t>
      </w:r>
      <w:r>
        <w:t xml:space="preserve">The three Transaction Documents are governed by three different bodies of substantive law. For an integrated transaction in which a single factual dispute routinely implicates all three, this means a tribunal (or multiple tribunals) must apply New York law to the supply claims, Singapore law to the quality/recall claims, and English law to the IP/regulatory-data claims — all to overlapping facts. Substantively similar provisions (confidentiality, indemnification, limitation of liability, consequential damages) will be interpreted under three different legal frameworks, producing inconsistent outcomes. The SA § 15.8 hierarchy clause does not cleanly resolve this: a governing-law clause is itself a</w:t>
      </w:r>
      <w:r>
        <w:t xml:space="preserve"> </w:t>
      </w:r>
      <w:r>
        <w:t xml:space="preserve">“</w:t>
      </w:r>
      <w:r>
        <w:t xml:space="preserve">term</w:t>
      </w:r>
      <w:r>
        <w:t xml:space="preserve">”</w:t>
      </w:r>
      <w:r>
        <w:t xml:space="preserve"> </w:t>
      </w:r>
      <w:r>
        <w:t xml:space="preserve">of each document, and the conflict between three governing-law clauses is not a conflict that the</w:t>
      </w:r>
      <w:r>
        <w:t xml:space="preserve"> </w:t>
      </w:r>
      <w:r>
        <w:t xml:space="preserve">“</w:t>
      </w:r>
      <w:r>
        <w:t xml:space="preserve">SA controls</w:t>
      </w:r>
      <w:r>
        <w:t xml:space="preserve">”</w:t>
      </w:r>
      <w:r>
        <w:t xml:space="preserve"> </w:t>
      </w:r>
      <w:r>
        <w:t xml:space="preserve">rule was designed to settle — you cannot simply declare that New York law governs the QA Letter when the QA Letter says Singapore law governs it. The result is choice-of-law complexity and a real risk of inconsistent interpretation of economically identical obligations.</w:t>
      </w:r>
    </w:p>
    <w:p>
      <w:pPr>
        <w:pStyle w:val="BodyText"/>
      </w:pPr>
      <w:r>
        <w:rPr>
          <w:b/>
          <w:bCs/>
        </w:rPr>
        <w:t xml:space="preserve">Why it matters.</w:t>
      </w:r>
      <w:r>
        <w:t xml:space="preserve"> </w:t>
      </w:r>
      <w:r>
        <w:t xml:space="preserve">Inconsistent governing law across an integrated suite is a source of interpretive divergence, forum-shopping, and increased cost, and it complicates any consolidated or multi-agreement proceeding.</w:t>
      </w:r>
    </w:p>
    <w:p>
      <w:pPr>
        <w:pStyle w:val="BodyText"/>
      </w:pPr>
      <w:r>
        <w:rPr>
          <w:b/>
          <w:bCs/>
        </w:rPr>
        <w:t xml:space="preserve">Recommendation.</w:t>
      </w:r>
      <w:r>
        <w:t xml:space="preserve"> </w:t>
      </w:r>
      <w:r>
        <w:t xml:space="preserve">Harmonize on a single governing law. Given that the relationship is a U.S.-centric sale of goods (Greenleaf is the buyer, the Exclusivity Territory is North America, and the SA already selects New York law), New York law for all three documents is the most coherent choice and aligns the substantive law with the UCC. If Pacifica insists on a Singapore or English connection for the QA Letter or IPLA, at minimum adopt a single governing law for the SA and IPLA (the two commercial/IP instruments) and add an express choice-of-law protocol for any multi-agreement dispute specifying which law governs which issues.</w:t>
      </w:r>
    </w:p>
    <w:bookmarkEnd w:id="34"/>
    <w:bookmarkStart w:id="35" w:name="Xb5edbebfa23d73c3f5e7159e96cd7bb35cb4a5d"/>
    <w:p>
      <w:pPr>
        <w:pStyle w:val="Heading3"/>
      </w:pPr>
      <w:r>
        <w:t xml:space="preserve">H6 — Inconsistent tribunal authority on remedies (damages, specific performance, injunctive relief)</w:t>
      </w:r>
    </w:p>
    <w:p>
      <w:pPr>
        <w:pStyle w:val="FirstParagraph"/>
      </w:pPr>
      <w:r>
        <w:rPr>
          <w:b/>
          <w:bCs/>
        </w:rPr>
        <w:t xml:space="preserve">Citations.</w:t>
      </w:r>
      <w:r>
        <w:t xml:space="preserve"> </w:t>
      </w:r>
      <w:r>
        <w:t xml:space="preserve">SA § 14.11 (tribunal</w:t>
      </w:r>
      <w:r>
        <w:t xml:space="preserve"> </w:t>
      </w:r>
      <w:r>
        <w:t xml:space="preserve">“</w:t>
      </w:r>
      <w:r>
        <w:t xml:space="preserve">shall not have the authority to award punitive, exemplary, or consequential damages</w:t>
      </w:r>
      <w:r>
        <w:t xml:space="preserve">”</w:t>
      </w:r>
      <w:r>
        <w:t xml:space="preserve">). QA Letter § 7.2 (SIAC tribunal</w:t>
      </w:r>
      <w:r>
        <w:t xml:space="preserve"> </w:t>
      </w:r>
      <w:r>
        <w:t xml:space="preserve">“</w:t>
      </w:r>
      <w:r>
        <w:t xml:space="preserve">shall have the authority to award any remedy or relief available under applicable law, including injunctive relief, specific performance, and damages</w:t>
      </w:r>
      <w:r>
        <w:t xml:space="preserve">”</w:t>
      </w:r>
      <w:r>
        <w:t xml:space="preserve">). IPLA § 9 (silent on tribunal remedies; IPLA § 8.3 excludes consequential damages as a matter of substantive liability). SA § 14.7 (court interim relief only; silent on tribunal authority to order specific performance).</w:t>
      </w:r>
    </w:p>
    <w:p>
      <w:pPr>
        <w:pStyle w:val="BodyText"/>
      </w:pPr>
      <w:r>
        <w:rPr>
          <w:b/>
          <w:bCs/>
        </w:rPr>
        <w:t xml:space="preserve">The issue.</w:t>
      </w:r>
      <w:r>
        <w:t xml:space="preserve"> </w:t>
      </w:r>
      <w:r>
        <w:t xml:space="preserve">The three documents grant the tribunal different remedial authority. The SA tribunal is barred from awarding consequential damages (§ 14.11) and the clause is silent on specific performance. The QA tribunal is granted broad authority to award</w:t>
      </w:r>
      <w:r>
        <w:t xml:space="preserve"> </w:t>
      </w:r>
      <w:r>
        <w:t xml:space="preserve">“</w:t>
      </w:r>
      <w:r>
        <w:t xml:space="preserve">any remedy or relief available under applicable law, including injunctive relief, specific performance, and damages</w:t>
      </w:r>
      <w:r>
        <w:t xml:space="preserve">”</w:t>
      </w:r>
      <w:r>
        <w:t xml:space="preserve"> </w:t>
      </w:r>
      <w:r>
        <w:t xml:space="preserve">(§ 7.2) — which, read literally, includes consequential damages, since they are available under applicable law absent an exclusion. The IPLA is silent on tribunal remedies in its DR section. The practical consequence is that the availability of consequential damages, specific performance, and injunctive relief depends on which agreement’s clause governs the dispute — the same factual dispute could yield different remedies depending on the forum. This is the cross-document dimension of the C3 triangle. Separately, for a supply dispute, the ability to compel performance (e.g., compel Pacifica to resume supply, or compel acceptance of conforming product) may be essential, yet the SA does not clearly confer specific-performance authority on the tribunal (relying instead on the § 14.7 court carve-out for interim relief).</w:t>
      </w:r>
    </w:p>
    <w:p>
      <w:pPr>
        <w:pStyle w:val="BodyText"/>
      </w:pPr>
      <w:r>
        <w:rPr>
          <w:b/>
          <w:bCs/>
        </w:rPr>
        <w:t xml:space="preserve">Why it matters.</w:t>
      </w:r>
      <w:r>
        <w:t xml:space="preserve"> </w:t>
      </w:r>
      <w:r>
        <w:t xml:space="preserve">Remedial inconsistency means Greenleaf’s recovery depends on forum selection rather than the merits, and it creates a trap: a dispute framed under the QA Letter may permit consequential damages, while the same dispute framed under the SA may not. It also leaves essential supply-specific remedies (specific performance) uncertain under the SA.</w:t>
      </w:r>
    </w:p>
    <w:p>
      <w:pPr>
        <w:pStyle w:val="BodyText"/>
      </w:pPr>
      <w:r>
        <w:rPr>
          <w:b/>
          <w:bCs/>
        </w:rPr>
        <w:t xml:space="preserve">Recommendation.</w:t>
      </w:r>
      <w:r>
        <w:t xml:space="preserve"> </w:t>
      </w:r>
      <w:r>
        <w:t xml:space="preserve">Conform the remedial provisions across all three documents. Decide, in one place, whether consequential damages are recoverable (see C3) and state that decision identically in each DR clause. Expressly confer on the tribunal the authority to order specific performance and injunctive relief in all three documents (or, at minimum, in the SA, where supply-performance disputes arise), and align the court-interim-relief carve-outs (see M4).</w:t>
      </w:r>
    </w:p>
    <w:p>
      <w:r>
        <w:pict>
          <v:rect style="width:0;height:1.5pt" o:hralign="center" o:hrstd="t" o:hr="t"/>
        </w:pict>
      </w:r>
    </w:p>
    <w:bookmarkEnd w:id="35"/>
    <w:bookmarkEnd w:id="36"/>
    <w:bookmarkStart w:id="45" w:name="vi.-medium-severity-issues"/>
    <w:p>
      <w:pPr>
        <w:pStyle w:val="Heading2"/>
      </w:pPr>
      <w:r>
        <w:t xml:space="preserve">VI. Medium-Severity Issues</w:t>
      </w:r>
    </w:p>
    <w:bookmarkStart w:id="37" w:name="Xed6a9cddf05b321a2d42d64d9083d9c1e8cdca0"/>
    <w:p>
      <w:pPr>
        <w:pStyle w:val="Heading3"/>
      </w:pPr>
      <w:r>
        <w:t xml:space="preserve">M1 — Latent-defect claim periods inconsistent (SA § 7.3 vs. QA § 5.1)</w:t>
      </w:r>
    </w:p>
    <w:p>
      <w:pPr>
        <w:pStyle w:val="FirstParagraph"/>
      </w:pPr>
      <w:r>
        <w:rPr>
          <w:b/>
          <w:bCs/>
        </w:rPr>
        <w:t xml:space="preserve">Citations.</w:t>
      </w:r>
      <w:r>
        <w:t xml:space="preserve"> </w:t>
      </w:r>
      <w:r>
        <w:t xml:space="preserve">SA § 7.3 (</w:t>
      </w:r>
      <w:r>
        <w:t xml:space="preserve">“</w:t>
      </w:r>
      <w:r>
        <w:t xml:space="preserve">Claims for latent defects may be raised by Buyer in writing to Supplier within twelve (12) months of the date of delivery of the applicable Products</w:t>
      </w:r>
      <w:r>
        <w:t xml:space="preserve">”</w:t>
      </w:r>
      <w:r>
        <w:t xml:space="preserve">). QA Letter § 5.1 (latent-defect rejection</w:t>
      </w:r>
      <w:r>
        <w:t xml:space="preserve"> </w:t>
      </w:r>
      <w:r>
        <w:t xml:space="preserve">“</w:t>
      </w:r>
      <w:r>
        <w:t xml:space="preserve">within thirty (30) calendar days of discovery for latent defects that are not reasonably discoverable through standard incoming verification testing</w:t>
      </w:r>
      <w:r>
        <w:t xml:space="preserve">”</w:t>
      </w:r>
      <w:r>
        <w:t xml:space="preserve"> </w:t>
      </w:r>
      <w:r>
        <w:t xml:space="preserve">— no outer limit).</w:t>
      </w:r>
    </w:p>
    <w:p>
      <w:pPr>
        <w:pStyle w:val="BodyText"/>
      </w:pPr>
      <w:r>
        <w:rPr>
          <w:b/>
          <w:bCs/>
        </w:rPr>
        <w:t xml:space="preserve">The issue.</w:t>
      </w:r>
      <w:r>
        <w:t xml:space="preserve"> </w:t>
      </w:r>
      <w:r>
        <w:t xml:space="preserve">SA § 7.3 imposes a 12-months-from-delivery outer limit on latent-defect claims, while QA § 5.1 permits latent-defect rejection within 30 days of discovery with no outer limit. For botanical extracts, latent defects (stability failure, contamination, adulteration) may emerge well beyond 12 months. The two provisions conflict, and the hierarchy clauses (H2) do not cleanly resolve which governs: QA § 8.1 says the QA Letter controls for</w:t>
      </w:r>
      <w:r>
        <w:t xml:space="preserve"> </w:t>
      </w:r>
      <w:r>
        <w:t xml:space="preserve">“</w:t>
      </w:r>
      <w:r>
        <w:t xml:space="preserve">rejection and return procedures,</w:t>
      </w:r>
      <w:r>
        <w:t xml:space="preserve">”</w:t>
      </w:r>
      <w:r>
        <w:t xml:space="preserve"> </w:t>
      </w:r>
      <w:r>
        <w:t xml:space="preserve">but SA § 15.8 says the SA controls in any conflict. SA § 14.9’s one-year-from-knowledge limitation adds a third accrual rule. The net effect is that Greenleaf’s latent-defect rights are uncertain and may be cut off prematurely under the SA’s 12-month rule.</w:t>
      </w:r>
    </w:p>
    <w:p>
      <w:pPr>
        <w:pStyle w:val="BodyText"/>
      </w:pPr>
      <w:r>
        <w:rPr>
          <w:b/>
          <w:bCs/>
        </w:rPr>
        <w:t xml:space="preserve">Recommendation.</w:t>
      </w:r>
      <w:r>
        <w:t xml:space="preserve"> </w:t>
      </w:r>
      <w:r>
        <w:t xml:space="preserve">Adopt a single latent-defect regime across both documents: e.g., latent defects may be claimed within 30 days of discovery, with a long-stop outer limit of 24–36 months from delivery (or longer for stability-related defects), and specify that the limitation period for arbitration runs from discovery. Conform SA § 7.3, QA § 5.1, and SA § 14.9.</w:t>
      </w:r>
    </w:p>
    <w:bookmarkEnd w:id="37"/>
    <w:bookmarkStart w:id="38" w:name="Xd53adc8f5e50fc47c72e47afd20948006494faf"/>
    <w:p>
      <w:pPr>
        <w:pStyle w:val="Heading3"/>
      </w:pPr>
      <w:r>
        <w:t xml:space="preserve">M2 — Cost allocation inconsistent (SA loser-pays vs. IPLA/QA each-bears-own)</w:t>
      </w:r>
    </w:p>
    <w:p>
      <w:pPr>
        <w:pStyle w:val="FirstParagraph"/>
      </w:pPr>
      <w:r>
        <w:rPr>
          <w:b/>
          <w:bCs/>
        </w:rPr>
        <w:t xml:space="preserve">Citations.</w:t>
      </w:r>
      <w:r>
        <w:t xml:space="preserve"> </w:t>
      </w:r>
      <w:r>
        <w:t xml:space="preserve">SA § 14.8 (</w:t>
      </w:r>
      <w:r>
        <w:t xml:space="preserve">“</w:t>
      </w:r>
      <w:r>
        <w:t xml:space="preserve">The losing party shall bear all costs of the arbitration, including the reasonable attorneys’ fees of the prevailing party</w:t>
      </w:r>
      <w:r>
        <w:t xml:space="preserve">”</w:t>
      </w:r>
      <w:r>
        <w:t xml:space="preserve">). IPLA § 9.4 (</w:t>
      </w:r>
      <w:r>
        <w:t xml:space="preserve">“</w:t>
      </w:r>
      <w:r>
        <w:t xml:space="preserve">Each Party shall bear its own costs and expenses … the costs of the arbitrator and the LCIA shall be borne equally by the Parties, unless the arbitral tribunal determines otherwise</w:t>
      </w:r>
      <w:r>
        <w:t xml:space="preserve">”</w:t>
      </w:r>
      <w:r>
        <w:t xml:space="preserve">). QA Letter § 7.1 (expert determination: each party bears own costs; Expert’s and SIAC fees shared equally); § 7.2 (arbitration: silent, defaulting to SIAC Rules).</w:t>
      </w:r>
    </w:p>
    <w:p>
      <w:pPr>
        <w:pStyle w:val="BodyText"/>
      </w:pPr>
      <w:r>
        <w:rPr>
          <w:b/>
          <w:bCs/>
        </w:rPr>
        <w:t xml:space="preserve">The issue.</w:t>
      </w:r>
      <w:r>
        <w:t xml:space="preserve"> </w:t>
      </w:r>
      <w:r>
        <w:t xml:space="preserve">The SA applies a loser-pays/fee-shifting rule; the IPLA applies an each-bears-own rule (with tribunal discretion); the QA expert determination applies each-bears-own, and the QA arbitration is silent (defaulting to SIAC Rules, which give the tribunal discretion). For a consolidated or related dispute, the cost outcome depends on which clause applies, and the hierarchy clauses do not cleanly resolve the conflict (the QA § 8.1 carve-out for its</w:t>
      </w:r>
      <w:r>
        <w:t xml:space="preserve"> </w:t>
      </w:r>
      <w:r>
        <w:t xml:space="preserve">“</w:t>
      </w:r>
      <w:r>
        <w:t xml:space="preserve">dispute resolution mechanism</w:t>
      </w:r>
      <w:r>
        <w:t xml:space="preserve">”</w:t>
      </w:r>
      <w:r>
        <w:t xml:space="preserve"> </w:t>
      </w:r>
      <w:r>
        <w:t xml:space="preserve">may preserve the QA’s each-bears-own rule for QA disputes, conflicting with the SA’s loser-pays).</w:t>
      </w:r>
    </w:p>
    <w:p>
      <w:pPr>
        <w:pStyle w:val="BodyText"/>
      </w:pPr>
      <w:r>
        <w:rPr>
          <w:b/>
          <w:bCs/>
        </w:rPr>
        <w:t xml:space="preserve">Recommendation.</w:t>
      </w:r>
      <w:r>
        <w:t xml:space="preserve"> </w:t>
      </w:r>
      <w:r>
        <w:t xml:space="preserve">Harmonize on a single cost rule across all three documents. If loser-pays is retained (which benefits the likely prevailing party in a quality dispute), apply it uniformly; if each-bears-own is preferred, apply it uniformly. Specify a single rule for expert-determination costs as well.</w:t>
      </w:r>
    </w:p>
    <w:bookmarkEnd w:id="38"/>
    <w:bookmarkStart w:id="39" w:name="X3beadf691235e5ea5bd97518d4cd2cece21802f"/>
    <w:p>
      <w:pPr>
        <w:pStyle w:val="Heading3"/>
      </w:pPr>
      <w:r>
        <w:t xml:space="preserve">M3 — Number of arbitrators inconsistent (SA 1-or-3 vs. QA 3 vs. IPLA 1)</w:t>
      </w:r>
    </w:p>
    <w:p>
      <w:pPr>
        <w:pStyle w:val="FirstParagraph"/>
      </w:pPr>
      <w:r>
        <w:rPr>
          <w:b/>
          <w:bCs/>
        </w:rPr>
        <w:t xml:space="preserve">Citations.</w:t>
      </w:r>
      <w:r>
        <w:t xml:space="preserve"> </w:t>
      </w:r>
      <w:r>
        <w:t xml:space="preserve">SA § 14.3 (one arbitrator</w:t>
      </w:r>
      <w:r>
        <w:t xml:space="preserve"> </w:t>
      </w:r>
      <w:r>
        <w:t xml:space="preserve">“</w:t>
      </w:r>
      <w:r>
        <w:t xml:space="preserve">unless either party requests a panel of three (3) arbitrators within fifteen (15) days of the Request for Arbitration</w:t>
      </w:r>
      <w:r>
        <w:t xml:space="preserve">”</w:t>
      </w:r>
      <w:r>
        <w:t xml:space="preserve">). QA Letter § 7.2 (three arbitrators for escalated arbitration). IPLA § 9.1 (one arbitrator).</w:t>
      </w:r>
    </w:p>
    <w:p>
      <w:pPr>
        <w:pStyle w:val="BodyText"/>
      </w:pPr>
      <w:r>
        <w:rPr>
          <w:b/>
          <w:bCs/>
        </w:rPr>
        <w:t xml:space="preserve">The issue.</w:t>
      </w:r>
      <w:r>
        <w:t xml:space="preserve"> </w:t>
      </w:r>
      <w:r>
        <w:t xml:space="preserve">The three documents specify different default tribunal sizes and different mechanisms for moving to a panel. For a multi-agreement dispute, the tribunal size is uncertain. The SA’s unilateral right to trigger three arbitrators (with no value threshold) also creates a cost-escalation risk: either party can force a three-arbitrator panel in any SA dispute, however small.</w:t>
      </w:r>
    </w:p>
    <w:p>
      <w:pPr>
        <w:pStyle w:val="BodyText"/>
      </w:pPr>
      <w:r>
        <w:rPr>
          <w:b/>
          <w:bCs/>
        </w:rPr>
        <w:t xml:space="preserve">Recommendation.</w:t>
      </w:r>
      <w:r>
        <w:t xml:space="preserve"> </w:t>
      </w:r>
      <w:r>
        <w:t xml:space="preserve">Harmonize tribunal size across the suite, ideally tied to claim value (e.g., one arbitrator for claims up to a stated threshold, three above it). Remove or condition the SA’s unilateral three-arbitrator trigger (see L4).</w:t>
      </w:r>
    </w:p>
    <w:bookmarkEnd w:id="39"/>
    <w:bookmarkStart w:id="40" w:name="X3fbe0859f13fa83e76c9a85d1cdf65ecf18a7cd"/>
    <w:p>
      <w:pPr>
        <w:pStyle w:val="Heading3"/>
      </w:pPr>
      <w:r>
        <w:t xml:space="preserve">M4 — Interim/injunctive relief carve-out appears only in SA § 14.7; QA and IPLA silent</w:t>
      </w:r>
    </w:p>
    <w:p>
      <w:pPr>
        <w:pStyle w:val="FirstParagraph"/>
      </w:pPr>
      <w:r>
        <w:rPr>
          <w:b/>
          <w:bCs/>
        </w:rPr>
        <w:t xml:space="preserve">Citations.</w:t>
      </w:r>
      <w:r>
        <w:t xml:space="preserve"> </w:t>
      </w:r>
      <w:r>
        <w:t xml:space="preserve">SA § 14.7 (</w:t>
      </w:r>
      <w:r>
        <w:t xml:space="preserve">“</w:t>
      </w:r>
      <w:r>
        <w:t xml:space="preserve">Nothing in this Article shall prevent either party from seeking injunctive or other equitable relief from any court of competent jurisdiction worldwide</w:t>
      </w:r>
      <w:r>
        <w:t xml:space="preserve">”</w:t>
      </w:r>
      <w:r>
        <w:t xml:space="preserve">). QA Letter § 7 (no court interim-relief carve-out; § 7.2 grants the tribunal authority to award injunctive relief but does not preserve a pre-arbitration court remedy). IPLA § 9 (no interim-relief provision).</w:t>
      </w:r>
    </w:p>
    <w:p>
      <w:pPr>
        <w:pStyle w:val="BodyText"/>
      </w:pPr>
      <w:r>
        <w:rPr>
          <w:b/>
          <w:bCs/>
        </w:rPr>
        <w:t xml:space="preserve">The issue.</w:t>
      </w:r>
      <w:r>
        <w:t xml:space="preserve"> </w:t>
      </w:r>
      <w:r>
        <w:t xml:space="preserve">Only the SA preserves a party’s right to seek court-ordered interim or injunctive relief notwithstanding the arbitration agreement. The QA Letter and IPLA do not. For urgent situations — misuse of licensed IP, a supply disruption threatening regulatory compliance, or a recall — Greenleaf may need immediate court relief before a tribunal can be constituted. While the SIAC and LCIA Rules each provide for emergency arbitrators, an express contractual carve-out is clearer and consistent with the SA. The SA’s</w:t>
      </w:r>
      <w:r>
        <w:t xml:space="preserve"> </w:t>
      </w:r>
      <w:r>
        <w:t xml:space="preserve">“</w:t>
      </w:r>
      <w:r>
        <w:t xml:space="preserve">worldwide</w:t>
      </w:r>
      <w:r>
        <w:t xml:space="preserve">”</w:t>
      </w:r>
      <w:r>
        <w:t xml:space="preserve"> </w:t>
      </w:r>
      <w:r>
        <w:t xml:space="preserve">carve-out could also generate anti-suit friction if a party seeks U.S. court relief while the arbitration is seated in Singapore.</w:t>
      </w:r>
    </w:p>
    <w:p>
      <w:pPr>
        <w:pStyle w:val="BodyText"/>
      </w:pPr>
      <w:r>
        <w:rPr>
          <w:b/>
          <w:bCs/>
        </w:rPr>
        <w:t xml:space="preserve">Recommendation.</w:t>
      </w:r>
      <w:r>
        <w:t xml:space="preserve"> </w:t>
      </w:r>
      <w:r>
        <w:t xml:space="preserve">Add an interim-relief carve-out to the QA and IPLA arbitration clauses mirroring SA § 14.7, and consider specifying the courts before which interim relief may be sought (e.g., courts at the seat and courts where assets or the relevant conduct are located) to reduce anti-suit-injunction risk.</w:t>
      </w:r>
    </w:p>
    <w:bookmarkEnd w:id="40"/>
    <w:bookmarkStart w:id="41" w:name="X8aeae896c0c1305030d3c54c2d45295b477c7bd"/>
    <w:p>
      <w:pPr>
        <w:pStyle w:val="Heading3"/>
      </w:pPr>
      <w:r>
        <w:t xml:space="preserve">M5 — Confidentiality of arbitration appears only in SA § 14.10; QA and IPLA silent</w:t>
      </w:r>
    </w:p>
    <w:p>
      <w:pPr>
        <w:pStyle w:val="FirstParagraph"/>
      </w:pPr>
      <w:r>
        <w:rPr>
          <w:b/>
          <w:bCs/>
        </w:rPr>
        <w:t xml:space="preserve">Citations.</w:t>
      </w:r>
      <w:r>
        <w:t xml:space="preserve"> </w:t>
      </w:r>
      <w:r>
        <w:t xml:space="preserve">SA § 14.10 (confidentiality of proceedings, with a carve-out for disclosures required by law/regulation). QA Letter § 7 (no arbitration-confidentiality provision). IPLA § 9 (no arbitration-confidentiality provision; IPLA § 5 addresses confidentiality of information, not of proceedings).</w:t>
      </w:r>
    </w:p>
    <w:p>
      <w:pPr>
        <w:pStyle w:val="BodyText"/>
      </w:pPr>
      <w:r>
        <w:rPr>
          <w:b/>
          <w:bCs/>
        </w:rPr>
        <w:t xml:space="preserve">The issue.</w:t>
      </w:r>
      <w:r>
        <w:t xml:space="preserve"> </w:t>
      </w:r>
      <w:r>
        <w:t xml:space="preserve">Disputes under these agreements will routinely involve trade secrets and proprietary technical information (extraction processes, formulations, batch data). The SA protects the confidentiality of the arbitration; the QA Letter and IPLA do not. While the SIAC and LCIA Rules provide some default confidentiality, an express contractual provision is stronger and consistent across the suite — particularly important for the QA Letter, where the subject matter is inherently technical and confidential.</w:t>
      </w:r>
    </w:p>
    <w:p>
      <w:pPr>
        <w:pStyle w:val="BodyText"/>
      </w:pPr>
      <w:r>
        <w:rPr>
          <w:b/>
          <w:bCs/>
        </w:rPr>
        <w:t xml:space="preserve">Recommendation.</w:t>
      </w:r>
      <w:r>
        <w:t xml:space="preserve"> </w:t>
      </w:r>
      <w:r>
        <w:t xml:space="preserve">Add an arbitration-confidentiality provision to the QA and IPLA DR clauses mirroring SA § 14.10, with a regulatory-disclosure carve-out (important for FDA communications).</w:t>
      </w:r>
    </w:p>
    <w:bookmarkEnd w:id="41"/>
    <w:bookmarkStart w:id="42" w:name="X0f74094b080be38e1a5c9b31fd5a14b7dea61d6"/>
    <w:p>
      <w:pPr>
        <w:pStyle w:val="Heading3"/>
      </w:pPr>
      <w:r>
        <w:t xml:space="preserve">M6 — Expert-determination escalation trigger</w:t>
      </w:r>
      <w:r>
        <w:t xml:space="preserve"> </w:t>
      </w:r>
      <w:r>
        <w:t xml:space="preserve">“</w:t>
      </w:r>
      <w:r>
        <w:t xml:space="preserve">challenged by either Party</w:t>
      </w:r>
      <w:r>
        <w:t xml:space="preserve">”</w:t>
      </w:r>
      <w:r>
        <w:t xml:space="preserve"> </w:t>
      </w:r>
      <w:r>
        <w:t xml:space="preserve">is open-ended (QA § 7.2)</w:t>
      </w:r>
    </w:p>
    <w:p>
      <w:pPr>
        <w:pStyle w:val="FirstParagraph"/>
      </w:pPr>
      <w:r>
        <w:rPr>
          <w:b/>
          <w:bCs/>
        </w:rPr>
        <w:t xml:space="preserve">Citations.</w:t>
      </w:r>
      <w:r>
        <w:t xml:space="preserve"> </w:t>
      </w:r>
      <w:r>
        <w:t xml:space="preserve">QA Letter § 7.1 (Expert’s determination</w:t>
      </w:r>
      <w:r>
        <w:t xml:space="preserve"> </w:t>
      </w:r>
      <w:r>
        <w:t xml:space="preserve">“</w:t>
      </w:r>
      <w:r>
        <w:t xml:space="preserve">shall be final and binding on the Parties, subject to Section 7.2</w:t>
      </w:r>
      <w:r>
        <w:t xml:space="preserve">”</w:t>
      </w:r>
      <w:r>
        <w:t xml:space="preserve">). QA Letter § 7.2 (escalation to arbitration</w:t>
      </w:r>
      <w:r>
        <w:t xml:space="preserve"> </w:t>
      </w:r>
      <w:r>
        <w:t xml:space="preserve">“</w:t>
      </w:r>
      <w:r>
        <w:t xml:space="preserve">if the expert determination rendered pursuant to Section 7.1 is challenged by either Party</w:t>
      </w:r>
      <w:r>
        <w:t xml:space="preserve">”</w:t>
      </w:r>
      <w:r>
        <w:t xml:space="preserve">).</w:t>
      </w:r>
    </w:p>
    <w:p>
      <w:pPr>
        <w:pStyle w:val="BodyText"/>
      </w:pPr>
      <w:r>
        <w:rPr>
          <w:b/>
          <w:bCs/>
        </w:rPr>
        <w:t xml:space="preserve">The issue.</w:t>
      </w:r>
      <w:r>
        <w:t xml:space="preserve"> </w:t>
      </w:r>
      <w:r>
        <w:t xml:space="preserve">Section 7.2 escalates to full arbitration if the expert determination</w:t>
      </w:r>
      <w:r>
        <w:t xml:space="preserve"> </w:t>
      </w:r>
      <w:r>
        <w:t xml:space="preserve">“</w:t>
      </w:r>
      <w:r>
        <w:t xml:space="preserve">is challenged by either Party,</w:t>
      </w:r>
      <w:r>
        <w:t xml:space="preserve">”</w:t>
      </w:r>
      <w:r>
        <w:t xml:space="preserve"> </w:t>
      </w:r>
      <w:r>
        <w:t xml:space="preserve">but</w:t>
      </w:r>
      <w:r>
        <w:t xml:space="preserve"> </w:t>
      </w:r>
      <w:r>
        <w:t xml:space="preserve">“</w:t>
      </w:r>
      <w:r>
        <w:t xml:space="preserve">challenge</w:t>
      </w:r>
      <w:r>
        <w:t xml:space="preserve">”</w:t>
      </w:r>
      <w:r>
        <w:t xml:space="preserve"> </w:t>
      </w:r>
      <w:r>
        <w:t xml:space="preserve">is undefined and unbounded by any standard, time limit, or threshold. Either party can challenge any determination for any reason (or no articulated reason), which defeats the finality that § 7.1 purports to provide and converts expert determination into an advisory first step. This undermines the cost-and-speed rationale H&amp;G ascribes to the expert-determination tier (H&amp;G Memo Part II.B). Relatedly, the 60-day determination deadline (§ 7.1) and the strict Expert disqualification (no current or prior relationship with either party, its affiliates, counsel, or testing laboratories) may make timely appointment of a qualified Expert difficult in a specialized field, though these are secondary concerns.</w:t>
      </w:r>
    </w:p>
    <w:p>
      <w:pPr>
        <w:pStyle w:val="BodyText"/>
      </w:pPr>
      <w:r>
        <w:rPr>
          <w:b/>
          <w:bCs/>
        </w:rPr>
        <w:t xml:space="preserve">Recommendation.</w:t>
      </w:r>
      <w:r>
        <w:t xml:space="preserve"> </w:t>
      </w:r>
      <w:r>
        <w:t xml:space="preserve">Define the grounds for challenge (e.g., manifest error on the face of the determination, fraud, serious procedural irregularity, or lack of jurisdiction), impose a short challenge window (e.g., 30 days from issuance), and consider making expert determination finally binding (with no escalation) for disputes below the $5M threshold except on the defined grounds. Clarify the enforcement character of the determination (see M7/M8).</w:t>
      </w:r>
    </w:p>
    <w:bookmarkEnd w:id="42"/>
    <w:bookmarkStart w:id="43" w:name="X86293aea5120dd3381bfcf36b8086a7457a3cd1"/>
    <w:p>
      <w:pPr>
        <w:pStyle w:val="Heading3"/>
      </w:pPr>
      <w:r>
        <w:t xml:space="preserve">M7 — Law of the arbitration agreement not specified in any document</w:t>
      </w:r>
    </w:p>
    <w:p>
      <w:pPr>
        <w:pStyle w:val="FirstParagraph"/>
      </w:pPr>
      <w:r>
        <w:rPr>
          <w:b/>
          <w:bCs/>
        </w:rPr>
        <w:t xml:space="preserve">Citations.</w:t>
      </w:r>
      <w:r>
        <w:t xml:space="preserve"> </w:t>
      </w:r>
      <w:r>
        <w:t xml:space="preserve">SA § 14.4 (substantive law: New York); QA Letter § 7.3 (substantive law: Singapore); IPLA § 9.2 (substantive law: England &amp; Wales). None specifies the law governing the arbitration agreement itself.</w:t>
      </w:r>
    </w:p>
    <w:p>
      <w:pPr>
        <w:pStyle w:val="BodyText"/>
      </w:pPr>
      <w:r>
        <w:rPr>
          <w:b/>
          <w:bCs/>
        </w:rPr>
        <w:t xml:space="preserve">The issue.</w:t>
      </w:r>
      <w:r>
        <w:t xml:space="preserve"> </w:t>
      </w:r>
      <w:r>
        <w:t xml:space="preserve">The law governing the arbitration agreement (which determines the validity, scope, and interpretation of the arbitration clause itself) is distinct from the substantive governing law and is not specified in any document. Under prevailing authority (e.g.,</w:t>
      </w:r>
      <w:r>
        <w:t xml:space="preserve"> </w:t>
      </w:r>
      <w:r>
        <w:rPr>
          <w:i/>
          <w:iCs/>
        </w:rPr>
        <w:t xml:space="preserve">Enka Insaat ve Sanayi AS v OOO Insurance Company Chubb</w:t>
      </w:r>
      <w:r>
        <w:t xml:space="preserve">;</w:t>
      </w:r>
      <w:r>
        <w:t xml:space="preserve"> </w:t>
      </w:r>
      <w:r>
        <w:rPr>
          <w:i/>
          <w:iCs/>
        </w:rPr>
        <w:t xml:space="preserve">Sulamérica Cia Nacional de Seguros SA v Enesa Engenharia SA</w:t>
      </w:r>
      <w:r>
        <w:t xml:space="preserve">), the law of the arbitration agreement is generally implied to be the law of the seat in the absence of express choice. Here that would yield Singapore law for the SA and QA clauses and English law for the IPLA clause. The omission matters because several contested provisions — the appeal right (C4), the consequential-damages limit (C3), the consolidation clause (H1) — are located in the DR articles and may be characterized as part of the arbitration agreement, so the law governing their validity and scope is itself uncertain. This is a contributor to the pathological-clause risk.</w:t>
      </w:r>
    </w:p>
    <w:p>
      <w:pPr>
        <w:pStyle w:val="BodyText"/>
      </w:pPr>
      <w:r>
        <w:rPr>
          <w:b/>
          <w:bCs/>
        </w:rPr>
        <w:t xml:space="preserve">Recommendation.</w:t>
      </w:r>
      <w:r>
        <w:t xml:space="preserve"> </w:t>
      </w:r>
      <w:r>
        <w:t xml:space="preserve">Add an express choice of the law of the arbitration agreement in each DR clause (typically the law of the seat: Singapore law for the SA and QA; English law for the IPLA), so that the validity and scope of each arbitration clause are governed by a clearly identified law.</w:t>
      </w:r>
    </w:p>
    <w:bookmarkEnd w:id="43"/>
    <w:bookmarkStart w:id="44" w:name="X887dfccd93bb5d845e0a0080474b3c943f820cd"/>
    <w:p>
      <w:pPr>
        <w:pStyle w:val="Heading3"/>
      </w:pPr>
      <w:r>
        <w:t xml:space="preserve">M8 — Scope of the SA limitation period is ambiguous (expert determination? other documents?)</w:t>
      </w:r>
    </w:p>
    <w:p>
      <w:pPr>
        <w:pStyle w:val="FirstParagraph"/>
      </w:pPr>
      <w:r>
        <w:rPr>
          <w:b/>
          <w:bCs/>
        </w:rPr>
        <w:t xml:space="preserve">Citations.</w:t>
      </w:r>
      <w:r>
        <w:t xml:space="preserve"> </w:t>
      </w:r>
      <w:r>
        <w:t xml:space="preserve">SA § 14.9 (</w:t>
      </w:r>
      <w:r>
        <w:t xml:space="preserve">“</w:t>
      </w:r>
      <w:r>
        <w:t xml:space="preserve">The limitation period for commencing arbitration shall be one (1) year …</w:t>
      </w:r>
      <w:r>
        <w:t xml:space="preserve">”</w:t>
      </w:r>
      <w:r>
        <w:t xml:space="preserve">). QA Letter § 7.1 (expert determination, not</w:t>
      </w:r>
      <w:r>
        <w:t xml:space="preserve"> </w:t>
      </w:r>
      <w:r>
        <w:t xml:space="preserve">“</w:t>
      </w:r>
      <w:r>
        <w:t xml:space="preserve">arbitration</w:t>
      </w:r>
      <w:r>
        <w:t xml:space="preserve">”</w:t>
      </w:r>
      <w:r>
        <w:t xml:space="preserve">). IPLA § 9 (no limitation period).</w:t>
      </w:r>
    </w:p>
    <w:p>
      <w:pPr>
        <w:pStyle w:val="BodyText"/>
      </w:pPr>
      <w:r>
        <w:rPr>
          <w:b/>
          <w:bCs/>
        </w:rPr>
        <w:t xml:space="preserve">The issue.</w:t>
      </w:r>
      <w:r>
        <w:t xml:space="preserve"> </w:t>
      </w:r>
      <w:r>
        <w:t xml:space="preserve">SA § 14.9 by its terms applies to</w:t>
      </w:r>
      <w:r>
        <w:t xml:space="preserve"> </w:t>
      </w:r>
      <w:r>
        <w:t xml:space="preserve">“</w:t>
      </w:r>
      <w:r>
        <w:t xml:space="preserve">commencing arbitration.</w:t>
      </w:r>
      <w:r>
        <w:t xml:space="preserve">”</w:t>
      </w:r>
      <w:r>
        <w:t xml:space="preserve"> </w:t>
      </w:r>
      <w:r>
        <w:t xml:space="preserve">It is unclear whether it governs (a) the commencement of QA expert determination (which is not arbitration), and (b) IPLA arbitration (which has no limitation period and would default to English law’s six-year limitation). The result is three different limitation regimes for related claims: one year (SA), uncertain (QA), and six years (IPLA). This compounds the problems identified in H3 and M1.</w:t>
      </w:r>
    </w:p>
    <w:p>
      <w:pPr>
        <w:pStyle w:val="BodyText"/>
      </w:pPr>
      <w:r>
        <w:rPr>
          <w:b/>
          <w:bCs/>
        </w:rPr>
        <w:t xml:space="preserve">Recommendation.</w:t>
      </w:r>
      <w:r>
        <w:t xml:space="preserve"> </w:t>
      </w:r>
      <w:r>
        <w:t xml:space="preserve">Specify a single limitation period that applies uniformly across all three documents and to both expert determination and arbitration (see H3).</w:t>
      </w:r>
    </w:p>
    <w:p>
      <w:r>
        <w:pict>
          <v:rect style="width:0;height:1.5pt" o:hralign="center" o:hrstd="t" o:hr="t"/>
        </w:pict>
      </w:r>
    </w:p>
    <w:bookmarkEnd w:id="44"/>
    <w:bookmarkEnd w:id="45"/>
    <w:bookmarkStart w:id="50" w:name="vii.-low-severity-issues"/>
    <w:p>
      <w:pPr>
        <w:pStyle w:val="Heading2"/>
      </w:pPr>
      <w:r>
        <w:t xml:space="preserve">VII. Low-Severity Issues</w:t>
      </w:r>
    </w:p>
    <w:bookmarkStart w:id="46" w:name="Xc580fd5410290ba7ca1a1e1cb1eeaaeba87c66c"/>
    <w:p>
      <w:pPr>
        <w:pStyle w:val="Heading3"/>
      </w:pPr>
      <w:r>
        <w:t xml:space="preserve">L1 — Seat/venue split (Singapore seat, London hearings) adds cost and complexity</w:t>
      </w:r>
    </w:p>
    <w:p>
      <w:pPr>
        <w:pStyle w:val="FirstParagraph"/>
      </w:pPr>
      <w:r>
        <w:rPr>
          <w:b/>
          <w:bCs/>
        </w:rPr>
        <w:t xml:space="preserve">Citations.</w:t>
      </w:r>
      <w:r>
        <w:t xml:space="preserve"> </w:t>
      </w:r>
      <w:r>
        <w:t xml:space="preserve">SA § 14.2 (seat Singapore;</w:t>
      </w:r>
      <w:r>
        <w:t xml:space="preserve"> </w:t>
      </w:r>
      <w:r>
        <w:t xml:space="preserve">“</w:t>
      </w:r>
      <w:r>
        <w:t xml:space="preserve">venue and location of all hearings shall be London, England</w:t>
      </w:r>
      <w:r>
        <w:t xml:space="preserve">”</w:t>
      </w:r>
      <w:r>
        <w:t xml:space="preserve">). H&amp;G Memo Part III.A (justifying the split on convenience grounds).</w:t>
      </w:r>
    </w:p>
    <w:p>
      <w:pPr>
        <w:pStyle w:val="BodyText"/>
      </w:pPr>
      <w:r>
        <w:rPr>
          <w:b/>
          <w:bCs/>
        </w:rPr>
        <w:t xml:space="preserve">The issue.</w:t>
      </w:r>
      <w:r>
        <w:t xml:space="preserve"> </w:t>
      </w:r>
      <w:r>
        <w:t xml:space="preserve">The seat/venue split is a recognized practice and is not itself defective, but it adds cost and logistical complexity: curial matters and any post-award challenge go to the Singapore courts at the seat, while hearings are in London. If the appeal provision (C4) were retained, appeals would go to Singapore while hearings were in London — a disconnected posture. The split is acceptable if the appeal provision is removed and the other issues are resolved.</w:t>
      </w:r>
    </w:p>
    <w:p>
      <w:pPr>
        <w:pStyle w:val="BodyText"/>
      </w:pPr>
      <w:r>
        <w:rPr>
          <w:b/>
          <w:bCs/>
        </w:rPr>
        <w:t xml:space="preserve">Recommendation.</w:t>
      </w:r>
      <w:r>
        <w:t xml:space="preserve"> </w:t>
      </w:r>
      <w:r>
        <w:t xml:space="preserve">Acceptable as drafted once C4 is resolved. If cost is a concern, consider holding hearings in Singapore (consistent with the seat) or New York (convenient to Greenleaf).</w:t>
      </w:r>
    </w:p>
    <w:bookmarkEnd w:id="46"/>
    <w:bookmarkStart w:id="47" w:name="X7495105c654473278642b1ee8adcdef32614517"/>
    <w:p>
      <w:pPr>
        <w:pStyle w:val="Heading3"/>
      </w:pPr>
      <w:r>
        <w:t xml:space="preserve">L2 — $5M escalation threshold (QA § 7.2) —</w:t>
      </w:r>
      <w:r>
        <w:t xml:space="preserve"> </w:t>
      </w:r>
      <w:r>
        <w:t xml:space="preserve">“</w:t>
      </w:r>
      <w:r>
        <w:t xml:space="preserve">amount in dispute</w:t>
      </w:r>
      <w:r>
        <w:t xml:space="preserve">”</w:t>
      </w:r>
      <w:r>
        <w:t xml:space="preserve"> </w:t>
      </w:r>
      <w:r>
        <w:t xml:space="preserve">undefined</w:t>
      </w:r>
    </w:p>
    <w:p>
      <w:pPr>
        <w:pStyle w:val="FirstParagraph"/>
      </w:pPr>
      <w:r>
        <w:rPr>
          <w:b/>
          <w:bCs/>
        </w:rPr>
        <w:t xml:space="preserve">Citations.</w:t>
      </w:r>
      <w:r>
        <w:t xml:space="preserve"> </w:t>
      </w:r>
      <w:r>
        <w:t xml:space="preserve">QA Letter § 7.2 (escalation</w:t>
      </w:r>
      <w:r>
        <w:t xml:space="preserve"> </w:t>
      </w:r>
      <w:r>
        <w:t xml:space="preserve">“</w:t>
      </w:r>
      <w:r>
        <w:t xml:space="preserve">if the dispute involves an amount in excess of Five Million United States Dollars ($5,000,000)</w:t>
      </w:r>
      <w:r>
        <w:t xml:space="preserve">”</w:t>
      </w:r>
      <w:r>
        <w:t xml:space="preserve">).</w:t>
      </w:r>
    </w:p>
    <w:p>
      <w:pPr>
        <w:pStyle w:val="BodyText"/>
      </w:pPr>
      <w:r>
        <w:rPr>
          <w:b/>
          <w:bCs/>
        </w:rPr>
        <w:t xml:space="preserve">The issue.</w:t>
      </w:r>
      <w:r>
        <w:t xml:space="preserve"> </w:t>
      </w:r>
      <w:r>
        <w:t xml:space="preserve">The threshold for escalation from expert determination to arbitration is $5M, but</w:t>
      </w:r>
      <w:r>
        <w:t xml:space="preserve"> </w:t>
      </w:r>
      <w:r>
        <w:t xml:space="preserve">“</w:t>
      </w:r>
      <w:r>
        <w:t xml:space="preserve">amount in dispute</w:t>
      </w:r>
      <w:r>
        <w:t xml:space="preserve">”</w:t>
      </w:r>
      <w:r>
        <w:t xml:space="preserve"> </w:t>
      </w:r>
      <w:r>
        <w:t xml:space="preserve">is undefined. For a recall dispute, the amount could be calculated by reference to the face value of the rejected batch, the total recall costs, or the aggregate including consequential/indirect losses and indemnity claims — each yielding a different result. The threshold determination could itself become a disputed preliminary issue, with no specified decision-maker (the Expert? SIAC? a court?).</w:t>
      </w:r>
    </w:p>
    <w:p>
      <w:pPr>
        <w:pStyle w:val="BodyText"/>
      </w:pPr>
      <w:r>
        <w:rPr>
          <w:b/>
          <w:bCs/>
        </w:rPr>
        <w:t xml:space="preserve">Recommendation.</w:t>
      </w:r>
      <w:r>
        <w:t xml:space="preserve"> </w:t>
      </w:r>
      <w:r>
        <w:t xml:space="preserve">Define how the amount is calculated (e.g., the aggregate of all claims arising from the same transaction or series of transactions, including recall costs and indemnity claims) and specify who determines whether the threshold is met.</w:t>
      </w:r>
    </w:p>
    <w:bookmarkEnd w:id="47"/>
    <w:bookmarkStart w:id="48" w:name="Xde7a2d2162fa98202e394176564508927f7ce16"/>
    <w:p>
      <w:pPr>
        <w:pStyle w:val="Heading3"/>
      </w:pPr>
      <w:r>
        <w:t xml:space="preserve">L3 — Ridgeway (62% equity holder) has no intervention or notice mechanism</w:t>
      </w:r>
    </w:p>
    <w:p>
      <w:pPr>
        <w:pStyle w:val="FirstParagraph"/>
      </w:pPr>
      <w:r>
        <w:rPr>
          <w:b/>
          <w:bCs/>
        </w:rPr>
        <w:t xml:space="preserve">Citations.</w:t>
      </w:r>
      <w:r>
        <w:t xml:space="preserve"> </w:t>
      </w:r>
      <w:r>
        <w:t xml:space="preserve">IPLA § 1 / SA § 1.1 (Ridgeway Capital Partners holds ~62% of Greenleaf and is an Affiliate). Email chain (Park:</w:t>
      </w:r>
      <w:r>
        <w:t xml:space="preserve"> </w:t>
      </w:r>
      <w:r>
        <w:t xml:space="preserve">“</w:t>
      </w:r>
      <w:r>
        <w:t xml:space="preserve">the lack of any joinder or intervention mechanism means that if Greenleaf’s interests and Ridgeway’s interests were to diverge on a settlement question, there’s no procedural mechanism to address that</w:t>
      </w:r>
      <w:r>
        <w:t xml:space="preserve">”</w:t>
      </w:r>
      <w:r>
        <w:t xml:space="preserve">).</w:t>
      </w:r>
    </w:p>
    <w:p>
      <w:pPr>
        <w:pStyle w:val="BodyText"/>
      </w:pPr>
      <w:r>
        <w:rPr>
          <w:b/>
          <w:bCs/>
        </w:rPr>
        <w:t xml:space="preserve">The issue.</w:t>
      </w:r>
      <w:r>
        <w:t xml:space="preserve"> </w:t>
      </w:r>
      <w:r>
        <w:t xml:space="preserve">Ridgeway, as 62% equity holder, may have an economic interest in a major dispute but, as a non-signatory, has no standing to intervene in any of the arbitrations and no contractual notice or consultation rights with respect to dispute resolution. This is a minor concern — non-signatory equity holders do not ordinarily have arbitration standing — but Mr. Park has flagged the absence of any mechanism should Greenleaf’s and Ridgeway’s interests diverge on settlement.</w:t>
      </w:r>
    </w:p>
    <w:p>
      <w:pPr>
        <w:pStyle w:val="BodyText"/>
      </w:pPr>
      <w:r>
        <w:rPr>
          <w:b/>
          <w:bCs/>
        </w:rPr>
        <w:t xml:space="preserve">Recommendation.</w:t>
      </w:r>
      <w:r>
        <w:t xml:space="preserve"> </w:t>
      </w:r>
      <w:r>
        <w:t xml:space="preserve">Informational. If Greenleaf/Ridgeway wish to address this, consider a side arrangement granting Ridgeway notice of, and consultation rights regarding, material disputes above a threshold; do not attempt to confer arbitration standing on a non-signatory, which would complicate enforceability.</w:t>
      </w:r>
    </w:p>
    <w:bookmarkEnd w:id="48"/>
    <w:bookmarkStart w:id="49" w:name="X4a420550730968f7e0f7414fa4d802296d368de"/>
    <w:p>
      <w:pPr>
        <w:pStyle w:val="Heading3"/>
      </w:pPr>
      <w:r>
        <w:t xml:space="preserve">L4 — SA § 14.3 unilateral three-arbitrator trigger has no value threshold</w:t>
      </w:r>
    </w:p>
    <w:p>
      <w:pPr>
        <w:pStyle w:val="FirstParagraph"/>
      </w:pPr>
      <w:r>
        <w:rPr>
          <w:b/>
          <w:bCs/>
        </w:rPr>
        <w:t xml:space="preserve">Citations.</w:t>
      </w:r>
      <w:r>
        <w:t xml:space="preserve"> </w:t>
      </w:r>
      <w:r>
        <w:t xml:space="preserve">SA § 14.3 (one arbitrator</w:t>
      </w:r>
      <w:r>
        <w:t xml:space="preserve"> </w:t>
      </w:r>
      <w:r>
        <w:t xml:space="preserve">“</w:t>
      </w:r>
      <w:r>
        <w:t xml:space="preserve">unless either party requests a panel of three (3) arbitrators within fifteen (15) days of the Request for Arbitration</w:t>
      </w:r>
      <w:r>
        <w:t xml:space="preserve">”</w:t>
      </w:r>
      <w:r>
        <w:t xml:space="preserve">).</w:t>
      </w:r>
    </w:p>
    <w:p>
      <w:pPr>
        <w:pStyle w:val="BodyText"/>
      </w:pPr>
      <w:r>
        <w:rPr>
          <w:b/>
          <w:bCs/>
        </w:rPr>
        <w:t xml:space="preserve">The issue.</w:t>
      </w:r>
      <w:r>
        <w:t xml:space="preserve"> </w:t>
      </w:r>
      <w:r>
        <w:t xml:space="preserve">Either party may unilaterally trigger a three-arbitrator panel within 15 days of the Request for Arbitration, with no value threshold or other condition. This permits either party to escalate cost in any dispute, however small, and the 15-day window is short. (This overlaps with M3.)</w:t>
      </w:r>
    </w:p>
    <w:p>
      <w:pPr>
        <w:pStyle w:val="BodyText"/>
      </w:pPr>
      <w:r>
        <w:rPr>
          <w:b/>
          <w:bCs/>
        </w:rPr>
        <w:t xml:space="preserve">Recommendation.</w:t>
      </w:r>
      <w:r>
        <w:t xml:space="preserve"> </w:t>
      </w:r>
      <w:r>
        <w:t xml:space="preserve">Tie the three-arbitrator option to a claim-value threshold (e.g., claims above $5M or $10M), consistent with the QA Letter’s value-based escalation, and extend the election window to 30 days.</w:t>
      </w:r>
    </w:p>
    <w:p>
      <w:r>
        <w:pict>
          <v:rect style="width:0;height:1.5pt" o:hralign="center" o:hrstd="t" o:hr="t"/>
        </w:pict>
      </w:r>
    </w:p>
    <w:bookmarkEnd w:id="49"/>
    <w:bookmarkEnd w:id="50"/>
    <w:bookmarkStart w:id="51" w:name="X07670c3a0d215eeac4eb6cfa289bd6b6a7c2ef7"/>
    <w:p>
      <w:pPr>
        <w:pStyle w:val="Heading2"/>
      </w:pPr>
      <w:r>
        <w:t xml:space="preserve">VIII. Cross-Cutting Observation: The Pathological-Clause Risk</w:t>
      </w:r>
    </w:p>
    <w:p>
      <w:pPr>
        <w:pStyle w:val="FirstParagraph"/>
      </w:pPr>
      <w:r>
        <w:t xml:space="preserve">Several of the issues above — C1 (fragmentation), C4 (the unenforceable appeal), H1 (the conflicting IPLA consolidation clause), H2 (the inconsistent hierarchy clauses), and M7 (the unspecified law of the arbitration agreement) — combine to create exactly the condition that caused Pacifica’s 14-month enforcement delay in 2023: ambiguous, overlapping, and internally inconsistent forum and scope designations that invite jurisdictional and enforceability challenges. H&amp;G’s stated objective in drafting these provisions was to</w:t>
      </w:r>
      <w:r>
        <w:t xml:space="preserve"> </w:t>
      </w:r>
      <w:r>
        <w:t xml:space="preserve">“</w:t>
      </w:r>
      <w:r>
        <w:t xml:space="preserve">minimize the risk of post-award challenge and enforcement delay</w:t>
      </w:r>
      <w:r>
        <w:t xml:space="preserve">”</w:t>
      </w:r>
      <w:r>
        <w:t xml:space="preserve"> </w:t>
      </w:r>
      <w:r>
        <w:t xml:space="preserve">by ensuring each clause is</w:t>
      </w:r>
      <w:r>
        <w:t xml:space="preserve"> </w:t>
      </w:r>
      <w:r>
        <w:t xml:space="preserve">“</w:t>
      </w:r>
      <w:r>
        <w:t xml:space="preserve">clear, specific, and enforceable</w:t>
      </w:r>
      <w:r>
        <w:t xml:space="preserve">”</w:t>
      </w:r>
      <w:r>
        <w:t xml:space="preserve"> </w:t>
      </w:r>
      <w:r>
        <w:t xml:space="preserve">(H&amp;G Memo Part V). As drafted, the package does the opposite. The single most effective risk-reduction step available to Greenleaf is to consolidate the architecture around one institution, one seat, one governing law, and one set of procedural rules, with a single clear consolidation/joinder mechanism and no appeal right. That step alone resolves C1, H1, H2, and a substantial part of C4 and H5.</w:t>
      </w:r>
    </w:p>
    <w:bookmarkEnd w:id="51"/>
    <w:bookmarkStart w:id="52" w:name="Xa30c97b35fd4c1928018072e6b341766a82bf46"/>
    <w:p>
      <w:pPr>
        <w:pStyle w:val="Heading2"/>
      </w:pPr>
      <w:r>
        <w:t xml:space="preserve">IX. Prioritized Recommendations and Next Steps</w:t>
      </w:r>
    </w:p>
    <w:p>
      <w:pPr>
        <w:pStyle w:val="FirstParagraph"/>
      </w:pPr>
      <w:r>
        <w:t xml:space="preserve">We recommend addressing the issues in the following order before the July 18, 2025 signing:</w:t>
      </w:r>
    </w:p>
    <w:p>
      <w:pPr>
        <w:numPr>
          <w:ilvl w:val="0"/>
          <w:numId w:val="1003"/>
        </w:numPr>
      </w:pPr>
      <w:r>
        <w:rPr>
          <w:b/>
          <w:bCs/>
        </w:rPr>
        <w:t xml:space="preserve">Consequential-damages waiver (C3).</w:t>
      </w:r>
      <w:r>
        <w:t xml:space="preserve"> </w:t>
      </w:r>
      <w:r>
        <w:t xml:space="preserve">Top commercial priority and a potential walk-away point per Mr. Heller. Negotiate a carve-out for recall costs, lost profits from supply failure, and third-party claims arising from defective ingredients (or a cap in lieu of a waiver); conform SA §§ 14.11 and 11.2, QA § 6.6, and QA § 7.2 so that consequential-damages availability does not depend on forum. This also resolves the cross-document dimension of H6.</w:t>
      </w:r>
    </w:p>
    <w:p>
      <w:pPr>
        <w:numPr>
          <w:ilvl w:val="0"/>
          <w:numId w:val="1003"/>
        </w:numPr>
      </w:pPr>
      <w:r>
        <w:rPr>
          <w:b/>
          <w:bCs/>
        </w:rPr>
        <w:t xml:space="preserve">Delete the appeal provision (C4).</w:t>
      </w:r>
      <w:r>
        <w:t xml:space="preserve"> </w:t>
      </w:r>
      <w:r>
        <w:t xml:space="preserve">A single, surgical change that materially de-risks U.S. enforcement and removes a likely-unenforceable, finality-defeating clause. Low negotiation cost; high risk-reduction value.</w:t>
      </w:r>
    </w:p>
    <w:p>
      <w:pPr>
        <w:numPr>
          <w:ilvl w:val="0"/>
          <w:numId w:val="1003"/>
        </w:numPr>
      </w:pPr>
      <w:r>
        <w:rPr>
          <w:b/>
          <w:bCs/>
        </w:rPr>
        <w:t xml:space="preserve">Consolidate the architecture (C1, H1, H2, H5).</w:t>
      </w:r>
      <w:r>
        <w:t xml:space="preserve"> </w:t>
      </w:r>
      <w:r>
        <w:t xml:space="preserve">Move toward a single institution, seat, and governing law across all three documents, with a uniform conflict-hierarchy clause and a single consolidation mechanism. This is the structural fix that resolves the largest number of individual issues at once.</w:t>
      </w:r>
    </w:p>
    <w:p>
      <w:pPr>
        <w:numPr>
          <w:ilvl w:val="0"/>
          <w:numId w:val="1003"/>
        </w:numPr>
      </w:pPr>
      <w:r>
        <w:rPr>
          <w:b/>
          <w:bCs/>
        </w:rPr>
        <w:t xml:space="preserve">Joinder of co-manufacturers (C2).</w:t>
      </w:r>
      <w:r>
        <w:t xml:space="preserve"> </w:t>
      </w:r>
      <w:r>
        <w:t xml:space="preserve">Negotiate a contractual joinder/consent mechanism or a litigation carve-out for multi-party quality disputes; begin requiring compatible arbitration clauses in Greenleaf’s co-manufacturing agreements (urgent given the new co-man expected online Q1 2026).</w:t>
      </w:r>
    </w:p>
    <w:p>
      <w:pPr>
        <w:numPr>
          <w:ilvl w:val="0"/>
          <w:numId w:val="1003"/>
        </w:numPr>
      </w:pPr>
      <w:r>
        <w:rPr>
          <w:b/>
          <w:bCs/>
        </w:rPr>
        <w:t xml:space="preserve">Limitation period (H3, M1, M8).</w:t>
      </w:r>
      <w:r>
        <w:t xml:space="preserve"> </w:t>
      </w:r>
      <w:r>
        <w:t xml:space="preserve">Extend to two-to-three years from discovery with a long-stop; carve out indemnification, latent-defect, and IP/confidentiality claims; apply uniformly across all three documents and to expert determination; conform SA § 7.3 and QA § 5.1.</w:t>
      </w:r>
    </w:p>
    <w:p>
      <w:pPr>
        <w:numPr>
          <w:ilvl w:val="0"/>
          <w:numId w:val="1003"/>
        </w:numPr>
      </w:pPr>
      <w:r>
        <w:rPr>
          <w:b/>
          <w:bCs/>
        </w:rPr>
        <w:t xml:space="preserve">Discovery (H4).</w:t>
      </w:r>
      <w:r>
        <w:t xml:space="preserve"> </w:t>
      </w:r>
      <w:r>
        <w:t xml:space="preserve">Replace the blanket bar with an IBA-style targeted document-production regime that expressly preserves access to Pacifica’s manufacturing, batch, and testing records in quality disputes, with a confidentiality protocol.</w:t>
      </w:r>
    </w:p>
    <w:p>
      <w:pPr>
        <w:numPr>
          <w:ilvl w:val="0"/>
          <w:numId w:val="1003"/>
        </w:numPr>
      </w:pPr>
      <w:r>
        <w:rPr>
          <w:b/>
          <w:bCs/>
        </w:rPr>
        <w:t xml:space="preserve">Remaining High/Medium items (H6, M2–M7).</w:t>
      </w:r>
      <w:r>
        <w:t xml:space="preserve"> </w:t>
      </w:r>
      <w:r>
        <w:t xml:space="preserve">Harmonize tribunal size, cost allocation, interim-relief carve-outs, arbitration confidentiality, the expert-determination challenge standard, and the law of the arbitration agreement across the suite.</w:t>
      </w:r>
    </w:p>
    <w:p>
      <w:pPr>
        <w:numPr>
          <w:ilvl w:val="0"/>
          <w:numId w:val="1003"/>
        </w:numPr>
      </w:pPr>
      <w:r>
        <w:rPr>
          <w:b/>
          <w:bCs/>
        </w:rPr>
        <w:t xml:space="preserve">Low items (L1–L4).</w:t>
      </w:r>
      <w:r>
        <w:t xml:space="preserve"> </w:t>
      </w:r>
      <w:r>
        <w:t xml:space="preserve">Address during the conforming draft; none is signing-critical.</w:t>
      </w:r>
    </w:p>
    <w:p>
      <w:pPr>
        <w:pStyle w:val="FirstParagraph"/>
      </w:pPr>
      <w:r>
        <w:t xml:space="preserve">We are available to prepare redlines of the three DR provisions implementing these recommendations, and to participate in the negotiation with H&amp;G. Given the July 18 signing date and the August 1 effective date, we recommend circulating proposed revisions to H&amp;G no later than July 14 to allow time for exchange before signing.</w:t>
      </w:r>
    </w:p>
    <w:p>
      <w:pPr>
        <w:pStyle w:val="BodyText"/>
      </w:pPr>
      <w:r>
        <w:t xml:space="preserve">Respectfully submitted,</w:t>
      </w:r>
    </w:p>
    <w:p>
      <w:pPr>
        <w:pStyle w:val="BodyText"/>
      </w:pPr>
      <w:r>
        <w:rPr>
          <w:b/>
          <w:bCs/>
        </w:rPr>
        <w:t xml:space="preserve">Marcus J. Elliott</w:t>
      </w:r>
      <w:r>
        <w:t xml:space="preserve"> </w:t>
      </w:r>
      <w:r>
        <w:t xml:space="preserve">Partner</w:t>
      </w:r>
      <w:r>
        <w:t xml:space="preserve"> </w:t>
      </w:r>
      <w:r>
        <w:t xml:space="preserve">Whitfield &amp; Crane LLP</w:t>
      </w:r>
      <w:r>
        <w:t xml:space="preserve"> </w:t>
      </w:r>
      <w:r>
        <w:t xml:space="preserve">840 Third Avenue, 28th Floor, New York, NY 10022</w:t>
      </w:r>
      <w:r>
        <w:t xml:space="preserve"> </w:t>
      </w:r>
      <w:r>
        <w:t xml:space="preserve">Tel: (212) 555-0140</w:t>
      </w:r>
      <w:r>
        <w:t xml:space="preserve"> </w:t>
      </w:r>
      <w:r>
        <w:t xml:space="preserve">Email: melliott@whitfieldcrane.com</w:t>
      </w:r>
    </w:p>
    <w:p>
      <w:pPr>
        <w:pStyle w:val="BodyText"/>
      </w:pPr>
      <w:r>
        <w:rPr>
          <w:b/>
          <w:bCs/>
        </w:rPr>
        <w:t xml:space="preserve">Sophia Bransfield</w:t>
      </w:r>
      <w:r>
        <w:t xml:space="preserve"> </w:t>
      </w:r>
      <w:r>
        <w:t xml:space="preserve">Senior Associate</w:t>
      </w:r>
      <w:r>
        <w:t xml:space="preserve"> </w:t>
      </w:r>
      <w:r>
        <w:t xml:space="preserve">Whitfield &amp; Crane LLP</w:t>
      </w:r>
      <w:r>
        <w:t xml:space="preserve"> </w:t>
      </w:r>
      <w:r>
        <w:t xml:space="preserve">Email: sbransfield@whitfieldcrane.com</w:t>
      </w:r>
    </w:p>
    <w:p>
      <w:r>
        <w:pict>
          <v:rect style="width:0;height:1.5pt" o:hralign="center" o:hrstd="t" o:hr="t"/>
        </w:pict>
      </w:r>
    </w:p>
    <w:p>
      <w:pPr>
        <w:pStyle w:val="FirstParagraph"/>
      </w:pPr>
      <w:r>
        <w:rPr>
          <w:i/>
          <w:iCs/>
        </w:rPr>
        <w:t xml:space="preserve">This memorandum is privileged and confidential, prepared in anticipation of negotiation of the referenced transaction documents. It is addressed to Greenleaf Nutritionals, Inc. and its counsel team and is shared with Ridgeway Capital Partners for purposes of facilitating negotiation. It does not create an attorney-client relationship between Whitfield &amp; Crane LLP and Ridgeway Capital Partners.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2026-06-27T20:34:24Z</dcterms:created>
  <dcterms:modified xsi:type="dcterms:W3CDTF">2026-06-27T20:34:24Z</dcterms:modified>
</cp:coreProperties>
</file>

<file path=docProps/custom.xml><?xml version="1.0" encoding="utf-8"?>
<Properties xmlns="http://schemas.openxmlformats.org/officeDocument/2006/custom-properties" xmlns:vt="http://schemas.openxmlformats.org/officeDocument/2006/docPropsVTypes"/>
</file>