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r>
        <w:t xml:space="preserve"> </w:t>
      </w:r>
      <w:r>
        <w:t xml:space="preserve">—</w:t>
      </w:r>
      <w:r>
        <w:t xml:space="preserve"> </w:t>
      </w:r>
      <w:r>
        <w:t xml:space="preserve">Crestline</w:t>
      </w:r>
      <w:r>
        <w:t xml:space="preserve"> </w:t>
      </w:r>
      <w:r>
        <w:t xml:space="preserve">Software,</w:t>
      </w:r>
      <w:r>
        <w:t xml:space="preserve"> </w:t>
      </w:r>
      <w:r>
        <w:t xml:space="preserve">Inc. Proposed</w:t>
      </w:r>
      <w:r>
        <w:t xml:space="preserve"> </w:t>
      </w:r>
      <w:r>
        <w:t xml:space="preserve">IPO</w:t>
      </w:r>
    </w:p>
    <w:bookmarkStart w:id="95" w:name="memorandum"/>
    <w:p>
      <w:pPr>
        <w:pStyle w:val="Heading1"/>
      </w:pPr>
      <w:r>
        <w:t xml:space="preserve">MEMORANDUM</w:t>
      </w:r>
    </w:p>
    <w:p>
      <w:pPr>
        <w:pStyle w:val="FirstParagraph"/>
      </w:pPr>
      <w:r>
        <w:rPr>
          <w:b/>
          <w:bCs/>
        </w:rPr>
        <w:t xml:space="preserve">TO:</w:t>
      </w:r>
      <w:r>
        <w:t xml:space="preserve"> </w:t>
      </w:r>
      <w:r>
        <w:t xml:space="preserve">Sarah K. Norden, Esq. (Lead Partner) and James T. Okafor, Esq. (Associate), Thorncroft &amp; Wexler LLP; Michael D. Hartwell, Chief Financial Officer; Sandra Y. Chen, General Counsel and Corporate Secretary</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Inconsistencies and Risks Identified in Source Documents for the Form S-1 Registration Statement — Proposed Initial Public Offering of Crestline Software, Inc.</w:t>
      </w:r>
    </w:p>
    <w:p>
      <w:pPr>
        <w:pStyle w:val="BodyText"/>
      </w:pPr>
      <w:r>
        <w:rPr>
          <w:b/>
          <w:bCs/>
        </w:rPr>
        <w:t xml:space="preserve">CLASSIFICATION:</w:t>
      </w:r>
      <w:r>
        <w:t xml:space="preserve"> </w:t>
      </w:r>
      <w:r>
        <w:t xml:space="preserve">PRIVILEGED &amp; CONFIDENTIAL — ATTORNEY WORK PRODUCT — PREPARED AT THE DIRECTION OF COUNSEL</w:t>
      </w:r>
    </w:p>
    <w:bookmarkStart w:id="20" w:name="i.-introduction-and-scope"/>
    <w:p>
      <w:pPr>
        <w:pStyle w:val="Heading2"/>
      </w:pPr>
      <w:r>
        <w:t xml:space="preserve">I. Introduction and Scope</w:t>
      </w:r>
    </w:p>
    <w:p>
      <w:pPr>
        <w:pStyle w:val="FirstParagraph"/>
      </w:pPr>
      <w:r>
        <w:t xml:space="preserve">This memorandum identifies inconsistencies, conflicts, and disclosure risks identified during a cross-document review of the source materials provided in connection with the drafting of the Registration Statement on Form S-1 for the proposed initial public offering of Crestline Software, Inc. (the</w:t>
      </w:r>
      <w:r>
        <w:t xml:space="preserve"> </w:t>
      </w:r>
      <w:r>
        <w:t xml:space="preserve">“</w:t>
      </w:r>
      <w:r>
        <w:t xml:space="preserve">Company</w:t>
      </w:r>
      <w:r>
        <w:t xml:space="preserve">”</w:t>
      </w:r>
      <w:r>
        <w:t xml:space="preserve">). The source documents reviewed are: (1) the audited consolidated financial statements for fiscal years 2023 and 2024 (the</w:t>
      </w:r>
      <w:r>
        <w:t xml:space="preserve"> </w:t>
      </w:r>
      <w:r>
        <w:t xml:space="preserve">“</w:t>
      </w:r>
      <w:r>
        <w:t xml:space="preserve">Audited Financials</w:t>
      </w:r>
      <w:r>
        <w:t xml:space="preserve">”</w:t>
      </w:r>
      <w:r>
        <w:t xml:space="preserve">); (2) the CFO IPO readiness memorandum dated February 14, 2025 (the</w:t>
      </w:r>
      <w:r>
        <w:t xml:space="preserve"> </w:t>
      </w:r>
      <w:r>
        <w:t xml:space="preserve">“</w:t>
      </w:r>
      <w:r>
        <w:t xml:space="preserve">CFO Memo</w:t>
      </w:r>
      <w:r>
        <w:t xml:space="preserve">”</w:t>
      </w:r>
      <w:r>
        <w:t xml:space="preserve">); (3) the amended and restated certificate of incorporation and bylaws (the</w:t>
      </w:r>
      <w:r>
        <w:t xml:space="preserve"> </w:t>
      </w:r>
      <w:r>
        <w:t xml:space="preserve">“</w:t>
      </w:r>
      <w:r>
        <w:t xml:space="preserve">Charter Documents</w:t>
      </w:r>
      <w:r>
        <w:t xml:space="preserve">”</w:t>
      </w:r>
      <w:r>
        <w:t xml:space="preserve">); (4) the equity plan summary and grant records spreadsheet (the</w:t>
      </w:r>
      <w:r>
        <w:t xml:space="preserve"> </w:t>
      </w:r>
      <w:r>
        <w:t xml:space="preserve">“</w:t>
      </w:r>
      <w:r>
        <w:t xml:space="preserve">Equity Plan Records</w:t>
      </w:r>
      <w:r>
        <w:t xml:space="preserve">”</w:t>
      </w:r>
      <w:r>
        <w:t xml:space="preserve">); (5) the management/D&amp;O questionnaire responses (the</w:t>
      </w:r>
      <w:r>
        <w:t xml:space="preserve"> </w:t>
      </w:r>
      <w:r>
        <w:t xml:space="preserve">“</w:t>
      </w:r>
      <w:r>
        <w:t xml:space="preserve">Questionnaire</w:t>
      </w:r>
      <w:r>
        <w:t xml:space="preserve">”</w:t>
      </w:r>
      <w:r>
        <w:t xml:space="preserve">); (6) the term loan summary (the</w:t>
      </w:r>
      <w:r>
        <w:t xml:space="preserve"> </w:t>
      </w:r>
      <w:r>
        <w:t xml:space="preserve">“</w:t>
      </w:r>
      <w:r>
        <w:t xml:space="preserve">Term Loan Summary</w:t>
      </w:r>
      <w:r>
        <w:t xml:space="preserve">”</w:t>
      </w:r>
      <w:r>
        <w:t xml:space="preserve">); (7) the underwriting term sheet and lock-up (the</w:t>
      </w:r>
      <w:r>
        <w:t xml:space="preserve"> </w:t>
      </w:r>
      <w:r>
        <w:t xml:space="preserve">“</w:t>
      </w:r>
      <w:r>
        <w:t xml:space="preserve">Term Sheet</w:t>
      </w:r>
      <w:r>
        <w:t xml:space="preserve">”</w:t>
      </w:r>
      <w:r>
        <w:t xml:space="preserve">); and (8) the draft IPO roadshow presentation (the</w:t>
      </w:r>
      <w:r>
        <w:t xml:space="preserve"> </w:t>
      </w:r>
      <w:r>
        <w:t xml:space="preserve">“</w:t>
      </w:r>
      <w:r>
        <w:t xml:space="preserve">Roadshow</w:t>
      </w:r>
      <w:r>
        <w:t xml:space="preserve">”</w:t>
      </w:r>
      <w:r>
        <w:t xml:space="preserve">).</w:t>
      </w:r>
    </w:p>
    <w:p>
      <w:pPr>
        <w:pStyle w:val="BodyText"/>
      </w:pPr>
      <w:r>
        <w:t xml:space="preserve">The Audited Financials are treated as the authoritative source for all financial figures to be included in the Form S-1. Where other documents conflict with the Audited Financials, the conflict is flagged below. Each issue is presented with (a) a description and citation to the conflicting sources, (b) why it matters, (c) a recommended resolution, and (d) a severity rating (High / Medium-High / Medium / Low). Issues are grouped by category. A consolidated severity-ranked summary appears in Section IX.</w:t>
      </w:r>
    </w:p>
    <w:p>
      <w:pPr>
        <w:pStyle w:val="BodyText"/>
      </w:pPr>
      <w:r>
        <w:t xml:space="preserve">The Form S-1 draft delivered alongside this memorandum has been prepared using the Audited Financials as the source of truth and uses bracketed placeholders (</w:t>
      </w:r>
      <w:r>
        <w:t xml:space="preserve">“</w:t>
      </w:r>
      <w:r>
        <w:t xml:space="preserve">[●]</w:t>
      </w:r>
      <w:r>
        <w:t xml:space="preserve">”</w:t>
      </w:r>
      <w:r>
        <w:t xml:space="preserve">) for items that remain to be confirmed. This memorandum should be read together with that draft.</w:t>
      </w:r>
    </w:p>
    <w:bookmarkEnd w:id="20"/>
    <w:bookmarkStart w:id="32" w:name="Xb65514502bca64e82d56857c45d487ce2c4cacd"/>
    <w:p>
      <w:pPr>
        <w:pStyle w:val="Heading2"/>
      </w:pPr>
      <w:r>
        <w:t xml:space="preserve">II. Financial Statement and Non-GAAP Inconsistencies (CFO Memo and Roadshow vs. Audited Financials)</w:t>
      </w:r>
    </w:p>
    <w:bookmarkStart w:id="21" w:name="X0ebea48ad81796e9476feff969755f4a3d936e4"/>
    <w:p>
      <w:pPr>
        <w:pStyle w:val="Heading3"/>
      </w:pPr>
      <w:r>
        <w:t xml:space="preserve">Issue A-1 — Adjusted EBITDA reconciliation does not foot; headline figure is overstated [HIGH]</w:t>
      </w:r>
    </w:p>
    <w:p>
      <w:pPr>
        <w:pStyle w:val="FirstParagraph"/>
      </w:pPr>
      <w:r>
        <w:rPr>
          <w:b/>
          <w:bCs/>
        </w:rPr>
        <w:t xml:space="preserve">Description.</w:t>
      </w:r>
      <w:r>
        <w:t xml:space="preserve"> </w:t>
      </w:r>
      <w:r>
        <w:t xml:space="preserve">The CFO Memo (Section 5.2) and the Roadshow (Slides 3, 23, 34, and 35) present Adjusted EBITDA of $22.8 million for FY 2024 and $7.6 million for FY 2023. The FY 2024 reconciliation does not foot. Using the line items as stated in the CFO Memo:</w:t>
      </w:r>
    </w:p>
    <w:p>
      <w:pPr>
        <w:pStyle w:val="BodyText"/>
      </w:pPr>
      <w:r>
        <w:t xml:space="preserve">Net loss $(24.8M) + D&amp;A $8.7M + Stock-based compensation $38.2M + Interest expense $3.1M − Interest income $6.2M + Income tax $0.3M + Restructuring $1.2M =</w:t>
      </w:r>
      <w:r>
        <w:t xml:space="preserve"> </w:t>
      </w:r>
      <w:r>
        <w:rPr>
          <w:b/>
          <w:bCs/>
        </w:rPr>
        <w:t xml:space="preserve">$20.5M</w:t>
      </w:r>
      <w:r>
        <w:t xml:space="preserve">, not $22.8M. There is an unexplained $2.3 million gap. The Roadshow’s own drafting notes (Slides 3, 23, 34, 35) expressly acknowledge that</w:t>
      </w:r>
      <w:r>
        <w:t xml:space="preserve"> </w:t>
      </w:r>
      <w:r>
        <w:t xml:space="preserve">“</w:t>
      </w:r>
      <w:r>
        <w:t xml:space="preserve">the correct calculation … yields $20.5M, not $22.8M</w:t>
      </w:r>
      <w:r>
        <w:t xml:space="preserve">”</w:t>
      </w:r>
      <w:r>
        <w:t xml:space="preserve"> </w:t>
      </w:r>
      <w:r>
        <w:t xml:space="preserve">and that</w:t>
      </w:r>
      <w:r>
        <w:t xml:space="preserve"> </w:t>
      </w:r>
      <w:r>
        <w:t xml:space="preserve">“</w:t>
      </w:r>
      <w:r>
        <w:t xml:space="preserve">the $2.3M discrepancy is unexplained.</w:t>
      </w:r>
      <w:r>
        <w:t xml:space="preserve">”</w:t>
      </w:r>
    </w:p>
    <w:p>
      <w:pPr>
        <w:pStyle w:val="BodyText"/>
      </w:pPr>
      <w:r>
        <w:t xml:space="preserve">When the reconciliation is performed using the Audited Financials (which differ from the CFO Memo on several line items — see Issues A-2 through A-7), the result is $20.5 million for FY 2024 and $3.5 million for FY 2023.</w:t>
      </w:r>
    </w:p>
    <w:p>
      <w:pPr>
        <w:pStyle w:val="BodyText"/>
      </w:pPr>
      <w:r>
        <w:rPr>
          <w:b/>
          <w:bCs/>
        </w:rPr>
        <w:t xml:space="preserve">Why it matters.</w:t>
      </w:r>
      <w:r>
        <w:t xml:space="preserve"> </w:t>
      </w:r>
      <w:r>
        <w:t xml:space="preserve">Presenting a non-GAAP measure with a reconciliation that does not tie to the most directly comparable GAAP measure violates Regulation G (Rule 100(b)) and Item 10(e)(1)(i) of Regulation S-K and is highly likely to generate an SEC comment letter. The Adjusted EBITDA figure is also a headline marketing metric used in the Roadshow.</w:t>
      </w:r>
    </w:p>
    <w:p>
      <w:pPr>
        <w:pStyle w:val="BodyText"/>
      </w:pPr>
      <w:r>
        <w:rPr>
          <w:b/>
          <w:bCs/>
        </w:rPr>
        <w:t xml:space="preserve">Recommendation.</w:t>
      </w:r>
      <w:r>
        <w:t xml:space="preserve"> </w:t>
      </w:r>
      <w:r>
        <w:t xml:space="preserve">Recompute Adjusted EBITDA using the Audited Financials and present a reconciliation that foots ($20.5M for FY 2024; $3.5M for FY 2023). Correct every instance in the S-1, the CFO Memo, and the Roadshow. The Form S-1 draft uses $20.5M / $3.5M. Confirm with the CFO whether any reconciling item was omitted from the memo (e.g.,</w:t>
      </w:r>
      <w:r>
        <w:t xml:space="preserve"> </w:t>
      </w:r>
      <w:r>
        <w:t xml:space="preserve">“</w:t>
      </w:r>
      <w:r>
        <w:t xml:space="preserve">other income, net</w:t>
      </w:r>
      <w:r>
        <w:t xml:space="preserve">”</w:t>
      </w:r>
      <w:r>
        <w:t xml:space="preserve"> </w:t>
      </w:r>
      <w:r>
        <w:t xml:space="preserve">of $0.4M, which would still only reach $20.9M).</w:t>
      </w:r>
    </w:p>
    <w:bookmarkEnd w:id="21"/>
    <w:bookmarkStart w:id="22" w:name="X1db34b303fde7277df3d2bb1fc9805f63ff53d2"/>
    <w:p>
      <w:pPr>
        <w:pStyle w:val="Heading3"/>
      </w:pPr>
      <w:r>
        <w:t xml:space="preserve">Issue A-2 — Stock-based compensation, FY 2023: $29.1M (CFO Memo) vs. $26.4M (Audited) [HIGH]</w:t>
      </w:r>
    </w:p>
    <w:p>
      <w:pPr>
        <w:pStyle w:val="FirstParagraph"/>
      </w:pPr>
      <w:r>
        <w:rPr>
          <w:b/>
          <w:bCs/>
        </w:rPr>
        <w:t xml:space="preserve">Description.</w:t>
      </w:r>
      <w:r>
        <w:t xml:space="preserve"> </w:t>
      </w:r>
      <w:r>
        <w:t xml:space="preserve">The CFO Memo reconciliation (Section 5.2) adds back $29.1M of stock-based compensation for FY 2023. The Audited Financials (Note 12(d)) report total stock-based compensation expense of $26.4M for FY 2023. The difference is $2.7M.</w:t>
      </w:r>
    </w:p>
    <w:p>
      <w:pPr>
        <w:pStyle w:val="BodyText"/>
      </w:pPr>
      <w:r>
        <w:rPr>
          <w:b/>
          <w:bCs/>
        </w:rPr>
        <w:t xml:space="preserve">Why it matters.</w:t>
      </w:r>
      <w:r>
        <w:t xml:space="preserve"> </w:t>
      </w:r>
      <w:r>
        <w:t xml:space="preserve">The non-GAAP reconciliation and the SBC footnote in the S-1 must match the audited SBC expense. An overstated add-back inflates Adjusted EBITDA.</w:t>
      </w:r>
    </w:p>
    <w:p>
      <w:pPr>
        <w:pStyle w:val="BodyText"/>
      </w:pPr>
      <w:r>
        <w:rPr>
          <w:b/>
          <w:bCs/>
        </w:rPr>
        <w:t xml:space="preserve">Recommendation.</w:t>
      </w:r>
      <w:r>
        <w:t xml:space="preserve"> </w:t>
      </w:r>
      <w:r>
        <w:t xml:space="preserve">Use $26.4M (audited) in the S-1 reconciliation and SBC footnote.</w:t>
      </w:r>
    </w:p>
    <w:bookmarkEnd w:id="22"/>
    <w:bookmarkStart w:id="23" w:name="X2cbbceeb19e0ab961f4eed011bdcfab5afba5a2"/>
    <w:p>
      <w:pPr>
        <w:pStyle w:val="Heading3"/>
      </w:pPr>
      <w:r>
        <w:t xml:space="preserve">Issue A-3 — Interest expense, FY 2023: $2.8M (CFO Memo) vs. $3.1M (Audited) [MEDIUM]</w:t>
      </w:r>
    </w:p>
    <w:p>
      <w:pPr>
        <w:pStyle w:val="FirstParagraph"/>
      </w:pPr>
      <w:r>
        <w:rPr>
          <w:b/>
          <w:bCs/>
        </w:rPr>
        <w:t xml:space="preserve">Description.</w:t>
      </w:r>
      <w:r>
        <w:t xml:space="preserve"> </w:t>
      </w:r>
      <w:r>
        <w:t xml:space="preserve">The CFO Memo (Section 5.2) shows FY 2023 interest expense of $2.8M; the Audited Financials (Statements of Operations and Note 8) report $3.1M for both FY 2023 and FY 2024.</w:t>
      </w:r>
    </w:p>
    <w:p>
      <w:pPr>
        <w:pStyle w:val="BodyText"/>
      </w:pPr>
      <w:r>
        <w:rPr>
          <w:b/>
          <w:bCs/>
        </w:rPr>
        <w:t xml:space="preserve">Recommendation.</w:t>
      </w:r>
      <w:r>
        <w:t xml:space="preserve"> </w:t>
      </w:r>
      <w:r>
        <w:t xml:space="preserve">Use $3.1M (audited).</w:t>
      </w:r>
    </w:p>
    <w:bookmarkEnd w:id="23"/>
    <w:bookmarkStart w:id="24" w:name="Xad57622e94548ab8d20b43251bf1585d7d7f43d"/>
    <w:p>
      <w:pPr>
        <w:pStyle w:val="Heading3"/>
      </w:pPr>
      <w:r>
        <w:t xml:space="preserve">Issue A-4 — Interest income, FY 2023: $4.6M (CFO Memo) vs. $5.8M (Audited) [MEDIUM]</w:t>
      </w:r>
    </w:p>
    <w:p>
      <w:pPr>
        <w:pStyle w:val="FirstParagraph"/>
      </w:pPr>
      <w:r>
        <w:rPr>
          <w:b/>
          <w:bCs/>
        </w:rPr>
        <w:t xml:space="preserve">Description.</w:t>
      </w:r>
      <w:r>
        <w:t xml:space="preserve"> </w:t>
      </w:r>
      <w:r>
        <w:t xml:space="preserve">The CFO Memo (Section 5.2) shows FY 2023 interest income of $4.6M; the Audited Financials report $5.8M.</w:t>
      </w:r>
    </w:p>
    <w:p>
      <w:pPr>
        <w:pStyle w:val="BodyText"/>
      </w:pPr>
      <w:r>
        <w:rPr>
          <w:b/>
          <w:bCs/>
        </w:rPr>
        <w:t xml:space="preserve">Recommendation.</w:t>
      </w:r>
      <w:r>
        <w:t xml:space="preserve"> </w:t>
      </w:r>
      <w:r>
        <w:t xml:space="preserve">Use $5.8M (audited).</w:t>
      </w:r>
    </w:p>
    <w:bookmarkEnd w:id="24"/>
    <w:bookmarkStart w:id="25" w:name="Xd68696e187c92b1c7f9a0eb9d04d0a9642e3de1"/>
    <w:p>
      <w:pPr>
        <w:pStyle w:val="Heading3"/>
      </w:pPr>
      <w:r>
        <w:t xml:space="preserve">Issue A-5 — Income tax provision, FY 2023: $0.2M (CFO Memo) vs. $0.1M (Audited) [MEDIUM]</w:t>
      </w:r>
    </w:p>
    <w:p>
      <w:pPr>
        <w:pStyle w:val="FirstParagraph"/>
      </w:pPr>
      <w:r>
        <w:rPr>
          <w:b/>
          <w:bCs/>
        </w:rPr>
        <w:t xml:space="preserve">Description.</w:t>
      </w:r>
      <w:r>
        <w:t xml:space="preserve"> </w:t>
      </w:r>
      <w:r>
        <w:t xml:space="preserve">The CFO Memo (Section 5.2) shows FY 2023 income tax provision of $0.2M; the Audited Financials report $0.1M ($100 thousand).</w:t>
      </w:r>
    </w:p>
    <w:p>
      <w:pPr>
        <w:pStyle w:val="BodyText"/>
      </w:pPr>
      <w:r>
        <w:rPr>
          <w:b/>
          <w:bCs/>
        </w:rPr>
        <w:t xml:space="preserve">Recommendation.</w:t>
      </w:r>
      <w:r>
        <w:t xml:space="preserve"> </w:t>
      </w:r>
      <w:r>
        <w:t xml:space="preserve">Use $0.1M (audited).</w:t>
      </w:r>
    </w:p>
    <w:bookmarkEnd w:id="25"/>
    <w:bookmarkStart w:id="26" w:name="X53d6f671abd5cb1e31fa6516ce74684f891555c"/>
    <w:p>
      <w:pPr>
        <w:pStyle w:val="Heading3"/>
      </w:pPr>
      <w:r>
        <w:t xml:space="preserve">Issue A-6 — Restructuring charges, FY 2023: $0.6M (CFO Memo) vs. $0 (Audited) [HIGH]</w:t>
      </w:r>
    </w:p>
    <w:p>
      <w:pPr>
        <w:pStyle w:val="FirstParagraph"/>
      </w:pPr>
      <w:r>
        <w:rPr>
          <w:b/>
          <w:bCs/>
        </w:rPr>
        <w:t xml:space="preserve">Description.</w:t>
      </w:r>
      <w:r>
        <w:t xml:space="preserve"> </w:t>
      </w:r>
      <w:r>
        <w:t xml:space="preserve">The CFO Memo (Section 5.2) adds back $0.6M of restructuring charges for FY 2023. The Audited Financials (Note 9) show no restructuring accrual or charge in FY 2023; the restructuring occurred in the third quarter of FY 2024 ($1.2M). The $0.6M FY 2023 add-back appears to be unsupported by the audited record.</w:t>
      </w:r>
    </w:p>
    <w:p>
      <w:pPr>
        <w:pStyle w:val="BodyText"/>
      </w:pPr>
      <w:r>
        <w:rPr>
          <w:b/>
          <w:bCs/>
        </w:rPr>
        <w:t xml:space="preserve">Why it matters.</w:t>
      </w:r>
      <w:r>
        <w:t xml:space="preserve"> </w:t>
      </w:r>
      <w:r>
        <w:t xml:space="preserve">A non-GAAP add-back with no corresponding GAAP expense is improper and inflates Adjusted EBITDA for FY 2023 (contributing to the overstated $7.6M figure, which should be $3.5M using audited figures).</w:t>
      </w:r>
    </w:p>
    <w:p>
      <w:pPr>
        <w:pStyle w:val="BodyText"/>
      </w:pPr>
      <w:r>
        <w:rPr>
          <w:b/>
          <w:bCs/>
        </w:rPr>
        <w:t xml:space="preserve">Recommendation.</w:t>
      </w:r>
      <w:r>
        <w:t xml:space="preserve"> </w:t>
      </w:r>
      <w:r>
        <w:t xml:space="preserve">Remove the FY 2023 restructuring add-back. Confirm with the CFO whether any FY 2023 restructuring charge existed that is not reflected in the Audited Financials.</w:t>
      </w:r>
    </w:p>
    <w:bookmarkEnd w:id="26"/>
    <w:bookmarkStart w:id="27" w:name="Xa83f8de1ea133e86f6343ebfd3f95cf64480257"/>
    <w:p>
      <w:pPr>
        <w:pStyle w:val="Heading3"/>
      </w:pPr>
      <w:r>
        <w:t xml:space="preserve">Issue A-7 — Depreciation and amortization, FY 2023: $6.9M (CFO Memo) vs. $7.1M (Audited) [MEDIUM]</w:t>
      </w:r>
    </w:p>
    <w:p>
      <w:pPr>
        <w:pStyle w:val="FirstParagraph"/>
      </w:pPr>
      <w:r>
        <w:rPr>
          <w:b/>
          <w:bCs/>
        </w:rPr>
        <w:t xml:space="preserve">Description.</w:t>
      </w:r>
      <w:r>
        <w:t xml:space="preserve"> </w:t>
      </w:r>
      <w:r>
        <w:t xml:space="preserve">The CFO Memo (Section 5.2) shows FY 2023 D&amp;A of $6.9M; the Audited Financials (Consolidated Statements of Cash Flows) report $7.1M. (Note: $6.9M is the FY 2024 property-and-equipment depreciation figure per Note 5, suggesting a possible year/line-item transposition.)</w:t>
      </w:r>
    </w:p>
    <w:p>
      <w:pPr>
        <w:pStyle w:val="BodyText"/>
      </w:pPr>
      <w:r>
        <w:rPr>
          <w:b/>
          <w:bCs/>
        </w:rPr>
        <w:t xml:space="preserve">Recommendation.</w:t>
      </w:r>
      <w:r>
        <w:t xml:space="preserve"> </w:t>
      </w:r>
      <w:r>
        <w:t xml:space="preserve">Use $7.1M (audited cash flow statement) for total D&amp;A.</w:t>
      </w:r>
    </w:p>
    <w:bookmarkEnd w:id="27"/>
    <w:bookmarkStart w:id="28" w:name="X6767d6ae73ce6cb264667c0f632a6ede78a4e52"/>
    <w:p>
      <w:pPr>
        <w:pStyle w:val="Heading3"/>
      </w:pPr>
      <w:r>
        <w:t xml:space="preserve">Issue A-8 — Subscription revenue, FY 2023: $113.4M (CFO Memo) vs. $116.4M (Audited) [HIGH]</w:t>
      </w:r>
    </w:p>
    <w:p>
      <w:pPr>
        <w:pStyle w:val="FirstParagraph"/>
      </w:pPr>
      <w:r>
        <w:rPr>
          <w:b/>
          <w:bCs/>
        </w:rPr>
        <w:t xml:space="preserve">Description.</w:t>
      </w:r>
      <w:r>
        <w:t xml:space="preserve"> </w:t>
      </w:r>
      <w:r>
        <w:t xml:space="preserve">The CFO Memo (Section 4.1) reports FY 2023 subscription revenue of $113.4M. The Audited Financials (Statements of Operations and Note 3) report $116.4M. The CFO Memo understates subscription revenue by $3.0M. (Total revenue of $128.9M is consistent across both.)</w:t>
      </w:r>
    </w:p>
    <w:p>
      <w:pPr>
        <w:pStyle w:val="BodyText"/>
      </w:pPr>
      <w:r>
        <w:rPr>
          <w:b/>
          <w:bCs/>
        </w:rPr>
        <w:t xml:space="preserve">Recommendation.</w:t>
      </w:r>
      <w:r>
        <w:t xml:space="preserve"> </w:t>
      </w:r>
      <w:r>
        <w:t xml:space="preserve">Use $116.4M (audited) for subscription revenue in the S-1.</w:t>
      </w:r>
    </w:p>
    <w:bookmarkEnd w:id="28"/>
    <w:bookmarkStart w:id="29" w:name="X05a6b6cf9c5247f18b821825923726439c660f0"/>
    <w:p>
      <w:pPr>
        <w:pStyle w:val="Heading3"/>
      </w:pPr>
      <w:r>
        <w:t xml:space="preserve">Issue A-9 — Professional services revenue, FY 2023: $15.5M (CFO Memo) vs. $12.5M (Audited) [HIGH]</w:t>
      </w:r>
    </w:p>
    <w:p>
      <w:pPr>
        <w:pStyle w:val="FirstParagraph"/>
      </w:pPr>
      <w:r>
        <w:rPr>
          <w:b/>
          <w:bCs/>
        </w:rPr>
        <w:t xml:space="preserve">Description.</w:t>
      </w:r>
      <w:r>
        <w:t xml:space="preserve"> </w:t>
      </w:r>
      <w:r>
        <w:t xml:space="preserve">The CFO Memo (Section 4.1) reports FY 2023 professional services revenue of $15.5M. The Audited Financials report $12.5M. Notably, $15.5M equals the audited professional services</w:t>
      </w:r>
      <w:r>
        <w:t xml:space="preserve"> </w:t>
      </w:r>
      <w:r>
        <w:rPr>
          <w:b/>
          <w:bCs/>
        </w:rPr>
        <w:t xml:space="preserve">cost of revenue</w:t>
      </w:r>
      <w:r>
        <w:t xml:space="preserve"> </w:t>
      </w:r>
      <w:r>
        <w:t xml:space="preserve">for FY 2023 (Note 4: $15.5M), strongly suggesting the CFO Memo used the cost figure in place of the revenue figure. The $3.0M overstatement of professional services revenue exactly offsets the $3.0M understatement of subscription revenue (Issue A-8), confirming a reclassification error.</w:t>
      </w:r>
    </w:p>
    <w:p>
      <w:pPr>
        <w:pStyle w:val="BodyText"/>
      </w:pPr>
      <w:r>
        <w:rPr>
          <w:b/>
          <w:bCs/>
        </w:rPr>
        <w:t xml:space="preserve">Recommendation.</w:t>
      </w:r>
      <w:r>
        <w:t xml:space="preserve"> </w:t>
      </w:r>
      <w:r>
        <w:t xml:space="preserve">Use $12.5M (audited) for professional services revenue. Correct the revenue disaggregation in the S-1 and the CFO Memo.</w:t>
      </w:r>
    </w:p>
    <w:bookmarkEnd w:id="29"/>
    <w:bookmarkStart w:id="30" w:name="X570e953f074240b63fd70496149a2b4923d4e90"/>
    <w:p>
      <w:pPr>
        <w:pStyle w:val="Heading3"/>
      </w:pPr>
      <w:r>
        <w:t xml:space="preserve">Issue A-10 — Restructuring description: headcount and timing conflict [MEDIUM]</w:t>
      </w:r>
    </w:p>
    <w:p>
      <w:pPr>
        <w:pStyle w:val="FirstParagraph"/>
      </w:pPr>
      <w:r>
        <w:rPr>
          <w:b/>
          <w:bCs/>
        </w:rPr>
        <w:t xml:space="preserve">Description.</w:t>
      </w:r>
      <w:r>
        <w:t xml:space="preserve"> </w:t>
      </w:r>
      <w:r>
        <w:t xml:space="preserve">The CFO Memo (Section 5.3) describes the restructuring as</w:t>
      </w:r>
      <w:r>
        <w:t xml:space="preserve"> </w:t>
      </w:r>
      <w:r>
        <w:t xml:space="preserve">“</w:t>
      </w:r>
      <w:r>
        <w:t xml:space="preserve">approximately 30 positions in our professional services organization in the second quarter of 2024.</w:t>
      </w:r>
      <w:r>
        <w:t xml:space="preserve">”</w:t>
      </w:r>
      <w:r>
        <w:t xml:space="preserve"> </w:t>
      </w:r>
      <w:r>
        <w:t xml:space="preserve">The Audited Financials (Note 9) describe</w:t>
      </w:r>
      <w:r>
        <w:t xml:space="preserve"> </w:t>
      </w:r>
      <w:r>
        <w:t xml:space="preserve">“</w:t>
      </w:r>
      <w:r>
        <w:t xml:space="preserve">a workforce reduction affecting approximately 46 employees</w:t>
      </w:r>
      <w:r>
        <w:t xml:space="preserve">”</w:t>
      </w:r>
      <w:r>
        <w:t xml:space="preserve"> </w:t>
      </w:r>
      <w:r>
        <w:t xml:space="preserve">implemented</w:t>
      </w:r>
      <w:r>
        <w:t xml:space="preserve"> </w:t>
      </w:r>
      <w:r>
        <w:t xml:space="preserve">“</w:t>
      </w:r>
      <w:r>
        <w:t xml:space="preserve">during the third quarter of 2024.</w:t>
      </w:r>
      <w:r>
        <w:t xml:space="preserve">”</w:t>
      </w:r>
      <w:r>
        <w:t xml:space="preserve"> </w:t>
      </w:r>
      <w:r>
        <w:t xml:space="preserve">The headcount (30 vs. 46) and the quarter (Q2 vs. Q3) both conflict.</w:t>
      </w:r>
    </w:p>
    <w:p>
      <w:pPr>
        <w:pStyle w:val="BodyText"/>
      </w:pPr>
      <w:r>
        <w:rPr>
          <w:b/>
          <w:bCs/>
        </w:rPr>
        <w:t xml:space="preserve">Recommendation.</w:t>
      </w:r>
      <w:r>
        <w:t xml:space="preserve"> </w:t>
      </w:r>
      <w:r>
        <w:t xml:space="preserve">Use the audited description (approximately 46 employees, Q3 2024) in the S-1. Reconcile the CFO Memo.</w:t>
      </w:r>
    </w:p>
    <w:bookmarkEnd w:id="30"/>
    <w:bookmarkStart w:id="31" w:name="X136d1e2ead18dd0d4fc563eaaeb554af6958675"/>
    <w:p>
      <w:pPr>
        <w:pStyle w:val="Heading3"/>
      </w:pPr>
      <w:r>
        <w:t xml:space="preserve">Issue A-11 — Condensed balance sheet line items (CFO Memo Section 6.1) do not match the audited balance sheet [MEDIUM-HIGH]</w:t>
      </w:r>
    </w:p>
    <w:p>
      <w:pPr>
        <w:pStyle w:val="FirstParagraph"/>
      </w:pPr>
      <w:r>
        <w:rPr>
          <w:b/>
          <w:bCs/>
        </w:rPr>
        <w:t xml:space="preserve">Description.</w:t>
      </w:r>
      <w:r>
        <w:t xml:space="preserve"> </w:t>
      </w:r>
      <w:r>
        <w:t xml:space="preserve">The CFO Memo’s condensed balance sheet (Section 6.1) presents several current-asset and current-liability line items that differ from the Audited Financials, even though the category totals match: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CFO Memo</w:t>
            </w:r>
          </w:p>
        </w:tc>
        <w:tc>
          <w:tcPr/>
          <w:p>
            <w:pPr>
              <w:pStyle w:val="Compact"/>
              <w:jc w:val="left"/>
            </w:pPr>
            <w:r>
              <w:t xml:space="preserve">Audited</w:t>
            </w:r>
          </w:p>
        </w:tc>
        <w:tc>
          <w:tcPr/>
          <w:p>
            <w:pPr>
              <w:pStyle w:val="Compact"/>
              <w:jc w:val="left"/>
            </w:pPr>
            <w:r>
              <w:t xml:space="preserve">Difference</w:t>
            </w:r>
          </w:p>
        </w:tc>
      </w:tr>
      <w:tr>
        <w:tc>
          <w:tcPr/>
          <w:p>
            <w:pPr>
              <w:pStyle w:val="Compact"/>
              <w:jc w:val="left"/>
            </w:pPr>
            <w:r>
              <w:t xml:space="preserve">Accounts receivable, net</w:t>
            </w:r>
          </w:p>
        </w:tc>
        <w:tc>
          <w:tcPr/>
          <w:p>
            <w:pPr>
              <w:pStyle w:val="Compact"/>
              <w:jc w:val="left"/>
            </w:pPr>
            <w:r>
              <w:t xml:space="preserve">$28.2M</w:t>
            </w:r>
          </w:p>
        </w:tc>
        <w:tc>
          <w:tcPr/>
          <w:p>
            <w:pPr>
              <w:pStyle w:val="Compact"/>
              <w:jc w:val="left"/>
            </w:pPr>
            <w:r>
              <w:t xml:space="preserve">$29.8M</w:t>
            </w:r>
          </w:p>
        </w:tc>
        <w:tc>
          <w:tcPr/>
          <w:p>
            <w:pPr>
              <w:pStyle w:val="Compact"/>
              <w:jc w:val="left"/>
            </w:pPr>
            <w:r>
              <w:t xml:space="preserve">($1.6M)</w:t>
            </w:r>
          </w:p>
        </w:tc>
      </w:tr>
      <w:tr>
        <w:tc>
          <w:tcPr/>
          <w:p>
            <w:pPr>
              <w:pStyle w:val="Compact"/>
              <w:jc w:val="left"/>
            </w:pPr>
            <w:r>
              <w:t xml:space="preserve">Prepaid expenses and other current assets</w:t>
            </w:r>
          </w:p>
        </w:tc>
        <w:tc>
          <w:tcPr/>
          <w:p>
            <w:pPr>
              <w:pStyle w:val="Compact"/>
              <w:jc w:val="left"/>
            </w:pPr>
            <w:r>
              <w:t xml:space="preserve">$13.2M</w:t>
            </w:r>
          </w:p>
        </w:tc>
        <w:tc>
          <w:tcPr/>
          <w:p>
            <w:pPr>
              <w:pStyle w:val="Compact"/>
              <w:jc w:val="left"/>
            </w:pPr>
            <w:r>
              <w:t xml:space="preserve">$11.6M</w:t>
            </w:r>
          </w:p>
        </w:tc>
        <w:tc>
          <w:tcPr/>
          <w:p>
            <w:pPr>
              <w:pStyle w:val="Compact"/>
              <w:jc w:val="left"/>
            </w:pPr>
            <w:r>
              <w:t xml:space="preserve">+$1.6M</w:t>
            </w:r>
          </w:p>
        </w:tc>
      </w:tr>
      <w:tr>
        <w:tc>
          <w:tcPr/>
          <w:p>
            <w:pPr>
              <w:pStyle w:val="Compact"/>
              <w:jc w:val="left"/>
            </w:pPr>
            <w:r>
              <w:t xml:space="preserve">Accounts payable</w:t>
            </w:r>
          </w:p>
        </w:tc>
        <w:tc>
          <w:tcPr/>
          <w:p>
            <w:pPr>
              <w:pStyle w:val="Compact"/>
              <w:jc w:val="left"/>
            </w:pPr>
            <w:r>
              <w:t xml:space="preserve">$9.8M</w:t>
            </w:r>
          </w:p>
        </w:tc>
        <w:tc>
          <w:tcPr/>
          <w:p>
            <w:pPr>
              <w:pStyle w:val="Compact"/>
              <w:jc w:val="left"/>
            </w:pPr>
            <w:r>
              <w:t xml:space="preserve">$8.2M</w:t>
            </w:r>
          </w:p>
        </w:tc>
        <w:tc>
          <w:tcPr/>
          <w:p>
            <w:pPr>
              <w:pStyle w:val="Compact"/>
              <w:jc w:val="left"/>
            </w:pPr>
            <w:r>
              <w:t xml:space="preserve">+$1.6M</w:t>
            </w:r>
          </w:p>
        </w:tc>
      </w:tr>
      <w:tr>
        <w:tc>
          <w:tcPr/>
          <w:p>
            <w:pPr>
              <w:pStyle w:val="Compact"/>
              <w:jc w:val="left"/>
            </w:pPr>
            <w:r>
              <w:t xml:space="preserve">Accrued liabilities</w:t>
            </w:r>
          </w:p>
        </w:tc>
        <w:tc>
          <w:tcPr/>
          <w:p>
            <w:pPr>
              <w:pStyle w:val="Compact"/>
              <w:jc w:val="left"/>
            </w:pPr>
            <w:r>
              <w:t xml:space="preserve">$14.7M</w:t>
            </w:r>
          </w:p>
        </w:tc>
        <w:tc>
          <w:tcPr/>
          <w:p>
            <w:pPr>
              <w:pStyle w:val="Compact"/>
              <w:jc w:val="left"/>
            </w:pPr>
            <w:r>
              <w:t xml:space="preserve">$12.1M</w:t>
            </w:r>
          </w:p>
        </w:tc>
        <w:tc>
          <w:tcPr/>
          <w:p>
            <w:pPr>
              <w:pStyle w:val="Compact"/>
              <w:jc w:val="left"/>
            </w:pPr>
            <w:r>
              <w:t xml:space="preserve">+$2.6M</w:t>
            </w:r>
          </w:p>
        </w:tc>
      </w:tr>
      <w:tr>
        <w:tc>
          <w:tcPr/>
          <w:p>
            <w:pPr>
              <w:pStyle w:val="Compact"/>
              <w:jc w:val="left"/>
            </w:pPr>
            <w:r>
              <w:t xml:space="preserve">Operating lease liabilities, current</w:t>
            </w:r>
          </w:p>
        </w:tc>
        <w:tc>
          <w:tcPr/>
          <w:p>
            <w:pPr>
              <w:pStyle w:val="Compact"/>
              <w:jc w:val="left"/>
            </w:pPr>
            <w:r>
              <w:t xml:space="preserve">omitted</w:t>
            </w:r>
          </w:p>
        </w:tc>
        <w:tc>
          <w:tcPr/>
          <w:p>
            <w:pPr>
              <w:pStyle w:val="Compact"/>
              <w:jc w:val="left"/>
            </w:pPr>
            <w:r>
              <w:t xml:space="preserve">$4.2M</w:t>
            </w:r>
          </w:p>
        </w:tc>
        <w:tc>
          <w:tcPr/>
          <w:p>
            <w:pPr>
              <w:pStyle w:val="Compact"/>
              <w:jc w:val="left"/>
            </w:pPr>
            <w:r>
              <w:t xml:space="preserve">($4.2M)</w:t>
            </w:r>
          </w:p>
        </w:tc>
      </w:tr>
    </w:tbl>
    <w:p>
      <w:pPr>
        <w:pStyle w:val="BodyText"/>
      </w:pPr>
      <w:r>
        <w:t xml:space="preserve">The CFO Memo omits the current portion of operating lease liabilities ($4.2M) and reclassifies amounts within current assets (AR↔prepaid) and current liabilities (folding the $4.2M lease current liability into AP and accrued liabilities).</w:t>
      </w:r>
    </w:p>
    <w:p>
      <w:pPr>
        <w:pStyle w:val="BodyText"/>
      </w:pPr>
      <w:r>
        <w:rPr>
          <w:b/>
          <w:bCs/>
        </w:rPr>
        <w:t xml:space="preserve">Why it matters.</w:t>
      </w:r>
      <w:r>
        <w:t xml:space="preserve"> </w:t>
      </w:r>
      <w:r>
        <w:t xml:space="preserve">The S-1 must present the audited balance sheet line items as reported. Using the CFO Memo’s reclassified figures would conflict with the audited financial statements included in the S-1.</w:t>
      </w:r>
    </w:p>
    <w:p>
      <w:pPr>
        <w:pStyle w:val="BodyText"/>
      </w:pPr>
      <w:r>
        <w:rPr>
          <w:b/>
          <w:bCs/>
        </w:rPr>
        <w:t xml:space="preserve">Recommendation.</w:t>
      </w:r>
      <w:r>
        <w:t xml:space="preserve"> </w:t>
      </w:r>
      <w:r>
        <w:t xml:space="preserve">Use the audited balance sheet line items in the S-1 (AR $29.8M; prepaid $11.6M; AP $8.2M; accrued $12.1M; operating lease current $4.2M). The Form S-1 draft uses the audited figures.</w:t>
      </w:r>
    </w:p>
    <w:bookmarkEnd w:id="31"/>
    <w:bookmarkEnd w:id="32"/>
    <w:bookmarkStart w:id="38" w:name="iii.-term-loan-inconsistencies"/>
    <w:p>
      <w:pPr>
        <w:pStyle w:val="Heading2"/>
      </w:pPr>
      <w:r>
        <w:t xml:space="preserve">III. Term Loan Inconsistencies</w:t>
      </w:r>
    </w:p>
    <w:bookmarkStart w:id="33" w:name="X81b80e1c0cdbeba9f3d403aa0bf05835573d327"/>
    <w:p>
      <w:pPr>
        <w:pStyle w:val="Heading3"/>
      </w:pPr>
      <w:r>
        <w:t xml:space="preserve">Issue B-1 — Date of the Credit Agreement: December 15, 2022 (Term Loan Summary) vs. June 2023 (Audited Note 8) [HIGH]</w:t>
      </w:r>
    </w:p>
    <w:p>
      <w:pPr>
        <w:pStyle w:val="FirstParagraph"/>
      </w:pPr>
      <w:r>
        <w:rPr>
          <w:b/>
          <w:bCs/>
        </w:rPr>
        <w:t xml:space="preserve">Description.</w:t>
      </w:r>
      <w:r>
        <w:t xml:space="preserve"> </w:t>
      </w:r>
      <w:r>
        <w:t xml:space="preserve">The Term Loan Summary states the Credit Agreement is</w:t>
      </w:r>
      <w:r>
        <w:t xml:space="preserve"> </w:t>
      </w:r>
      <w:r>
        <w:t xml:space="preserve">“</w:t>
      </w:r>
      <w:r>
        <w:t xml:space="preserve">dated as of December 15, 2022</w:t>
      </w:r>
      <w:r>
        <w:t xml:space="preserve">”</w:t>
      </w:r>
      <w:r>
        <w:t xml:space="preserve"> </w:t>
      </w:r>
      <w:r>
        <w:t xml:space="preserve">and that</w:t>
      </w:r>
      <w:r>
        <w:t xml:space="preserve"> </w:t>
      </w:r>
      <w:r>
        <w:t xml:space="preserve">“</w:t>
      </w:r>
      <w:r>
        <w:t xml:space="preserve">the initial draw of $40,000,000 was made on the closing date</w:t>
      </w:r>
      <w:r>
        <w:t xml:space="preserve">”</w:t>
      </w:r>
      <w:r>
        <w:t xml:space="preserve"> </w:t>
      </w:r>
      <w:r>
        <w:t xml:space="preserve">(December 15, 2022). The Audited Financials (Note 8) state that</w:t>
      </w:r>
      <w:r>
        <w:t xml:space="preserve"> </w:t>
      </w:r>
      <w:r>
        <w:t xml:space="preserve">“</w:t>
      </w:r>
      <w:r>
        <w:t xml:space="preserve">[i]n June 2023, the Company entered into a term loan facility with Kestridge West Credit Partners providing for borrowings of up to $50.0 million.</w:t>
      </w:r>
      <w:r>
        <w:t xml:space="preserve">”</w:t>
      </w:r>
    </w:p>
    <w:p>
      <w:pPr>
        <w:pStyle w:val="BodyText"/>
      </w:pPr>
      <w:r>
        <w:rPr>
          <w:b/>
          <w:bCs/>
        </w:rPr>
        <w:t xml:space="preserve">Why it matters.</w:t>
      </w:r>
      <w:r>
        <w:t xml:space="preserve"> </w:t>
      </w:r>
      <w:r>
        <w:t xml:space="preserve">The S-1</w:t>
      </w:r>
      <w:r>
        <w:t xml:space="preserve"> </w:t>
      </w:r>
      <w:r>
        <w:t xml:space="preserve">“</w:t>
      </w:r>
      <w:r>
        <w:t xml:space="preserve">Description of Indebtedness</w:t>
      </w:r>
      <w:r>
        <w:t xml:space="preserve">”</w:t>
      </w:r>
      <w:r>
        <w:t xml:space="preserve"> </w:t>
      </w:r>
      <w:r>
        <w:t xml:space="preserve">and the debt footnote in the audited financials must be consistent. A six-month discrepancy in the date the facility was entered into is material to the debt disclosure and to the accuracy of the Term Loan Summary (which informs the S-1 narrative).</w:t>
      </w:r>
    </w:p>
    <w:p>
      <w:pPr>
        <w:pStyle w:val="BodyText"/>
      </w:pPr>
      <w:r>
        <w:rPr>
          <w:b/>
          <w:bCs/>
        </w:rPr>
        <w:t xml:space="preserve">Recommendation.</w:t>
      </w:r>
      <w:r>
        <w:t xml:space="preserve"> </w:t>
      </w:r>
      <w:r>
        <w:t xml:space="preserve">Reconcile the date. If the Credit Agreement was executed in December 2022 and amended or restated in June 2023, disclose both dates. If one source is in error, correct it. The Form S-1 draft describes the facility consistent with Note 8; confirm against the actual Credit Agreement.</w:t>
      </w:r>
    </w:p>
    <w:bookmarkEnd w:id="33"/>
    <w:bookmarkStart w:id="34" w:name="X497e32601bb843bb128ff2378f0dde4c5f8ad73"/>
    <w:p>
      <w:pPr>
        <w:pStyle w:val="Heading3"/>
      </w:pPr>
      <w:r>
        <w:t xml:space="preserve">Issue B-2 — Initial draw amount and FY 2023 borrowings conflict [HIGH]</w:t>
      </w:r>
    </w:p>
    <w:p>
      <w:pPr>
        <w:pStyle w:val="FirstParagraph"/>
      </w:pPr>
      <w:r>
        <w:rPr>
          <w:b/>
          <w:bCs/>
        </w:rPr>
        <w:t xml:space="preserve">Description.</w:t>
      </w:r>
      <w:r>
        <w:t xml:space="preserve"> </w:t>
      </w:r>
      <w:r>
        <w:t xml:space="preserve">The Term Loan Summary states $40.0M was drawn on the closing date (December 15, 2022) and that only $10.0M of commitment remained undrawn (with the availability period expiring June 30, 2024). The Audited Financials (Consolidated Statements of Cash Flows) show $15.0M of term loan borrowings in FY 2023 and no borrowings in FY 2024. If $40.0M was already drawn in December 2022, there should not have been $15.0M of additional borrowings in FY 2023 (which would exceed the $10.0M remaining commitment). The audited cash flow implies a lower initial draw (approximately $25.0M at December 31, 2022, given the $40.0M balance at December 31, 2023 less $15.0M FY 2023 borrowings).</w:t>
      </w:r>
    </w:p>
    <w:p>
      <w:pPr>
        <w:pStyle w:val="BodyText"/>
      </w:pPr>
      <w:r>
        <w:rPr>
          <w:b/>
          <w:bCs/>
        </w:rPr>
        <w:t xml:space="preserve">Recommendation.</w:t>
      </w:r>
      <w:r>
        <w:t xml:space="preserve"> </w:t>
      </w:r>
      <w:r>
        <w:t xml:space="preserve">Reconcile the draw history against the lender’s records and the actual borrowing notices. The S-1 debt disclosure must be consistent with the audited cash flow statement.</w:t>
      </w:r>
    </w:p>
    <w:bookmarkEnd w:id="34"/>
    <w:bookmarkStart w:id="35" w:name="Xd416e51d1122a0a1cfdc0496263f8ae9a4d6d29"/>
    <w:p>
      <w:pPr>
        <w:pStyle w:val="Heading3"/>
      </w:pPr>
      <w:r>
        <w:t xml:space="preserve">Issue B-3 — Term loan balance does not roll forward in the Audited Financials [HIGH]</w:t>
      </w:r>
    </w:p>
    <w:p>
      <w:pPr>
        <w:pStyle w:val="FirstParagraph"/>
      </w:pPr>
      <w:r>
        <w:rPr>
          <w:b/>
          <w:bCs/>
        </w:rPr>
        <w:t xml:space="preserve">Description.</w:t>
      </w:r>
      <w:r>
        <w:t xml:space="preserve"> </w:t>
      </w:r>
      <w:r>
        <w:t xml:space="preserve">This is an internal inconsistency within the Audited Financials themselves. The balance sheet and Note 8 show the term loan outstanding at $40.0M at both December 31, 2023 and December 31, 2024. The Consolidated Statements of Cash Flows show $5.0M of term loan repayments in FY 2024 and $0 of new borrowings. A $5.0M repayment with no offsetting borrowing should reduce the balance from $40.0M to $35.0M, yet the balance is reported as $40.0M at December 31, 2024. The $5.0M difference is unexplained.</w:t>
      </w:r>
    </w:p>
    <w:p>
      <w:pPr>
        <w:pStyle w:val="BodyText"/>
      </w:pPr>
      <w:r>
        <w:rPr>
          <w:b/>
          <w:bCs/>
        </w:rPr>
        <w:t xml:space="preserve">Why it matters.</w:t>
      </w:r>
      <w:r>
        <w:t xml:space="preserve"> </w:t>
      </w:r>
      <w:r>
        <w:t xml:space="preserve">The audited financial statements included in the S-1 must be internally consistent. A failure of the debt roll-forward is a material issue that the auditors (Archer Pryce LLP) should resolve before the S-1 is filed. SEC reviewers routinely test debt roll-forwards.</w:t>
      </w:r>
    </w:p>
    <w:p>
      <w:pPr>
        <w:pStyle w:val="BodyText"/>
      </w:pPr>
      <w:r>
        <w:rPr>
          <w:b/>
          <w:bCs/>
        </w:rPr>
        <w:t xml:space="preserve">Recommendation.</w:t>
      </w:r>
      <w:r>
        <w:t xml:space="preserve"> </w:t>
      </w:r>
      <w:r>
        <w:t xml:space="preserve">Immediately raise this with Archer Pryce LLP and the CFO. Determine whether (i) the $5.0M repayment in the cash flow statement is erroneous, (ii) the $40.0M balance at December 31, 2024 is erroneous (should be $35.0M), or (iii) there is an unrecorded $5.0M borrowing. Correct the audited financials as needed before filing.</w:t>
      </w:r>
    </w:p>
    <w:bookmarkEnd w:id="35"/>
    <w:bookmarkStart w:id="36" w:name="Xc8b60d4d4ac7c5ce083987db3b77a55d4e88484"/>
    <w:p>
      <w:pPr>
        <w:pStyle w:val="Heading3"/>
      </w:pPr>
      <w:r>
        <w:t xml:space="preserve">Issue B-4 — Current portion of term loan not classified on the balance sheet [MEDIUM-HIGH]</w:t>
      </w:r>
    </w:p>
    <w:p>
      <w:pPr>
        <w:pStyle w:val="FirstParagraph"/>
      </w:pPr>
      <w:r>
        <w:rPr>
          <w:b/>
          <w:bCs/>
        </w:rPr>
        <w:t xml:space="preserve">Description.</w:t>
      </w:r>
      <w:r>
        <w:t xml:space="preserve"> </w:t>
      </w:r>
      <w:r>
        <w:t xml:space="preserve">Note 8’s future principal repayment schedule shows $5.0M due in 2025, $10.0M due in 2026, and $25.0M due in 2027. The $5.0M due within 12 months of December 31, 2024 should be classified as a current liability, but the balance sheet shows the entire $40.0M as</w:t>
      </w:r>
      <w:r>
        <w:t xml:space="preserve"> </w:t>
      </w:r>
      <w:r>
        <w:t xml:space="preserve">“</w:t>
      </w:r>
      <w:r>
        <w:t xml:space="preserve">Term loan, non-current</w:t>
      </w:r>
      <w:r>
        <w:t xml:space="preserve">”</w:t>
      </w:r>
      <w:r>
        <w:t xml:space="preserve"> </w:t>
      </w:r>
      <w:r>
        <w:t xml:space="preserve">with no current portion presented in current liabilities.</w:t>
      </w:r>
    </w:p>
    <w:p>
      <w:pPr>
        <w:pStyle w:val="BodyText"/>
      </w:pPr>
      <w:r>
        <w:rPr>
          <w:b/>
          <w:bCs/>
        </w:rPr>
        <w:t xml:space="preserve">Recommendation.</w:t>
      </w:r>
      <w:r>
        <w:t xml:space="preserve"> </w:t>
      </w:r>
      <w:r>
        <w:t xml:space="preserve">Confirm the correct classification. If $5.0M is due in 2025, reclassify it to current liabilities (or confirm the repayment schedule). This may be related to Issue B-3.</w:t>
      </w:r>
    </w:p>
    <w:bookmarkEnd w:id="36"/>
    <w:bookmarkStart w:id="37" w:name="X83bcadd9eeab09a8b184e178698338df49aae41"/>
    <w:p>
      <w:pPr>
        <w:pStyle w:val="Heading3"/>
      </w:pPr>
      <w:r>
        <w:t xml:space="preserve">Issue B-5 — Lender name:</w:t>
      </w:r>
      <w:r>
        <w:t xml:space="preserve"> </w:t>
      </w:r>
      <w:r>
        <w:t xml:space="preserve">“</w:t>
      </w:r>
      <w:r>
        <w:t xml:space="preserve">Kestridge West Credit Partners</w:t>
      </w:r>
      <w:r>
        <w:t xml:space="preserve">”</w:t>
      </w:r>
      <w:r>
        <w:t xml:space="preserve"> </w:t>
      </w:r>
      <w:r>
        <w:t xml:space="preserve">vs. </w:t>
      </w:r>
      <w:r>
        <w:t xml:space="preserve">“</w:t>
      </w:r>
      <w:r>
        <w:t xml:space="preserve">Silicon Valley Credit Partners</w:t>
      </w:r>
      <w:r>
        <w:t xml:space="preserve">”</w:t>
      </w:r>
      <w:r>
        <w:t xml:space="preserve"> </w:t>
      </w:r>
      <w:r>
        <w:t xml:space="preserve">[HIGH]</w:t>
      </w:r>
    </w:p>
    <w:p>
      <w:pPr>
        <w:pStyle w:val="FirstParagraph"/>
      </w:pPr>
      <w:r>
        <w:rPr>
          <w:b/>
          <w:bCs/>
        </w:rPr>
        <w:t xml:space="preserve">Description.</w:t>
      </w:r>
      <w:r>
        <w:t xml:space="preserve"> </w:t>
      </w:r>
      <w:r>
        <w:t xml:space="preserve">The Audited Financials (Note 8), CFO Memo, Term Sheet, and Term Loan Summary all refer to the lender as</w:t>
      </w:r>
      <w:r>
        <w:t xml:space="preserve"> </w:t>
      </w:r>
      <w:r>
        <w:t xml:space="preserve">“</w:t>
      </w:r>
      <w:r>
        <w:t xml:space="preserve">Kestridge West Credit Partners.</w:t>
      </w:r>
      <w:r>
        <w:t xml:space="preserve">”</w:t>
      </w:r>
      <w:r>
        <w:t xml:space="preserve"> </w:t>
      </w:r>
      <w:r>
        <w:t xml:space="preserve">The Roadshow (Slides 20, 24, and 27) refers to the lender as</w:t>
      </w:r>
      <w:r>
        <w:t xml:space="preserve"> </w:t>
      </w:r>
      <w:r>
        <w:t xml:space="preserve">“</w:t>
      </w:r>
      <w:r>
        <w:t xml:space="preserve">Silicon Valley Credit Partners.</w:t>
      </w:r>
      <w:r>
        <w:t xml:space="preserve">”</w:t>
      </w:r>
      <w:r>
        <w:t xml:space="preserve"> </w:t>
      </w:r>
      <w:r>
        <w:t xml:space="preserve">The Term Loan Summary abbreviates the lender as</w:t>
      </w:r>
      <w:r>
        <w:t xml:space="preserve"> </w:t>
      </w:r>
      <w:r>
        <w:t xml:space="preserve">“</w:t>
      </w:r>
      <w:r>
        <w:t xml:space="preserve">SVCP,</w:t>
      </w:r>
      <w:r>
        <w:t xml:space="preserve">”</w:t>
      </w:r>
      <w:r>
        <w:t xml:space="preserve"> </w:t>
      </w:r>
      <w:r>
        <w:t xml:space="preserve">an abbreviation that corresponds to</w:t>
      </w:r>
      <w:r>
        <w:t xml:space="preserve"> </w:t>
      </w:r>
      <w:r>
        <w:t xml:space="preserve">“</w:t>
      </w:r>
      <w:r>
        <w:t xml:space="preserve">Silicon Valley Credit Partners,</w:t>
      </w:r>
      <w:r>
        <w:t xml:space="preserve">”</w:t>
      </w:r>
      <w:r>
        <w:t xml:space="preserve"> </w:t>
      </w:r>
      <w:r>
        <w:t xml:space="preserve">not</w:t>
      </w:r>
      <w:r>
        <w:t xml:space="preserve"> </w:t>
      </w:r>
      <w:r>
        <w:t xml:space="preserve">“</w:t>
      </w:r>
      <w:r>
        <w:t xml:space="preserve">Kestridge West Credit Partners,</w:t>
      </w:r>
      <w:r>
        <w:t xml:space="preserve">”</w:t>
      </w:r>
      <w:r>
        <w:t xml:space="preserve"> </w:t>
      </w:r>
      <w:r>
        <w:t xml:space="preserve">creating ambiguity about the lender’s correct legal name.</w:t>
      </w:r>
    </w:p>
    <w:p>
      <w:pPr>
        <w:pStyle w:val="BodyText"/>
      </w:pPr>
      <w:r>
        <w:rPr>
          <w:b/>
          <w:bCs/>
        </w:rPr>
        <w:t xml:space="preserve">Why it matters.</w:t>
      </w:r>
      <w:r>
        <w:t xml:space="preserve"> </w:t>
      </w:r>
      <w:r>
        <w:t xml:space="preserve">The S-1 must state the lender’s correct legal name consistently. An incorrect counterparty name in a filed document is an inaccuracy that could draw an SEC comment and could affect the accuracy of representations in the underwriting agreement.</w:t>
      </w:r>
    </w:p>
    <w:p>
      <w:pPr>
        <w:pStyle w:val="BodyText"/>
      </w:pPr>
      <w:r>
        <w:rPr>
          <w:b/>
          <w:bCs/>
        </w:rPr>
        <w:t xml:space="preserve">Recommendation.</w:t>
      </w:r>
      <w:r>
        <w:t xml:space="preserve"> </w:t>
      </w:r>
      <w:r>
        <w:t xml:space="preserve">Confirm the lender’s correct legal name from the Credit Agreement and use it consistently throughout the S-1 and all offering documents. The Form S-1 draft uses</w:t>
      </w:r>
      <w:r>
        <w:t xml:space="preserve"> </w:t>
      </w:r>
      <w:r>
        <w:t xml:space="preserve">“</w:t>
      </w:r>
      <w:r>
        <w:t xml:space="preserve">Kestridge West Credit Partners</w:t>
      </w:r>
      <w:r>
        <w:t xml:space="preserve">”</w:t>
      </w:r>
      <w:r>
        <w:t xml:space="preserve"> </w:t>
      </w:r>
      <w:r>
        <w:t xml:space="preserve">(consistent with the Audited Financials and Term Sheet). Correct the Roadshow.</w:t>
      </w:r>
    </w:p>
    <w:bookmarkEnd w:id="37"/>
    <w:bookmarkEnd w:id="38"/>
    <w:bookmarkStart w:id="48" w:name="X27eae393cd712c00cb01508b6b8590a4cce9eaa"/>
    <w:p>
      <w:pPr>
        <w:pStyle w:val="Heading2"/>
      </w:pPr>
      <w:r>
        <w:t xml:space="preserve">IV. Capitalization and Equity Award Inconsistencies (Equity Plan Records vs. Audited Financials)</w:t>
      </w:r>
    </w:p>
    <w:bookmarkStart w:id="39" w:name="X7d2e95c6e966ae82950a84c6a1c5a194a50bfb2"/>
    <w:p>
      <w:pPr>
        <w:pStyle w:val="Heading3"/>
      </w:pPr>
      <w:r>
        <w:t xml:space="preserve">Issue C-1 — FY 2024 option grants: number and price conflict [HIGH]</w:t>
      </w:r>
    </w:p>
    <w:p>
      <w:pPr>
        <w:pStyle w:val="FirstParagraph"/>
      </w:pPr>
      <w:r>
        <w:rPr>
          <w:b/>
          <w:bCs/>
        </w:rPr>
        <w:t xml:space="preserve">Description.</w:t>
      </w:r>
      <w:r>
        <w:t xml:space="preserve"> </w:t>
      </w:r>
      <w:r>
        <w:t xml:space="preserve">The Equity Plan Records show FY 2024 option grants totaling 2,940,000 shares at $16.80 per share (grants OPT-2024-001 through OPT-2024-007). The Audited Financials (Note 12(b)) report FY 2024 option grants of 2,100,000 shares at a weighted-average exercise price of $14.80. Both the share count (2,940,000 vs. 2,100,000) and the weighted-average exercise price ($16.80 vs. $14.80) differ. (The $14.80 figure is also suspect because the December 31, 2023 409A valuation was $16.80 and all FY 2024 grants in the Equity Plan Records are priced at $16.80; $14.80 may be a typographical error for $16.80.)</w:t>
      </w:r>
    </w:p>
    <w:p>
      <w:pPr>
        <w:pStyle w:val="BodyText"/>
      </w:pPr>
      <w:r>
        <w:rPr>
          <w:b/>
          <w:bCs/>
        </w:rPr>
        <w:t xml:space="preserve">Why it matters.</w:t>
      </w:r>
      <w:r>
        <w:t xml:space="preserve"> </w:t>
      </w:r>
      <w:r>
        <w:t xml:space="preserve">The S-1 stock-based compensation footnote and the option activity table must match the audited financials. The Equity Plan Records are the source for the S-1’s detailed equity award disclosures.</w:t>
      </w:r>
    </w:p>
    <w:p>
      <w:pPr>
        <w:pStyle w:val="BodyText"/>
      </w:pPr>
      <w:r>
        <w:rPr>
          <w:b/>
          <w:bCs/>
        </w:rPr>
        <w:t xml:space="preserve">Recommendation.</w:t>
      </w:r>
      <w:r>
        <w:t xml:space="preserve"> </w:t>
      </w:r>
      <w:r>
        <w:t xml:space="preserve">Reconcile the FY 2024 option grant activity between the Equity Plan Records and the audited Note 12(b). Confirm the correct weighted-average exercise price. The S-1 must use the audited figures.</w:t>
      </w:r>
    </w:p>
    <w:bookmarkEnd w:id="39"/>
    <w:bookmarkStart w:id="40" w:name="Xb31fb5c744fd9a8153970d8c31c51ead0063de6"/>
    <w:p>
      <w:pPr>
        <w:pStyle w:val="Heading3"/>
      </w:pPr>
      <w:r>
        <w:t xml:space="preserve">Issue C-2 — FY 2024 RSU grants: number and grant-date fair value conflict [HIGH]</w:t>
      </w:r>
    </w:p>
    <w:p>
      <w:pPr>
        <w:pStyle w:val="FirstParagraph"/>
      </w:pPr>
      <w:r>
        <w:rPr>
          <w:b/>
          <w:bCs/>
        </w:rPr>
        <w:t xml:space="preserve">Description.</w:t>
      </w:r>
      <w:r>
        <w:t xml:space="preserve"> </w:t>
      </w:r>
      <w:r>
        <w:t xml:space="preserve">The Equity Plan Records show FY 2024 RSU grants totaling 2,450,000 shares at a grant-date fair value of $18.50 per share. The Audited Financials (Note 12(c)) report FY 2024 RSU grants of 1,400,000 shares at a grant-date fair value of $18.20. Both the share count (2,450,000 vs. 1,400,000) and the grant-date fair value ($18.50 vs. $18.20) differ.</w:t>
      </w:r>
    </w:p>
    <w:p>
      <w:pPr>
        <w:pStyle w:val="BodyText"/>
      </w:pPr>
      <w:r>
        <w:rPr>
          <w:b/>
          <w:bCs/>
        </w:rPr>
        <w:t xml:space="preserve">Recommendation.</w:t>
      </w:r>
      <w:r>
        <w:t xml:space="preserve"> </w:t>
      </w:r>
      <w:r>
        <w:t xml:space="preserve">Reconcile the RSU grant activity. The ending RSU balance (3,200,000) reconciles, but the components (grants, forfeitures, fair value) do not. Use the audited figures in the S-1.</w:t>
      </w:r>
    </w:p>
    <w:bookmarkEnd w:id="40"/>
    <w:bookmarkStart w:id="41" w:name="X41c03adc85d5487f4f4968c7d783f0551d27ec5"/>
    <w:p>
      <w:pPr>
        <w:pStyle w:val="Heading3"/>
      </w:pPr>
      <w:r>
        <w:t xml:space="preserve">Issue C-3 — Option exercise activity: 60,000 (Equity Plan) vs. 1,900,000 (Audited) [HIGH]</w:t>
      </w:r>
    </w:p>
    <w:p>
      <w:pPr>
        <w:pStyle w:val="FirstParagraph"/>
      </w:pPr>
      <w:r>
        <w:rPr>
          <w:b/>
          <w:bCs/>
        </w:rPr>
        <w:t xml:space="preserve">Description.</w:t>
      </w:r>
      <w:r>
        <w:t xml:space="preserve"> </w:t>
      </w:r>
      <w:r>
        <w:t xml:space="preserve">The Equity Plan Records show cumulative option exercises of only 60,000 shares (a single grant, OPT-2018-003). The Audited Financials (Note 12(b)) show 1,100,000 options exercised in FY 2023 and 800,000 exercised in FY 2024, totaling 1,900,000. The Equity Plan Records do not reflect the exercises reported in the audited financials.</w:t>
      </w:r>
    </w:p>
    <w:p>
      <w:pPr>
        <w:pStyle w:val="BodyText"/>
      </w:pPr>
      <w:r>
        <w:rPr>
          <w:b/>
          <w:bCs/>
        </w:rPr>
        <w:t xml:space="preserve">Recommendation.</w:t>
      </w:r>
      <w:r>
        <w:t xml:space="preserve"> </w:t>
      </w:r>
      <w:r>
        <w:t xml:space="preserve">Update the Equity Plan Records to reflect all exercises and reconcile to the audited option activity. Confirm the proceeds-from-exercise figures (audited cash flow: $5.2M FY 2023, $6.736M FY 2024) against the exercise records.</w:t>
      </w:r>
    </w:p>
    <w:bookmarkEnd w:id="41"/>
    <w:bookmarkStart w:id="42" w:name="X734811cb56445760b281fa6e9f815ff71bdd1f2"/>
    <w:p>
      <w:pPr>
        <w:pStyle w:val="Heading3"/>
      </w:pPr>
      <w:r>
        <w:t xml:space="preserve">Issue C-4 — Equity Plan Records totals do not foot [HIGH]</w:t>
      </w:r>
    </w:p>
    <w:p>
      <w:pPr>
        <w:pStyle w:val="FirstParagraph"/>
      </w:pPr>
      <w:r>
        <w:rPr>
          <w:b/>
          <w:bCs/>
        </w:rPr>
        <w:t xml:space="preserve">Description.</w:t>
      </w:r>
      <w:r>
        <w:t xml:space="preserve"> </w:t>
      </w:r>
      <w:r>
        <w:t xml:space="preserve">The Option Grants sheet totals row shows 18,910,000 shares granted, 60,000 exercised, and 1,100,000 cancelled/forfeited, but states 14,750,000 outstanding. Arithmetically, 18,910,000 − 60,000 − 1,100,000 = 17,750,000, which does not equal the stated 14,750,000 outstanding (a 3,000,000-share discrepancy). The</w:t>
      </w:r>
      <w:r>
        <w:t xml:space="preserve"> </w:t>
      </w:r>
      <w:r>
        <w:t xml:space="preserve">“</w:t>
      </w:r>
      <w:r>
        <w:t xml:space="preserve">Shares Vested</w:t>
      </w:r>
      <w:r>
        <w:t xml:space="preserve">”</w:t>
      </w:r>
      <w:r>
        <w:t xml:space="preserve"> </w:t>
      </w:r>
      <w:r>
        <w:t xml:space="preserve">total (17,165,011) plus</w:t>
      </w:r>
      <w:r>
        <w:t xml:space="preserve"> </w:t>
      </w:r>
      <w:r>
        <w:t xml:space="preserve">“</w:t>
      </w:r>
      <w:r>
        <w:t xml:space="preserve">Shares Unvested</w:t>
      </w:r>
      <w:r>
        <w:t xml:space="preserve">”</w:t>
      </w:r>
      <w:r>
        <w:t xml:space="preserve"> </w:t>
      </w:r>
      <w:r>
        <w:t xml:space="preserve">total (5,816,209) also does not reconcile to outstanding.</w:t>
      </w:r>
    </w:p>
    <w:p>
      <w:pPr>
        <w:pStyle w:val="BodyText"/>
      </w:pPr>
      <w:r>
        <w:rPr>
          <w:b/>
          <w:bCs/>
        </w:rPr>
        <w:t xml:space="preserve">Recommendation.</w:t>
      </w:r>
      <w:r>
        <w:t xml:space="preserve"> </w:t>
      </w:r>
      <w:r>
        <w:t xml:space="preserve">Rebuild the option roll-forward from source records so that granted − exercised − forfeited = outstanding, and reconcile to the audited 14,750,000 outstanding.</w:t>
      </w:r>
    </w:p>
    <w:bookmarkEnd w:id="42"/>
    <w:bookmarkStart w:id="43" w:name="Xa903b446a0163e6b00caf09f6b3956582fb749d"/>
    <w:p>
      <w:pPr>
        <w:pStyle w:val="Heading3"/>
      </w:pPr>
      <w:r>
        <w:t xml:space="preserve">Issue C-5 — RSU unvested balance at January 1, 2024 not supported by Equity Plan Records [HIGH]</w:t>
      </w:r>
    </w:p>
    <w:p>
      <w:pPr>
        <w:pStyle w:val="FirstParagraph"/>
      </w:pPr>
      <w:r>
        <w:rPr>
          <w:b/>
          <w:bCs/>
        </w:rPr>
        <w:t xml:space="preserve">Description.</w:t>
      </w:r>
      <w:r>
        <w:t xml:space="preserve"> </w:t>
      </w:r>
      <w:r>
        <w:t xml:space="preserve">The Audited Financials (Note 12(c)) show 2,800,000 unvested RSUs at January 1, 2024 (weighted-average grant-date fair value $13.50). The Equity Plan Records show only 950,000 RSUs granted in 2023 (860,000 outstanding after 90,000 forfeitures). Approximately 1,940,000 unvested RSUs at January 1, 2024 are unexplained by the Equity Plan Records.</w:t>
      </w:r>
    </w:p>
    <w:p>
      <w:pPr>
        <w:pStyle w:val="BodyText"/>
      </w:pPr>
      <w:r>
        <w:rPr>
          <w:b/>
          <w:bCs/>
        </w:rPr>
        <w:t xml:space="preserve">Recommendation.</w:t>
      </w:r>
      <w:r>
        <w:t xml:space="preserve"> </w:t>
      </w:r>
      <w:r>
        <w:t xml:space="preserve">Identify the missing RSU grants (possibly granted under the predecessor 2017 plan or not captured in the spreadsheet) and reconcile to the audited 2,800,000 unvested balance.</w:t>
      </w:r>
    </w:p>
    <w:bookmarkEnd w:id="43"/>
    <w:bookmarkStart w:id="44" w:name="Xb8205b52223b65833aba1246ba9fb5fc133a904"/>
    <w:p>
      <w:pPr>
        <w:pStyle w:val="Heading3"/>
      </w:pPr>
      <w:r>
        <w:t xml:space="preserve">Issue C-6 — 409A valuation inputs conflict with actual preferred-stock financing terms [HIGH]</w:t>
      </w:r>
    </w:p>
    <w:p>
      <w:pPr>
        <w:pStyle w:val="FirstParagraph"/>
      </w:pPr>
      <w:r>
        <w:rPr>
          <w:b/>
          <w:bCs/>
        </w:rPr>
        <w:t xml:space="preserve">Description.</w:t>
      </w:r>
      <w:r>
        <w:t xml:space="preserve"> </w:t>
      </w:r>
      <w:r>
        <w:t xml:space="preserve">The 409A Valuations tab of the Equity Plan Records references preferred-stock financing terms that conflict with the Audited Financials (Note 10) and the CFO Memo: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Round</w:t>
            </w:r>
          </w:p>
        </w:tc>
        <w:tc>
          <w:tcPr/>
          <w:p>
            <w:pPr>
              <w:pStyle w:val="Compact"/>
              <w:jc w:val="left"/>
            </w:pPr>
            <w:r>
              <w:t xml:space="preserve">Equity Plan 409A notes</w:t>
            </w:r>
          </w:p>
        </w:tc>
        <w:tc>
          <w:tcPr/>
          <w:p>
            <w:pPr>
              <w:pStyle w:val="Compact"/>
              <w:jc w:val="left"/>
            </w:pPr>
            <w:r>
              <w:t xml:space="preserve">Audited Note 10 / CFO Memo</w:t>
            </w:r>
          </w:p>
        </w:tc>
      </w:tr>
      <w:tr>
        <w:tc>
          <w:tcPr/>
          <w:p>
            <w:pPr>
              <w:pStyle w:val="Compact"/>
              <w:jc w:val="left"/>
            </w:pPr>
            <w:r>
              <w:t xml:space="preserve">Series A</w:t>
            </w:r>
          </w:p>
        </w:tc>
        <w:tc>
          <w:tcPr/>
          <w:p>
            <w:pPr>
              <w:pStyle w:val="Compact"/>
              <w:jc w:val="left"/>
            </w:pPr>
            <w:r>
              <w:t xml:space="preserve">“</w:t>
            </w:r>
            <w:r>
              <w:t xml:space="preserve">July 2018, $2.50/share, $25M round, $50M post-money</w:t>
            </w:r>
            <w:r>
              <w:t xml:space="preserve">”</w:t>
            </w:r>
          </w:p>
        </w:tc>
        <w:tc>
          <w:tcPr/>
          <w:p>
            <w:pPr>
              <w:pStyle w:val="Compact"/>
              <w:jc w:val="left"/>
            </w:pPr>
            <w:r>
              <w:t xml:space="preserve">“</w:t>
            </w:r>
            <w:r>
              <w:t xml:space="preserve">October 2018, $1.50/share, $12.0M</w:t>
            </w:r>
            <w:r>
              <w:t xml:space="preserve">”</w:t>
            </w:r>
          </w:p>
        </w:tc>
      </w:tr>
      <w:tr>
        <w:tc>
          <w:tcPr/>
          <w:p>
            <w:pPr>
              <w:pStyle w:val="Compact"/>
              <w:jc w:val="left"/>
            </w:pPr>
            <w:r>
              <w:t xml:space="preserve">Series B</w:t>
            </w:r>
          </w:p>
        </w:tc>
        <w:tc>
          <w:tcPr/>
          <w:p>
            <w:pPr>
              <w:pStyle w:val="Compact"/>
              <w:jc w:val="left"/>
            </w:pPr>
            <w:r>
              <w:t xml:space="preserve">“</w:t>
            </w:r>
            <w:r>
              <w:t xml:space="preserve">February 2020, $6.00/share, $60M round, $180M post-money</w:t>
            </w:r>
            <w:r>
              <w:t xml:space="preserve">”</w:t>
            </w:r>
          </w:p>
        </w:tc>
        <w:tc>
          <w:tcPr/>
          <w:p>
            <w:pPr>
              <w:pStyle w:val="Compact"/>
              <w:jc w:val="left"/>
            </w:pPr>
            <w:r>
              <w:t xml:space="preserve">“</w:t>
            </w:r>
            <w:r>
              <w:t xml:space="preserve">April 2020, $4.00/share, $38.0M</w:t>
            </w:r>
            <w:r>
              <w:t xml:space="preserve">”</w:t>
            </w:r>
          </w:p>
        </w:tc>
      </w:tr>
      <w:tr>
        <w:tc>
          <w:tcPr/>
          <w:p>
            <w:pPr>
              <w:pStyle w:val="Compact"/>
              <w:jc w:val="left"/>
            </w:pPr>
            <w:r>
              <w:t xml:space="preserve">Series C</w:t>
            </w:r>
          </w:p>
        </w:tc>
        <w:tc>
          <w:tcPr/>
          <w:p>
            <w:pPr>
              <w:pStyle w:val="Compact"/>
              <w:jc w:val="left"/>
            </w:pPr>
            <w:r>
              <w:t xml:space="preserve">“</w:t>
            </w:r>
            <w:r>
              <w:t xml:space="preserve">$120M round</w:t>
            </w:r>
            <w:r>
              <w:t xml:space="preserve">”</w:t>
            </w:r>
          </w:p>
        </w:tc>
        <w:tc>
          <w:tcPr/>
          <w:p>
            <w:pPr>
              <w:pStyle w:val="Compact"/>
              <w:jc w:val="left"/>
            </w:pPr>
            <w:r>
              <w:t xml:space="preserve">“</w:t>
            </w:r>
            <w:r>
              <w:t xml:space="preserve">$95.0M</w:t>
            </w:r>
            <w:r>
              <w:t xml:space="preserve">”</w:t>
            </w:r>
            <w:r>
              <w:t xml:space="preserve"> </w:t>
            </w:r>
            <w:r>
              <w:t xml:space="preserve">(7,916,667 × $12.00)</w:t>
            </w:r>
          </w:p>
        </w:tc>
      </w:tr>
    </w:tbl>
    <w:p>
      <w:pPr>
        <w:pStyle w:val="BodyText"/>
      </w:pPr>
      <w:r>
        <w:rPr>
          <w:b/>
          <w:bCs/>
        </w:rPr>
        <w:t xml:space="preserve">Why it matters.</w:t>
      </w:r>
      <w:r>
        <w:t xml:space="preserve"> </w:t>
      </w:r>
      <w:r>
        <w:t xml:space="preserve">The 409A valuations determine the fair market value of common stock used to set option exercise prices and to measure stock-based compensation expense. If the valuations relied on incorrect preferred-stock prices (e.g., Series A at $2.50 vs. actual $1.50; Series B at $6.00 vs. actual $4.00), the resulting common-stock FMVs may be misstated, affecting both 409A compliance and the SBC expense recognized in the audited financials. The auditor identified common-stock valuation as a critical audit matter.</w:t>
      </w:r>
    </w:p>
    <w:p>
      <w:pPr>
        <w:pStyle w:val="BodyText"/>
      </w:pPr>
      <w:r>
        <w:rPr>
          <w:b/>
          <w:bCs/>
        </w:rPr>
        <w:t xml:space="preserve">Recommendation.</w:t>
      </w:r>
      <w:r>
        <w:t xml:space="preserve"> </w:t>
      </w:r>
      <w:r>
        <w:t xml:space="preserve">Engage Meridian Valuation Partners to confirm whether the 409A valuations used the correct preferred-stock inputs or whether the summary notes are simply erroneous. If the valuations used incorrect inputs, assess the impact on SBC expense and 409A compliance, and consider whether restatement or additional disclosure is required.</w:t>
      </w:r>
    </w:p>
    <w:bookmarkEnd w:id="44"/>
    <w:bookmarkStart w:id="45" w:name="X1d8f8a5b6076ca89779650b63c810ca750725f0"/>
    <w:p>
      <w:pPr>
        <w:pStyle w:val="Heading3"/>
      </w:pPr>
      <w:r>
        <w:t xml:space="preserve">Issue C-7 — Q1 2023 option grants priced below a contemporaneous 409A valuation [MEDIUM-HIGH]</w:t>
      </w:r>
    </w:p>
    <w:p>
      <w:pPr>
        <w:pStyle w:val="FirstParagraph"/>
      </w:pPr>
      <w:r>
        <w:rPr>
          <w:b/>
          <w:bCs/>
        </w:rPr>
        <w:t xml:space="preserve">Description.</w:t>
      </w:r>
      <w:r>
        <w:t xml:space="preserve"> </w:t>
      </w:r>
      <w:r>
        <w:t xml:space="preserve">The Audited Financials (Note 12(e)) and the Equity Plan Records (OPT-2023-Q1-001) show that 2,400,000 options were granted in January–March 2023 at $9.50 per share, based on the September 30, 2022 409A valuation. A subsequent 409A valuation dated March 31, 2023 determined the common-stock FMV to be $14.20 per share. The Board relied on the September 30, 2022 valuation as the most recent available at the grant dates.</w:t>
      </w:r>
    </w:p>
    <w:p>
      <w:pPr>
        <w:pStyle w:val="BodyText"/>
      </w:pPr>
      <w:r>
        <w:rPr>
          <w:b/>
          <w:bCs/>
        </w:rPr>
        <w:t xml:space="preserve">Why it matters.</w:t>
      </w:r>
      <w:r>
        <w:t xml:space="preserve"> </w:t>
      </w:r>
      <w:r>
        <w:t xml:space="preserve">Grants priced below a contemporaneous (or near-contemporaneous) FMV create a Section 409A compliance risk and a</w:t>
      </w:r>
      <w:r>
        <w:t xml:space="preserve"> </w:t>
      </w:r>
      <w:r>
        <w:t xml:space="preserve">“</w:t>
      </w:r>
      <w:r>
        <w:t xml:space="preserve">cheap stock</w:t>
      </w:r>
      <w:r>
        <w:t xml:space="preserve">”</w:t>
      </w:r>
      <w:r>
        <w:t xml:space="preserve"> </w:t>
      </w:r>
      <w:r>
        <w:t xml:space="preserve">SBC issue (options granted below FMV may require additional compensation expense). The auditor flagged common-stock valuation as a critical audit matter.</w:t>
      </w:r>
    </w:p>
    <w:p>
      <w:pPr>
        <w:pStyle w:val="BodyText"/>
      </w:pPr>
      <w:r>
        <w:rPr>
          <w:b/>
          <w:bCs/>
        </w:rPr>
        <w:t xml:space="preserve">Recommendation.</w:t>
      </w:r>
      <w:r>
        <w:t xml:space="preserve"> </w:t>
      </w:r>
      <w:r>
        <w:t xml:space="preserve">Disclose the Q1 2023 grant pricing and the subsequent valuation in the S-1 SBC footnote (the audited Note 12(e) already does so). Confirm with tax counsel that the reliance on the prior 409A valuation was reasonable under Section 409A and that no additional SBC expense is required.</w:t>
      </w:r>
    </w:p>
    <w:bookmarkEnd w:id="45"/>
    <w:bookmarkStart w:id="46" w:name="X39ed26bddbbc114f97eb8b08040c8be0d6e64e0"/>
    <w:p>
      <w:pPr>
        <w:pStyle w:val="Heading3"/>
      </w:pPr>
      <w:r>
        <w:t xml:space="preserve">Issue C-8 — Retrospective 409A valuations referenced for several grants [MEDIUM]</w:t>
      </w:r>
    </w:p>
    <w:p>
      <w:pPr>
        <w:pStyle w:val="FirstParagraph"/>
      </w:pPr>
      <w:r>
        <w:rPr>
          <w:b/>
          <w:bCs/>
        </w:rPr>
        <w:t xml:space="preserve">Description.</w:t>
      </w:r>
      <w:r>
        <w:t xml:space="preserve"> </w:t>
      </w:r>
      <w:r>
        <w:t xml:space="preserve">Several option grants reference 409A valuations dated after the grant date (e.g., OPT-2018-001, June 1, 2018 grant, references a September 30, 2018 valuation; OPT-2021-002, June 15, 2021 grant, references a December 31, 2021 valuation). The notes state these valuations were</w:t>
      </w:r>
      <w:r>
        <w:t xml:space="preserve"> </w:t>
      </w:r>
      <w:r>
        <w:t xml:space="preserve">“</w:t>
      </w:r>
      <w:r>
        <w:t xml:space="preserve">completed retrospectively and confirmed FMV for grant date pricing.</w:t>
      </w:r>
      <w:r>
        <w:t xml:space="preserve">”</w:t>
      </w:r>
    </w:p>
    <w:p>
      <w:pPr>
        <w:pStyle w:val="BodyText"/>
      </w:pPr>
      <w:r>
        <w:rPr>
          <w:b/>
          <w:bCs/>
        </w:rPr>
        <w:t xml:space="preserve">Why it matters.</w:t>
      </w:r>
      <w:r>
        <w:t xml:space="preserve"> </w:t>
      </w:r>
      <w:r>
        <w:t xml:space="preserve">Section 409A generally requires a valuation that is contemporaneous (within 12 months before the grant) or performed as of the grant date. Retrospective valuations</w:t>
      </w:r>
      <w:r>
        <w:t xml:space="preserve"> </w:t>
      </w:r>
      <w:r>
        <w:t xml:space="preserve">“</w:t>
      </w:r>
      <w:r>
        <w:t xml:space="preserve">confirming</w:t>
      </w:r>
      <w:r>
        <w:t xml:space="preserve">”</w:t>
      </w:r>
      <w:r>
        <w:t xml:space="preserve"> </w:t>
      </w:r>
      <w:r>
        <w:t xml:space="preserve">a grant-date FMV can raise 409A compliance questions.</w:t>
      </w:r>
    </w:p>
    <w:p>
      <w:pPr>
        <w:pStyle w:val="BodyText"/>
      </w:pPr>
      <w:r>
        <w:rPr>
          <w:b/>
          <w:bCs/>
        </w:rPr>
        <w:t xml:space="preserve">Recommendation.</w:t>
      </w:r>
      <w:r>
        <w:t xml:space="preserve"> </w:t>
      </w:r>
      <w:r>
        <w:t xml:space="preserve">Review with tax counsel. Disclose the valuation methodology and any reliance on retrospective valuations in the S-1.</w:t>
      </w:r>
    </w:p>
    <w:bookmarkEnd w:id="46"/>
    <w:bookmarkStart w:id="47" w:name="X139828320048b944501e7f131b1becf0dfae406"/>
    <w:p>
      <w:pPr>
        <w:pStyle w:val="Heading3"/>
      </w:pPr>
      <w:r>
        <w:t xml:space="preserve">Issue C-9 — December 31, 2024 409A valuation is preliminary and below the prior valuation [MEDIUM]</w:t>
      </w:r>
    </w:p>
    <w:p>
      <w:pPr>
        <w:pStyle w:val="FirstParagraph"/>
      </w:pPr>
      <w:r>
        <w:rPr>
          <w:b/>
          <w:bCs/>
        </w:rPr>
        <w:t xml:space="preserve">Description.</w:t>
      </w:r>
      <w:r>
        <w:t xml:space="preserve"> </w:t>
      </w:r>
      <w:r>
        <w:t xml:space="preserve">The Equity Plan Records show a</w:t>
      </w:r>
      <w:r>
        <w:t xml:space="preserve"> </w:t>
      </w:r>
      <w:r>
        <w:t xml:space="preserve">“</w:t>
      </w:r>
      <w:r>
        <w:t xml:space="preserve">December 31, 2024 (Preliminary)</w:t>
      </w:r>
      <w:r>
        <w:t xml:space="preserve">”</w:t>
      </w:r>
      <w:r>
        <w:t xml:space="preserve"> </w:t>
      </w:r>
      <w:r>
        <w:t xml:space="preserve">409A valuation at $18.50 per share, with the report and Board approval</w:t>
      </w:r>
      <w:r>
        <w:t xml:space="preserve"> </w:t>
      </w:r>
      <w:r>
        <w:t xml:space="preserve">“</w:t>
      </w:r>
      <w:r>
        <w:t xml:space="preserve">pending — expected February 2025.</w:t>
      </w:r>
      <w:r>
        <w:t xml:space="preserve">”</w:t>
      </w:r>
      <w:r>
        <w:t xml:space="preserve"> </w:t>
      </w:r>
      <w:r>
        <w:t xml:space="preserve">The Audited Financials (Note 12(e)) list valuations only through September 30, 2024 ($19.60). The preliminary December 31, 2024 value ($18.50) is lower than the September 30, 2024 value ($19.60), which is unusual and should be explained. The March 2024 RSU grants used a grant-date fair value of $18.50 (interpolated from the December 31, 2023 409A of $16.80), which exceeds the contemporaneous 409A.</w:t>
      </w:r>
    </w:p>
    <w:p>
      <w:pPr>
        <w:pStyle w:val="BodyText"/>
      </w:pPr>
      <w:r>
        <w:rPr>
          <w:b/>
          <w:bCs/>
        </w:rPr>
        <w:t xml:space="preserve">Recommendation.</w:t>
      </w:r>
      <w:r>
        <w:t xml:space="preserve"> </w:t>
      </w:r>
      <w:r>
        <w:t xml:space="preserve">Finalize the December 31, 2024 409A valuation before filing. Reconcile the valuation trail in the S-1 SBC footnote (the audited footnote should be updated to include the December 31, 2024 valuation if relied upon).</w:t>
      </w:r>
    </w:p>
    <w:bookmarkEnd w:id="47"/>
    <w:bookmarkEnd w:id="48"/>
    <w:bookmarkStart w:id="56" w:name="Xe771c8fd032c42cad7cd03b0526f70b3eab39ea"/>
    <w:p>
      <w:pPr>
        <w:pStyle w:val="Heading2"/>
      </w:pPr>
      <w:r>
        <w:t xml:space="preserve">V. Governance, Board, and Director Identity Inconsistencies</w:t>
      </w:r>
    </w:p>
    <w:bookmarkStart w:id="49" w:name="Xb8e71c48a58254c2f180b1ddca658ebefdd036f"/>
    <w:p>
      <w:pPr>
        <w:pStyle w:val="Heading3"/>
      </w:pPr>
      <w:r>
        <w:t xml:space="preserve">Issue D-1 — Board size and Katerina Litvak’s directorship: 7 directors (Charter) vs. 6 directors (Questionnaire) [HIGH]</w:t>
      </w:r>
    </w:p>
    <w:p>
      <w:pPr>
        <w:pStyle w:val="FirstParagraph"/>
      </w:pPr>
      <w:r>
        <w:rPr>
          <w:b/>
          <w:bCs/>
        </w:rPr>
        <w:t xml:space="preserve">Description.</w:t>
      </w:r>
      <w:r>
        <w:t xml:space="preserve"> </w:t>
      </w:r>
      <w:r>
        <w:t xml:space="preserve">The Charter (Article V, Section 5.3) classifies the board into three classes totaling seven directors, listing</w:t>
      </w:r>
      <w:r>
        <w:t xml:space="preserve"> </w:t>
      </w:r>
      <w:r>
        <w:t xml:space="preserve">“</w:t>
      </w:r>
      <w:r>
        <w:t xml:space="preserve">Arun Ramaswamy, Katerina Litvak, and Adaora Obi</w:t>
      </w:r>
      <w:r>
        <w:t xml:space="preserve">”</w:t>
      </w:r>
      <w:r>
        <w:t xml:space="preserve"> </w:t>
      </w:r>
      <w:r>
        <w:t xml:space="preserve">as the initial Class III directors. The Questionnaire (Section 6) states that</w:t>
      </w:r>
      <w:r>
        <w:t xml:space="preserve"> </w:t>
      </w:r>
      <w:r>
        <w:t xml:space="preserve">“</w:t>
      </w:r>
      <w:r>
        <w:t xml:space="preserve">[t]he Board of Directors consists of six members</w:t>
      </w:r>
      <w:r>
        <w:t xml:space="preserve">”</w:t>
      </w:r>
      <w:r>
        <w:t xml:space="preserve"> </w:t>
      </w:r>
      <w:r>
        <w:t xml:space="preserve">and that</w:t>
      </w:r>
      <w:r>
        <w:t xml:space="preserve"> </w:t>
      </w:r>
      <w:r>
        <w:t xml:space="preserve">“</w:t>
      </w:r>
      <w:r>
        <w:t xml:space="preserve">Katerina Litvanova, Michael D. Hartwell, and Sandra Y. Chen are executive officers but do not serve on the Board.</w:t>
      </w:r>
      <w:r>
        <w:t xml:space="preserve">”</w:t>
      </w:r>
      <w:r>
        <w:t xml:space="preserve"> </w:t>
      </w:r>
      <w:r>
        <w:t xml:space="preserve">The Term Sheet (Schedule 1) lists Katerina as</w:t>
      </w:r>
      <w:r>
        <w:t xml:space="preserve"> </w:t>
      </w:r>
      <w:r>
        <w:t xml:space="preserve">“</w:t>
      </w:r>
      <w:r>
        <w:t xml:space="preserve">Co-Founder, CTO</w:t>
      </w:r>
      <w:r>
        <w:t xml:space="preserve">”</w:t>
      </w:r>
      <w:r>
        <w:t xml:space="preserve"> </w:t>
      </w:r>
      <w:r>
        <w:t xml:space="preserve">(not</w:t>
      </w:r>
      <w:r>
        <w:t xml:space="preserve"> </w:t>
      </w:r>
      <w:r>
        <w:t xml:space="preserve">“</w:t>
      </w:r>
      <w:r>
        <w:t xml:space="preserve">Director</w:t>
      </w:r>
      <w:r>
        <w:t xml:space="preserve">”</w:t>
      </w:r>
      <w:r>
        <w:t xml:space="preserve">). The Roadshow is internally inconsistent: Slide 7 lists six directors (</w:t>
      </w:r>
      <w:r>
        <w:t xml:space="preserve">“</w:t>
      </w:r>
      <w:r>
        <w:t xml:space="preserve">Three of five non-employee directors are independent</w:t>
      </w:r>
      <w:r>
        <w:t xml:space="preserve">”</w:t>
      </w:r>
      <w:r>
        <w:t xml:space="preserve">), while Slide 30 states</w:t>
      </w:r>
      <w:r>
        <w:t xml:space="preserve"> </w:t>
      </w:r>
      <w:r>
        <w:t xml:space="preserve">“</w:t>
      </w:r>
      <w:r>
        <w:t xml:space="preserve">Independent Directors … (3 of 7 total directors).</w:t>
      </w:r>
      <w:r>
        <w:t xml:space="preserve">”</w:t>
      </w:r>
    </w:p>
    <w:p>
      <w:pPr>
        <w:pStyle w:val="BodyText"/>
      </w:pPr>
      <w:r>
        <w:rPr>
          <w:b/>
          <w:bCs/>
        </w:rPr>
        <w:t xml:space="preserve">Why it matters.</w:t>
      </w:r>
      <w:r>
        <w:t xml:space="preserve"> </w:t>
      </w:r>
      <w:r>
        <w:t xml:space="preserve">The S-1</w:t>
      </w:r>
      <w:r>
        <w:t xml:space="preserve"> </w:t>
      </w:r>
      <w:r>
        <w:t xml:space="preserve">“</w:t>
      </w:r>
      <w:r>
        <w:t xml:space="preserve">Management</w:t>
      </w:r>
      <w:r>
        <w:t xml:space="preserve">”</w:t>
      </w:r>
      <w:r>
        <w:t xml:space="preserve"> </w:t>
      </w:r>
      <w:r>
        <w:t xml:space="preserve">section (Item 401) must accurately identify all directors. The classified-board structure in the Charter assumes seven directors including Katerina. If Katerina is not currently a director, either she must be appointed to the board in connection with the IPO or the Charter’s classification must be corrected. This also affects the independence analysis (3 of 6 = 50% vs. 3 of 7 = 43%) and the controlled-company analysis.</w:t>
      </w:r>
    </w:p>
    <w:p>
      <w:pPr>
        <w:pStyle w:val="BodyText"/>
      </w:pPr>
      <w:r>
        <w:rPr>
          <w:b/>
          <w:bCs/>
        </w:rPr>
        <w:t xml:space="preserve">Recommendation.</w:t>
      </w:r>
      <w:r>
        <w:t xml:space="preserve"> </w:t>
      </w:r>
      <w:r>
        <w:t xml:space="preserve">Resolve whether Katerina Litvak is or will be a director. If she is to be a director at IPO, document her appointment. If not, amend the Charter’s classified-board provisions to reflect six directors. The Form S-1 draft describes the board consistent with the Charter (seven directors) but flags the discrepancy with a bracketed note; confirm and finalize.</w:t>
      </w:r>
    </w:p>
    <w:bookmarkEnd w:id="49"/>
    <w:bookmarkStart w:id="50" w:name="Xc73027ba01d8e46d4f4d28a5285446f07f36393"/>
    <w:p>
      <w:pPr>
        <w:pStyle w:val="Heading3"/>
      </w:pPr>
      <w:r>
        <w:t xml:space="preserve">Issue D-2 — Director first names in Equity Plan RSU grants do not match governance documents [HIGH]</w:t>
      </w:r>
    </w:p>
    <w:p>
      <w:pPr>
        <w:pStyle w:val="FirstParagraph"/>
      </w:pPr>
      <w:r>
        <w:rPr>
          <w:b/>
          <w:bCs/>
        </w:rPr>
        <w:t xml:space="preserve">Description.</w:t>
      </w:r>
      <w:r>
        <w:t xml:space="preserve"> </w:t>
      </w:r>
      <w:r>
        <w:t xml:space="preserve">The Equity Plan Records (RSU-2024-009 through RSU-2024-013) show non-employee director RSU grants to</w:t>
      </w:r>
      <w:r>
        <w:t xml:space="preserve"> </w:t>
      </w:r>
      <w:r>
        <w:t xml:space="preserve">“</w:t>
      </w:r>
      <w:r>
        <w:t xml:space="preserve">Anand Venkatesh,</w:t>
      </w:r>
      <w:r>
        <w:t xml:space="preserve">”</w:t>
      </w:r>
      <w:r>
        <w:t xml:space="preserve"> </w:t>
      </w:r>
      <w:r>
        <w:t xml:space="preserve">“</w:t>
      </w:r>
      <w:r>
        <w:t xml:space="preserve">Claudia Moreno,</w:t>
      </w:r>
      <w:r>
        <w:t xml:space="preserve">”</w:t>
      </w:r>
      <w:r>
        <w:t xml:space="preserve"> </w:t>
      </w:r>
      <w:r>
        <w:t xml:space="preserve">“</w:t>
      </w:r>
      <w:r>
        <w:t xml:space="preserve">David Park,</w:t>
      </w:r>
      <w:r>
        <w:t xml:space="preserve">”</w:t>
      </w:r>
      <w:r>
        <w:t xml:space="preserve"> </w:t>
      </w:r>
      <w:r>
        <w:t xml:space="preserve">“</w:t>
      </w:r>
      <w:r>
        <w:t xml:space="preserve">Soo-Yeon Kwon,</w:t>
      </w:r>
      <w:r>
        <w:t xml:space="preserve">”</w:t>
      </w:r>
      <w:r>
        <w:t xml:space="preserve"> </w:t>
      </w:r>
      <w:r>
        <w:t xml:space="preserve">and</w:t>
      </w:r>
      <w:r>
        <w:t xml:space="preserve"> </w:t>
      </w:r>
      <w:r>
        <w:t xml:space="preserve">“</w:t>
      </w:r>
      <w:r>
        <w:t xml:space="preserve">Emmanuel Obi.</w:t>
      </w:r>
      <w:r>
        <w:t xml:space="preserve">”</w:t>
      </w:r>
      <w:r>
        <w:t xml:space="preserve"> </w:t>
      </w:r>
      <w:r>
        <w:t xml:space="preserve">The governance documents (Charter, Questionnaire, CFO Memo, Term Sheet, Roadshow) identify the directors as</w:t>
      </w:r>
      <w:r>
        <w:t xml:space="preserve"> </w:t>
      </w:r>
      <w:r>
        <w:t xml:space="preserve">“</w:t>
      </w:r>
      <w:r>
        <w:t xml:space="preserve">Priya Venkatesh,</w:t>
      </w:r>
      <w:r>
        <w:t xml:space="preserve">”</w:t>
      </w:r>
      <w:r>
        <w:t xml:space="preserve"> </w:t>
      </w:r>
      <w:r>
        <w:t xml:space="preserve">“</w:t>
      </w:r>
      <w:r>
        <w:t xml:space="preserve">Thomas J. Moreno,</w:t>
      </w:r>
      <w:r>
        <w:t xml:space="preserve">”</w:t>
      </w:r>
      <w:r>
        <w:t xml:space="preserve"> </w:t>
      </w:r>
      <w:r>
        <w:t xml:space="preserve">“</w:t>
      </w:r>
      <w:r>
        <w:t xml:space="preserve">Dr. Helen Park,</w:t>
      </w:r>
      <w:r>
        <w:t xml:space="preserve">”</w:t>
      </w:r>
      <w:r>
        <w:t xml:space="preserve"> </w:t>
      </w:r>
      <w:r>
        <w:t xml:space="preserve">“</w:t>
      </w:r>
      <w:r>
        <w:t xml:space="preserve">James Kwon,</w:t>
      </w:r>
      <w:r>
        <w:t xml:space="preserve">”</w:t>
      </w:r>
      <w:r>
        <w:t xml:space="preserve"> </w:t>
      </w:r>
      <w:r>
        <w:t xml:space="preserve">and</w:t>
      </w:r>
      <w:r>
        <w:t xml:space="preserve"> </w:t>
      </w:r>
      <w:r>
        <w:t xml:space="preserve">“</w:t>
      </w:r>
      <w:r>
        <w:t xml:space="preserve">Adaora Obi.</w:t>
      </w:r>
      <w:r>
        <w:t xml:space="preserve">”</w:t>
      </w:r>
      <w:r>
        <w:t xml:space="preserve"> </w:t>
      </w:r>
      <w:r>
        <w:t xml:space="preserve">The surnames match, but the first names are entirely different.</w:t>
      </w:r>
    </w:p>
    <w:p>
      <w:pPr>
        <w:pStyle w:val="BodyText"/>
      </w:pPr>
      <w:r>
        <w:rPr>
          <w:b/>
          <w:bCs/>
        </w:rPr>
        <w:t xml:space="preserve">Why it matters.</w:t>
      </w:r>
      <w:r>
        <w:t xml:space="preserve"> </w:t>
      </w:r>
      <w:r>
        <w:t xml:space="preserve">This is a serious data-integrity issue. Equity awards must be granted to the correct legal entities/persons. If the Equity Plan Records contain incorrect grantee names, the awards may be defective, and the S-1’s director and beneficial-ownership disclosures would be inconsistent with the cap table.</w:t>
      </w:r>
    </w:p>
    <w:p>
      <w:pPr>
        <w:pStyle w:val="BodyText"/>
      </w:pPr>
      <w:r>
        <w:rPr>
          <w:b/>
          <w:bCs/>
        </w:rPr>
        <w:t xml:space="preserve">Recommendation.</w:t>
      </w:r>
      <w:r>
        <w:t xml:space="preserve"> </w:t>
      </w:r>
      <w:r>
        <w:t xml:space="preserve">Immediately reconcile the director names against the Company’s stock ledger and the equity administration records. Confirm the correct legal names of all directors. Correct the Equity Plan Records. The Form S-1 draft uses the governance-document names (Priya Venkatesh, Thomas J. Moreno, Dr. Helen Park, James Kwon, Adaora Obi).</w:t>
      </w:r>
    </w:p>
    <w:bookmarkEnd w:id="50"/>
    <w:bookmarkStart w:id="51" w:name="X5af7ef661ebf95085518e392947ad9b588f724a"/>
    <w:p>
      <w:pPr>
        <w:pStyle w:val="Heading3"/>
      </w:pPr>
      <w:r>
        <w:t xml:space="preserve">Issue D-3 — Sandra Y. Chen’s title:</w:t>
      </w:r>
      <w:r>
        <w:t xml:space="preserve"> </w:t>
      </w:r>
      <w:r>
        <w:t xml:space="preserve">“</w:t>
      </w:r>
      <w:r>
        <w:t xml:space="preserve">General Counsel and Corporate Secretary</w:t>
      </w:r>
      <w:r>
        <w:t xml:space="preserve">”</w:t>
      </w:r>
      <w:r>
        <w:t xml:space="preserve"> </w:t>
      </w:r>
      <w:r>
        <w:t xml:space="preserve">vs. </w:t>
      </w:r>
      <w:r>
        <w:t xml:space="preserve">“</w:t>
      </w:r>
      <w:r>
        <w:t xml:space="preserve">CRO</w:t>
      </w:r>
      <w:r>
        <w:t xml:space="preserve">”</w:t>
      </w:r>
      <w:r>
        <w:t xml:space="preserve"> </w:t>
      </w:r>
      <w:r>
        <w:t xml:space="preserve">[HIGH]</w:t>
      </w:r>
    </w:p>
    <w:p>
      <w:pPr>
        <w:pStyle w:val="FirstParagraph"/>
      </w:pPr>
      <w:r>
        <w:rPr>
          <w:b/>
          <w:bCs/>
        </w:rPr>
        <w:t xml:space="preserve">Description.</w:t>
      </w:r>
      <w:r>
        <w:t xml:space="preserve"> </w:t>
      </w:r>
      <w:r>
        <w:t xml:space="preserve">The Charter (Bylaws Section 4.1), Questionnaire, CFO Memo, and Term Sheet all identify Sandra Y. Chen as</w:t>
      </w:r>
      <w:r>
        <w:t xml:space="preserve"> </w:t>
      </w:r>
      <w:r>
        <w:t xml:space="preserve">“</w:t>
      </w:r>
      <w:r>
        <w:t xml:space="preserve">General Counsel and Corporate Secretary.</w:t>
      </w:r>
      <w:r>
        <w:t xml:space="preserve">”</w:t>
      </w:r>
      <w:r>
        <w:t xml:space="preserve"> </w:t>
      </w:r>
      <w:r>
        <w:t xml:space="preserve">The Equity Plan Records identify her as</w:t>
      </w:r>
      <w:r>
        <w:t xml:space="preserve"> </w:t>
      </w:r>
      <w:r>
        <w:t xml:space="preserve">“</w:t>
      </w:r>
      <w:r>
        <w:t xml:space="preserve">CRO</w:t>
      </w:r>
      <w:r>
        <w:t xml:space="preserve">”</w:t>
      </w:r>
      <w:r>
        <w:t xml:space="preserve"> </w:t>
      </w:r>
      <w:r>
        <w:t xml:space="preserve">(Chief Revenue Officer) and</w:t>
      </w:r>
      <w:r>
        <w:t xml:space="preserve"> </w:t>
      </w:r>
      <w:r>
        <w:t xml:space="preserve">“</w:t>
      </w:r>
      <w:r>
        <w:t xml:space="preserve">VP Sales (now CRO)</w:t>
      </w:r>
      <w:r>
        <w:t xml:space="preserve">”</w:t>
      </w:r>
      <w:r>
        <w:t xml:space="preserve"> </w:t>
      </w:r>
      <w:r>
        <w:t xml:space="preserve">(OPT-2018-002, OPT-2024-005, RSU-2024-004). These are materially different roles.</w:t>
      </w:r>
    </w:p>
    <w:p>
      <w:pPr>
        <w:pStyle w:val="BodyText"/>
      </w:pPr>
      <w:r>
        <w:rPr>
          <w:b/>
          <w:bCs/>
        </w:rPr>
        <w:t xml:space="preserve">Why it matters.</w:t>
      </w:r>
      <w:r>
        <w:t xml:space="preserve"> </w:t>
      </w:r>
      <w:r>
        <w:t xml:space="preserve">The S-1</w:t>
      </w:r>
      <w:r>
        <w:t xml:space="preserve"> </w:t>
      </w:r>
      <w:r>
        <w:t xml:space="preserve">“</w:t>
      </w:r>
      <w:r>
        <w:t xml:space="preserve">Management</w:t>
      </w:r>
      <w:r>
        <w:t xml:space="preserve">”</w:t>
      </w:r>
      <w:r>
        <w:t xml:space="preserve"> </w:t>
      </w:r>
      <w:r>
        <w:t xml:space="preserve">section must state each executive officer’s correct title. The discrepancy suggests either a role change that is not reflected across all records or a data-entry error in the Equity Plan Records.</w:t>
      </w:r>
    </w:p>
    <w:p>
      <w:pPr>
        <w:pStyle w:val="BodyText"/>
      </w:pPr>
      <w:r>
        <w:rPr>
          <w:b/>
          <w:bCs/>
        </w:rPr>
        <w:t xml:space="preserve">Recommendation.</w:t>
      </w:r>
      <w:r>
        <w:t xml:space="preserve"> </w:t>
      </w:r>
      <w:r>
        <w:t xml:space="preserve">Confirm Sandra Y. Chen’s current title. The Form S-1 draft uses</w:t>
      </w:r>
      <w:r>
        <w:t xml:space="preserve"> </w:t>
      </w:r>
      <w:r>
        <w:t xml:space="preserve">“</w:t>
      </w:r>
      <w:r>
        <w:t xml:space="preserve">General Counsel and Corporate Secretary</w:t>
      </w:r>
      <w:r>
        <w:t xml:space="preserve">”</w:t>
      </w:r>
      <w:r>
        <w:t xml:space="preserve"> </w:t>
      </w:r>
      <w:r>
        <w:t xml:space="preserve">(consistent with the Charter and the majority of documents). Correct the Equity Plan Records.</w:t>
      </w:r>
    </w:p>
    <w:bookmarkEnd w:id="51"/>
    <w:bookmarkStart w:id="52" w:name="X43e3a0b33e989e4785e4d20cd13d422679d7acd"/>
    <w:p>
      <w:pPr>
        <w:pStyle w:val="Heading3"/>
      </w:pPr>
      <w:r>
        <w:t xml:space="preserve">Issue D-4 —</w:t>
      </w:r>
      <w:r>
        <w:t xml:space="preserve"> </w:t>
      </w:r>
      <w:r>
        <w:t xml:space="preserve">“</w:t>
      </w:r>
      <w:r>
        <w:t xml:space="preserve">Thomas Brennan, General Counsel</w:t>
      </w:r>
      <w:r>
        <w:t xml:space="preserve">”</w:t>
      </w:r>
      <w:r>
        <w:t xml:space="preserve"> </w:t>
      </w:r>
      <w:r>
        <w:t xml:space="preserve">in Equity Plan Records conflicts with Sandra Y. Chen as General Counsel [HIGH]</w:t>
      </w:r>
    </w:p>
    <w:p>
      <w:pPr>
        <w:pStyle w:val="FirstParagraph"/>
      </w:pPr>
      <w:r>
        <w:rPr>
          <w:b/>
          <w:bCs/>
        </w:rPr>
        <w:t xml:space="preserve">Description.</w:t>
      </w:r>
      <w:r>
        <w:t xml:space="preserve"> </w:t>
      </w:r>
      <w:r>
        <w:t xml:space="preserve">The Equity Plan Records show option and RSU grants to</w:t>
      </w:r>
      <w:r>
        <w:t xml:space="preserve"> </w:t>
      </w:r>
      <w:r>
        <w:t xml:space="preserve">“</w:t>
      </w:r>
      <w:r>
        <w:t xml:space="preserve">Thomas Brennan, General Counsel</w:t>
      </w:r>
      <w:r>
        <w:t xml:space="preserve">”</w:t>
      </w:r>
      <w:r>
        <w:t xml:space="preserve"> </w:t>
      </w:r>
      <w:r>
        <w:t xml:space="preserve">(OPT-2022-002, granted April 1, 2022; RSU-2024-005, granted March 1, 2024) as recently as March 2024. The Charter, Questionnaire, CFO Memo, and Term Sheet identify Sandra Y. Chen as the General Counsel and Corporate Secretary (who joined in 2019).</w:t>
      </w:r>
    </w:p>
    <w:p>
      <w:pPr>
        <w:pStyle w:val="BodyText"/>
      </w:pPr>
      <w:r>
        <w:rPr>
          <w:b/>
          <w:bCs/>
        </w:rPr>
        <w:t xml:space="preserve">Why it matters.</w:t>
      </w:r>
      <w:r>
        <w:t xml:space="preserve"> </w:t>
      </w:r>
      <w:r>
        <w:t xml:space="preserve">Two different individuals appear to hold (or have held) the General Counsel title. The S-1 must identify the correct current General Counsel. If Thomas Brennan is or was an executive officer, he may need to be included in the executive compensation or related-party disclosures.</w:t>
      </w:r>
    </w:p>
    <w:p>
      <w:pPr>
        <w:pStyle w:val="BodyText"/>
      </w:pPr>
      <w:r>
        <w:rPr>
          <w:b/>
          <w:bCs/>
        </w:rPr>
        <w:t xml:space="preserve">Recommendation.</w:t>
      </w:r>
      <w:r>
        <w:t xml:space="preserve"> </w:t>
      </w:r>
      <w:r>
        <w:t xml:space="preserve">Clarify the Company’s current and historical General Counsel. If Brennan departed, confirm the transition and whether any severance or equity treatment requires disclosure. If Brennan remains an executive officer, include him in the S-1 executive officers table.</w:t>
      </w:r>
    </w:p>
    <w:bookmarkEnd w:id="52"/>
    <w:bookmarkStart w:id="53" w:name="X1e9444e8b0447629a2dd5fbd0d0ab151966e9a1"/>
    <w:p>
      <w:pPr>
        <w:pStyle w:val="Heading3"/>
      </w:pPr>
      <w:r>
        <w:t xml:space="preserve">Issue D-5 — Controlled company exemption not formally elected [MEDIUM-HIGH]</w:t>
      </w:r>
    </w:p>
    <w:p>
      <w:pPr>
        <w:pStyle w:val="FirstParagraph"/>
      </w:pPr>
      <w:r>
        <w:rPr>
          <w:b/>
          <w:bCs/>
        </w:rPr>
        <w:t xml:space="preserve">Description.</w:t>
      </w:r>
      <w:r>
        <w:t xml:space="preserve"> </w:t>
      </w:r>
      <w:r>
        <w:t xml:space="preserve">The Questionnaire (Section 6 and Open Item 1) confirms that no board resolution is on record regarding reliance on the controlled company exemption under Nasdaq Listing Rule 5615(c). The co-founders will hold approximately 71.8% of voting power post-IPO. Only 3 of 6 (or 3 of 7) directors are independent. The Questionnaire notes that</w:t>
      </w:r>
      <w:r>
        <w:t xml:space="preserve"> </w:t>
      </w:r>
      <w:r>
        <w:t xml:space="preserve">“</w:t>
      </w:r>
      <w:r>
        <w:t xml:space="preserve">S-1 risk factor drafting will proceed on the assumption that the exemption is elected.</w:t>
      </w:r>
      <w:r>
        <w:t xml:space="preserve">”</w:t>
      </w:r>
    </w:p>
    <w:p>
      <w:pPr>
        <w:pStyle w:val="BodyText"/>
      </w:pPr>
      <w:r>
        <w:rPr>
          <w:b/>
          <w:bCs/>
        </w:rPr>
        <w:t xml:space="preserve">Why it matters.</w:t>
      </w:r>
      <w:r>
        <w:t xml:space="preserve"> </w:t>
      </w:r>
      <w:r>
        <w:t xml:space="preserve">The S-1 must state whether the Company will rely on the controlled company exemption. Reliance is a board determination that should be documented. The exemption affects disclosure of board independence and committee composition.</w:t>
      </w:r>
    </w:p>
    <w:p>
      <w:pPr>
        <w:pStyle w:val="BodyText"/>
      </w:pPr>
      <w:r>
        <w:rPr>
          <w:b/>
          <w:bCs/>
        </w:rPr>
        <w:t xml:space="preserve">Recommendation.</w:t>
      </w:r>
      <w:r>
        <w:t xml:space="preserve"> </w:t>
      </w:r>
      <w:r>
        <w:t xml:space="preserve">Obtain a formal board resolution electing (or declining) the controlled company exemption before filing. The Form S-1 draft assumes reliance and includes the required risk-factor disclosure.</w:t>
      </w:r>
    </w:p>
    <w:bookmarkEnd w:id="53"/>
    <w:bookmarkStart w:id="54" w:name="X50299252d7965b69a4ce1a585623d3bbea855b1"/>
    <w:p>
      <w:pPr>
        <w:pStyle w:val="Heading3"/>
      </w:pPr>
      <w:r>
        <w:t xml:space="preserve">Issue D-6 — Committee composition incomplete [MEDIUM]</w:t>
      </w:r>
    </w:p>
    <w:p>
      <w:pPr>
        <w:pStyle w:val="FirstParagraph"/>
      </w:pPr>
      <w:r>
        <w:rPr>
          <w:b/>
          <w:bCs/>
        </w:rPr>
        <w:t xml:space="preserve">Description.</w:t>
      </w:r>
      <w:r>
        <w:t xml:space="preserve"> </w:t>
      </w:r>
      <w:r>
        <w:t xml:space="preserve">The Questionnaire (Section 6) states the Compensation Committee has</w:t>
      </w:r>
      <w:r>
        <w:t xml:space="preserve"> </w:t>
      </w:r>
      <w:r>
        <w:t xml:space="preserve">“</w:t>
      </w:r>
      <w:r>
        <w:t xml:space="preserve">one additional member to be determined</w:t>
      </w:r>
      <w:r>
        <w:t xml:space="preserve">”</w:t>
      </w:r>
      <w:r>
        <w:t xml:space="preserve"> </w:t>
      </w:r>
      <w:r>
        <w:t xml:space="preserve">and the Nominating and Corporate Governance Committee’s composition is</w:t>
      </w:r>
      <w:r>
        <w:t xml:space="preserve"> </w:t>
      </w:r>
      <w:r>
        <w:t xml:space="preserve">“</w:t>
      </w:r>
      <w:r>
        <w:t xml:space="preserve">to be determined.</w:t>
      </w:r>
      <w:r>
        <w:t xml:space="preserve">”</w:t>
      </w:r>
      <w:r>
        <w:t xml:space="preserve"> </w:t>
      </w:r>
      <w:r>
        <w:t xml:space="preserve">With only three independent directors (all serving on the Audit Committee), the Company cannot form a fully independent compensation or nominating committee without adding independent directors — which is only permissible if the Company relies on the controlled company exemption.</w:t>
      </w:r>
    </w:p>
    <w:p>
      <w:pPr>
        <w:pStyle w:val="BodyText"/>
      </w:pPr>
      <w:r>
        <w:rPr>
          <w:b/>
          <w:bCs/>
        </w:rPr>
        <w:t xml:space="preserve">Recommendation.</w:t>
      </w:r>
      <w:r>
        <w:t xml:space="preserve"> </w:t>
      </w:r>
      <w:r>
        <w:t xml:space="preserve">Finalize committee compositions before filing. If relying on the controlled company exemption, disclose that the compensation and nominating committees will not be fully independent.</w:t>
      </w:r>
    </w:p>
    <w:bookmarkEnd w:id="54"/>
    <w:bookmarkStart w:id="55" w:name="X1ef565365bb1defae9788535ecbd440b5007c7d"/>
    <w:p>
      <w:pPr>
        <w:pStyle w:val="Heading3"/>
      </w:pPr>
      <w:r>
        <w:t xml:space="preserve">Issue D-7 — Director ages not provided [LOW-MEDIUM]</w:t>
      </w:r>
    </w:p>
    <w:p>
      <w:pPr>
        <w:pStyle w:val="FirstParagraph"/>
      </w:pPr>
      <w:r>
        <w:rPr>
          <w:b/>
          <w:bCs/>
        </w:rPr>
        <w:t xml:space="preserve">Description.</w:t>
      </w:r>
      <w:r>
        <w:t xml:space="preserve"> </w:t>
      </w:r>
      <w:r>
        <w:t xml:space="preserve">The Questionnaire (Open Item 4) notes that ages for the non-employee directors (Venkatesh, Moreno, Park, Kwon, Obi) were not provided. Item 401 of Regulation S-K requires disclosure of each director’s and executive officer’s age.</w:t>
      </w:r>
    </w:p>
    <w:p>
      <w:pPr>
        <w:pStyle w:val="BodyText"/>
      </w:pPr>
      <w:r>
        <w:rPr>
          <w:b/>
          <w:bCs/>
        </w:rPr>
        <w:t xml:space="preserve">Recommendation.</w:t>
      </w:r>
      <w:r>
        <w:t xml:space="preserve"> </w:t>
      </w:r>
      <w:r>
        <w:t xml:space="preserve">Obtain and confirm all director and executive officer ages. The Form S-1 draft uses</w:t>
      </w:r>
      <w:r>
        <w:t xml:space="preserve"> </w:t>
      </w:r>
      <w:r>
        <w:t xml:space="preserve">“</w:t>
      </w:r>
      <w:r>
        <w:t xml:space="preserve">[●]</w:t>
      </w:r>
      <w:r>
        <w:t xml:space="preserve">”</w:t>
      </w:r>
      <w:r>
        <w:t xml:space="preserve"> </w:t>
      </w:r>
      <w:r>
        <w:t xml:space="preserve">placeholders for the missing ages.</w:t>
      </w:r>
    </w:p>
    <w:bookmarkEnd w:id="55"/>
    <w:bookmarkEnd w:id="56"/>
    <w:bookmarkStart w:id="63" w:name="X7b318dd71697f9a8793ca49766dba07888f57c1"/>
    <w:p>
      <w:pPr>
        <w:pStyle w:val="Heading2"/>
      </w:pPr>
      <w:r>
        <w:t xml:space="preserve">VI. Naming and Identifying-Information Inconsistencies</w:t>
      </w:r>
    </w:p>
    <w:bookmarkStart w:id="57" w:name="X47714951ca1abfd66e9548438f791b658e681db"/>
    <w:p>
      <w:pPr>
        <w:pStyle w:val="Heading3"/>
      </w:pPr>
      <w:r>
        <w:t xml:space="preserve">Issue E-1 — CTO/co-founder name:</w:t>
      </w:r>
      <w:r>
        <w:t xml:space="preserve"> </w:t>
      </w:r>
      <w:r>
        <w:t xml:space="preserve">“</w:t>
      </w:r>
      <w:r>
        <w:t xml:space="preserve">Litvak</w:t>
      </w:r>
      <w:r>
        <w:t xml:space="preserve">”</w:t>
      </w:r>
      <w:r>
        <w:t xml:space="preserve"> </w:t>
      </w:r>
      <w:r>
        <w:t xml:space="preserve">vs. </w:t>
      </w:r>
      <w:r>
        <w:t xml:space="preserve">“</w:t>
      </w:r>
      <w:r>
        <w:t xml:space="preserve">Litvanova</w:t>
      </w:r>
      <w:r>
        <w:t xml:space="preserve">”</w:t>
      </w:r>
      <w:r>
        <w:t xml:space="preserve"> </w:t>
      </w:r>
      <w:r>
        <w:t xml:space="preserve">[HIGH]</w:t>
      </w:r>
    </w:p>
    <w:p>
      <w:pPr>
        <w:pStyle w:val="FirstParagraph"/>
      </w:pPr>
      <w:r>
        <w:rPr>
          <w:b/>
          <w:bCs/>
        </w:rPr>
        <w:t xml:space="preserve">Description.</w:t>
      </w:r>
      <w:r>
        <w:t xml:space="preserve"> </w:t>
      </w:r>
      <w:r>
        <w:t xml:space="preserve">The CTO/co-founder’s name appears as</w:t>
      </w:r>
      <w:r>
        <w:t xml:space="preserve"> </w:t>
      </w:r>
      <w:r>
        <w:t xml:space="preserve">“</w:t>
      </w:r>
      <w:r>
        <w:t xml:space="preserve">Katerina</w:t>
      </w:r>
      <w:r>
        <w:t xml:space="preserve"> </w:t>
      </w:r>
      <w:r>
        <w:t xml:space="preserve">‘</w:t>
      </w:r>
      <w:r>
        <w:t xml:space="preserve">Kate</w:t>
      </w:r>
      <w:r>
        <w:t xml:space="preserve">’</w:t>
      </w:r>
      <w:r>
        <w:t xml:space="preserve"> </w:t>
      </w:r>
      <w:r>
        <w:t xml:space="preserve">Litvak</w:t>
      </w:r>
      <w:r>
        <w:t xml:space="preserve">”</w:t>
      </w:r>
      <w:r>
        <w:t xml:space="preserve"> </w:t>
      </w:r>
      <w:r>
        <w:t xml:space="preserve">in the Charter (Article V, Section 5.3; Article IV, Section 4.3 Permitted Transferee provisions), the Term Sheet, the Roadshow, and the Questionnaire certification block. The name appears as</w:t>
      </w:r>
      <w:r>
        <w:t xml:space="preserve"> </w:t>
      </w:r>
      <w:r>
        <w:t xml:space="preserve">“</w:t>
      </w:r>
      <w:r>
        <w:t xml:space="preserve">Katerina</w:t>
      </w:r>
      <w:r>
        <w:t xml:space="preserve"> </w:t>
      </w:r>
      <w:r>
        <w:t xml:space="preserve">‘</w:t>
      </w:r>
      <w:r>
        <w:t xml:space="preserve">Kate</w:t>
      </w:r>
      <w:r>
        <w:t xml:space="preserve">’</w:t>
      </w:r>
      <w:r>
        <w:t xml:space="preserve"> </w:t>
      </w:r>
      <w:r>
        <w:t xml:space="preserve">Litvanova</w:t>
      </w:r>
      <w:r>
        <w:t xml:space="preserve">”</w:t>
      </w:r>
      <w:r>
        <w:t xml:space="preserve"> </w:t>
      </w:r>
      <w:r>
        <w:t xml:space="preserve">in the CFO Memo (Sections 2.2, 7.1, 7.2), the Equity Plan Records (grant records), and the Questionnaire (Section 2.2 heading and Section 6). The Questionnaire is internally inconsistent, using both names.</w:t>
      </w:r>
    </w:p>
    <w:p>
      <w:pPr>
        <w:pStyle w:val="BodyText"/>
      </w:pPr>
      <w:r>
        <w:rPr>
          <w:b/>
          <w:bCs/>
        </w:rPr>
        <w:t xml:space="preserve">Why it matters.</w:t>
      </w:r>
      <w:r>
        <w:t xml:space="preserve"> </w:t>
      </w:r>
      <w:r>
        <w:t xml:space="preserve">The co-founder’s correct legal name must be used consistently in the S-1 (executive officers, directors, beneficial ownership, Class B holders) and in the Charter (the Permitted Transferee provisions reference</w:t>
      </w:r>
      <w:r>
        <w:t xml:space="preserve"> </w:t>
      </w:r>
      <w:r>
        <w:t xml:space="preserve">“</w:t>
      </w:r>
      <w:r>
        <w:t xml:space="preserve">Katerina Litvak</w:t>
      </w:r>
      <w:r>
        <w:t xml:space="preserve">”</w:t>
      </w:r>
      <w:r>
        <w:t xml:space="preserve">). An incorrect name in the Charter or the S-1 is a material inaccuracy.</w:t>
      </w:r>
    </w:p>
    <w:p>
      <w:pPr>
        <w:pStyle w:val="BodyText"/>
      </w:pPr>
      <w:r>
        <w:rPr>
          <w:b/>
          <w:bCs/>
        </w:rPr>
        <w:t xml:space="preserve">Recommendation.</w:t>
      </w:r>
      <w:r>
        <w:t xml:space="preserve"> </w:t>
      </w:r>
      <w:r>
        <w:t xml:space="preserve">Confirm the co-founder’s correct legal name from government-issued identification and the Company’s stock ledger. Use it consistently in the S-1 and all documents. The Form S-1 draft uses</w:t>
      </w:r>
      <w:r>
        <w:t xml:space="preserve"> </w:t>
      </w:r>
      <w:r>
        <w:t xml:space="preserve">“</w:t>
      </w:r>
      <w:r>
        <w:t xml:space="preserve">Katerina</w:t>
      </w:r>
      <w:r>
        <w:t xml:space="preserve"> </w:t>
      </w:r>
      <w:r>
        <w:t xml:space="preserve">‘</w:t>
      </w:r>
      <w:r>
        <w:t xml:space="preserve">Kate</w:t>
      </w:r>
      <w:r>
        <w:t xml:space="preserve">’</w:t>
      </w:r>
      <w:r>
        <w:t xml:space="preserve"> </w:t>
      </w:r>
      <w:r>
        <w:t xml:space="preserve">Litvak</w:t>
      </w:r>
      <w:r>
        <w:t xml:space="preserve">”</w:t>
      </w:r>
      <w:r>
        <w:t xml:space="preserve"> </w:t>
      </w:r>
      <w:r>
        <w:t xml:space="preserve">(consistent with the Charter); confirm and correct the CFO Memo and Equity Plan Records.</w:t>
      </w:r>
    </w:p>
    <w:bookmarkEnd w:id="57"/>
    <w:bookmarkStart w:id="58" w:name="Xda342361c49a331b759705408644263dee0ba40"/>
    <w:p>
      <w:pPr>
        <w:pStyle w:val="Heading3"/>
      </w:pPr>
      <w:r>
        <w:t xml:space="preserve">Issue E-2 — Transfer agent:</w:t>
      </w:r>
      <w:r>
        <w:t xml:space="preserve"> </w:t>
      </w:r>
      <w:r>
        <w:t xml:space="preserve">“</w:t>
      </w:r>
      <w:r>
        <w:t xml:space="preserve">Oakvale Transfer Transfer Co.</w:t>
      </w:r>
      <w:r>
        <w:t xml:space="preserve">”</w:t>
      </w:r>
      <w:r>
        <w:t xml:space="preserve"> </w:t>
      </w:r>
      <w:r>
        <w:t xml:space="preserve">vs. </w:t>
      </w:r>
      <w:r>
        <w:t xml:space="preserve">“</w:t>
      </w:r>
      <w:r>
        <w:t xml:space="preserve">Computershare Transfer Co.</w:t>
      </w:r>
      <w:r>
        <w:t xml:space="preserve">”</w:t>
      </w:r>
      <w:r>
        <w:t xml:space="preserve"> </w:t>
      </w:r>
      <w:r>
        <w:t xml:space="preserve">[MEDIUM]</w:t>
      </w:r>
    </w:p>
    <w:p>
      <w:pPr>
        <w:pStyle w:val="FirstParagraph"/>
      </w:pPr>
      <w:r>
        <w:rPr>
          <w:b/>
          <w:bCs/>
        </w:rPr>
        <w:t xml:space="preserve">Description.</w:t>
      </w:r>
      <w:r>
        <w:t xml:space="preserve"> </w:t>
      </w:r>
      <w:r>
        <w:t xml:space="preserve">The Term Sheet, CFO Memo, and lock-up agreement refer to the transfer agent as</w:t>
      </w:r>
      <w:r>
        <w:t xml:space="preserve"> </w:t>
      </w:r>
      <w:r>
        <w:t xml:space="preserve">“</w:t>
      </w:r>
      <w:r>
        <w:t xml:space="preserve">Oakvale Transfer Transfer Co.</w:t>
      </w:r>
      <w:r>
        <w:t xml:space="preserve">”</w:t>
      </w:r>
      <w:r>
        <w:t xml:space="preserve"> </w:t>
      </w:r>
      <w:r>
        <w:t xml:space="preserve">The Charter (Bylaws Section 5.1) states the transfer agent</w:t>
      </w:r>
      <w:r>
        <w:t xml:space="preserve"> </w:t>
      </w:r>
      <w:r>
        <w:t xml:space="preserve">“</w:t>
      </w:r>
      <w:r>
        <w:t xml:space="preserve">shall be Computershare Transfer Co., or such other transfer agent and registrar as the Board of Directors may designate.</w:t>
      </w:r>
      <w:r>
        <w:t xml:space="preserve">”</w:t>
      </w:r>
      <w:r>
        <w:t xml:space="preserve"> </w:t>
      </w:r>
      <w:r>
        <w:t xml:space="preserve">(Note also that</w:t>
      </w:r>
      <w:r>
        <w:t xml:space="preserve"> </w:t>
      </w:r>
      <w:r>
        <w:t xml:space="preserve">“</w:t>
      </w:r>
      <w:r>
        <w:t xml:space="preserve">Oakvale Transfer Transfer Co.</w:t>
      </w:r>
      <w:r>
        <w:t xml:space="preserve">”</w:t>
      </w:r>
      <w:r>
        <w:t xml:space="preserve"> </w:t>
      </w:r>
      <w:r>
        <w:t xml:space="preserve">contains a duplicated word</w:t>
      </w:r>
      <w:r>
        <w:t xml:space="preserve"> </w:t>
      </w:r>
      <w:r>
        <w:t xml:space="preserve">“</w:t>
      </w:r>
      <w:r>
        <w:t xml:space="preserve">Transfer,</w:t>
      </w:r>
      <w:r>
        <w:t xml:space="preserve">”</w:t>
      </w:r>
      <w:r>
        <w:t xml:space="preserve"> </w:t>
      </w:r>
      <w:r>
        <w:t xml:space="preserve">which may itself be a typographical error.)</w:t>
      </w:r>
    </w:p>
    <w:p>
      <w:pPr>
        <w:pStyle w:val="BodyText"/>
      </w:pPr>
      <w:r>
        <w:rPr>
          <w:b/>
          <w:bCs/>
        </w:rPr>
        <w:t xml:space="preserve">Recommendation.</w:t>
      </w:r>
      <w:r>
        <w:t xml:space="preserve"> </w:t>
      </w:r>
      <w:r>
        <w:t xml:space="preserve">Confirm the transfer agent’s correct legal name. Update the Charter’s default reference or confirm the board designation of Oakvale. The Form S-1 draft uses</w:t>
      </w:r>
      <w:r>
        <w:t xml:space="preserve"> </w:t>
      </w:r>
      <w:r>
        <w:t xml:space="preserve">“</w:t>
      </w:r>
      <w:r>
        <w:t xml:space="preserve">Oakvale Transfer Transfer Co.</w:t>
      </w:r>
      <w:r>
        <w:t xml:space="preserve">”</w:t>
      </w:r>
      <w:r>
        <w:t xml:space="preserve"> </w:t>
      </w:r>
      <w:r>
        <w:t xml:space="preserve">(consistent with the operative IPO documents); verify the exact name.</w:t>
      </w:r>
    </w:p>
    <w:bookmarkEnd w:id="58"/>
    <w:bookmarkStart w:id="59" w:name="X32080db76a70089eec9dded7b574672fca0f509"/>
    <w:p>
      <w:pPr>
        <w:pStyle w:val="Heading3"/>
      </w:pPr>
      <w:r>
        <w:t xml:space="preserve">Issue E-3 — Issuer’s counsel address:</w:t>
      </w:r>
      <w:r>
        <w:t xml:space="preserve"> </w:t>
      </w:r>
      <w:r>
        <w:t xml:space="preserve">“</w:t>
      </w:r>
      <w:r>
        <w:t xml:space="preserve">600 Lexington Avenue</w:t>
      </w:r>
      <w:r>
        <w:t xml:space="preserve">”</w:t>
      </w:r>
      <w:r>
        <w:t xml:space="preserve"> </w:t>
      </w:r>
      <w:r>
        <w:t xml:space="preserve">vs. </w:t>
      </w:r>
      <w:r>
        <w:t xml:space="preserve">“</w:t>
      </w:r>
      <w:r>
        <w:t xml:space="preserve">610 Lexington Avenue</w:t>
      </w:r>
      <w:r>
        <w:t xml:space="preserve">”</w:t>
      </w:r>
      <w:r>
        <w:t xml:space="preserve"> </w:t>
      </w:r>
      <w:r>
        <w:t xml:space="preserve">[LOW]</w:t>
      </w:r>
    </w:p>
    <w:p>
      <w:pPr>
        <w:pStyle w:val="FirstParagraph"/>
      </w:pPr>
      <w:r>
        <w:rPr>
          <w:b/>
          <w:bCs/>
        </w:rPr>
        <w:t xml:space="preserve">Description.</w:t>
      </w:r>
      <w:r>
        <w:t xml:space="preserve"> </w:t>
      </w:r>
      <w:r>
        <w:t xml:space="preserve">The Term Sheet and Term Loan Summary state the issuer’s counsel address as</w:t>
      </w:r>
      <w:r>
        <w:t xml:space="preserve"> </w:t>
      </w:r>
      <w:r>
        <w:t xml:space="preserve">“</w:t>
      </w:r>
      <w:r>
        <w:t xml:space="preserve">600 Lexington Avenue, 38th Floor, New York, NY 10022.</w:t>
      </w:r>
      <w:r>
        <w:t xml:space="preserve">”</w:t>
      </w:r>
      <w:r>
        <w:t xml:space="preserve"> </w:t>
      </w:r>
      <w:r>
        <w:t xml:space="preserve">The Questionnaire (header and footer) states</w:t>
      </w:r>
      <w:r>
        <w:t xml:space="preserve"> </w:t>
      </w:r>
      <w:r>
        <w:t xml:space="preserve">“</w:t>
      </w:r>
      <w:r>
        <w:t xml:space="preserve">610 Lexington Avenue, 38th Floor, New York, NY 10022.</w:t>
      </w:r>
      <w:r>
        <w:t xml:space="preserve">”</w:t>
      </w:r>
    </w:p>
    <w:p>
      <w:pPr>
        <w:pStyle w:val="BodyText"/>
      </w:pPr>
      <w:r>
        <w:rPr>
          <w:b/>
          <w:bCs/>
        </w:rPr>
        <w:t xml:space="preserve">Recommendation.</w:t>
      </w:r>
      <w:r>
        <w:t xml:space="preserve"> </w:t>
      </w:r>
      <w:r>
        <w:t xml:space="preserve">Confirm the correct address and use it consistently. The Form S-1 draft uses</w:t>
      </w:r>
      <w:r>
        <w:t xml:space="preserve"> </w:t>
      </w:r>
      <w:r>
        <w:t xml:space="preserve">“</w:t>
      </w:r>
      <w:r>
        <w:t xml:space="preserve">600 Lexington Avenue.</w:t>
      </w:r>
      <w:r>
        <w:t xml:space="preserve">”</w:t>
      </w:r>
    </w:p>
    <w:bookmarkEnd w:id="59"/>
    <w:bookmarkStart w:id="60" w:name="X57804e41fc8ac0aed41d3f53f1e908c9d2ddc23"/>
    <w:p>
      <w:pPr>
        <w:pStyle w:val="Heading3"/>
      </w:pPr>
      <w:r>
        <w:t xml:space="preserve">Issue E-4 — Series B participant:</w:t>
      </w:r>
      <w:r>
        <w:t xml:space="preserve"> </w:t>
      </w:r>
      <w:r>
        <w:t xml:space="preserve">“</w:t>
      </w:r>
      <w:r>
        <w:t xml:space="preserve">Aldersgate Capital</w:t>
      </w:r>
      <w:r>
        <w:t xml:space="preserve">”</w:t>
      </w:r>
      <w:r>
        <w:t xml:space="preserve"> </w:t>
      </w:r>
      <w:r>
        <w:t xml:space="preserve">vs. </w:t>
      </w:r>
      <w:r>
        <w:t xml:space="preserve">“</w:t>
      </w:r>
      <w:r>
        <w:t xml:space="preserve">Crestview Capital</w:t>
      </w:r>
      <w:r>
        <w:t xml:space="preserve">”</w:t>
      </w:r>
      <w:r>
        <w:t xml:space="preserve"> </w:t>
      </w:r>
      <w:r>
        <w:t xml:space="preserve">[MEDIUM]</w:t>
      </w:r>
    </w:p>
    <w:p>
      <w:pPr>
        <w:pStyle w:val="FirstParagraph"/>
      </w:pPr>
      <w:r>
        <w:rPr>
          <w:b/>
          <w:bCs/>
        </w:rPr>
        <w:t xml:space="preserve">Description.</w:t>
      </w:r>
      <w:r>
        <w:t xml:space="preserve"> </w:t>
      </w:r>
      <w:r>
        <w:t xml:space="preserve">The Audited Financials (Note 10), CFO Memo, Questionnaire, and Term Sheet identify the Series B participant (alongside Graymont Ventures) as</w:t>
      </w:r>
      <w:r>
        <w:t xml:space="preserve"> </w:t>
      </w:r>
      <w:r>
        <w:t xml:space="preserve">“</w:t>
      </w:r>
      <w:r>
        <w:t xml:space="preserve">Aldersgate Capital.</w:t>
      </w:r>
      <w:r>
        <w:t xml:space="preserve">”</w:t>
      </w:r>
      <w:r>
        <w:t xml:space="preserve"> </w:t>
      </w:r>
      <w:r>
        <w:t xml:space="preserve">The Roadshow (Slide 29 note) refers to</w:t>
      </w:r>
      <w:r>
        <w:t xml:space="preserve"> </w:t>
      </w:r>
      <w:r>
        <w:t xml:space="preserve">“</w:t>
      </w:r>
      <w:r>
        <w:t xml:space="preserve">Crestview Capital</w:t>
      </w:r>
      <w:r>
        <w:t xml:space="preserve">”</w:t>
      </w:r>
      <w:r>
        <w:t xml:space="preserve"> </w:t>
      </w:r>
      <w:r>
        <w:t xml:space="preserve">as a Series B participant.</w:t>
      </w:r>
    </w:p>
    <w:p>
      <w:pPr>
        <w:pStyle w:val="BodyText"/>
      </w:pPr>
      <w:r>
        <w:rPr>
          <w:b/>
          <w:bCs/>
        </w:rPr>
        <w:t xml:space="preserve">Recommendation.</w:t>
      </w:r>
      <w:r>
        <w:t xml:space="preserve"> </w:t>
      </w:r>
      <w:r>
        <w:t xml:space="preserve">Confirm the correct name (the audited financials and majority of documents use</w:t>
      </w:r>
      <w:r>
        <w:t xml:space="preserve"> </w:t>
      </w:r>
      <w:r>
        <w:t xml:space="preserve">“</w:t>
      </w:r>
      <w:r>
        <w:t xml:space="preserve">Aldersgate Capital</w:t>
      </w:r>
      <w:r>
        <w:t xml:space="preserve">”</w:t>
      </w:r>
      <w:r>
        <w:t xml:space="preserve">). Correct the Roadshow. The Form S-1 draft uses</w:t>
      </w:r>
      <w:r>
        <w:t xml:space="preserve"> </w:t>
      </w:r>
      <w:r>
        <w:t xml:space="preserve">“</w:t>
      </w:r>
      <w:r>
        <w:t xml:space="preserve">Aldersgate Capital.</w:t>
      </w:r>
      <w:r>
        <w:t xml:space="preserve">”</w:t>
      </w:r>
    </w:p>
    <w:bookmarkEnd w:id="60"/>
    <w:bookmarkStart w:id="61" w:name="X4f965bdfa3ebbc2daaa069391a471890990e3e2"/>
    <w:p>
      <w:pPr>
        <w:pStyle w:val="Heading3"/>
      </w:pPr>
      <w:r>
        <w:t xml:space="preserve">Issue E-5 — Ridgeline fund name:</w:t>
      </w:r>
      <w:r>
        <w:t xml:space="preserve"> </w:t>
      </w:r>
      <w:r>
        <w:t xml:space="preserve">“</w:t>
      </w:r>
      <w:r>
        <w:t xml:space="preserve">Fund II, L.P.</w:t>
      </w:r>
      <w:r>
        <w:t xml:space="preserve">”</w:t>
      </w:r>
      <w:r>
        <w:t xml:space="preserve"> </w:t>
      </w:r>
      <w:r>
        <w:t xml:space="preserve">vs. </w:t>
      </w:r>
      <w:r>
        <w:t xml:space="preserve">“</w:t>
      </w:r>
      <w:r>
        <w:t xml:space="preserve">Fund V, LP</w:t>
      </w:r>
      <w:r>
        <w:t xml:space="preserve">”</w:t>
      </w:r>
      <w:r>
        <w:t xml:space="preserve"> </w:t>
      </w:r>
      <w:r>
        <w:t xml:space="preserve">[MEDIUM]</w:t>
      </w:r>
    </w:p>
    <w:p>
      <w:pPr>
        <w:pStyle w:val="FirstParagraph"/>
      </w:pPr>
      <w:r>
        <w:rPr>
          <w:b/>
          <w:bCs/>
        </w:rPr>
        <w:t xml:space="preserve">Description.</w:t>
      </w:r>
      <w:r>
        <w:t xml:space="preserve"> </w:t>
      </w:r>
      <w:r>
        <w:t xml:space="preserve">The CFO Memo (Section 7.1) states that Ridgeline’s shares are held by</w:t>
      </w:r>
      <w:r>
        <w:t xml:space="preserve"> </w:t>
      </w:r>
      <w:r>
        <w:t xml:space="preserve">“</w:t>
      </w:r>
      <w:r>
        <w:t xml:space="preserve">Ridgeline Growth Partners Fund II, L.P.</w:t>
      </w:r>
      <w:r>
        <w:t xml:space="preserve">”</w:t>
      </w:r>
      <w:r>
        <w:t xml:space="preserve"> </w:t>
      </w:r>
      <w:r>
        <w:t xml:space="preserve">The Questionnaire (Section 3.4) states the shares are held by</w:t>
      </w:r>
      <w:r>
        <w:t xml:space="preserve"> </w:t>
      </w:r>
      <w:r>
        <w:t xml:space="preserve">“</w:t>
      </w:r>
      <w:r>
        <w:t xml:space="preserve">Ridgeline Growth Partners Fund V, LP.</w:t>
      </w:r>
      <w:r>
        <w:t xml:space="preserve">”</w:t>
      </w:r>
    </w:p>
    <w:p>
      <w:pPr>
        <w:pStyle w:val="BodyText"/>
      </w:pPr>
      <w:r>
        <w:rPr>
          <w:b/>
          <w:bCs/>
        </w:rPr>
        <w:t xml:space="preserve">Why it matters.</w:t>
      </w:r>
      <w:r>
        <w:t xml:space="preserve"> </w:t>
      </w:r>
      <w:r>
        <w:t xml:space="preserve">The beneficial-ownership footnotes in the S-1 must identify the correct fund entity that holds the shares (and that must be bound by the lock-up agreement).</w:t>
      </w:r>
    </w:p>
    <w:p>
      <w:pPr>
        <w:pStyle w:val="BodyText"/>
      </w:pPr>
      <w:r>
        <w:rPr>
          <w:b/>
          <w:bCs/>
        </w:rPr>
        <w:t xml:space="preserve">Recommendation.</w:t>
      </w:r>
      <w:r>
        <w:t xml:space="preserve"> </w:t>
      </w:r>
      <w:r>
        <w:t xml:space="preserve">Confirm the correct fund name from the Company’s stock ledger. The Form S-1 draft uses</w:t>
      </w:r>
      <w:r>
        <w:t xml:space="preserve"> </w:t>
      </w:r>
      <w:r>
        <w:t xml:space="preserve">“</w:t>
      </w:r>
      <w:r>
        <w:t xml:space="preserve">Fund II, L.P.</w:t>
      </w:r>
      <w:r>
        <w:t xml:space="preserve">”</w:t>
      </w:r>
      <w:r>
        <w:t xml:space="preserve"> </w:t>
      </w:r>
      <w:r>
        <w:t xml:space="preserve">(consistent with the CFO Memo); verify and correct as needed.</w:t>
      </w:r>
    </w:p>
    <w:bookmarkEnd w:id="61"/>
    <w:bookmarkStart w:id="62" w:name="X12368b0de83f2fb1f65d2783bd404959b7adc29"/>
    <w:p>
      <w:pPr>
        <w:pStyle w:val="Heading3"/>
      </w:pPr>
      <w:r>
        <w:t xml:space="preserve">Issue E-6 — Graymont share count: 23,607,067 (CFO Memo) vs. 23,602,133 (Questionnaire) [LOW-MEDIUM]</w:t>
      </w:r>
    </w:p>
    <w:p>
      <w:pPr>
        <w:pStyle w:val="FirstParagraph"/>
      </w:pPr>
      <w:r>
        <w:rPr>
          <w:b/>
          <w:bCs/>
        </w:rPr>
        <w:t xml:space="preserve">Description.</w:t>
      </w:r>
      <w:r>
        <w:t xml:space="preserve"> </w:t>
      </w:r>
      <w:r>
        <w:t xml:space="preserve">The CFO Memo (Section 7.1) reports Graymont Ventures’ beneficial ownership as 23,607,067 shares, while the Questionnaire (Section 3.1) reports 23,602,133 shares — a difference of 4,934 shares. Both round to 22.4%.</w:t>
      </w:r>
    </w:p>
    <w:p>
      <w:pPr>
        <w:pStyle w:val="BodyText"/>
      </w:pPr>
      <w:r>
        <w:rPr>
          <w:b/>
          <w:bCs/>
        </w:rPr>
        <w:t xml:space="preserve">Recommendation.</w:t>
      </w:r>
      <w:r>
        <w:t xml:space="preserve"> </w:t>
      </w:r>
      <w:r>
        <w:t xml:space="preserve">Reconcile against the stock ledger and use the confirmed figure in the S-1 beneficial-ownership table.</w:t>
      </w:r>
    </w:p>
    <w:bookmarkEnd w:id="62"/>
    <w:bookmarkEnd w:id="63"/>
    <w:bookmarkStart w:id="80" w:name="vii.-disclosure-gaps-and-material-risks"/>
    <w:p>
      <w:pPr>
        <w:pStyle w:val="Heading2"/>
      </w:pPr>
      <w:r>
        <w:t xml:space="preserve">VII. Disclosure Gaps and Material Risks</w:t>
      </w:r>
    </w:p>
    <w:bookmarkStart w:id="64" w:name="Xf20d2b010b4a518e6f0398e73c49dc9a743ff3d"/>
    <w:p>
      <w:pPr>
        <w:pStyle w:val="Heading3"/>
      </w:pPr>
      <w:r>
        <w:t xml:space="preserve">Issue F-1 — Dual-class structure has no sunset provision [MEDIUM-HIGH]</w:t>
      </w:r>
    </w:p>
    <w:p>
      <w:pPr>
        <w:pStyle w:val="FirstParagraph"/>
      </w:pPr>
      <w:r>
        <w:rPr>
          <w:b/>
          <w:bCs/>
        </w:rPr>
        <w:t xml:space="preserve">Description.</w:t>
      </w:r>
      <w:r>
        <w:t xml:space="preserve"> </w:t>
      </w:r>
      <w:r>
        <w:t xml:space="preserve">The Charter (Article IV, Section 4.3) provides that Class B common stock converts to Class A only upon (i) transfer to a non-permitted transferee or (ii) the death or incapacity of the holder. There is no time-based sunset (e.g., 7–12 years) and no ownership-percentage sunset. The Roadshow (Slide 30 note) confirms</w:t>
      </w:r>
      <w:r>
        <w:t xml:space="preserve"> </w:t>
      </w:r>
      <w:r>
        <w:t xml:space="preserve">“</w:t>
      </w:r>
      <w:r>
        <w:t xml:space="preserve">there is NO sunset provision on the Class B shares.</w:t>
      </w:r>
      <w:r>
        <w:t xml:space="preserve">”</w:t>
      </w:r>
    </w:p>
    <w:p>
      <w:pPr>
        <w:pStyle w:val="BodyText"/>
      </w:pPr>
      <w:r>
        <w:rPr>
          <w:b/>
          <w:bCs/>
        </w:rPr>
        <w:t xml:space="preserve">Why it matters.</w:t>
      </w:r>
      <w:r>
        <w:t xml:space="preserve"> </w:t>
      </w:r>
      <w:r>
        <w:t xml:space="preserve">The absence of a sunset means the founders’ 71.8% voting control persists indefinitely. Major index providers (e.g., S&amp;P Dow Jones, FTSE Russell) exclude multi-class structures without sunset provisions from certain indices, which could limit demand for the Class A common stock. This must be a prominent risk factor.</w:t>
      </w:r>
    </w:p>
    <w:p>
      <w:pPr>
        <w:pStyle w:val="BodyText"/>
      </w:pPr>
      <w:r>
        <w:rPr>
          <w:b/>
          <w:bCs/>
        </w:rPr>
        <w:t xml:space="preserve">Recommendation.</w:t>
      </w:r>
      <w:r>
        <w:t xml:space="preserve"> </w:t>
      </w:r>
      <w:r>
        <w:t xml:space="preserve">The Form S-1 draft includes a risk factor addressing the absence of a sunset and the index-exclusion risk. Consider whether to adopt a sunset provision as a governance enhancement.</w:t>
      </w:r>
    </w:p>
    <w:bookmarkEnd w:id="64"/>
    <w:bookmarkStart w:id="65" w:name="X139694b04cf593be1f348bbdc2d3d72add8293f"/>
    <w:p>
      <w:pPr>
        <w:pStyle w:val="Heading3"/>
      </w:pPr>
      <w:r>
        <w:t xml:space="preserve">Issue F-2 — Vantara related-party transaction not consistently disclosed [HIGH]</w:t>
      </w:r>
    </w:p>
    <w:p>
      <w:pPr>
        <w:pStyle w:val="FirstParagraph"/>
      </w:pPr>
      <w:r>
        <w:rPr>
          <w:b/>
          <w:bCs/>
        </w:rPr>
        <w:t xml:space="preserve">Description.</w:t>
      </w:r>
      <w:r>
        <w:t xml:space="preserve"> </w:t>
      </w:r>
      <w:r>
        <w:t xml:space="preserve">The Vantara Logistics SaaS license agreement ($1.2M annual contract value, three-year term, executed April 2023) is a related-party transaction because Vantara is a portfolio company of Graymont Ventures, whose Managing Partner, Priya Venkatesh, serves on the Company’s board and on Vantara’s board. The Questionnaire (Open Item 2) confirms that Venkatesh disclosed the transaction, but the CFO (Hartwell) did not identify it as a related-party transaction, the CFO Memo lists Vantara as a standard ARR-contributing customer, and the Roadshow (Slide 14) features Vantara as a customer case study without any related-party notation.</w:t>
      </w:r>
    </w:p>
    <w:p>
      <w:pPr>
        <w:pStyle w:val="BodyText"/>
      </w:pPr>
      <w:r>
        <w:rPr>
          <w:b/>
          <w:bCs/>
        </w:rPr>
        <w:t xml:space="preserve">Why it matters.</w:t>
      </w:r>
      <w:r>
        <w:t xml:space="preserve"> </w:t>
      </w:r>
      <w:r>
        <w:t xml:space="preserve">Item 404 of Regulation S-K requires disclosure of related-party transactions. Inconsistent treatment across documents creates a risk of incomplete or misleading disclosure. The Roadshow’s presentation of Vantara as an arm’s-length customer without the related-party notation is misleading.</w:t>
      </w:r>
    </w:p>
    <w:p>
      <w:pPr>
        <w:pStyle w:val="BodyText"/>
      </w:pPr>
      <w:r>
        <w:rPr>
          <w:b/>
          <w:bCs/>
        </w:rPr>
        <w:t xml:space="preserve">Recommendation.</w:t>
      </w:r>
      <w:r>
        <w:t xml:space="preserve"> </w:t>
      </w:r>
      <w:r>
        <w:t xml:space="preserve">Disclose the Vantara transaction under Item 404 in the S-1 with full detail (Graymont affiliation, Venkatesh’s dual board roles, Audit Committee approval, Venkatesh’s recusal, arm’s-length determination). Update all investor-facing materials (CFO Memo, Roadshow) to identify Vantara as a related party. The Form S-1 draft includes the Item 404 disclosure.</w:t>
      </w:r>
    </w:p>
    <w:bookmarkEnd w:id="65"/>
    <w:bookmarkStart w:id="66" w:name="X838c266a128218ee6a85115a1eda27f7a468177"/>
    <w:p>
      <w:pPr>
        <w:pStyle w:val="Heading3"/>
      </w:pPr>
      <w:r>
        <w:t xml:space="preserve">Issue F-3 — Aldersgate Capital beneficial-ownership gap [MEDIUM-HIGH]</w:t>
      </w:r>
    </w:p>
    <w:p>
      <w:pPr>
        <w:pStyle w:val="FirstParagraph"/>
      </w:pPr>
      <w:r>
        <w:rPr>
          <w:b/>
          <w:bCs/>
        </w:rPr>
        <w:t xml:space="preserve">Description.</w:t>
      </w:r>
      <w:r>
        <w:t xml:space="preserve"> </w:t>
      </w:r>
      <w:r>
        <w:t xml:space="preserve">The Questionnaire (Open Item 3) notes that Aldersgate Capital participated in the Series B round (April 2020) but does not appear in any current beneficial-ownership disclosure. No respondent reports Aldersgate as a current stockholder. If Aldersgate transferred or sold its shares, or if its stake was diluted below 5%, this should be documented; if it remains a 5%+ holder, it must be included in the S-1 principal-stockholders table (Item 403).</w:t>
      </w:r>
    </w:p>
    <w:p>
      <w:pPr>
        <w:pStyle w:val="BodyText"/>
      </w:pPr>
      <w:r>
        <w:rPr>
          <w:b/>
          <w:bCs/>
        </w:rPr>
        <w:t xml:space="preserve">Recommendation.</w:t>
      </w:r>
      <w:r>
        <w:t xml:space="preserve"> </w:t>
      </w:r>
      <w:r>
        <w:t xml:space="preserve">Confirm Aldersgate Capital’s current holdings from the stock ledger (Oakvale Transfer Transfer Co.). If Aldersgate holds 5% or more of any class of securities, obtain a completed D&amp;O questionnaire and include it in the Item 403 table. The S-1 principal-stockholders table cannot be finalized until this is resolved.</w:t>
      </w:r>
    </w:p>
    <w:bookmarkEnd w:id="66"/>
    <w:bookmarkStart w:id="67" w:name="X0a3d3856818f1b9ac568f30e2d4d4defa210b4c"/>
    <w:p>
      <w:pPr>
        <w:pStyle w:val="Heading3"/>
      </w:pPr>
      <w:r>
        <w:t xml:space="preserve">Issue F-4 — Beneficial-ownership denominator methodology is internally inconsistent [MEDIUM-HIGH]</w:t>
      </w:r>
    </w:p>
    <w:p>
      <w:pPr>
        <w:pStyle w:val="FirstParagraph"/>
      </w:pPr>
      <w:r>
        <w:rPr>
          <w:b/>
          <w:bCs/>
        </w:rPr>
        <w:t xml:space="preserve">Description.</w:t>
      </w:r>
      <w:r>
        <w:t xml:space="preserve"> </w:t>
      </w:r>
      <w:r>
        <w:t xml:space="preserve">The beneficial-ownership tables (CFO Memo Section 7.1; Questionnaire Section 4.1) use 105,366,667 fully diluted shares as the denominator, which includes all 14,750,000 outstanding options and all 3,200,000 outstanding RSUs (vested and unvested). However, the numerator for each holder includes only vested/exercisable options and vested RSUs (or those vesting within 60 days). Using a fully-diluted denominator with a vested-only numerator understates the reported percentages and is internally inconsistent. Under SEC rules, the denominator should match the numerator’s basis (i.e., outstanding common + preferred-as-converted + options/RSUs exercisable or vesting within 60 days).</w:t>
      </w:r>
    </w:p>
    <w:p>
      <w:pPr>
        <w:pStyle w:val="BodyText"/>
      </w:pPr>
      <w:r>
        <w:rPr>
          <w:b/>
          <w:bCs/>
        </w:rPr>
        <w:t xml:space="preserve">Recommendation.</w:t>
      </w:r>
      <w:r>
        <w:t xml:space="preserve"> </w:t>
      </w:r>
      <w:r>
        <w:t xml:space="preserve">Recompute the beneficial-ownership percentages using a denominator consistent with the numerator basis, or include all options and RSUs in the numerator. The Form S-1 draft flags the denominator with a</w:t>
      </w:r>
      <w:r>
        <w:t xml:space="preserve"> </w:t>
      </w:r>
      <w:r>
        <w:t xml:space="preserve">“</w:t>
      </w:r>
      <w:r>
        <w:t xml:space="preserve">[●]</w:t>
      </w:r>
      <w:r>
        <w:t xml:space="preserve">”</w:t>
      </w:r>
      <w:r>
        <w:t xml:space="preserve"> </w:t>
      </w:r>
      <w:r>
        <w:t xml:space="preserve">placeholder and a footnote describing the methodology to be finalized.</w:t>
      </w:r>
    </w:p>
    <w:bookmarkEnd w:id="67"/>
    <w:bookmarkStart w:id="68" w:name="X7ff82299789e046f0e3bc754b5da719ebb5a8bb"/>
    <w:p>
      <w:pPr>
        <w:pStyle w:val="Heading3"/>
      </w:pPr>
      <w:r>
        <w:t xml:space="preserve">Issue F-5 — Section 382 / NOL limitation risk [MEDIUM-HIGH]</w:t>
      </w:r>
    </w:p>
    <w:p>
      <w:pPr>
        <w:pStyle w:val="FirstParagraph"/>
      </w:pPr>
      <w:r>
        <w:rPr>
          <w:b/>
          <w:bCs/>
        </w:rPr>
        <w:t xml:space="preserve">Description.</w:t>
      </w:r>
      <w:r>
        <w:t xml:space="preserve"> </w:t>
      </w:r>
      <w:r>
        <w:t xml:space="preserve">The Audited Financials (Note 13) disclose approximately $228.0 million of federal NOL carryforwards and $166.0 million of state NOL carryforwards, and state that</w:t>
      </w:r>
      <w:r>
        <w:t xml:space="preserve"> </w:t>
      </w:r>
      <w:r>
        <w:t xml:space="preserve">“</w:t>
      </w:r>
      <w:r>
        <w:t xml:space="preserve">[t]he Company has not yet completed a Section 382 study.</w:t>
      </w:r>
      <w:r>
        <w:t xml:space="preserve">”</w:t>
      </w:r>
      <w:r>
        <w:t xml:space="preserve"> </w:t>
      </w:r>
      <w:r>
        <w:t xml:space="preserve">An IPO and other equity transactions could trigger an</w:t>
      </w:r>
      <w:r>
        <w:t xml:space="preserve"> </w:t>
      </w:r>
      <w:r>
        <w:t xml:space="preserve">“</w:t>
      </w:r>
      <w:r>
        <w:t xml:space="preserve">ownership change</w:t>
      </w:r>
      <w:r>
        <w:t xml:space="preserve">”</w:t>
      </w:r>
      <w:r>
        <w:t xml:space="preserve"> </w:t>
      </w:r>
      <w:r>
        <w:t xml:space="preserve">under Section 382, limiting the Company’s ability to use its NOLs.</w:t>
      </w:r>
    </w:p>
    <w:p>
      <w:pPr>
        <w:pStyle w:val="BodyText"/>
      </w:pPr>
      <w:r>
        <w:rPr>
          <w:b/>
          <w:bCs/>
        </w:rPr>
        <w:t xml:space="preserve">Recommendation.</w:t>
      </w:r>
      <w:r>
        <w:t xml:space="preserve"> </w:t>
      </w:r>
      <w:r>
        <w:t xml:space="preserve">The Form S-1 draft includes a risk factor addressing the Section 382 limitation. Commission a Section 382 study before filing if feasible, or disclose the limitation risk prominently.</w:t>
      </w:r>
    </w:p>
    <w:bookmarkEnd w:id="68"/>
    <w:bookmarkStart w:id="69" w:name="Xe0f9ef36e7c4c70cb3e0ca054d7f3be5d8a61a7"/>
    <w:p>
      <w:pPr>
        <w:pStyle w:val="Heading3"/>
      </w:pPr>
      <w:r>
        <w:t xml:space="preserve">Issue F-6 — Intellectual property is pledged as collateral for the term loan [MEDIUM]</w:t>
      </w:r>
    </w:p>
    <w:p>
      <w:pPr>
        <w:pStyle w:val="FirstParagraph"/>
      </w:pPr>
      <w:r>
        <w:rPr>
          <w:b/>
          <w:bCs/>
        </w:rPr>
        <w:t xml:space="preserve">Description.</w:t>
      </w:r>
      <w:r>
        <w:t xml:space="preserve"> </w:t>
      </w:r>
      <w:r>
        <w:t xml:space="preserve">The Term Loan Summary (Section 4) states that the term loan is secured by a first-priority security interest in substantially all of the Company’s assets,</w:t>
      </w:r>
      <w:r>
        <w:t xml:space="preserve"> </w:t>
      </w:r>
      <w:r>
        <w:t xml:space="preserve">“</w:t>
      </w:r>
      <w:r>
        <w:t xml:space="preserve">including without limitation … all intellectual property, including patents, trademarks, copyrights, and trade secrets — specifically including the 47 issued U.S. patents, 12 pending U.S. patent applications, 8 foreign patents, and the registered trademarks</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w:t>
      </w:r>
    </w:p>
    <w:p>
      <w:pPr>
        <w:pStyle w:val="BodyText"/>
      </w:pPr>
      <w:r>
        <w:rPr>
          <w:b/>
          <w:bCs/>
        </w:rPr>
        <w:t xml:space="preserve">Why it matters.</w:t>
      </w:r>
      <w:r>
        <w:t xml:space="preserve"> </w:t>
      </w:r>
      <w:r>
        <w:t xml:space="preserve">The S-1 touts the IP portfolio as a key competitive advantage, but the IP is encumbered as collateral. This must be disclosed in the</w:t>
      </w:r>
      <w:r>
        <w:t xml:space="preserve"> </w:t>
      </w:r>
      <w:r>
        <w:t xml:space="preserve">“</w:t>
      </w:r>
      <w:r>
        <w:t xml:space="preserve">Description of Indebtedness</w:t>
      </w:r>
      <w:r>
        <w:t xml:space="preserve">”</w:t>
      </w:r>
      <w:r>
        <w:t xml:space="preserve"> </w:t>
      </w:r>
      <w:r>
        <w:t xml:space="preserve">and considered for the IP risk factors.</w:t>
      </w:r>
    </w:p>
    <w:p>
      <w:pPr>
        <w:pStyle w:val="BodyText"/>
      </w:pPr>
      <w:r>
        <w:rPr>
          <w:b/>
          <w:bCs/>
        </w:rPr>
        <w:t xml:space="preserve">Recommendation.</w:t>
      </w:r>
      <w:r>
        <w:t xml:space="preserve"> </w:t>
      </w:r>
      <w:r>
        <w:t xml:space="preserve">The Form S-1 draft discloses that the term loan is secured by substantially all assets, including intellectual property. Ensure the IP risk factors note the encumbrance.</w:t>
      </w:r>
    </w:p>
    <w:bookmarkEnd w:id="69"/>
    <w:bookmarkStart w:id="70" w:name="X8c6c132765c8cfecd59af8e26bcef4a49a3c3d2"/>
    <w:p>
      <w:pPr>
        <w:pStyle w:val="Heading3"/>
      </w:pPr>
      <w:r>
        <w:t xml:space="preserve">Issue F-7 — Optivance litigation could trigger a term-loan default [MEDIUM-HIGH]</w:t>
      </w:r>
    </w:p>
    <w:p>
      <w:pPr>
        <w:pStyle w:val="FirstParagraph"/>
      </w:pPr>
      <w:r>
        <w:rPr>
          <w:b/>
          <w:bCs/>
        </w:rPr>
        <w:t xml:space="preserve">Description.</w:t>
      </w:r>
      <w:r>
        <w:t xml:space="preserve"> </w:t>
      </w:r>
      <w:r>
        <w:t xml:space="preserve">The Term Loan Summary (Section 8(h)) provides that one or more judgments for the payment of money in excess of $5.0 million in the aggregate that remain undischarged for 60 days constitute an Event of Default. Outside patent counsel estimates the Optivance exposure at $5.0 million to $20.0 million. An adverse judgment at or above the $5.0 million threshold that remains undischarged for 60 days could trigger acceleration of the term loan.</w:t>
      </w:r>
    </w:p>
    <w:p>
      <w:pPr>
        <w:pStyle w:val="BodyText"/>
      </w:pPr>
      <w:r>
        <w:rPr>
          <w:b/>
          <w:bCs/>
        </w:rPr>
        <w:t xml:space="preserve">Recommendation.</w:t>
      </w:r>
      <w:r>
        <w:t xml:space="preserve"> </w:t>
      </w:r>
      <w:r>
        <w:t xml:space="preserve">The Form S-1 draft includes a risk factor linking the Optivance litigation to the term-loan default threshold. Monitor the litigation and develop bonding, appeal, or stay strategies in the event of an unfavorable result.</w:t>
      </w:r>
    </w:p>
    <w:bookmarkEnd w:id="70"/>
    <w:bookmarkStart w:id="71" w:name="X19b120e8af1f2e7146997deb04383cbcbe3bead"/>
    <w:p>
      <w:pPr>
        <w:pStyle w:val="Heading3"/>
      </w:pPr>
      <w:r>
        <w:t xml:space="preserve">Issue F-8 — 30-day IPO notice to lender [MEDIUM]</w:t>
      </w:r>
    </w:p>
    <w:p>
      <w:pPr>
        <w:pStyle w:val="FirstParagraph"/>
      </w:pPr>
      <w:r>
        <w:rPr>
          <w:b/>
          <w:bCs/>
        </w:rPr>
        <w:t xml:space="preserve">Description.</w:t>
      </w:r>
      <w:r>
        <w:t xml:space="preserve"> </w:t>
      </w:r>
      <w:r>
        <w:t xml:space="preserve">The Term Loan Summary (Section 5.4 and Section 13(2)) states that Section 7.14 of the Credit Agreement requires the Company to deliver a written</w:t>
      </w:r>
      <w:r>
        <w:t xml:space="preserve"> </w:t>
      </w:r>
      <w:r>
        <w:t xml:space="preserve">“</w:t>
      </w:r>
      <w:r>
        <w:t xml:space="preserve">IPO Notice</w:t>
      </w:r>
      <w:r>
        <w:t xml:space="preserve">”</w:t>
      </w:r>
      <w:r>
        <w:t xml:space="preserve"> </w:t>
      </w:r>
      <w:r>
        <w:t xml:space="preserve">to Kestridge West Credit Partners not less than 30 days prior to the consummation of the IPO, including the anticipated date, gross proceeds, use of proceeds, and a pro forma capitalization table. Failure to deliver constitutes an Event of Default (subject to a 10-business-day cure).</w:t>
      </w:r>
    </w:p>
    <w:p>
      <w:pPr>
        <w:pStyle w:val="BodyText"/>
      </w:pPr>
      <w:r>
        <w:rPr>
          <w:b/>
          <w:bCs/>
        </w:rPr>
        <w:t xml:space="preserve">Recommendation.</w:t>
      </w:r>
      <w:r>
        <w:t xml:space="preserve"> </w:t>
      </w:r>
      <w:r>
        <w:t xml:space="preserve">Coordinate preparation and delivery of the IPO Notice at least 35 days before the expected pricing date. The Form S-1 draft discloses the 30-day notice requirement in the</w:t>
      </w:r>
      <w:r>
        <w:t xml:space="preserve"> </w:t>
      </w:r>
      <w:r>
        <w:t xml:space="preserve">“</w:t>
      </w:r>
      <w:r>
        <w:t xml:space="preserve">Description of Indebtedness.</w:t>
      </w:r>
      <w:r>
        <w:t xml:space="preserve">”</w:t>
      </w:r>
    </w:p>
    <w:bookmarkEnd w:id="71"/>
    <w:bookmarkStart w:id="72" w:name="X3b260389bdc56e8008fd3ec386fd8a39b0c356e"/>
    <w:p>
      <w:pPr>
        <w:pStyle w:val="Heading3"/>
      </w:pPr>
      <w:r>
        <w:t xml:space="preserve">Issue F-9 — Registration rights granted to preferred holders [MEDIUM]</w:t>
      </w:r>
    </w:p>
    <w:p>
      <w:pPr>
        <w:pStyle w:val="FirstParagraph"/>
      </w:pPr>
      <w:r>
        <w:rPr>
          <w:b/>
          <w:bCs/>
        </w:rPr>
        <w:t xml:space="preserve">Description.</w:t>
      </w:r>
      <w:r>
        <w:t xml:space="preserve"> </w:t>
      </w:r>
      <w:r>
        <w:t xml:space="preserve">The Investor Rights Agreement (June 2023) grants demand registration rights and S-3 piggyback registration rights to certain preferred holders, commencing 180 days after the IPO (Audited Financials Note 10; Questionnaire Section 5). These rights survive the IPO and create future registration and share-overhang considerations.</w:t>
      </w:r>
    </w:p>
    <w:p>
      <w:pPr>
        <w:pStyle w:val="BodyText"/>
      </w:pPr>
      <w:r>
        <w:rPr>
          <w:b/>
          <w:bCs/>
        </w:rPr>
        <w:t xml:space="preserve">Recommendation.</w:t>
      </w:r>
      <w:r>
        <w:t xml:space="preserve"> </w:t>
      </w:r>
      <w:r>
        <w:t xml:space="preserve">Disclose the registration rights in the S-1 (the Form S-1 draft does so under</w:t>
      </w:r>
      <w:r>
        <w:t xml:space="preserve"> </w:t>
      </w:r>
      <w:r>
        <w:t xml:space="preserve">“</w:t>
      </w:r>
      <w:r>
        <w:t xml:space="preserve">Description of Securities—Registration Rights</w:t>
      </w:r>
      <w:r>
        <w:t xml:space="preserve">”</w:t>
      </w:r>
      <w:r>
        <w:t xml:space="preserve">). Coordinate the 180-day commencement with the lock-up expiration.</w:t>
      </w:r>
    </w:p>
    <w:bookmarkEnd w:id="72"/>
    <w:bookmarkStart w:id="73" w:name="Xbfc998030abeb935ccd5d9592f41f149fb355b5"/>
    <w:p>
      <w:pPr>
        <w:pStyle w:val="Heading3"/>
      </w:pPr>
      <w:r>
        <w:t xml:space="preserve">Issue F-10 — UK subsidiary guarantee and foreign-sub equity pledge [LOW-MEDIUM]</w:t>
      </w:r>
    </w:p>
    <w:p>
      <w:pPr>
        <w:pStyle w:val="FirstParagraph"/>
      </w:pPr>
      <w:r>
        <w:rPr>
          <w:b/>
          <w:bCs/>
        </w:rPr>
        <w:t xml:space="preserve">Description.</w:t>
      </w:r>
      <w:r>
        <w:t xml:space="preserve"> </w:t>
      </w:r>
      <w:r>
        <w:t xml:space="preserve">The Term Loan Summary (Section 4) states that Crestline Software UK Ltd. provides a limited guarantee capped at £5.0 million, secured by a first-priority lien on its assets, and that the lender’s security interest in subsidiary equity is limited to 65% of the voting equity of the foreign subsidiary.</w:t>
      </w:r>
    </w:p>
    <w:p>
      <w:pPr>
        <w:pStyle w:val="BodyText"/>
      </w:pPr>
      <w:r>
        <w:rPr>
          <w:b/>
          <w:bCs/>
        </w:rPr>
        <w:t xml:space="preserve">Recommendation.</w:t>
      </w:r>
      <w:r>
        <w:t xml:space="preserve"> </w:t>
      </w:r>
      <w:r>
        <w:t xml:space="preserve">Disclose the guarantee and the 65% foreign-sub equity pledge limitation in the S-1</w:t>
      </w:r>
      <w:r>
        <w:t xml:space="preserve"> </w:t>
      </w:r>
      <w:r>
        <w:t xml:space="preserve">“</w:t>
      </w:r>
      <w:r>
        <w:t xml:space="preserve">Description of Indebtedness.</w:t>
      </w:r>
      <w:r>
        <w:t xml:space="preserve">”</w:t>
      </w:r>
      <w:r>
        <w:t xml:space="preserve"> </w:t>
      </w:r>
      <w:r>
        <w:t xml:space="preserve">The Form S-1 draft discloses the guarantee.</w:t>
      </w:r>
    </w:p>
    <w:bookmarkEnd w:id="73"/>
    <w:bookmarkStart w:id="74" w:name="X5d2000803428f2aaf36acc079904e5705b0898e"/>
    <w:p>
      <w:pPr>
        <w:pStyle w:val="Heading3"/>
      </w:pPr>
      <w:r>
        <w:t xml:space="preserve">Issue F-11 — Affiliate-transactions covenant and the Vantara agreement [MEDIUM]</w:t>
      </w:r>
    </w:p>
    <w:p>
      <w:pPr>
        <w:pStyle w:val="FirstParagraph"/>
      </w:pPr>
      <w:r>
        <w:rPr>
          <w:b/>
          <w:bCs/>
        </w:rPr>
        <w:t xml:space="preserve">Description.</w:t>
      </w:r>
      <w:r>
        <w:t xml:space="preserve"> </w:t>
      </w:r>
      <w:r>
        <w:t xml:space="preserve">The Term Loan Summary (Section 7.2) states that all affiliate transactions must be on arm’s-length terms and, if exceeding $500,000 in value, require prior written notification to the lender. The Vantara SaaS agreement ($1.2 million annually) would require lender notification.</w:t>
      </w:r>
    </w:p>
    <w:p>
      <w:pPr>
        <w:pStyle w:val="BodyText"/>
      </w:pPr>
      <w:r>
        <w:rPr>
          <w:b/>
          <w:bCs/>
        </w:rPr>
        <w:t xml:space="preserve">Recommendation.</w:t>
      </w:r>
      <w:r>
        <w:t xml:space="preserve"> </w:t>
      </w:r>
      <w:r>
        <w:t xml:space="preserve">Confirm whether the lender was notified of the Vantara transaction. If not, assess whether a curative notice is required.</w:t>
      </w:r>
    </w:p>
    <w:bookmarkEnd w:id="74"/>
    <w:bookmarkStart w:id="75" w:name="Xf7841a1f7c1e6a51fe2f51367f3a40d70ef9e3e"/>
    <w:p>
      <w:pPr>
        <w:pStyle w:val="Heading3"/>
      </w:pPr>
      <w:r>
        <w:t xml:space="preserve">Issue F-12 — Exit fee on term-loan repayment not reflected in use of proceeds [LOW-MEDIUM]</w:t>
      </w:r>
    </w:p>
    <w:p>
      <w:pPr>
        <w:pStyle w:val="FirstParagraph"/>
      </w:pPr>
      <w:r>
        <w:rPr>
          <w:b/>
          <w:bCs/>
        </w:rPr>
        <w:t xml:space="preserve">Description.</w:t>
      </w:r>
      <w:r>
        <w:t xml:space="preserve"> </w:t>
      </w:r>
      <w:r>
        <w:t xml:space="preserve">The Term Loan Summary (Section 2) states that an exit fee equal to 1.00% of the outstanding principal (approximately $400,000 on $40.0 million) is due upon repayment in full or at maturity. The CFO Memo’s use-of-proceeds allocation for debt repayment does not mention the exit fee.</w:t>
      </w:r>
    </w:p>
    <w:p>
      <w:pPr>
        <w:pStyle w:val="BodyText"/>
      </w:pPr>
      <w:r>
        <w:rPr>
          <w:b/>
          <w:bCs/>
        </w:rPr>
        <w:t xml:space="preserve">Recommendation.</w:t>
      </w:r>
      <w:r>
        <w:t xml:space="preserve"> </w:t>
      </w:r>
      <w:r>
        <w:t xml:space="preserve">If IPO proceeds are used to repay the term loan, disclose the exit fee in the S-1 use of proceeds. The Form S-1 draft discloses the exit fee.</w:t>
      </w:r>
    </w:p>
    <w:bookmarkEnd w:id="75"/>
    <w:bookmarkStart w:id="76" w:name="Xedefa9badf811df1b95640341b5d65e87e28fbe"/>
    <w:p>
      <w:pPr>
        <w:pStyle w:val="Heading3"/>
      </w:pPr>
      <w:r>
        <w:t xml:space="preserve">Issue F-13 — Auditor’s report date and S-1 filing-date timing inconsistency [MEDIUM]</w:t>
      </w:r>
    </w:p>
    <w:p>
      <w:pPr>
        <w:pStyle w:val="FirstParagraph"/>
      </w:pPr>
      <w:r>
        <w:rPr>
          <w:b/>
          <w:bCs/>
        </w:rPr>
        <w:t xml:space="preserve">Description.</w:t>
      </w:r>
      <w:r>
        <w:t xml:space="preserve"> </w:t>
      </w:r>
      <w:r>
        <w:t xml:space="preserve">The auditor’s report and the subsequent-events evaluation in the Audited Financials are dated “March __, 2025” (blank). The Audited Financials (Note 17) state that</w:t>
      </w:r>
      <w:r>
        <w:t xml:space="preserve"> </w:t>
      </w:r>
      <w:r>
        <w:t xml:space="preserve">“</w:t>
      </w:r>
      <w:r>
        <w:t xml:space="preserve">[i]n February 2025, the Company filed a Registration Statement on Form S-1.</w:t>
      </w:r>
      <w:r>
        <w:t xml:space="preserve">”</w:t>
      </w:r>
      <w:r>
        <w:t xml:space="preserve"> </w:t>
      </w:r>
      <w:r>
        <w:t xml:space="preserve">The CFO Memo (dated February 14, 2025) states that the Company</w:t>
      </w:r>
      <w:r>
        <w:t xml:space="preserve"> </w:t>
      </w:r>
      <w:r>
        <w:t xml:space="preserve">“</w:t>
      </w:r>
      <w:r>
        <w:t xml:space="preserve">anticipate[s] filing the initial Form S-1 in March 2025</w:t>
      </w:r>
      <w:r>
        <w:t xml:space="preserve">”</w:t>
      </w:r>
      <w:r>
        <w:t xml:space="preserve"> </w:t>
      </w:r>
      <w:r>
        <w:t xml:space="preserve">and lists a</w:t>
      </w:r>
      <w:r>
        <w:t xml:space="preserve"> </w:t>
      </w:r>
      <w:r>
        <w:t xml:space="preserve">“</w:t>
      </w:r>
      <w:r>
        <w:t xml:space="preserve">Target confidential filing date: March 2025.</w:t>
      </w:r>
      <w:r>
        <w:t xml:space="preserve">”</w:t>
      </w:r>
      <w:r>
        <w:t xml:space="preserve"> </w:t>
      </w:r>
      <w:r>
        <w:t xml:space="preserve">The Term Sheet is dated</w:t>
      </w:r>
      <w:r>
        <w:t xml:space="preserve"> </w:t>
      </w:r>
      <w:r>
        <w:t xml:space="preserve">“</w:t>
      </w:r>
      <w:r>
        <w:t xml:space="preserve">[●] March 2025.</w:t>
      </w:r>
      <w:r>
        <w:t xml:space="preserve">”</w:t>
      </w:r>
    </w:p>
    <w:p>
      <w:pPr>
        <w:pStyle w:val="BodyText"/>
      </w:pPr>
      <w:r>
        <w:rPr>
          <w:b/>
          <w:bCs/>
        </w:rPr>
        <w:t xml:space="preserve">Why it matters.</w:t>
      </w:r>
      <w:r>
        <w:t xml:space="preserve"> </w:t>
      </w:r>
      <w:r>
        <w:t xml:space="preserve">There is a timing inconsistency: the Audited Financials report a February 2025 S-1 filing, while the CFO Memo anticipated a March 2025 filing. The auditor’s report date must be completed, and the subsequent-events period must be consistent with the filing timeline.</w:t>
      </w:r>
    </w:p>
    <w:p>
      <w:pPr>
        <w:pStyle w:val="BodyText"/>
      </w:pPr>
      <w:r>
        <w:rPr>
          <w:b/>
          <w:bCs/>
        </w:rPr>
        <w:t xml:space="preserve">Recommendation.</w:t>
      </w:r>
      <w:r>
        <w:t xml:space="preserve"> </w:t>
      </w:r>
      <w:r>
        <w:t xml:space="preserve">Complete the auditor’s report date and subsequent-events date. Reconcile the actual S-1 filing date with the disclosure in Note 17 and the CFO Memo’s anticipated timeline.</w:t>
      </w:r>
    </w:p>
    <w:bookmarkEnd w:id="76"/>
    <w:bookmarkStart w:id="77" w:name="X577be40b997f363e717348b49f3038b6a787d85"/>
    <w:p>
      <w:pPr>
        <w:pStyle w:val="Heading3"/>
      </w:pPr>
      <w:r>
        <w:t xml:space="preserve">Issue F-14 — General Counsel’s prior employment at issuer’s counsel [LOW-MEDIUM]</w:t>
      </w:r>
    </w:p>
    <w:p>
      <w:pPr>
        <w:pStyle w:val="FirstParagraph"/>
      </w:pPr>
      <w:r>
        <w:rPr>
          <w:b/>
          <w:bCs/>
        </w:rPr>
        <w:t xml:space="preserve">Description.</w:t>
      </w:r>
      <w:r>
        <w:t xml:space="preserve"> </w:t>
      </w:r>
      <w:r>
        <w:t xml:space="preserve">Sandra Y. Chen, the General Counsel and Corporate Secretary, was previously employed as an associate at Thorncroft &amp; Wexler LLP, which serves as issuer’s counsel in this offering (Questionnaire Section 2.4). She departed in 2019 and reports no ongoing financial interest in the firm.</w:t>
      </w:r>
    </w:p>
    <w:p>
      <w:pPr>
        <w:pStyle w:val="BodyText"/>
      </w:pPr>
      <w:r>
        <w:rPr>
          <w:b/>
          <w:bCs/>
        </w:rPr>
        <w:t xml:space="preserve">Recommendation.</w:t>
      </w:r>
      <w:r>
        <w:t xml:space="preserve"> </w:t>
      </w:r>
      <w:r>
        <w:t xml:space="preserve">Disclose the prior employment (the Form S-1 draft does so under</w:t>
      </w:r>
      <w:r>
        <w:t xml:space="preserve"> </w:t>
      </w:r>
      <w:r>
        <w:t xml:space="preserve">“</w:t>
      </w:r>
      <w:r>
        <w:t xml:space="preserve">Certain Relationships and Related Party Transactions</w:t>
      </w:r>
      <w:r>
        <w:t xml:space="preserve">”</w:t>
      </w:r>
      <w:r>
        <w:t xml:space="preserve">). Assess whether any conflict-of-interest waiver or disclosure beyond Item 404 is appropriate.</w:t>
      </w:r>
    </w:p>
    <w:bookmarkEnd w:id="77"/>
    <w:bookmarkStart w:id="78" w:name="Xd1a77cd5b1b595cdb0073fca42257fea653ac40"/>
    <w:p>
      <w:pPr>
        <w:pStyle w:val="Heading3"/>
      </w:pPr>
      <w:r>
        <w:t xml:space="preserve">Issue F-15 — Lock-up must bind fund-level entities [MEDIUM]</w:t>
      </w:r>
    </w:p>
    <w:p>
      <w:pPr>
        <w:pStyle w:val="FirstParagraph"/>
      </w:pPr>
      <w:r>
        <w:rPr>
          <w:b/>
          <w:bCs/>
        </w:rPr>
        <w:t xml:space="preserve">Description.</w:t>
      </w:r>
      <w:r>
        <w:t xml:space="preserve"> </w:t>
      </w:r>
      <w:r>
        <w:t xml:space="preserve">The Questionnaire (Open Item 5) notes that the preferred shares are held at the fund level (e.g., Ridgeline Growth Partners Fund II/V, L.P.; Graymont Ventures Fund III and IV, L.P.), not in the individual directors’ names. The lock-up agreements must bind the fund-level entities that hold the shares, not merely the individual directors who serve as board representatives.</w:t>
      </w:r>
    </w:p>
    <w:p>
      <w:pPr>
        <w:pStyle w:val="BodyText"/>
      </w:pPr>
      <w:r>
        <w:rPr>
          <w:b/>
          <w:bCs/>
        </w:rPr>
        <w:t xml:space="preserve">Recommendation.</w:t>
      </w:r>
      <w:r>
        <w:t xml:space="preserve"> </w:t>
      </w:r>
      <w:r>
        <w:t xml:space="preserve">Ensure the lock-up agreements are executed by the fund entities (or their general partners with appropriate authority). The Form S-1 draft notes that the lock-up binds the fund-level entities.</w:t>
      </w:r>
    </w:p>
    <w:bookmarkEnd w:id="78"/>
    <w:bookmarkStart w:id="79" w:name="X90088f2cfd7f8fcb5825ad66dbe7bd4a57917b6"/>
    <w:p>
      <w:pPr>
        <w:pStyle w:val="Heading3"/>
      </w:pPr>
      <w:r>
        <w:t xml:space="preserve">Issue F-16 — Corporate-opportunities renunciation for VC-affiliated directors [LOW]</w:t>
      </w:r>
    </w:p>
    <w:p>
      <w:pPr>
        <w:pStyle w:val="FirstParagraph"/>
      </w:pPr>
      <w:r>
        <w:rPr>
          <w:b/>
          <w:bCs/>
        </w:rPr>
        <w:t xml:space="preserve">Description.</w:t>
      </w:r>
      <w:r>
        <w:t xml:space="preserve"> </w:t>
      </w:r>
      <w:r>
        <w:t xml:space="preserve">The Charter (Article XI) renounces corporate opportunities for directors who are also partners/employees of investment funds, expressly naming Graymont Ventures and Ridgeline Growth Partners and their affiliates and portfolio companies.</w:t>
      </w:r>
    </w:p>
    <w:p>
      <w:pPr>
        <w:pStyle w:val="BodyText"/>
      </w:pPr>
      <w:r>
        <w:rPr>
          <w:b/>
          <w:bCs/>
        </w:rPr>
        <w:t xml:space="preserve">Recommendation.</w:t>
      </w:r>
      <w:r>
        <w:t xml:space="preserve"> </w:t>
      </w:r>
      <w:r>
        <w:t xml:space="preserve">Disclose the corporate-opportunities renunciation in the S-1 (the Form S-1 draft does so under</w:t>
      </w:r>
      <w:r>
        <w:t xml:space="preserve"> </w:t>
      </w:r>
      <w:r>
        <w:t xml:space="preserve">“</w:t>
      </w:r>
      <w:r>
        <w:t xml:space="preserve">Certain Relationships and Related Party Transactions</w:t>
      </w:r>
      <w:r>
        <w:t xml:space="preserve">”</w:t>
      </w:r>
      <w:r>
        <w:t xml:space="preserve">).</w:t>
      </w:r>
    </w:p>
    <w:bookmarkEnd w:id="79"/>
    <w:bookmarkEnd w:id="80"/>
    <w:bookmarkStart w:id="88" w:name="X7f702b133fe53656e435af4c6ff4c39a7e85886"/>
    <w:p>
      <w:pPr>
        <w:pStyle w:val="Heading2"/>
      </w:pPr>
      <w:r>
        <w:t xml:space="preserve">VIII. Roadshow / Marketing-Material Inconsistencies with the Prospectus</w:t>
      </w:r>
    </w:p>
    <w:bookmarkStart w:id="81" w:name="X6b05259f9e3f61450b7e9eac2529e50552fcfb5"/>
    <w:p>
      <w:pPr>
        <w:pStyle w:val="Heading3"/>
      </w:pPr>
      <w:r>
        <w:t xml:space="preserve">Issue G-1 — Professional services described as</w:t>
      </w:r>
      <w:r>
        <w:t xml:space="preserve"> </w:t>
      </w:r>
      <w:r>
        <w:t xml:space="preserve">“</w:t>
      </w:r>
      <w:r>
        <w:t xml:space="preserve">high-margin</w:t>
      </w:r>
      <w:r>
        <w:t xml:space="preserve">”</w:t>
      </w:r>
      <w:r>
        <w:t xml:space="preserve"> </w:t>
      </w:r>
      <w:r>
        <w:t xml:space="preserve">despite a negative gross margin [HIGH]</w:t>
      </w:r>
    </w:p>
    <w:p>
      <w:pPr>
        <w:pStyle w:val="FirstParagraph"/>
      </w:pPr>
      <w:r>
        <w:rPr>
          <w:b/>
          <w:bCs/>
        </w:rPr>
        <w:t xml:space="preserve">Description.</w:t>
      </w:r>
      <w:r>
        <w:t xml:space="preserve"> </w:t>
      </w:r>
      <w:r>
        <w:t xml:space="preserve">The Roadshow (Slides 12, 17, 21, and 27) describes professional services as</w:t>
      </w:r>
      <w:r>
        <w:t xml:space="preserve"> </w:t>
      </w:r>
      <w:r>
        <w:t xml:space="preserve">“</w:t>
      </w:r>
      <w:r>
        <w:t xml:space="preserve">high-margin and accretive</w:t>
      </w:r>
      <w:r>
        <w:t xml:space="preserve">”</w:t>
      </w:r>
      <w:r>
        <w:t xml:space="preserve"> </w:t>
      </w:r>
      <w:r>
        <w:t xml:space="preserve">and projects 15–20% professional services gross margins. The Audited Financials show professional services revenue of $18.7M and professional services cost of revenue of $18.8M for FY 2024, yielding a gross margin of approximately (0.5)% (negative). The Roadshow’s own drafting notes (Slides 12, 17, 21, 27, and 35) flag this mischaracterization. The appendix (Slide 35) correctly shows professional services gross margin of (0.5)%, creating an internal inconsistency within the Roadshow itself.</w:t>
      </w:r>
    </w:p>
    <w:p>
      <w:pPr>
        <w:pStyle w:val="BodyText"/>
      </w:pPr>
      <w:r>
        <w:rPr>
          <w:b/>
          <w:bCs/>
        </w:rPr>
        <w:t xml:space="preserve">Why it matters.</w:t>
      </w:r>
      <w:r>
        <w:t xml:space="preserve"> </w:t>
      </w:r>
      <w:r>
        <w:t xml:space="preserve">Characterizing a negative-margin business line as</w:t>
      </w:r>
      <w:r>
        <w:t xml:space="preserve"> </w:t>
      </w:r>
      <w:r>
        <w:t xml:space="preserve">“</w:t>
      </w:r>
      <w:r>
        <w:t xml:space="preserve">high-margin</w:t>
      </w:r>
      <w:r>
        <w:t xml:space="preserve">”</w:t>
      </w:r>
      <w:r>
        <w:t xml:space="preserve"> </w:t>
      </w:r>
      <w:r>
        <w:t xml:space="preserve">is misleading and inconsistent with the audited financials. The S-1 must accurately describe professional services margins.</w:t>
      </w:r>
    </w:p>
    <w:p>
      <w:pPr>
        <w:pStyle w:val="BodyText"/>
      </w:pPr>
      <w:r>
        <w:rPr>
          <w:b/>
          <w:bCs/>
        </w:rPr>
        <w:t xml:space="preserve">Recommendation.</w:t>
      </w:r>
      <w:r>
        <w:t xml:space="preserve"> </w:t>
      </w:r>
      <w:r>
        <w:t xml:space="preserve">Correct the Roadshow to acknowledge the current negative professional services margin and frame any 15–20% figure as a forward-looking target with appropriate caveats. The Form S-1 draft discloses the (0.5)% professional services gross margin.</w:t>
      </w:r>
    </w:p>
    <w:bookmarkEnd w:id="81"/>
    <w:bookmarkStart w:id="82" w:name="X85938c6e84546322d12df6d301ffa8d30c8daec"/>
    <w:p>
      <w:pPr>
        <w:pStyle w:val="Heading3"/>
      </w:pPr>
      <w:r>
        <w:t xml:space="preserve">Issue G-2 — Use-of-proceeds allocations differ across documents [MEDIUM-HIGH]</w:t>
      </w:r>
    </w:p>
    <w:p>
      <w:pPr>
        <w:pStyle w:val="FirstParagraph"/>
      </w:pPr>
      <w:r>
        <w:rPr>
          <w:b/>
          <w:bCs/>
        </w:rPr>
        <w:t xml:space="preserve">Description.</w:t>
      </w:r>
      <w:r>
        <w:t xml:space="preserve"> </w:t>
      </w:r>
      <w:r>
        <w:t xml:space="preserve">The use-of-proceeds allocation is stated differently in three sources: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Use</w:t>
            </w:r>
          </w:p>
        </w:tc>
        <w:tc>
          <w:tcPr/>
          <w:p>
            <w:pPr>
              <w:pStyle w:val="Compact"/>
              <w:jc w:val="left"/>
            </w:pPr>
            <w:r>
              <w:t xml:space="preserve">CFO Memo (Section 3.2)</w:t>
            </w:r>
          </w:p>
        </w:tc>
        <w:tc>
          <w:tcPr/>
          <w:p>
            <w:pPr>
              <w:pStyle w:val="Compact"/>
              <w:jc w:val="left"/>
            </w:pPr>
            <w:r>
              <w:t xml:space="preserve">Roadshow (Slide 27)</w:t>
            </w:r>
          </w:p>
        </w:tc>
        <w:tc>
          <w:tcPr/>
          <w:p>
            <w:pPr>
              <w:pStyle w:val="Compact"/>
              <w:jc w:val="left"/>
            </w:pPr>
            <w:r>
              <w:t xml:space="preserve">Term Sheet (Section 4)</w:t>
            </w:r>
          </w:p>
        </w:tc>
      </w:tr>
      <w:tr>
        <w:tc>
          <w:tcPr/>
          <w:p>
            <w:pPr>
              <w:pStyle w:val="Compact"/>
              <w:jc w:val="left"/>
            </w:pPr>
            <w:r>
              <w:t xml:space="preserve">R&amp;D</w:t>
            </w:r>
          </w:p>
        </w:tc>
        <w:tc>
          <w:tcPr/>
          <w:p>
            <w:pPr>
              <w:pStyle w:val="Compact"/>
              <w:jc w:val="left"/>
            </w:pPr>
            <w:r>
              <w:t xml:space="preserve">~35%</w:t>
            </w:r>
          </w:p>
        </w:tc>
        <w:tc>
          <w:tcPr/>
          <w:p>
            <w:pPr>
              <w:pStyle w:val="Compact"/>
              <w:jc w:val="left"/>
            </w:pPr>
            <w:r>
              <w:t xml:space="preserve">~40%</w:t>
            </w:r>
          </w:p>
        </w:tc>
        <w:tc>
          <w:tcPr/>
          <w:p>
            <w:pPr>
              <w:pStyle w:val="Compact"/>
              <w:jc w:val="left"/>
            </w:pPr>
            <w:r>
              <w:t xml:space="preserve">“</w:t>
            </w:r>
            <w:r>
              <w:t xml:space="preserve">not determined</w:t>
            </w:r>
            <w:r>
              <w:t xml:space="preserve">”</w:t>
            </w:r>
          </w:p>
        </w:tc>
      </w:tr>
      <w:tr>
        <w:tc>
          <w:tcPr/>
          <w:p>
            <w:pPr>
              <w:pStyle w:val="Compact"/>
              <w:jc w:val="left"/>
            </w:pPr>
            <w:r>
              <w:t xml:space="preserve">Sales &amp; marketing</w:t>
            </w:r>
          </w:p>
        </w:tc>
        <w:tc>
          <w:tcPr/>
          <w:p>
            <w:pPr>
              <w:pStyle w:val="Compact"/>
              <w:jc w:val="left"/>
            </w:pPr>
            <w:r>
              <w:t xml:space="preserve">~25%</w:t>
            </w:r>
          </w:p>
        </w:tc>
        <w:tc>
          <w:tcPr/>
          <w:p>
            <w:pPr>
              <w:pStyle w:val="Compact"/>
              <w:jc w:val="left"/>
            </w:pPr>
            <w:r>
              <w:t xml:space="preserve">~30%</w:t>
            </w:r>
          </w:p>
        </w:tc>
        <w:tc>
          <w:tcPr/>
          <w:p>
            <w:pPr>
              <w:pStyle w:val="Compact"/>
              <w:jc w:val="left"/>
            </w:pPr>
            <w:r>
              <w:t xml:space="preserve">“</w:t>
            </w:r>
            <w:r>
              <w:t xml:space="preserve">not determined</w:t>
            </w:r>
            <w:r>
              <w:t xml:space="preserve">”</w:t>
            </w:r>
          </w:p>
        </w:tc>
      </w:tr>
      <w:tr>
        <w:tc>
          <w:tcPr/>
          <w:p>
            <w:pPr>
              <w:pStyle w:val="Compact"/>
              <w:jc w:val="left"/>
            </w:pPr>
            <w:r>
              <w:t xml:space="preserve">Debt repayment</w:t>
            </w:r>
          </w:p>
        </w:tc>
        <w:tc>
          <w:tcPr/>
          <w:p>
            <w:pPr>
              <w:pStyle w:val="Compact"/>
              <w:jc w:val="left"/>
            </w:pPr>
            <w:r>
              <w:t xml:space="preserve">~15% (~$40M)</w:t>
            </w:r>
          </w:p>
        </w:tc>
        <w:tc>
          <w:tcPr/>
          <w:p>
            <w:pPr>
              <w:pStyle w:val="Compact"/>
              <w:jc w:val="left"/>
            </w:pPr>
            <w:r>
              <w:t xml:space="preserve">~5%</w:t>
            </w:r>
          </w:p>
        </w:tc>
        <w:tc>
          <w:tcPr/>
          <w:p>
            <w:pPr>
              <w:pStyle w:val="Compact"/>
              <w:jc w:val="left"/>
            </w:pPr>
            <w:r>
              <w:t xml:space="preserve">“</w:t>
            </w:r>
            <w:r>
              <w:t xml:space="preserve">may be used</w:t>
            </w:r>
            <w:r>
              <w:t xml:space="preserve">”</w:t>
            </w:r>
          </w:p>
        </w:tc>
      </w:tr>
      <w:tr>
        <w:tc>
          <w:tcPr/>
          <w:p>
            <w:pPr>
              <w:pStyle w:val="Compact"/>
              <w:jc w:val="left"/>
            </w:pPr>
            <w:r>
              <w:t xml:space="preserve">Acquisitions</w:t>
            </w:r>
          </w:p>
        </w:tc>
        <w:tc>
          <w:tcPr/>
          <w:p>
            <w:pPr>
              <w:pStyle w:val="Compact"/>
              <w:jc w:val="left"/>
            </w:pPr>
            <w:r>
              <w:t xml:space="preserve">~10%</w:t>
            </w:r>
          </w:p>
        </w:tc>
        <w:tc>
          <w:tcPr/>
          <w:p>
            <w:pPr>
              <w:pStyle w:val="Compact"/>
              <w:jc w:val="left"/>
            </w:pPr>
            <w:r>
              <w:t xml:space="preserve">~15%</w:t>
            </w:r>
          </w:p>
        </w:tc>
        <w:tc>
          <w:tcPr/>
          <w:p>
            <w:pPr>
              <w:pStyle w:val="Compact"/>
              <w:jc w:val="left"/>
            </w:pPr>
            <w:r>
              <w:t xml:space="preserve">“</w:t>
            </w:r>
            <w:r>
              <w:t xml:space="preserve">not determined</w:t>
            </w:r>
            <w:r>
              <w:t xml:space="preserve">”</w:t>
            </w:r>
          </w:p>
        </w:tc>
      </w:tr>
      <w:tr>
        <w:tc>
          <w:tcPr/>
          <w:p>
            <w:pPr>
              <w:pStyle w:val="Compact"/>
              <w:jc w:val="left"/>
            </w:pPr>
            <w:r>
              <w:t xml:space="preserve">General corporate</w:t>
            </w:r>
          </w:p>
        </w:tc>
        <w:tc>
          <w:tcPr/>
          <w:p>
            <w:pPr>
              <w:pStyle w:val="Compact"/>
              <w:jc w:val="left"/>
            </w:pPr>
            <w:r>
              <w:t xml:space="preserve">remainder (~15%)</w:t>
            </w:r>
          </w:p>
        </w:tc>
        <w:tc>
          <w:tcPr/>
          <w:p>
            <w:pPr>
              <w:pStyle w:val="Compact"/>
              <w:jc w:val="left"/>
            </w:pPr>
            <w:r>
              <w:t xml:space="preserve">~10%</w:t>
            </w:r>
          </w:p>
        </w:tc>
        <w:tc>
          <w:tcPr/>
          <w:p>
            <w:pPr>
              <w:pStyle w:val="Compact"/>
              <w:jc w:val="left"/>
            </w:pPr>
            <w:r>
              <w:t xml:space="preserve">“</w:t>
            </w:r>
            <w:r>
              <w:t xml:space="preserve">not determined</w:t>
            </w:r>
            <w:r>
              <w:t xml:space="preserve">”</w:t>
            </w:r>
          </w:p>
        </w:tc>
      </w:tr>
    </w:tbl>
    <w:p>
      <w:pPr>
        <w:pStyle w:val="BodyText"/>
      </w:pPr>
      <w:r>
        <w:t xml:space="preserve">In addition, the Term Loan Summary (Section 13(4)) states that</w:t>
      </w:r>
      <w:r>
        <w:t xml:space="preserve"> </w:t>
      </w:r>
      <w:r>
        <w:t xml:space="preserve">“</w:t>
      </w:r>
      <w:r>
        <w:t xml:space="preserve">[t]he Company does not intend to use IPO proceeds to repay the term loan,</w:t>
      </w:r>
      <w:r>
        <w:t xml:space="preserve">”</w:t>
      </w:r>
      <w:r>
        <w:t xml:space="preserve"> </w:t>
      </w:r>
      <w:r>
        <w:t xml:space="preserve">which conflicts with both the CFO Memo (~15% / ~$40M for debt repayment) and the Roadshow (~5% for term loan repayment).</w:t>
      </w:r>
    </w:p>
    <w:p>
      <w:pPr>
        <w:pStyle w:val="BodyText"/>
      </w:pPr>
      <w:r>
        <w:rPr>
          <w:b/>
          <w:bCs/>
        </w:rPr>
        <w:t xml:space="preserve">Why it matters.</w:t>
      </w:r>
      <w:r>
        <w:t xml:space="preserve"> </w:t>
      </w:r>
      <w:r>
        <w:t xml:space="preserve">The S-1 use of proceeds must be consistent and accurate. Conflicting allocations across documents create disclosure risk and could support a misstatement claim under Section 11.</w:t>
      </w:r>
    </w:p>
    <w:p>
      <w:pPr>
        <w:pStyle w:val="BodyText"/>
      </w:pPr>
      <w:r>
        <w:rPr>
          <w:b/>
          <w:bCs/>
        </w:rPr>
        <w:t xml:space="preserve">Recommendation.</w:t>
      </w:r>
      <w:r>
        <w:t xml:space="preserve"> </w:t>
      </w:r>
      <w:r>
        <w:t xml:space="preserve">Determine the Company’s actual intended use of proceeds and state it consistently in the S-1, CFO Memo, and Roadshow. Resolve whether IPO proceeds will be used to repay the term loan (the Term Loan Summary says no; the CFO Memo says ~$40M). The Form S-1 draft presents the principal intended uses without precise allocations and discloses the possible term-loan repayment and exit fee.</w:t>
      </w:r>
    </w:p>
    <w:bookmarkEnd w:id="82"/>
    <w:bookmarkStart w:id="83" w:name="X04158cad433b0e97dda8a403d8b448e216bd2f3"/>
    <w:p>
      <w:pPr>
        <w:pStyle w:val="Heading3"/>
      </w:pPr>
      <w:r>
        <w:t xml:space="preserve">Issue G-3 — Adjusted EBITDA $22.8M repeated in the Roadshow [HIGH]</w:t>
      </w:r>
    </w:p>
    <w:p>
      <w:pPr>
        <w:pStyle w:val="FirstParagraph"/>
      </w:pPr>
      <w:r>
        <w:rPr>
          <w:b/>
          <w:bCs/>
        </w:rPr>
        <w:t xml:space="preserve">Description.</w:t>
      </w:r>
      <w:r>
        <w:t xml:space="preserve"> </w:t>
      </w:r>
      <w:r>
        <w:t xml:space="preserve">The erroneous $22.8M Adjusted EBITDA figure (see Issue A-1) is repeated in the Roadshow on Slides 3, 23, 34, and 35.</w:t>
      </w:r>
    </w:p>
    <w:p>
      <w:pPr>
        <w:pStyle w:val="BodyText"/>
      </w:pPr>
      <w:r>
        <w:rPr>
          <w:b/>
          <w:bCs/>
        </w:rPr>
        <w:t xml:space="preserve">Recommendation.</w:t>
      </w:r>
      <w:r>
        <w:t xml:space="preserve"> </w:t>
      </w:r>
      <w:r>
        <w:t xml:space="preserve">Correct to $20.5M throughout the Roadshow (and the CFO Memo).</w:t>
      </w:r>
    </w:p>
    <w:bookmarkEnd w:id="83"/>
    <w:bookmarkStart w:id="84" w:name="Xd859f9074633b89d4ca67209c9185a8b49d0429"/>
    <w:p>
      <w:pPr>
        <w:pStyle w:val="Heading3"/>
      </w:pPr>
      <w:r>
        <w:t xml:space="preserve">Issue G-4 — Roadshow uses the wrong lender name [HIGH]</w:t>
      </w:r>
    </w:p>
    <w:p>
      <w:pPr>
        <w:pStyle w:val="FirstParagraph"/>
      </w:pPr>
      <w:r>
        <w:rPr>
          <w:b/>
          <w:bCs/>
        </w:rPr>
        <w:t xml:space="preserve">Description.</w:t>
      </w:r>
      <w:r>
        <w:t xml:space="preserve"> </w:t>
      </w:r>
      <w:r>
        <w:t xml:space="preserve">The Roadshow (Slides 20, 24, and 27) refers to the term-loan lender as</w:t>
      </w:r>
      <w:r>
        <w:t xml:space="preserve"> </w:t>
      </w:r>
      <w:r>
        <w:t xml:space="preserve">“</w:t>
      </w:r>
      <w:r>
        <w:t xml:space="preserve">Silicon Valley Credit Partners</w:t>
      </w:r>
      <w:r>
        <w:t xml:space="preserve">”</w:t>
      </w:r>
      <w:r>
        <w:t xml:space="preserve"> </w:t>
      </w:r>
      <w:r>
        <w:t xml:space="preserve">rather than</w:t>
      </w:r>
      <w:r>
        <w:t xml:space="preserve"> </w:t>
      </w:r>
      <w:r>
        <w:t xml:space="preserve">“</w:t>
      </w:r>
      <w:r>
        <w:t xml:space="preserve">Kestridge West Credit Partners</w:t>
      </w:r>
      <w:r>
        <w:t xml:space="preserve">”</w:t>
      </w:r>
      <w:r>
        <w:t xml:space="preserve"> </w:t>
      </w:r>
      <w:r>
        <w:t xml:space="preserve">(see Issue B-5).</w:t>
      </w:r>
    </w:p>
    <w:p>
      <w:pPr>
        <w:pStyle w:val="BodyText"/>
      </w:pPr>
      <w:r>
        <w:rPr>
          <w:b/>
          <w:bCs/>
        </w:rPr>
        <w:t xml:space="preserve">Recommendation.</w:t>
      </w:r>
      <w:r>
        <w:t xml:space="preserve"> </w:t>
      </w:r>
      <w:r>
        <w:t xml:space="preserve">Correct the lender name throughout the Roadshow.</w:t>
      </w:r>
    </w:p>
    <w:bookmarkEnd w:id="84"/>
    <w:bookmarkStart w:id="85" w:name="X5bb0f24e1604f38a1b000949153c479018841d8"/>
    <w:p>
      <w:pPr>
        <w:pStyle w:val="Heading3"/>
      </w:pPr>
      <w:r>
        <w:t xml:space="preserve">Issue G-5 — Roadshow refers to</w:t>
      </w:r>
      <w:r>
        <w:t xml:space="preserve"> </w:t>
      </w:r>
      <w:r>
        <w:t xml:space="preserve">“</w:t>
      </w:r>
      <w:r>
        <w:t xml:space="preserve">Crestview Capital</w:t>
      </w:r>
      <w:r>
        <w:t xml:space="preserve">”</w:t>
      </w:r>
      <w:r>
        <w:t xml:space="preserve"> </w:t>
      </w:r>
      <w:r>
        <w:t xml:space="preserve">instead of</w:t>
      </w:r>
      <w:r>
        <w:t xml:space="preserve"> </w:t>
      </w:r>
      <w:r>
        <w:t xml:space="preserve">“</w:t>
      </w:r>
      <w:r>
        <w:t xml:space="preserve">Aldersgate Capital</w:t>
      </w:r>
      <w:r>
        <w:t xml:space="preserve">”</w:t>
      </w:r>
      <w:r>
        <w:t xml:space="preserve"> </w:t>
      </w:r>
      <w:r>
        <w:t xml:space="preserve">[MEDIUM]</w:t>
      </w:r>
    </w:p>
    <w:p>
      <w:pPr>
        <w:pStyle w:val="FirstParagraph"/>
      </w:pPr>
      <w:r>
        <w:rPr>
          <w:b/>
          <w:bCs/>
        </w:rPr>
        <w:t xml:space="preserve">Description.</w:t>
      </w:r>
      <w:r>
        <w:t xml:space="preserve"> </w:t>
      </w:r>
      <w:r>
        <w:t xml:space="preserve">The Roadshow (Slide 29 note) refers to</w:t>
      </w:r>
      <w:r>
        <w:t xml:space="preserve"> </w:t>
      </w:r>
      <w:r>
        <w:t xml:space="preserve">“</w:t>
      </w:r>
      <w:r>
        <w:t xml:space="preserve">Crestview Capital</w:t>
      </w:r>
      <w:r>
        <w:t xml:space="preserve">”</w:t>
      </w:r>
      <w:r>
        <w:t xml:space="preserve"> </w:t>
      </w:r>
      <w:r>
        <w:t xml:space="preserve">as a Series B participant; all other documents use</w:t>
      </w:r>
      <w:r>
        <w:t xml:space="preserve"> </w:t>
      </w:r>
      <w:r>
        <w:t xml:space="preserve">“</w:t>
      </w:r>
      <w:r>
        <w:t xml:space="preserve">Aldersgate Capital</w:t>
      </w:r>
      <w:r>
        <w:t xml:space="preserve">”</w:t>
      </w:r>
      <w:r>
        <w:t xml:space="preserve"> </w:t>
      </w:r>
      <w:r>
        <w:t xml:space="preserve">(see Issue E-4).</w:t>
      </w:r>
    </w:p>
    <w:p>
      <w:pPr>
        <w:pStyle w:val="BodyText"/>
      </w:pPr>
      <w:r>
        <w:rPr>
          <w:b/>
          <w:bCs/>
        </w:rPr>
        <w:t xml:space="preserve">Recommendation.</w:t>
      </w:r>
      <w:r>
        <w:t xml:space="preserve"> </w:t>
      </w:r>
      <w:r>
        <w:t xml:space="preserve">Correct to</w:t>
      </w:r>
      <w:r>
        <w:t xml:space="preserve"> </w:t>
      </w:r>
      <w:r>
        <w:t xml:space="preserve">“</w:t>
      </w:r>
      <w:r>
        <w:t xml:space="preserve">Aldersgate Capital.</w:t>
      </w:r>
      <w:r>
        <w:t xml:space="preserve">”</w:t>
      </w:r>
    </w:p>
    <w:bookmarkEnd w:id="85"/>
    <w:bookmarkStart w:id="86" w:name="Xf5bc5dd9afddc59f691d92c26895e4b3d822e0b"/>
    <w:p>
      <w:pPr>
        <w:pStyle w:val="Heading3"/>
      </w:pPr>
      <w:r>
        <w:t xml:space="preserve">Issue G-6 —</w:t>
      </w:r>
      <w:r>
        <w:t xml:space="preserve"> </w:t>
      </w:r>
      <w:r>
        <w:t xml:space="preserve">“</w:t>
      </w:r>
      <w:r>
        <w:t xml:space="preserve">No single customer exceeds ~8%</w:t>
      </w:r>
      <w:r>
        <w:t xml:space="preserve">”</w:t>
      </w:r>
      <w:r>
        <w:t xml:space="preserve"> </w:t>
      </w:r>
      <w:r>
        <w:t xml:space="preserve">is slightly inaccurate [LOW]</w:t>
      </w:r>
    </w:p>
    <w:p>
      <w:pPr>
        <w:pStyle w:val="FirstParagraph"/>
      </w:pPr>
      <w:r>
        <w:rPr>
          <w:b/>
          <w:bCs/>
        </w:rPr>
        <w:t xml:space="preserve">Description.</w:t>
      </w:r>
      <w:r>
        <w:t xml:space="preserve"> </w:t>
      </w:r>
      <w:r>
        <w:t xml:space="preserve">The Roadshow (Slide 13) states</w:t>
      </w:r>
      <w:r>
        <w:t xml:space="preserve"> </w:t>
      </w:r>
      <w:r>
        <w:t xml:space="preserve">“</w:t>
      </w:r>
      <w:r>
        <w:t xml:space="preserve">[n]o single customer exceeds ~8% of total revenue.</w:t>
      </w:r>
      <w:r>
        <w:t xml:space="preserve">”</w:t>
      </w:r>
      <w:r>
        <w:t xml:space="preserve"> </w:t>
      </w:r>
      <w:r>
        <w:t xml:space="preserve">The largest customer (Harmon Industries) represents 8.2% of FY 2024 revenue, which exceeds 8%.</w:t>
      </w:r>
    </w:p>
    <w:p>
      <w:pPr>
        <w:pStyle w:val="BodyText"/>
      </w:pPr>
      <w:r>
        <w:rPr>
          <w:b/>
          <w:bCs/>
        </w:rPr>
        <w:t xml:space="preserve">Recommendation.</w:t>
      </w:r>
      <w:r>
        <w:t xml:space="preserve"> </w:t>
      </w:r>
      <w:r>
        <w:t xml:space="preserve">Revise to</w:t>
      </w:r>
      <w:r>
        <w:t xml:space="preserve"> </w:t>
      </w:r>
      <w:r>
        <w:t xml:space="preserve">“</w:t>
      </w:r>
      <w:r>
        <w:t xml:space="preserve">no single customer exceeds 10% of total revenue</w:t>
      </w:r>
      <w:r>
        <w:t xml:space="preserve">”</w:t>
      </w:r>
      <w:r>
        <w:t xml:space="preserve"> </w:t>
      </w:r>
      <w:r>
        <w:t xml:space="preserve">(consistent with the audited Note 3) or state the largest customer at 8.2%.</w:t>
      </w:r>
    </w:p>
    <w:bookmarkEnd w:id="86"/>
    <w:bookmarkStart w:id="87" w:name="X36f21df2544d430af0126c3875165f13fc13919"/>
    <w:p>
      <w:pPr>
        <w:pStyle w:val="Heading3"/>
      </w:pPr>
      <w:r>
        <w:t xml:space="preserve">Issue G-7 — Market-size (TAM/SAM) claims require independent sourcing [LOW-MEDIUM]</w:t>
      </w:r>
    </w:p>
    <w:p>
      <w:pPr>
        <w:pStyle w:val="FirstParagraph"/>
      </w:pPr>
      <w:r>
        <w:rPr>
          <w:b/>
          <w:bCs/>
        </w:rPr>
        <w:t xml:space="preserve">Description.</w:t>
      </w:r>
      <w:r>
        <w:t xml:space="preserve"> </w:t>
      </w:r>
      <w:r>
        <w:t xml:space="preserve">The Roadshow (Slide 11) states a TAM of $28 billion by 2028 and a SAM of $9 billion. These market-size estimates must be sourced to an independent third-party research provider in the S-1.</w:t>
      </w:r>
    </w:p>
    <w:p>
      <w:pPr>
        <w:pStyle w:val="BodyText"/>
      </w:pPr>
      <w:r>
        <w:rPr>
          <w:b/>
          <w:bCs/>
        </w:rPr>
        <w:t xml:space="preserve">Recommendation.</w:t>
      </w:r>
      <w:r>
        <w:t xml:space="preserve"> </w:t>
      </w:r>
      <w:r>
        <w:t xml:space="preserve">Obtain and cite an independent market-research source for any market-size claims included in the S-1.</w:t>
      </w:r>
    </w:p>
    <w:bookmarkEnd w:id="87"/>
    <w:bookmarkEnd w:id="88"/>
    <w:bookmarkStart w:id="93" w:name="ix.-consolidated-severity-ranked-summary"/>
    <w:p>
      <w:pPr>
        <w:pStyle w:val="Heading2"/>
      </w:pPr>
      <w:r>
        <w:t xml:space="preserve">IX. Consolidated Severity-Ranked Summary</w:t>
      </w:r>
    </w:p>
    <w:p>
      <w:pPr>
        <w:pStyle w:val="FirstParagraph"/>
      </w:pPr>
      <w:r>
        <w:t xml:space="preserve">The following table summarizes all identified issues by severity.</w:t>
      </w:r>
      <w:r>
        <w:t xml:space="preserve"> </w:t>
      </w:r>
      <w:r>
        <w:t xml:space="preserve">“</w:t>
      </w:r>
      <w:r>
        <w:t xml:space="preserve">High</w:t>
      </w:r>
      <w:r>
        <w:t xml:space="preserve">”</w:t>
      </w:r>
      <w:r>
        <w:t xml:space="preserve"> </w:t>
      </w:r>
      <w:r>
        <w:t xml:space="preserve">severity items should be resolved before the S-1 is filed;</w:t>
      </w:r>
      <w:r>
        <w:t xml:space="preserve"> </w:t>
      </w:r>
      <w:r>
        <w:t xml:space="preserve">“</w:t>
      </w:r>
      <w:r>
        <w:t xml:space="preserve">Medium-High</w:t>
      </w:r>
      <w:r>
        <w:t xml:space="preserve">”</w:t>
      </w:r>
      <w:r>
        <w:t xml:space="preserve"> </w:t>
      </w:r>
      <w:r>
        <w:t xml:space="preserve">items should be resolved before effectiveness;</w:t>
      </w:r>
      <w:r>
        <w:t xml:space="preserve"> </w:t>
      </w:r>
      <w:r>
        <w:t xml:space="preserve">“</w:t>
      </w:r>
      <w:r>
        <w:t xml:space="preserve">Medium</w:t>
      </w:r>
      <w:r>
        <w:t xml:space="preserve">”</w:t>
      </w:r>
      <w:r>
        <w:t xml:space="preserve"> </w:t>
      </w:r>
      <w:r>
        <w:t xml:space="preserve">and</w:t>
      </w:r>
      <w:r>
        <w:t xml:space="preserve"> </w:t>
      </w:r>
      <w:r>
        <w:t xml:space="preserve">“</w:t>
      </w:r>
      <w:r>
        <w:t xml:space="preserve">Low</w:t>
      </w:r>
      <w:r>
        <w:t xml:space="preserve">”</w:t>
      </w:r>
      <w:r>
        <w:t xml:space="preserve"> </w:t>
      </w:r>
      <w:r>
        <w:t xml:space="preserve">items should be resolved during the review cycle.</w:t>
      </w:r>
    </w:p>
    <w:bookmarkStart w:id="89" w:name="high-severity-resolve-before-filing"/>
    <w:p>
      <w:pPr>
        <w:pStyle w:val="Heading3"/>
      </w:pPr>
      <w:r>
        <w:t xml:space="preserve">High Severity (resolve before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Issue</w:t>
            </w:r>
          </w:p>
        </w:tc>
      </w:tr>
      <w:tr>
        <w:tc>
          <w:tcPr/>
          <w:p>
            <w:pPr>
              <w:pStyle w:val="Compact"/>
              <w:jc w:val="left"/>
            </w:pPr>
            <w:r>
              <w:t xml:space="preserve">A-1</w:t>
            </w:r>
          </w:p>
        </w:tc>
        <w:tc>
          <w:tcPr/>
          <w:p>
            <w:pPr>
              <w:pStyle w:val="Compact"/>
              <w:jc w:val="left"/>
            </w:pPr>
            <w:r>
              <w:t xml:space="preserve">Adjusted EBITDA reconciliation does not foot; $22.8M overstated (correct: $20.5M)</w:t>
            </w:r>
          </w:p>
        </w:tc>
      </w:tr>
      <w:tr>
        <w:tc>
          <w:tcPr/>
          <w:p>
            <w:pPr>
              <w:pStyle w:val="Compact"/>
              <w:jc w:val="left"/>
            </w:pPr>
            <w:r>
              <w:t xml:space="preserve">A-2</w:t>
            </w:r>
          </w:p>
        </w:tc>
        <w:tc>
          <w:tcPr/>
          <w:p>
            <w:pPr>
              <w:pStyle w:val="Compact"/>
              <w:jc w:val="left"/>
            </w:pPr>
            <w:r>
              <w:t xml:space="preserve">FY 2023 stock-based compensation: $29.1M (memo) vs. $26.4M (audited)</w:t>
            </w:r>
          </w:p>
        </w:tc>
      </w:tr>
      <w:tr>
        <w:tc>
          <w:tcPr/>
          <w:p>
            <w:pPr>
              <w:pStyle w:val="Compact"/>
              <w:jc w:val="left"/>
            </w:pPr>
            <w:r>
              <w:t xml:space="preserve">A-6</w:t>
            </w:r>
          </w:p>
        </w:tc>
        <w:tc>
          <w:tcPr/>
          <w:p>
            <w:pPr>
              <w:pStyle w:val="Compact"/>
              <w:jc w:val="left"/>
            </w:pPr>
            <w:r>
              <w:t xml:space="preserve">FY 2023 restructuring add-back: $0.6M (memo) vs. $0 (audited)</w:t>
            </w:r>
          </w:p>
        </w:tc>
      </w:tr>
      <w:tr>
        <w:tc>
          <w:tcPr/>
          <w:p>
            <w:pPr>
              <w:pStyle w:val="Compact"/>
              <w:jc w:val="left"/>
            </w:pPr>
            <w:r>
              <w:t xml:space="preserve">A-8</w:t>
            </w:r>
          </w:p>
        </w:tc>
        <w:tc>
          <w:tcPr/>
          <w:p>
            <w:pPr>
              <w:pStyle w:val="Compact"/>
              <w:jc w:val="left"/>
            </w:pPr>
            <w:r>
              <w:t xml:space="preserve">FY 2023 subscription revenue: $113.4M (memo) vs. $116.4M (audited)</w:t>
            </w:r>
          </w:p>
        </w:tc>
      </w:tr>
      <w:tr>
        <w:tc>
          <w:tcPr/>
          <w:p>
            <w:pPr>
              <w:pStyle w:val="Compact"/>
              <w:jc w:val="left"/>
            </w:pPr>
            <w:r>
              <w:t xml:space="preserve">A-9</w:t>
            </w:r>
          </w:p>
        </w:tc>
        <w:tc>
          <w:tcPr/>
          <w:p>
            <w:pPr>
              <w:pStyle w:val="Compact"/>
              <w:jc w:val="left"/>
            </w:pPr>
            <w:r>
              <w:t xml:space="preserve">FY 2023 professional services revenue: $15.5M (memo) vs. $12.5M (audited)</w:t>
            </w:r>
          </w:p>
        </w:tc>
      </w:tr>
      <w:tr>
        <w:tc>
          <w:tcPr/>
          <w:p>
            <w:pPr>
              <w:pStyle w:val="Compact"/>
              <w:jc w:val="left"/>
            </w:pPr>
            <w:r>
              <w:t xml:space="preserve">B-1</w:t>
            </w:r>
          </w:p>
        </w:tc>
        <w:tc>
          <w:tcPr/>
          <w:p>
            <w:pPr>
              <w:pStyle w:val="Compact"/>
              <w:jc w:val="left"/>
            </w:pPr>
            <w:r>
              <w:t xml:space="preserve">Credit Agreement date: Dec 15, 2022 (summary) vs. June 2023 (audited)</w:t>
            </w:r>
          </w:p>
        </w:tc>
      </w:tr>
      <w:tr>
        <w:tc>
          <w:tcPr/>
          <w:p>
            <w:pPr>
              <w:pStyle w:val="Compact"/>
              <w:jc w:val="left"/>
            </w:pPr>
            <w:r>
              <w:t xml:space="preserve">B-2</w:t>
            </w:r>
          </w:p>
        </w:tc>
        <w:tc>
          <w:tcPr/>
          <w:p>
            <w:pPr>
              <w:pStyle w:val="Compact"/>
              <w:jc w:val="left"/>
            </w:pPr>
            <w:r>
              <w:t xml:space="preserve">Initial draw / FY 2023 borrowings conflict</w:t>
            </w:r>
          </w:p>
        </w:tc>
      </w:tr>
      <w:tr>
        <w:tc>
          <w:tcPr/>
          <w:p>
            <w:pPr>
              <w:pStyle w:val="Compact"/>
              <w:jc w:val="left"/>
            </w:pPr>
            <w:r>
              <w:t xml:space="preserve">B-3</w:t>
            </w:r>
          </w:p>
        </w:tc>
        <w:tc>
          <w:tcPr/>
          <w:p>
            <w:pPr>
              <w:pStyle w:val="Compact"/>
              <w:jc w:val="left"/>
            </w:pPr>
            <w:r>
              <w:t xml:space="preserve">Term loan balance does not roll forward in the audited financials ($5.0M unexplained)</w:t>
            </w:r>
          </w:p>
        </w:tc>
      </w:tr>
      <w:tr>
        <w:tc>
          <w:tcPr/>
          <w:p>
            <w:pPr>
              <w:pStyle w:val="Compact"/>
              <w:jc w:val="left"/>
            </w:pPr>
            <w:r>
              <w:t xml:space="preserve">B-5</w:t>
            </w:r>
          </w:p>
        </w:tc>
        <w:tc>
          <w:tcPr/>
          <w:p>
            <w:pPr>
              <w:pStyle w:val="Compact"/>
              <w:jc w:val="left"/>
            </w:pPr>
            <w:r>
              <w:t xml:space="preserve">Lender name:</w:t>
            </w:r>
            <w:r>
              <w:t xml:space="preserve"> </w:t>
            </w:r>
            <w:r>
              <w:t xml:space="preserve">“</w:t>
            </w:r>
            <w:r>
              <w:t xml:space="preserve">Kestridge West</w:t>
            </w:r>
            <w:r>
              <w:t xml:space="preserve">”</w:t>
            </w:r>
            <w:r>
              <w:t xml:space="preserve"> </w:t>
            </w:r>
            <w:r>
              <w:t xml:space="preserve">vs. </w:t>
            </w:r>
            <w:r>
              <w:t xml:space="preserve">“</w:t>
            </w:r>
            <w:r>
              <w:t xml:space="preserve">Silicon Valley Credit Partners</w:t>
            </w:r>
            <w:r>
              <w:t xml:space="preserve">”</w:t>
            </w:r>
          </w:p>
        </w:tc>
      </w:tr>
      <w:tr>
        <w:tc>
          <w:tcPr/>
          <w:p>
            <w:pPr>
              <w:pStyle w:val="Compact"/>
              <w:jc w:val="left"/>
            </w:pPr>
            <w:r>
              <w:t xml:space="preserve">C-1</w:t>
            </w:r>
          </w:p>
        </w:tc>
        <w:tc>
          <w:tcPr/>
          <w:p>
            <w:pPr>
              <w:pStyle w:val="Compact"/>
              <w:jc w:val="left"/>
            </w:pPr>
            <w:r>
              <w:t xml:space="preserve">FY 2024 option grants: 2,940,000 @ $16.80 (plan) vs. 2,100,000 @ $14.80 (audited)</w:t>
            </w:r>
          </w:p>
        </w:tc>
      </w:tr>
      <w:tr>
        <w:tc>
          <w:tcPr/>
          <w:p>
            <w:pPr>
              <w:pStyle w:val="Compact"/>
              <w:jc w:val="left"/>
            </w:pPr>
            <w:r>
              <w:t xml:space="preserve">C-2</w:t>
            </w:r>
          </w:p>
        </w:tc>
        <w:tc>
          <w:tcPr/>
          <w:p>
            <w:pPr>
              <w:pStyle w:val="Compact"/>
              <w:jc w:val="left"/>
            </w:pPr>
            <w:r>
              <w:t xml:space="preserve">FY 2024 RSU grants: 2,450,000 @ $18.50 (plan) vs. 1,400,000 @ $18.20 (audited)</w:t>
            </w:r>
          </w:p>
        </w:tc>
      </w:tr>
      <w:tr>
        <w:tc>
          <w:tcPr/>
          <w:p>
            <w:pPr>
              <w:pStyle w:val="Compact"/>
              <w:jc w:val="left"/>
            </w:pPr>
            <w:r>
              <w:t xml:space="preserve">C-3</w:t>
            </w:r>
          </w:p>
        </w:tc>
        <w:tc>
          <w:tcPr/>
          <w:p>
            <w:pPr>
              <w:pStyle w:val="Compact"/>
              <w:jc w:val="left"/>
            </w:pPr>
            <w:r>
              <w:t xml:space="preserve">Option exercises: 60,000 (plan) vs. 1,900,000 (audited)</w:t>
            </w:r>
          </w:p>
        </w:tc>
      </w:tr>
      <w:tr>
        <w:tc>
          <w:tcPr/>
          <w:p>
            <w:pPr>
              <w:pStyle w:val="Compact"/>
              <w:jc w:val="left"/>
            </w:pPr>
            <w:r>
              <w:t xml:space="preserve">C-4</w:t>
            </w:r>
          </w:p>
        </w:tc>
        <w:tc>
          <w:tcPr/>
          <w:p>
            <w:pPr>
              <w:pStyle w:val="Compact"/>
              <w:jc w:val="left"/>
            </w:pPr>
            <w:r>
              <w:t xml:space="preserve">Equity Plan Records totals do not foot (3,000,000-share discrepancy)</w:t>
            </w:r>
          </w:p>
        </w:tc>
      </w:tr>
      <w:tr>
        <w:tc>
          <w:tcPr/>
          <w:p>
            <w:pPr>
              <w:pStyle w:val="Compact"/>
              <w:jc w:val="left"/>
            </w:pPr>
            <w:r>
              <w:t xml:space="preserve">C-5</w:t>
            </w:r>
          </w:p>
        </w:tc>
        <w:tc>
          <w:tcPr/>
          <w:p>
            <w:pPr>
              <w:pStyle w:val="Compact"/>
              <w:jc w:val="left"/>
            </w:pPr>
            <w:r>
              <w:t xml:space="preserve">RSU unvested balance at Jan 1, 2024 not supported by plan records</w:t>
            </w:r>
          </w:p>
        </w:tc>
      </w:tr>
      <w:tr>
        <w:tc>
          <w:tcPr/>
          <w:p>
            <w:pPr>
              <w:pStyle w:val="Compact"/>
              <w:jc w:val="left"/>
            </w:pPr>
            <w:r>
              <w:t xml:space="preserve">C-6</w:t>
            </w:r>
          </w:p>
        </w:tc>
        <w:tc>
          <w:tcPr/>
          <w:p>
            <w:pPr>
              <w:pStyle w:val="Compact"/>
              <w:jc w:val="left"/>
            </w:pPr>
            <w:r>
              <w:t xml:space="preserve">409A valuation inputs conflict with actual preferred-stock terms (Series A/B/C)</w:t>
            </w:r>
          </w:p>
        </w:tc>
      </w:tr>
      <w:tr>
        <w:tc>
          <w:tcPr/>
          <w:p>
            <w:pPr>
              <w:pStyle w:val="Compact"/>
              <w:jc w:val="left"/>
            </w:pPr>
            <w:r>
              <w:t xml:space="preserve">D-1</w:t>
            </w:r>
          </w:p>
        </w:tc>
        <w:tc>
          <w:tcPr/>
          <w:p>
            <w:pPr>
              <w:pStyle w:val="Compact"/>
              <w:jc w:val="left"/>
            </w:pPr>
            <w:r>
              <w:t xml:space="preserve">Board size: 7 (Charter) vs. 6 (Questionnaire); Katerina Litvak directorship</w:t>
            </w:r>
          </w:p>
        </w:tc>
      </w:tr>
      <w:tr>
        <w:tc>
          <w:tcPr/>
          <w:p>
            <w:pPr>
              <w:pStyle w:val="Compact"/>
              <w:jc w:val="left"/>
            </w:pPr>
            <w:r>
              <w:t xml:space="preserve">D-2</w:t>
            </w:r>
          </w:p>
        </w:tc>
        <w:tc>
          <w:tcPr/>
          <w:p>
            <w:pPr>
              <w:pStyle w:val="Compact"/>
              <w:jc w:val="left"/>
            </w:pPr>
            <w:r>
              <w:t xml:space="preserve">Director first names in RSU grants do not match governance documents</w:t>
            </w:r>
          </w:p>
        </w:tc>
      </w:tr>
      <w:tr>
        <w:tc>
          <w:tcPr/>
          <w:p>
            <w:pPr>
              <w:pStyle w:val="Compact"/>
              <w:jc w:val="left"/>
            </w:pPr>
            <w:r>
              <w:t xml:space="preserve">D-3</w:t>
            </w:r>
          </w:p>
        </w:tc>
        <w:tc>
          <w:tcPr/>
          <w:p>
            <w:pPr>
              <w:pStyle w:val="Compact"/>
              <w:jc w:val="left"/>
            </w:pPr>
            <w:r>
              <w:t xml:space="preserve">Sandra Y. Chen title:</w:t>
            </w:r>
            <w:r>
              <w:t xml:space="preserve"> </w:t>
            </w:r>
            <w:r>
              <w:t xml:space="preserve">“</w:t>
            </w:r>
            <w:r>
              <w:t xml:space="preserve">General Counsel</w:t>
            </w:r>
            <w:r>
              <w:t xml:space="preserve">”</w:t>
            </w:r>
            <w:r>
              <w:t xml:space="preserve"> </w:t>
            </w:r>
            <w:r>
              <w:t xml:space="preserve">vs. </w:t>
            </w:r>
            <w:r>
              <w:t xml:space="preserve">“</w:t>
            </w:r>
            <w:r>
              <w:t xml:space="preserve">CRO</w:t>
            </w:r>
            <w:r>
              <w:t xml:space="preserve">”</w:t>
            </w:r>
          </w:p>
        </w:tc>
      </w:tr>
      <w:tr>
        <w:tc>
          <w:tcPr/>
          <w:p>
            <w:pPr>
              <w:pStyle w:val="Compact"/>
              <w:jc w:val="left"/>
            </w:pPr>
            <w:r>
              <w:t xml:space="preserve">D-4</w:t>
            </w:r>
          </w:p>
        </w:tc>
        <w:tc>
          <w:tcPr/>
          <w:p>
            <w:pPr>
              <w:pStyle w:val="Compact"/>
              <w:jc w:val="left"/>
            </w:pPr>
            <w:r>
              <w:t xml:space="preserve">“</w:t>
            </w:r>
            <w:r>
              <w:t xml:space="preserve">Thomas Brennan, General Counsel</w:t>
            </w:r>
            <w:r>
              <w:t xml:space="preserve">”</w:t>
            </w:r>
            <w:r>
              <w:t xml:space="preserve"> </w:t>
            </w:r>
            <w:r>
              <w:t xml:space="preserve">conflicts with Sandra Y. Chen as General Counsel</w:t>
            </w:r>
          </w:p>
        </w:tc>
      </w:tr>
      <w:tr>
        <w:tc>
          <w:tcPr/>
          <w:p>
            <w:pPr>
              <w:pStyle w:val="Compact"/>
              <w:jc w:val="left"/>
            </w:pPr>
            <w:r>
              <w:t xml:space="preserve">E-1</w:t>
            </w:r>
          </w:p>
        </w:tc>
        <w:tc>
          <w:tcPr/>
          <w:p>
            <w:pPr>
              <w:pStyle w:val="Compact"/>
              <w:jc w:val="left"/>
            </w:pPr>
            <w:r>
              <w:t xml:space="preserve">CTO/co-founder name:</w:t>
            </w:r>
            <w:r>
              <w:t xml:space="preserve"> </w:t>
            </w:r>
            <w:r>
              <w:t xml:space="preserve">“</w:t>
            </w:r>
            <w:r>
              <w:t xml:space="preserve">Litvak</w:t>
            </w:r>
            <w:r>
              <w:t xml:space="preserve">”</w:t>
            </w:r>
            <w:r>
              <w:t xml:space="preserve"> </w:t>
            </w:r>
            <w:r>
              <w:t xml:space="preserve">vs. </w:t>
            </w:r>
            <w:r>
              <w:t xml:space="preserve">“</w:t>
            </w:r>
            <w:r>
              <w:t xml:space="preserve">Litvanova</w:t>
            </w:r>
            <w:r>
              <w:t xml:space="preserve">”</w:t>
            </w:r>
          </w:p>
        </w:tc>
      </w:tr>
      <w:tr>
        <w:tc>
          <w:tcPr/>
          <w:p>
            <w:pPr>
              <w:pStyle w:val="Compact"/>
              <w:jc w:val="left"/>
            </w:pPr>
            <w:r>
              <w:t xml:space="preserve">F-2</w:t>
            </w:r>
          </w:p>
        </w:tc>
        <w:tc>
          <w:tcPr/>
          <w:p>
            <w:pPr>
              <w:pStyle w:val="Compact"/>
              <w:jc w:val="left"/>
            </w:pPr>
            <w:r>
              <w:t xml:space="preserve">Vantara related-party transaction not consistently disclosed</w:t>
            </w:r>
          </w:p>
        </w:tc>
      </w:tr>
      <w:tr>
        <w:tc>
          <w:tcPr/>
          <w:p>
            <w:pPr>
              <w:pStyle w:val="Compact"/>
              <w:jc w:val="left"/>
            </w:pPr>
            <w:r>
              <w:t xml:space="preserve">G-1</w:t>
            </w:r>
          </w:p>
        </w:tc>
        <w:tc>
          <w:tcPr/>
          <w:p>
            <w:pPr>
              <w:pStyle w:val="Compact"/>
              <w:jc w:val="left"/>
            </w:pPr>
            <w:r>
              <w:t xml:space="preserve">Professional services described as</w:t>
            </w:r>
            <w:r>
              <w:t xml:space="preserve"> </w:t>
            </w:r>
            <w:r>
              <w:t xml:space="preserve">“</w:t>
            </w:r>
            <w:r>
              <w:t xml:space="preserve">high-margin</w:t>
            </w:r>
            <w:r>
              <w:t xml:space="preserve">”</w:t>
            </w:r>
            <w:r>
              <w:t xml:space="preserve"> </w:t>
            </w:r>
            <w:r>
              <w:t xml:space="preserve">despite negative gross margin</w:t>
            </w:r>
          </w:p>
        </w:tc>
      </w:tr>
      <w:tr>
        <w:tc>
          <w:tcPr/>
          <w:p>
            <w:pPr>
              <w:pStyle w:val="Compact"/>
              <w:jc w:val="left"/>
            </w:pPr>
            <w:r>
              <w:t xml:space="preserve">G-3</w:t>
            </w:r>
          </w:p>
        </w:tc>
        <w:tc>
          <w:tcPr/>
          <w:p>
            <w:pPr>
              <w:pStyle w:val="Compact"/>
              <w:jc w:val="left"/>
            </w:pPr>
            <w:r>
              <w:t xml:space="preserve">Adjusted EBITDA $22.8M repeated in Roadshow</w:t>
            </w:r>
          </w:p>
        </w:tc>
      </w:tr>
      <w:tr>
        <w:tc>
          <w:tcPr/>
          <w:p>
            <w:pPr>
              <w:pStyle w:val="Compact"/>
              <w:jc w:val="left"/>
            </w:pPr>
            <w:r>
              <w:t xml:space="preserve">G-4</w:t>
            </w:r>
          </w:p>
        </w:tc>
        <w:tc>
          <w:tcPr/>
          <w:p>
            <w:pPr>
              <w:pStyle w:val="Compact"/>
              <w:jc w:val="left"/>
            </w:pPr>
            <w:r>
              <w:t xml:space="preserve">Roadshow uses wrong lender name</w:t>
            </w:r>
          </w:p>
        </w:tc>
      </w:tr>
    </w:tbl>
    <w:bookmarkEnd w:id="89"/>
    <w:bookmarkStart w:id="90" w:name="X3c74c6d10b3b63e45000ea87ae048e84b993e74"/>
    <w:p>
      <w:pPr>
        <w:pStyle w:val="Heading3"/>
      </w:pPr>
      <w:r>
        <w:t xml:space="preserve">Medium-High Severity (resolve before effectiveness)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Issue</w:t>
            </w:r>
          </w:p>
        </w:tc>
      </w:tr>
      <w:tr>
        <w:tc>
          <w:tcPr/>
          <w:p>
            <w:pPr>
              <w:pStyle w:val="Compact"/>
              <w:jc w:val="left"/>
            </w:pPr>
            <w:r>
              <w:t xml:space="preserve">A-11</w:t>
            </w:r>
          </w:p>
        </w:tc>
        <w:tc>
          <w:tcPr/>
          <w:p>
            <w:pPr>
              <w:pStyle w:val="Compact"/>
              <w:jc w:val="left"/>
            </w:pPr>
            <w:r>
              <w:t xml:space="preserve">Condensed balance sheet line items (CFO Memo) do not match audited balance sheet</w:t>
            </w:r>
          </w:p>
        </w:tc>
      </w:tr>
      <w:tr>
        <w:tc>
          <w:tcPr/>
          <w:p>
            <w:pPr>
              <w:pStyle w:val="Compact"/>
              <w:jc w:val="left"/>
            </w:pPr>
            <w:r>
              <w:t xml:space="preserve">B-4</w:t>
            </w:r>
          </w:p>
        </w:tc>
        <w:tc>
          <w:tcPr/>
          <w:p>
            <w:pPr>
              <w:pStyle w:val="Compact"/>
              <w:jc w:val="left"/>
            </w:pPr>
            <w:r>
              <w:t xml:space="preserve">Current portion of term loan not classified on the balance sheet</w:t>
            </w:r>
          </w:p>
        </w:tc>
      </w:tr>
      <w:tr>
        <w:tc>
          <w:tcPr/>
          <w:p>
            <w:pPr>
              <w:pStyle w:val="Compact"/>
              <w:jc w:val="left"/>
            </w:pPr>
            <w:r>
              <w:t xml:space="preserve">C-7</w:t>
            </w:r>
          </w:p>
        </w:tc>
        <w:tc>
          <w:tcPr/>
          <w:p>
            <w:pPr>
              <w:pStyle w:val="Compact"/>
              <w:jc w:val="left"/>
            </w:pPr>
            <w:r>
              <w:t xml:space="preserve">Q1 2023 option grants priced below contemporaneous 409A valuation</w:t>
            </w:r>
          </w:p>
        </w:tc>
      </w:tr>
      <w:tr>
        <w:tc>
          <w:tcPr/>
          <w:p>
            <w:pPr>
              <w:pStyle w:val="Compact"/>
              <w:jc w:val="left"/>
            </w:pPr>
            <w:r>
              <w:t xml:space="preserve">D-5</w:t>
            </w:r>
          </w:p>
        </w:tc>
        <w:tc>
          <w:tcPr/>
          <w:p>
            <w:pPr>
              <w:pStyle w:val="Compact"/>
              <w:jc w:val="left"/>
            </w:pPr>
            <w:r>
              <w:t xml:space="preserve">Controlled company exemption not formally elected</w:t>
            </w:r>
          </w:p>
        </w:tc>
      </w:tr>
      <w:tr>
        <w:tc>
          <w:tcPr/>
          <w:p>
            <w:pPr>
              <w:pStyle w:val="Compact"/>
              <w:jc w:val="left"/>
            </w:pPr>
            <w:r>
              <w:t xml:space="preserve">F-1</w:t>
            </w:r>
          </w:p>
        </w:tc>
        <w:tc>
          <w:tcPr/>
          <w:p>
            <w:pPr>
              <w:pStyle w:val="Compact"/>
              <w:jc w:val="left"/>
            </w:pPr>
            <w:r>
              <w:t xml:space="preserve">Dual-class structure has no sunset provision</w:t>
            </w:r>
          </w:p>
        </w:tc>
      </w:tr>
      <w:tr>
        <w:tc>
          <w:tcPr/>
          <w:p>
            <w:pPr>
              <w:pStyle w:val="Compact"/>
              <w:jc w:val="left"/>
            </w:pPr>
            <w:r>
              <w:t xml:space="preserve">F-3</w:t>
            </w:r>
          </w:p>
        </w:tc>
        <w:tc>
          <w:tcPr/>
          <w:p>
            <w:pPr>
              <w:pStyle w:val="Compact"/>
              <w:jc w:val="left"/>
            </w:pPr>
            <w:r>
              <w:t xml:space="preserve">Aldersgate Capital beneficial-ownership gap</w:t>
            </w:r>
          </w:p>
        </w:tc>
      </w:tr>
      <w:tr>
        <w:tc>
          <w:tcPr/>
          <w:p>
            <w:pPr>
              <w:pStyle w:val="Compact"/>
              <w:jc w:val="left"/>
            </w:pPr>
            <w:r>
              <w:t xml:space="preserve">F-4</w:t>
            </w:r>
          </w:p>
        </w:tc>
        <w:tc>
          <w:tcPr/>
          <w:p>
            <w:pPr>
              <w:pStyle w:val="Compact"/>
              <w:jc w:val="left"/>
            </w:pPr>
            <w:r>
              <w:t xml:space="preserve">Beneficial-ownership denominator methodology inconsistent</w:t>
            </w:r>
          </w:p>
        </w:tc>
      </w:tr>
      <w:tr>
        <w:tc>
          <w:tcPr/>
          <w:p>
            <w:pPr>
              <w:pStyle w:val="Compact"/>
              <w:jc w:val="left"/>
            </w:pPr>
            <w:r>
              <w:t xml:space="preserve">F-5</w:t>
            </w:r>
          </w:p>
        </w:tc>
        <w:tc>
          <w:tcPr/>
          <w:p>
            <w:pPr>
              <w:pStyle w:val="Compact"/>
              <w:jc w:val="left"/>
            </w:pPr>
            <w:r>
              <w:t xml:space="preserve">Section 382 / NOL limitation risk</w:t>
            </w:r>
          </w:p>
        </w:tc>
      </w:tr>
      <w:tr>
        <w:tc>
          <w:tcPr/>
          <w:p>
            <w:pPr>
              <w:pStyle w:val="Compact"/>
              <w:jc w:val="left"/>
            </w:pPr>
            <w:r>
              <w:t xml:space="preserve">F-7</w:t>
            </w:r>
          </w:p>
        </w:tc>
        <w:tc>
          <w:tcPr/>
          <w:p>
            <w:pPr>
              <w:pStyle w:val="Compact"/>
              <w:jc w:val="left"/>
            </w:pPr>
            <w:r>
              <w:t xml:space="preserve">Optivance litigation could trigger term-loan default</w:t>
            </w:r>
          </w:p>
        </w:tc>
      </w:tr>
      <w:tr>
        <w:tc>
          <w:tcPr/>
          <w:p>
            <w:pPr>
              <w:pStyle w:val="Compact"/>
              <w:jc w:val="left"/>
            </w:pPr>
            <w:r>
              <w:t xml:space="preserve">G-2</w:t>
            </w:r>
          </w:p>
        </w:tc>
        <w:tc>
          <w:tcPr/>
          <w:p>
            <w:pPr>
              <w:pStyle w:val="Compact"/>
              <w:jc w:val="left"/>
            </w:pPr>
            <w:r>
              <w:t xml:space="preserve">Use-of-proceeds allocations differ across documents</w:t>
            </w:r>
          </w:p>
        </w:tc>
      </w:tr>
    </w:tbl>
    <w:bookmarkEnd w:id="90"/>
    <w:bookmarkStart w:id="91" w:name="Xee9d4d83f6c68e813d51e3a5b0ae539eafd129f"/>
    <w:p>
      <w:pPr>
        <w:pStyle w:val="Heading3"/>
      </w:pPr>
      <w:r>
        <w:t xml:space="preserve">Medium Severity (resolve during review cycle)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Issue</w:t>
            </w:r>
          </w:p>
        </w:tc>
      </w:tr>
      <w:tr>
        <w:tc>
          <w:tcPr/>
          <w:p>
            <w:pPr>
              <w:pStyle w:val="Compact"/>
              <w:jc w:val="left"/>
            </w:pPr>
            <w:r>
              <w:t xml:space="preserve">A-3</w:t>
            </w:r>
          </w:p>
        </w:tc>
        <w:tc>
          <w:tcPr/>
          <w:p>
            <w:pPr>
              <w:pStyle w:val="Compact"/>
              <w:jc w:val="left"/>
            </w:pPr>
            <w:r>
              <w:t xml:space="preserve">FY 2023 interest expense: $2.8M (memo) vs. $3.1M (audited)</w:t>
            </w:r>
          </w:p>
        </w:tc>
      </w:tr>
      <w:tr>
        <w:tc>
          <w:tcPr/>
          <w:p>
            <w:pPr>
              <w:pStyle w:val="Compact"/>
              <w:jc w:val="left"/>
            </w:pPr>
            <w:r>
              <w:t xml:space="preserve">A-4</w:t>
            </w:r>
          </w:p>
        </w:tc>
        <w:tc>
          <w:tcPr/>
          <w:p>
            <w:pPr>
              <w:pStyle w:val="Compact"/>
              <w:jc w:val="left"/>
            </w:pPr>
            <w:r>
              <w:t xml:space="preserve">FY 2023 interest income: $4.6M (memo) vs. $5.8M (audited)</w:t>
            </w:r>
          </w:p>
        </w:tc>
      </w:tr>
      <w:tr>
        <w:tc>
          <w:tcPr/>
          <w:p>
            <w:pPr>
              <w:pStyle w:val="Compact"/>
              <w:jc w:val="left"/>
            </w:pPr>
            <w:r>
              <w:t xml:space="preserve">A-5</w:t>
            </w:r>
          </w:p>
        </w:tc>
        <w:tc>
          <w:tcPr/>
          <w:p>
            <w:pPr>
              <w:pStyle w:val="Compact"/>
              <w:jc w:val="left"/>
            </w:pPr>
            <w:r>
              <w:t xml:space="preserve">FY 2023 income tax: $0.2M (memo) vs. $0.1M (audited)</w:t>
            </w:r>
          </w:p>
        </w:tc>
      </w:tr>
      <w:tr>
        <w:tc>
          <w:tcPr/>
          <w:p>
            <w:pPr>
              <w:pStyle w:val="Compact"/>
              <w:jc w:val="left"/>
            </w:pPr>
            <w:r>
              <w:t xml:space="preserve">A-7</w:t>
            </w:r>
          </w:p>
        </w:tc>
        <w:tc>
          <w:tcPr/>
          <w:p>
            <w:pPr>
              <w:pStyle w:val="Compact"/>
              <w:jc w:val="left"/>
            </w:pPr>
            <w:r>
              <w:t xml:space="preserve">FY 2023 D&amp;A: $6.9M (memo) vs. $7.1M (audited)</w:t>
            </w:r>
          </w:p>
        </w:tc>
      </w:tr>
      <w:tr>
        <w:tc>
          <w:tcPr/>
          <w:p>
            <w:pPr>
              <w:pStyle w:val="Compact"/>
              <w:jc w:val="left"/>
            </w:pPr>
            <w:r>
              <w:t xml:space="preserve">A-10</w:t>
            </w:r>
          </w:p>
        </w:tc>
        <w:tc>
          <w:tcPr/>
          <w:p>
            <w:pPr>
              <w:pStyle w:val="Compact"/>
              <w:jc w:val="left"/>
            </w:pPr>
            <w:r>
              <w:t xml:space="preserve">Restructuring description: 30/Q2 (memo) vs. 46/Q3 (audited)</w:t>
            </w:r>
          </w:p>
        </w:tc>
      </w:tr>
      <w:tr>
        <w:tc>
          <w:tcPr/>
          <w:p>
            <w:pPr>
              <w:pStyle w:val="Compact"/>
              <w:jc w:val="left"/>
            </w:pPr>
            <w:r>
              <w:t xml:space="preserve">C-8</w:t>
            </w:r>
          </w:p>
        </w:tc>
        <w:tc>
          <w:tcPr/>
          <w:p>
            <w:pPr>
              <w:pStyle w:val="Compact"/>
              <w:jc w:val="left"/>
            </w:pPr>
            <w:r>
              <w:t xml:space="preserve">Retrospective 409A valuations referenced for several grants</w:t>
            </w:r>
          </w:p>
        </w:tc>
      </w:tr>
      <w:tr>
        <w:tc>
          <w:tcPr/>
          <w:p>
            <w:pPr>
              <w:pStyle w:val="Compact"/>
              <w:jc w:val="left"/>
            </w:pPr>
            <w:r>
              <w:t xml:space="preserve">C-9</w:t>
            </w:r>
          </w:p>
        </w:tc>
        <w:tc>
          <w:tcPr/>
          <w:p>
            <w:pPr>
              <w:pStyle w:val="Compact"/>
              <w:jc w:val="left"/>
            </w:pPr>
            <w:r>
              <w:t xml:space="preserve">Dec 31, 2024 409A valuation preliminary and below prior valuation</w:t>
            </w:r>
          </w:p>
        </w:tc>
      </w:tr>
      <w:tr>
        <w:tc>
          <w:tcPr/>
          <w:p>
            <w:pPr>
              <w:pStyle w:val="Compact"/>
              <w:jc w:val="left"/>
            </w:pPr>
            <w:r>
              <w:t xml:space="preserve">D-6</w:t>
            </w:r>
          </w:p>
        </w:tc>
        <w:tc>
          <w:tcPr/>
          <w:p>
            <w:pPr>
              <w:pStyle w:val="Compact"/>
              <w:jc w:val="left"/>
            </w:pPr>
            <w:r>
              <w:t xml:space="preserve">Committee composition incomplete</w:t>
            </w:r>
          </w:p>
        </w:tc>
      </w:tr>
      <w:tr>
        <w:tc>
          <w:tcPr/>
          <w:p>
            <w:pPr>
              <w:pStyle w:val="Compact"/>
              <w:jc w:val="left"/>
            </w:pPr>
            <w:r>
              <w:t xml:space="preserve">E-2</w:t>
            </w:r>
          </w:p>
        </w:tc>
        <w:tc>
          <w:tcPr/>
          <w:p>
            <w:pPr>
              <w:pStyle w:val="Compact"/>
              <w:jc w:val="left"/>
            </w:pPr>
            <w:r>
              <w:t xml:space="preserve">Transfer agent:</w:t>
            </w:r>
            <w:r>
              <w:t xml:space="preserve"> </w:t>
            </w:r>
            <w:r>
              <w:t xml:space="preserve">“</w:t>
            </w:r>
            <w:r>
              <w:t xml:space="preserve">Oakvale</w:t>
            </w:r>
            <w:r>
              <w:t xml:space="preserve">”</w:t>
            </w:r>
            <w:r>
              <w:t xml:space="preserve"> </w:t>
            </w:r>
            <w:r>
              <w:t xml:space="preserve">vs. </w:t>
            </w:r>
            <w:r>
              <w:t xml:space="preserve">“</w:t>
            </w:r>
            <w:r>
              <w:t xml:space="preserve">Computershare</w:t>
            </w:r>
            <w:r>
              <w:t xml:space="preserve">”</w:t>
            </w:r>
          </w:p>
        </w:tc>
      </w:tr>
      <w:tr>
        <w:tc>
          <w:tcPr/>
          <w:p>
            <w:pPr>
              <w:pStyle w:val="Compact"/>
              <w:jc w:val="left"/>
            </w:pPr>
            <w:r>
              <w:t xml:space="preserve">E-4</w:t>
            </w:r>
          </w:p>
        </w:tc>
        <w:tc>
          <w:tcPr/>
          <w:p>
            <w:pPr>
              <w:pStyle w:val="Compact"/>
              <w:jc w:val="left"/>
            </w:pPr>
            <w:r>
              <w:t xml:space="preserve">Series B participant:</w:t>
            </w:r>
            <w:r>
              <w:t xml:space="preserve"> </w:t>
            </w:r>
            <w:r>
              <w:t xml:space="preserve">“</w:t>
            </w:r>
            <w:r>
              <w:t xml:space="preserve">Aldersgate</w:t>
            </w:r>
            <w:r>
              <w:t xml:space="preserve">”</w:t>
            </w:r>
            <w:r>
              <w:t xml:space="preserve"> </w:t>
            </w:r>
            <w:r>
              <w:t xml:space="preserve">vs. </w:t>
            </w:r>
            <w:r>
              <w:t xml:space="preserve">“</w:t>
            </w:r>
            <w:r>
              <w:t xml:space="preserve">Crestview</w:t>
            </w:r>
            <w:r>
              <w:t xml:space="preserve">”</w:t>
            </w:r>
          </w:p>
        </w:tc>
      </w:tr>
      <w:tr>
        <w:tc>
          <w:tcPr/>
          <w:p>
            <w:pPr>
              <w:pStyle w:val="Compact"/>
              <w:jc w:val="left"/>
            </w:pPr>
            <w:r>
              <w:t xml:space="preserve">E-5</w:t>
            </w:r>
          </w:p>
        </w:tc>
        <w:tc>
          <w:tcPr/>
          <w:p>
            <w:pPr>
              <w:pStyle w:val="Compact"/>
              <w:jc w:val="left"/>
            </w:pPr>
            <w:r>
              <w:t xml:space="preserve">Ridgeline fund name:</w:t>
            </w:r>
            <w:r>
              <w:t xml:space="preserve"> </w:t>
            </w:r>
            <w:r>
              <w:t xml:space="preserve">“</w:t>
            </w:r>
            <w:r>
              <w:t xml:space="preserve">Fund II</w:t>
            </w:r>
            <w:r>
              <w:t xml:space="preserve">”</w:t>
            </w:r>
            <w:r>
              <w:t xml:space="preserve"> </w:t>
            </w:r>
            <w:r>
              <w:t xml:space="preserve">vs. </w:t>
            </w:r>
            <w:r>
              <w:t xml:space="preserve">“</w:t>
            </w:r>
            <w:r>
              <w:t xml:space="preserve">Fund V</w:t>
            </w:r>
            <w:r>
              <w:t xml:space="preserve">”</w:t>
            </w:r>
          </w:p>
        </w:tc>
      </w:tr>
      <w:tr>
        <w:tc>
          <w:tcPr/>
          <w:p>
            <w:pPr>
              <w:pStyle w:val="Compact"/>
              <w:jc w:val="left"/>
            </w:pPr>
            <w:r>
              <w:t xml:space="preserve">F-6</w:t>
            </w:r>
          </w:p>
        </w:tc>
        <w:tc>
          <w:tcPr/>
          <w:p>
            <w:pPr>
              <w:pStyle w:val="Compact"/>
              <w:jc w:val="left"/>
            </w:pPr>
            <w:r>
              <w:t xml:space="preserve">IP pledged as collateral for the term loan</w:t>
            </w:r>
          </w:p>
        </w:tc>
      </w:tr>
      <w:tr>
        <w:tc>
          <w:tcPr/>
          <w:p>
            <w:pPr>
              <w:pStyle w:val="Compact"/>
              <w:jc w:val="left"/>
            </w:pPr>
            <w:r>
              <w:t xml:space="preserve">F-8</w:t>
            </w:r>
          </w:p>
        </w:tc>
        <w:tc>
          <w:tcPr/>
          <w:p>
            <w:pPr>
              <w:pStyle w:val="Compact"/>
              <w:jc w:val="left"/>
            </w:pPr>
            <w:r>
              <w:t xml:space="preserve">30-day IPO notice to lender</w:t>
            </w:r>
          </w:p>
        </w:tc>
      </w:tr>
      <w:tr>
        <w:tc>
          <w:tcPr/>
          <w:p>
            <w:pPr>
              <w:pStyle w:val="Compact"/>
              <w:jc w:val="left"/>
            </w:pPr>
            <w:r>
              <w:t xml:space="preserve">F-9</w:t>
            </w:r>
          </w:p>
        </w:tc>
        <w:tc>
          <w:tcPr/>
          <w:p>
            <w:pPr>
              <w:pStyle w:val="Compact"/>
              <w:jc w:val="left"/>
            </w:pPr>
            <w:r>
              <w:t xml:space="preserve">Registration rights granted to preferred holders</w:t>
            </w:r>
          </w:p>
        </w:tc>
      </w:tr>
      <w:tr>
        <w:tc>
          <w:tcPr/>
          <w:p>
            <w:pPr>
              <w:pStyle w:val="Compact"/>
              <w:jc w:val="left"/>
            </w:pPr>
            <w:r>
              <w:t xml:space="preserve">F-11</w:t>
            </w:r>
          </w:p>
        </w:tc>
        <w:tc>
          <w:tcPr/>
          <w:p>
            <w:pPr>
              <w:pStyle w:val="Compact"/>
              <w:jc w:val="left"/>
            </w:pPr>
            <w:r>
              <w:t xml:space="preserve">Affiliate-transactions covenant and the Vantara agreement</w:t>
            </w:r>
          </w:p>
        </w:tc>
      </w:tr>
      <w:tr>
        <w:tc>
          <w:tcPr/>
          <w:p>
            <w:pPr>
              <w:pStyle w:val="Compact"/>
              <w:jc w:val="left"/>
            </w:pPr>
            <w:r>
              <w:t xml:space="preserve">F-13</w:t>
            </w:r>
          </w:p>
        </w:tc>
        <w:tc>
          <w:tcPr/>
          <w:p>
            <w:pPr>
              <w:pStyle w:val="Compact"/>
              <w:jc w:val="left"/>
            </w:pPr>
            <w:r>
              <w:t xml:space="preserve">Auditor’s report date and S-1 filing-date timing inconsistency</w:t>
            </w:r>
          </w:p>
        </w:tc>
      </w:tr>
      <w:tr>
        <w:tc>
          <w:tcPr/>
          <w:p>
            <w:pPr>
              <w:pStyle w:val="Compact"/>
              <w:jc w:val="left"/>
            </w:pPr>
            <w:r>
              <w:t xml:space="preserve">F-15</w:t>
            </w:r>
          </w:p>
        </w:tc>
        <w:tc>
          <w:tcPr/>
          <w:p>
            <w:pPr>
              <w:pStyle w:val="Compact"/>
              <w:jc w:val="left"/>
            </w:pPr>
            <w:r>
              <w:t xml:space="preserve">Lock-up must bind fund-level entities</w:t>
            </w:r>
          </w:p>
        </w:tc>
      </w:tr>
      <w:tr>
        <w:tc>
          <w:tcPr/>
          <w:p>
            <w:pPr>
              <w:pStyle w:val="Compact"/>
              <w:jc w:val="left"/>
            </w:pPr>
            <w:r>
              <w:t xml:space="preserve">G-5</w:t>
            </w:r>
          </w:p>
        </w:tc>
        <w:tc>
          <w:tcPr/>
          <w:p>
            <w:pPr>
              <w:pStyle w:val="Compact"/>
              <w:jc w:val="left"/>
            </w:pPr>
            <w:r>
              <w:t xml:space="preserve">Roadshow refers to</w:t>
            </w:r>
            <w:r>
              <w:t xml:space="preserve"> </w:t>
            </w:r>
            <w:r>
              <w:t xml:space="preserve">“</w:t>
            </w:r>
            <w:r>
              <w:t xml:space="preserve">Crestview Capital</w:t>
            </w:r>
            <w:r>
              <w:t xml:space="preserve">”</w:t>
            </w:r>
            <w:r>
              <w:t xml:space="preserve"> </w:t>
            </w:r>
            <w:r>
              <w:t xml:space="preserve">instead of</w:t>
            </w:r>
            <w:r>
              <w:t xml:space="preserve"> </w:t>
            </w:r>
            <w:r>
              <w:t xml:space="preserve">“</w:t>
            </w:r>
            <w:r>
              <w:t xml:space="preserve">Aldersgate Capital</w:t>
            </w:r>
            <w:r>
              <w:t xml:space="preserve">”</w:t>
            </w:r>
          </w:p>
        </w:tc>
      </w:tr>
      <w:tr>
        <w:tc>
          <w:tcPr/>
          <w:p>
            <w:pPr>
              <w:pStyle w:val="Compact"/>
              <w:jc w:val="left"/>
            </w:pPr>
            <w:r>
              <w:t xml:space="preserve">G-7</w:t>
            </w:r>
          </w:p>
        </w:tc>
        <w:tc>
          <w:tcPr/>
          <w:p>
            <w:pPr>
              <w:pStyle w:val="Compact"/>
              <w:jc w:val="left"/>
            </w:pPr>
            <w:r>
              <w:t xml:space="preserve">Market-size claims require independent sourcing</w:t>
            </w:r>
          </w:p>
        </w:tc>
      </w:tr>
    </w:tbl>
    <w:bookmarkEnd w:id="91"/>
    <w:bookmarkStart w:id="92" w:name="X2db2b0917e0fa22e366900eb1b7b0875c2aef16"/>
    <w:p>
      <w:pPr>
        <w:pStyle w:val="Heading3"/>
      </w:pPr>
      <w:r>
        <w:t xml:space="preserve">Low / Low-Medium Severity (resolve during review cycle)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w:t>
            </w:r>
          </w:p>
        </w:tc>
        <w:tc>
          <w:tcPr/>
          <w:p>
            <w:pPr>
              <w:pStyle w:val="Compact"/>
              <w:jc w:val="left"/>
            </w:pPr>
            <w:r>
              <w:t xml:space="preserve">Issue</w:t>
            </w:r>
          </w:p>
        </w:tc>
      </w:tr>
      <w:tr>
        <w:tc>
          <w:tcPr/>
          <w:p>
            <w:pPr>
              <w:pStyle w:val="Compact"/>
              <w:jc w:val="left"/>
            </w:pPr>
            <w:r>
              <w:t xml:space="preserve">D-7</w:t>
            </w:r>
          </w:p>
        </w:tc>
        <w:tc>
          <w:tcPr/>
          <w:p>
            <w:pPr>
              <w:pStyle w:val="Compact"/>
              <w:jc w:val="left"/>
            </w:pPr>
            <w:r>
              <w:t xml:space="preserve">Director ages not provided</w:t>
            </w:r>
          </w:p>
        </w:tc>
      </w:tr>
      <w:tr>
        <w:tc>
          <w:tcPr/>
          <w:p>
            <w:pPr>
              <w:pStyle w:val="Compact"/>
              <w:jc w:val="left"/>
            </w:pPr>
            <w:r>
              <w:t xml:space="preserve">E-3</w:t>
            </w:r>
          </w:p>
        </w:tc>
        <w:tc>
          <w:tcPr/>
          <w:p>
            <w:pPr>
              <w:pStyle w:val="Compact"/>
              <w:jc w:val="left"/>
            </w:pPr>
            <w:r>
              <w:t xml:space="preserve">Issuer’s counsel address:</w:t>
            </w:r>
            <w:r>
              <w:t xml:space="preserve"> </w:t>
            </w:r>
            <w:r>
              <w:t xml:space="preserve">“</w:t>
            </w:r>
            <w:r>
              <w:t xml:space="preserve">600</w:t>
            </w:r>
            <w:r>
              <w:t xml:space="preserve">”</w:t>
            </w:r>
            <w:r>
              <w:t xml:space="preserve"> </w:t>
            </w:r>
            <w:r>
              <w:t xml:space="preserve">vs. </w:t>
            </w:r>
            <w:r>
              <w:t xml:space="preserve">“</w:t>
            </w:r>
            <w:r>
              <w:t xml:space="preserve">610</w:t>
            </w:r>
            <w:r>
              <w:t xml:space="preserve">”</w:t>
            </w:r>
            <w:r>
              <w:t xml:space="preserve"> </w:t>
            </w:r>
            <w:r>
              <w:t xml:space="preserve">Lexington Avenue</w:t>
            </w:r>
          </w:p>
        </w:tc>
      </w:tr>
      <w:tr>
        <w:tc>
          <w:tcPr/>
          <w:p>
            <w:pPr>
              <w:pStyle w:val="Compact"/>
              <w:jc w:val="left"/>
            </w:pPr>
            <w:r>
              <w:t xml:space="preserve">E-6</w:t>
            </w:r>
          </w:p>
        </w:tc>
        <w:tc>
          <w:tcPr/>
          <w:p>
            <w:pPr>
              <w:pStyle w:val="Compact"/>
              <w:jc w:val="left"/>
            </w:pPr>
            <w:r>
              <w:t xml:space="preserve">Graymont share count: 23,607,067 vs. 23,602,133</w:t>
            </w:r>
          </w:p>
        </w:tc>
      </w:tr>
      <w:tr>
        <w:tc>
          <w:tcPr/>
          <w:p>
            <w:pPr>
              <w:pStyle w:val="Compact"/>
              <w:jc w:val="left"/>
            </w:pPr>
            <w:r>
              <w:t xml:space="preserve">F-10</w:t>
            </w:r>
          </w:p>
        </w:tc>
        <w:tc>
          <w:tcPr/>
          <w:p>
            <w:pPr>
              <w:pStyle w:val="Compact"/>
              <w:jc w:val="left"/>
            </w:pPr>
            <w:r>
              <w:t xml:space="preserve">UK subsidiary guarantee and foreign-sub equity pledge</w:t>
            </w:r>
          </w:p>
        </w:tc>
      </w:tr>
      <w:tr>
        <w:tc>
          <w:tcPr/>
          <w:p>
            <w:pPr>
              <w:pStyle w:val="Compact"/>
              <w:jc w:val="left"/>
            </w:pPr>
            <w:r>
              <w:t xml:space="preserve">F-12</w:t>
            </w:r>
          </w:p>
        </w:tc>
        <w:tc>
          <w:tcPr/>
          <w:p>
            <w:pPr>
              <w:pStyle w:val="Compact"/>
              <w:jc w:val="left"/>
            </w:pPr>
            <w:r>
              <w:t xml:space="preserve">Exit fee on term-loan repayment not in use of proceeds</w:t>
            </w:r>
          </w:p>
        </w:tc>
      </w:tr>
      <w:tr>
        <w:tc>
          <w:tcPr/>
          <w:p>
            <w:pPr>
              <w:pStyle w:val="Compact"/>
              <w:jc w:val="left"/>
            </w:pPr>
            <w:r>
              <w:t xml:space="preserve">F-14</w:t>
            </w:r>
          </w:p>
        </w:tc>
        <w:tc>
          <w:tcPr/>
          <w:p>
            <w:pPr>
              <w:pStyle w:val="Compact"/>
              <w:jc w:val="left"/>
            </w:pPr>
            <w:r>
              <w:t xml:space="preserve">General Counsel’s prior employment at issuer’s counsel</w:t>
            </w:r>
          </w:p>
        </w:tc>
      </w:tr>
      <w:tr>
        <w:tc>
          <w:tcPr/>
          <w:p>
            <w:pPr>
              <w:pStyle w:val="Compact"/>
              <w:jc w:val="left"/>
            </w:pPr>
            <w:r>
              <w:t xml:space="preserve">F-16</w:t>
            </w:r>
          </w:p>
        </w:tc>
        <w:tc>
          <w:tcPr/>
          <w:p>
            <w:pPr>
              <w:pStyle w:val="Compact"/>
              <w:jc w:val="left"/>
            </w:pPr>
            <w:r>
              <w:t xml:space="preserve">Corporate-opportunities renunciation for VC-affiliated directors</w:t>
            </w:r>
          </w:p>
        </w:tc>
      </w:tr>
      <w:tr>
        <w:tc>
          <w:tcPr/>
          <w:p>
            <w:pPr>
              <w:pStyle w:val="Compact"/>
              <w:jc w:val="left"/>
            </w:pPr>
            <w:r>
              <w:t xml:space="preserve">G-6</w:t>
            </w:r>
          </w:p>
        </w:tc>
        <w:tc>
          <w:tcPr/>
          <w:p>
            <w:pPr>
              <w:pStyle w:val="Compact"/>
              <w:jc w:val="left"/>
            </w:pPr>
            <w:r>
              <w:t xml:space="preserve">“</w:t>
            </w:r>
            <w:r>
              <w:t xml:space="preserve">No single customer exceeds ~8%</w:t>
            </w:r>
            <w:r>
              <w:t xml:space="preserve">”</w:t>
            </w:r>
            <w:r>
              <w:t xml:space="preserve"> </w:t>
            </w:r>
            <w:r>
              <w:t xml:space="preserve">slightly inaccurate</w:t>
            </w:r>
          </w:p>
        </w:tc>
      </w:tr>
    </w:tbl>
    <w:bookmarkEnd w:id="92"/>
    <w:bookmarkEnd w:id="93"/>
    <w:bookmarkStart w:id="94" w:name="x.-recommended-next-steps-and-priorities"/>
    <w:p>
      <w:pPr>
        <w:pStyle w:val="Heading2"/>
      </w:pPr>
      <w:r>
        <w:t xml:space="preserve">X. Recommended Next Steps and Priorities</w:t>
      </w:r>
    </w:p>
    <w:p>
      <w:pPr>
        <w:numPr>
          <w:ilvl w:val="0"/>
          <w:numId w:val="1001"/>
        </w:numPr>
      </w:pPr>
      <w:r>
        <w:rPr>
          <w:b/>
          <w:bCs/>
        </w:rPr>
        <w:t xml:space="preserve">Financial-statement integrity (Issues B-3, B-4, C-1 through C-5).</w:t>
      </w:r>
      <w:r>
        <w:t xml:space="preserve"> </w:t>
      </w:r>
      <w:r>
        <w:t xml:space="preserve">Immediately engage Archer Pryce LLP and the CFO to resolve the term-loan roll-forward inconsistency (B-3) and the equity-award reconciliation discrepancies (C-1 through C-5). The audited financials must be internally consistent and must reconcile to the equity administration records before the S-1 is filed.</w:t>
      </w:r>
    </w:p>
    <w:p>
      <w:pPr>
        <w:numPr>
          <w:ilvl w:val="0"/>
          <w:numId w:val="1001"/>
        </w:numPr>
      </w:pPr>
      <w:r>
        <w:rPr>
          <w:b/>
          <w:bCs/>
        </w:rPr>
        <w:t xml:space="preserve">Non-GAAP measure (Issue A-1).</w:t>
      </w:r>
      <w:r>
        <w:t xml:space="preserve"> </w:t>
      </w:r>
      <w:r>
        <w:t xml:space="preserve">Recompute and correct Adjusted EBITDA to $20.5M (FY 2024) and $3.5M (FY 2023) using audited figures, in the S-1, the CFO Memo, and the Roadshow.</w:t>
      </w:r>
    </w:p>
    <w:p>
      <w:pPr>
        <w:numPr>
          <w:ilvl w:val="0"/>
          <w:numId w:val="1001"/>
        </w:numPr>
      </w:pPr>
      <w:r>
        <w:rPr>
          <w:b/>
          <w:bCs/>
        </w:rPr>
        <w:t xml:space="preserve">Identity and naming reconciliation (Issues D-1 through D-4, E-1, E-4, E-5).</w:t>
      </w:r>
      <w:r>
        <w:t xml:space="preserve"> </w:t>
      </w:r>
      <w:r>
        <w:t xml:space="preserve">Confirm the correct legal names and titles of all directors and executive officers (including the CTO/co-founder’s surname, Sandra Chen’s title, the General Counsel identity, and the director first names in the equity records) against government-issued identification and the stock ledger. These affect the S-1 Management section, beneficial-ownership table, and the Charter.</w:t>
      </w:r>
    </w:p>
    <w:p>
      <w:pPr>
        <w:numPr>
          <w:ilvl w:val="0"/>
          <w:numId w:val="1001"/>
        </w:numPr>
      </w:pPr>
      <w:r>
        <w:rPr>
          <w:b/>
          <w:bCs/>
        </w:rPr>
        <w:t xml:space="preserve">409A and SBC (Issues C-6, C-7, C-8, C-9).</w:t>
      </w:r>
      <w:r>
        <w:t xml:space="preserve"> </w:t>
      </w:r>
      <w:r>
        <w:t xml:space="preserve">Engage Meridian Valuation Partners and tax counsel to confirm the 409A valuation inputs and the Q1 2023 grant pricing, and to finalize the December 31, 2024 valuation. Assess any SBC or 409A exposure.</w:t>
      </w:r>
    </w:p>
    <w:p>
      <w:pPr>
        <w:numPr>
          <w:ilvl w:val="0"/>
          <w:numId w:val="1001"/>
        </w:numPr>
      </w:pPr>
      <w:r>
        <w:rPr>
          <w:b/>
          <w:bCs/>
        </w:rPr>
        <w:t xml:space="preserve">Related-party and beneficial-ownership disclosure (Issues F-2, F-3, F-4).</w:t>
      </w:r>
      <w:r>
        <w:t xml:space="preserve"> </w:t>
      </w:r>
      <w:r>
        <w:t xml:space="preserve">Finalize the Vantara Item 404 disclosure, resolve the Aldersgate Capital ownership gap, and correct the beneficial-ownership denominator methodology so the principal-stockholders table can be finalized.</w:t>
      </w:r>
    </w:p>
    <w:p>
      <w:pPr>
        <w:numPr>
          <w:ilvl w:val="0"/>
          <w:numId w:val="1001"/>
        </w:numPr>
      </w:pPr>
      <w:r>
        <w:rPr>
          <w:b/>
          <w:bCs/>
        </w:rPr>
        <w:t xml:space="preserve">Controlled-company and governance (Issues D-5, D-6, F-1).</w:t>
      </w:r>
      <w:r>
        <w:t xml:space="preserve"> </w:t>
      </w:r>
      <w:r>
        <w:t xml:space="preserve">Obtain the formal board resolution on the controlled-company exemption, finalize committee compositions, and confirm the dual-class sunset risk-factor disclosure.</w:t>
      </w:r>
    </w:p>
    <w:p>
      <w:pPr>
        <w:numPr>
          <w:ilvl w:val="0"/>
          <w:numId w:val="1001"/>
        </w:numPr>
      </w:pPr>
      <w:r>
        <w:rPr>
          <w:b/>
          <w:bCs/>
        </w:rPr>
        <w:t xml:space="preserve">Term-loan action items (Issues F-7, F-8, F-11).</w:t>
      </w:r>
      <w:r>
        <w:t xml:space="preserve"> </w:t>
      </w:r>
      <w:r>
        <w:t xml:space="preserve">Deliver the 30-day IPO Notice to the lender; confirm affiliate-transaction notifications (Vantara); monitor the Optivance litigation against the $5.0M judgment-default threshold.</w:t>
      </w:r>
    </w:p>
    <w:p>
      <w:pPr>
        <w:numPr>
          <w:ilvl w:val="0"/>
          <w:numId w:val="1001"/>
        </w:numPr>
      </w:pPr>
      <w:r>
        <w:rPr>
          <w:b/>
          <w:bCs/>
        </w:rPr>
        <w:t xml:space="preserve">Roadshow corrections (Issues G-1 through G-5).</w:t>
      </w:r>
      <w:r>
        <w:t xml:space="preserve"> </w:t>
      </w:r>
      <w:r>
        <w:t xml:space="preserve">Correct the professional-services margin characterization, the Adjusted EBITDA figure, the lender name, the Series B participant name, and the use-of-proceeds allocations in the Roadshow before any external use.</w:t>
      </w:r>
    </w:p>
    <w:p>
      <w:pPr>
        <w:numPr>
          <w:ilvl w:val="0"/>
          <w:numId w:val="1001"/>
        </w:numPr>
      </w:pPr>
      <w:r>
        <w:rPr>
          <w:b/>
          <w:bCs/>
        </w:rPr>
        <w:t xml:space="preserve">Timing (Issue F-13).</w:t>
      </w:r>
      <w:r>
        <w:t xml:space="preserve"> </w:t>
      </w:r>
      <w:r>
        <w:t xml:space="preserve">Complete the auditor’s report date and reconcile the S-1 filing-date disclosure.</w:t>
      </w:r>
    </w:p>
    <w:p>
      <w:pPr>
        <w:pStyle w:val="FirstParagraph"/>
      </w:pPr>
      <w:r>
        <w:t xml:space="preserve">This memorandum is intended to assist the working group in preparing a complete and accurate Form S-1. It is not an exhaustive audit of the source documents, and additional issues may emerge as drafting progresses and as the items above are investigated. We are available to discuss any of the foregoing at your convenience.</w:t>
      </w:r>
    </w:p>
    <w:p>
      <w:pPr>
        <w:pStyle w:val="BodyText"/>
      </w:pPr>
      <w:r>
        <w:rPr>
          <w:i/>
          <w:iCs/>
        </w:rPr>
        <w:t xml:space="preserve">Privileged &amp; Confidential — Attorney Work Product.</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 Crestline Software, Inc. Proposed IPO</dc:title>
  <dc:creator/>
  <cp:keywords/>
  <dcterms:created xsi:type="dcterms:W3CDTF">2026-06-27T20:33:10Z</dcterms:created>
  <dcterms:modified xsi:type="dcterms:W3CDTF">2026-06-27T20:33:10Z</dcterms:modified>
</cp:coreProperties>
</file>

<file path=docProps/custom.xml><?xml version="1.0" encoding="utf-8"?>
<Properties xmlns="http://schemas.openxmlformats.org/officeDocument/2006/custom-properties" xmlns:vt="http://schemas.openxmlformats.org/officeDocument/2006/docPropsVTypes"/>
</file>