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ssues-memorandum"/>
    <w:p>
      <w:pPr>
        <w:pStyle w:val="Heading1"/>
      </w:pPr>
      <w:r>
        <w:t xml:space="preserve">ISSUES MEMORANDUM</w:t>
      </w:r>
    </w:p>
    <w:p>
      <w:pPr>
        <w:pStyle w:val="FirstParagraph"/>
      </w:pPr>
      <w:r>
        <w:rPr>
          <w:b/>
          <w:bCs/>
        </w:rPr>
        <w:t xml:space="preserve">PRIVILEGED AND CONFIDENTIAL — ATTORNEY WORK PRODUCT</w:t>
      </w:r>
    </w:p>
    <w:p>
      <w:pPr>
        <w:pStyle w:val="BodyText"/>
      </w:pPr>
      <w:r>
        <w:rPr>
          <w:b/>
          <w:bCs/>
        </w:rPr>
        <w:t xml:space="preserve">Prepared in Connection with the Initial Public Offering of Common Stock of Meridian Pulse Technologies, Inc.</w:t>
      </w:r>
    </w:p>
    <w:p>
      <w:r>
        <w:pict>
          <v:rect style="width:0;height:1.5pt" o:hralign="center" o:hrstd="t" o:hr="t"/>
        </w:pict>
      </w:r>
    </w:p>
    <w:p>
      <w:pPr>
        <w:pStyle w:val="FirstParagraph"/>
      </w:pPr>
      <w:r>
        <w:rPr>
          <w:b/>
          <w:bCs/>
        </w:rPr>
        <w:t xml:space="preserve">TO:</w:t>
      </w:r>
      <w:r>
        <w:t xml:space="preserve"> </w:t>
      </w:r>
      <w:r>
        <w:t xml:space="preserve">Deal Working Group (Underwriters’ Counsel file; cc: Company Counsel)</w:t>
      </w:r>
    </w:p>
    <w:p>
      <w:pPr>
        <w:pStyle w:val="BodyText"/>
      </w:pPr>
      <w:r>
        <w:rPr>
          <w:b/>
          <w:bCs/>
        </w:rPr>
        <w:t xml:space="preserve">FROM:</w:t>
      </w:r>
      <w:r>
        <w:t xml:space="preserve"> </w:t>
      </w:r>
      <w:r>
        <w:t xml:space="preserve">Drafting Counsel</w:t>
      </w:r>
    </w:p>
    <w:p>
      <w:pPr>
        <w:pStyle w:val="BodyText"/>
      </w:pPr>
      <w:r>
        <w:rPr>
          <w:b/>
          <w:bCs/>
        </w:rPr>
        <w:t xml:space="preserve">DATE:</w:t>
      </w:r>
      <w:r>
        <w:t xml:space="preserve"> </w:t>
      </w:r>
      <w:r>
        <w:t xml:space="preserve">March 19, 2025</w:t>
      </w:r>
    </w:p>
    <w:p>
      <w:pPr>
        <w:pStyle w:val="BodyText"/>
      </w:pPr>
      <w:r>
        <w:rPr>
          <w:b/>
          <w:bCs/>
        </w:rPr>
        <w:t xml:space="preserve">RE:</w:t>
      </w:r>
      <w:r>
        <w:t xml:space="preserve"> </w:t>
      </w:r>
      <w:r>
        <w:t xml:space="preserve">Cross-Document Discrepancies and Open Items — Firm-Commitment Underwriting Agreement, IPO of Meridian Pulse Technologies, Inc. (Registration Statement on Form S-1, File No. 333-284517)</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flags cross-document discrepancies and open items identified during the review of the transaction documents for the initial public offering (the</w:t>
      </w:r>
      <w:r>
        <w:t xml:space="preserve"> </w:t>
      </w:r>
      <w:r>
        <w:t xml:space="preserve">“</w:t>
      </w:r>
      <w:r>
        <w:t xml:space="preserve">Offering</w:t>
      </w:r>
      <w:r>
        <w:t xml:space="preserve">”</w:t>
      </w:r>
      <w:r>
        <w:t xml:space="preserve">) of common stock of Meridian Pulse Technologies, Inc. (the</w:t>
      </w:r>
      <w:r>
        <w:t xml:space="preserve"> </w:t>
      </w:r>
      <w:r>
        <w:t xml:space="preserve">“</w:t>
      </w:r>
      <w:r>
        <w:t xml:space="preserve">Company</w:t>
      </w:r>
      <w:r>
        <w:t xml:space="preserve">”</w:t>
      </w:r>
      <w:r>
        <w:t xml:space="preserve">). The accompanying firm-commitment Underwriting Agreement (the</w:t>
      </w:r>
      <w:r>
        <w:t xml:space="preserve"> </w:t>
      </w:r>
      <w:r>
        <w:t xml:space="preserve">“</w:t>
      </w:r>
      <w:r>
        <w:t xml:space="preserve">Underwriting Agreement</w:t>
      </w:r>
      <w:r>
        <w:t xml:space="preserve">”</w:t>
      </w:r>
      <w:r>
        <w:t xml:space="preserve">) has been drafted to be consistent with the Registration Statement on Form S-1 (File No. 333-284517) and the related Preliminary Prospectus (collectively, the</w:t>
      </w:r>
      <w:r>
        <w:t xml:space="preserve"> </w:t>
      </w:r>
      <w:r>
        <w:t xml:space="preserve">“</w:t>
      </w:r>
      <w:r>
        <w:t xml:space="preserve">Registration Statement</w:t>
      </w:r>
      <w:r>
        <w:t xml:space="preserve">”</w:t>
      </w:r>
      <w:r>
        <w:t xml:space="preserve">), which are the operative disclosure documents for the Offering. Where the IPO Term Sheet, the Engagement Letter, or internal work-product summaries conflict with the Registration Statement, the Underwriting Agreement follows the Registration Statement, and the conflict is flagged below for resolution before execution and closing.</w:t>
      </w:r>
    </w:p>
    <w:p>
      <w:pPr>
        <w:pStyle w:val="BodyText"/>
      </w:pPr>
      <w:r>
        <w:rPr>
          <w:b/>
          <w:bCs/>
        </w:rPr>
        <w:t xml:space="preserve">Documents reviewed:</w:t>
      </w:r>
    </w:p>
    <w:p>
      <w:pPr>
        <w:pStyle w:val="Compact"/>
        <w:numPr>
          <w:ilvl w:val="0"/>
          <w:numId w:val="1001"/>
        </w:numPr>
      </w:pPr>
      <w:r>
        <w:t xml:space="preserve">IPO Term Sheet, prepared by Hargrove Securities LLC, dated March 19, 2025 (</w:t>
      </w:r>
      <w:r>
        <w:t xml:space="preserve">“</w:t>
      </w:r>
      <w:r>
        <w:t xml:space="preserve">Term Sheet</w:t>
      </w:r>
      <w:r>
        <w:t xml:space="preserve">”</w:t>
      </w:r>
      <w:r>
        <w:t xml:space="preserve">).</w:t>
      </w:r>
    </w:p>
    <w:p>
      <w:pPr>
        <w:pStyle w:val="Compact"/>
        <w:numPr>
          <w:ilvl w:val="0"/>
          <w:numId w:val="1001"/>
        </w:numPr>
      </w:pPr>
      <w:r>
        <w:t xml:space="preserve">Engagement Letter, Hargrove Securities LLC to the Company, dated November 8, 2024 (</w:t>
      </w:r>
      <w:r>
        <w:t xml:space="preserve">“</w:t>
      </w:r>
      <w:r>
        <w:t xml:space="preserve">Engagement Letter</w:t>
      </w:r>
      <w:r>
        <w:t xml:space="preserve">”</w:t>
      </w:r>
      <w:r>
        <w:t xml:space="preserve">).</w:t>
      </w:r>
    </w:p>
    <w:p>
      <w:pPr>
        <w:pStyle w:val="Compact"/>
        <w:numPr>
          <w:ilvl w:val="0"/>
          <w:numId w:val="1001"/>
        </w:numPr>
      </w:pPr>
      <w:r>
        <w:t xml:space="preserve">Amended and Restated Certificate of Incorporation, effective December 20, 2024 (</w:t>
      </w:r>
      <w:r>
        <w:t xml:space="preserve">“</w:t>
      </w:r>
      <w:r>
        <w:t xml:space="preserve">Charter</w:t>
      </w:r>
      <w:r>
        <w:t xml:space="preserve">”</w:t>
      </w:r>
      <w:r>
        <w:t xml:space="preserve">).</w:t>
      </w:r>
    </w:p>
    <w:p>
      <w:pPr>
        <w:pStyle w:val="Compact"/>
        <w:numPr>
          <w:ilvl w:val="0"/>
          <w:numId w:val="1001"/>
        </w:numPr>
      </w:pPr>
      <w:r>
        <w:t xml:space="preserve">Summary of Key Terms — Revolving Credit Agreement, prepared by Stonebridge &amp; Calloway LLP, March 2025 (</w:t>
      </w:r>
      <w:r>
        <w:t xml:space="preserve">“</w:t>
      </w:r>
      <w:r>
        <w:t xml:space="preserve">Credit Agreement Summary</w:t>
      </w:r>
      <w:r>
        <w:t xml:space="preserve">”</w:t>
      </w:r>
      <w:r>
        <w:t xml:space="preserve">).</w:t>
      </w:r>
    </w:p>
    <w:p>
      <w:pPr>
        <w:pStyle w:val="Compact"/>
        <w:numPr>
          <w:ilvl w:val="0"/>
          <w:numId w:val="1001"/>
        </w:numPr>
      </w:pPr>
      <w:r>
        <w:t xml:space="preserve">Draft Comfort Letter, Whitman Reese &amp; Co., dated March 18, 2025 (</w:t>
      </w:r>
      <w:r>
        <w:t xml:space="preserve">“</w:t>
      </w:r>
      <w:r>
        <w:t xml:space="preserve">Comfort Letter</w:t>
      </w:r>
      <w:r>
        <w:t xml:space="preserve">”</w:t>
      </w:r>
      <w:r>
        <w:t xml:space="preserve">).</w:t>
      </w:r>
    </w:p>
    <w:p>
      <w:pPr>
        <w:pStyle w:val="Compact"/>
        <w:numPr>
          <w:ilvl w:val="0"/>
          <w:numId w:val="1001"/>
        </w:numPr>
      </w:pPr>
      <w:r>
        <w:t xml:space="preserve">Form of Lock-Up Agreement (</w:t>
      </w:r>
      <w:r>
        <w:t xml:space="preserve">“</w:t>
      </w:r>
      <w:r>
        <w:t xml:space="preserve">Lock-Up Agreement</w:t>
      </w:r>
      <w:r>
        <w:t xml:space="preserve">”</w:t>
      </w:r>
      <w:r>
        <w:t xml:space="preserve">).</w:t>
      </w:r>
    </w:p>
    <w:p>
      <w:pPr>
        <w:pStyle w:val="Compact"/>
        <w:numPr>
          <w:ilvl w:val="0"/>
          <w:numId w:val="1001"/>
        </w:numPr>
      </w:pPr>
      <w:r>
        <w:t xml:space="preserve">Selected excerpts from the Registration Statement on Form S-1 (File No. 333-284517), declared effective March 12, 2025 (</w:t>
      </w:r>
      <w:r>
        <w:t xml:space="preserve">“</w:t>
      </w:r>
      <w:r>
        <w:t xml:space="preserve">S-1</w:t>
      </w:r>
      <w:r>
        <w:t xml:space="preserve">”</w:t>
      </w:r>
      <w:r>
        <w:t xml:space="preserve">).</w:t>
      </w:r>
    </w:p>
    <w:p>
      <w:pPr>
        <w:pStyle w:val="Compact"/>
        <w:numPr>
          <w:ilvl w:val="0"/>
          <w:numId w:val="1001"/>
        </w:numPr>
      </w:pPr>
      <w:r>
        <w:t xml:space="preserve">Power of Attorney and Custody Agreement, form (</w:t>
      </w:r>
      <w:r>
        <w:t xml:space="preserve">“</w:t>
      </w:r>
      <w:r>
        <w:t xml:space="preserve">POA</w:t>
      </w:r>
      <w:r>
        <w:t xml:space="preserve">”</w:t>
      </w:r>
      <w:r>
        <w:t xml:space="preserve">).</w:t>
      </w:r>
    </w:p>
    <w:p>
      <w:pPr>
        <w:pStyle w:val="Compact"/>
        <w:numPr>
          <w:ilvl w:val="0"/>
          <w:numId w:val="1001"/>
        </w:numPr>
      </w:pPr>
      <w:r>
        <w:t xml:space="preserve">Selling Stockholder Questionnaire — Cascade Kestridge Ventures, LP, dated February 3, 2025 (</w:t>
      </w:r>
      <w:r>
        <w:t xml:space="preserve">“</w:t>
      </w:r>
      <w:r>
        <w:t xml:space="preserve">Cascade Questionnaire</w:t>
      </w:r>
      <w:r>
        <w:t xml:space="preserve">”</w:t>
      </w:r>
      <w:r>
        <w:t xml:space="preserve">).</w:t>
      </w:r>
    </w:p>
    <w:bookmarkEnd w:id="20"/>
    <w:bookmarkStart w:id="21" w:name="ii.-executive-summary"/>
    <w:p>
      <w:pPr>
        <w:pStyle w:val="Heading2"/>
      </w:pPr>
      <w:r>
        <w:t xml:space="preserve">II. Executive Summary</w:t>
      </w:r>
    </w:p>
    <w:p>
      <w:pPr>
        <w:pStyle w:val="FirstParagraph"/>
      </w:pPr>
      <w:r>
        <w:t xml:space="preserve">The transaction documents are, in most respects, consistent and the Offering is on track for pricing on March 19, 2025 and closing on March 24, 2025. However, the review identified</w:t>
      </w:r>
      <w:r>
        <w:t xml:space="preserve"> </w:t>
      </w:r>
      <w:r>
        <w:rPr>
          <w:b/>
          <w:bCs/>
        </w:rPr>
        <w:t xml:space="preserve">four (4) critical discrepancies</w:t>
      </w:r>
      <w:r>
        <w:t xml:space="preserve"> </w:t>
      </w:r>
      <w:r>
        <w:t xml:space="preserve">that must be reconciled before execution of the Underwriting Agreement and/or filing of the Final Prospectus,</w:t>
      </w:r>
      <w:r>
        <w:t xml:space="preserve"> </w:t>
      </w:r>
      <w:r>
        <w:rPr>
          <w:b/>
          <w:bCs/>
        </w:rPr>
        <w:t xml:space="preserve">seven (7) material discrepancies</w:t>
      </w:r>
      <w:r>
        <w:t xml:space="preserve">, and a number of open items and conditions precedent to closing.</w:t>
      </w:r>
    </w:p>
    <w:p>
      <w:pPr>
        <w:pStyle w:val="BodyText"/>
      </w:pPr>
      <w:r>
        <w:t xml:space="preserve">The most significant items are:</w:t>
      </w:r>
    </w:p>
    <w:p>
      <w:pPr>
        <w:numPr>
          <w:ilvl w:val="0"/>
          <w:numId w:val="1002"/>
        </w:numPr>
      </w:pPr>
      <w:r>
        <w:rPr>
          <w:b/>
          <w:bCs/>
        </w:rPr>
        <w:t xml:space="preserve">Critical — Identity of the credit facility lender.</w:t>
      </w:r>
      <w:r>
        <w:t xml:space="preserve"> </w:t>
      </w:r>
      <w:r>
        <w:t xml:space="preserve">The S-1, the Comfort Letter, and the Term Sheet each refer to the lender as</w:t>
      </w:r>
      <w:r>
        <w:t xml:space="preserve"> </w:t>
      </w:r>
      <w:r>
        <w:t xml:space="preserve">“</w:t>
      </w:r>
      <w:r>
        <w:t xml:space="preserve">Oakvale National Bank,</w:t>
      </w:r>
      <w:r>
        <w:t xml:space="preserve">”</w:t>
      </w:r>
      <w:r>
        <w:t xml:space="preserve"> </w:t>
      </w:r>
      <w:r>
        <w:t xml:space="preserve">while the Credit Agreement Summary (Company Counsel work product prepared from the actual Credit Agreement) refers to</w:t>
      </w:r>
      <w:r>
        <w:t xml:space="preserve"> </w:t>
      </w:r>
      <w:r>
        <w:t xml:space="preserve">“</w:t>
      </w:r>
      <w:r>
        <w:t xml:space="preserve">Ridgemont National Bank.</w:t>
      </w:r>
      <w:r>
        <w:t xml:space="preserve">”</w:t>
      </w:r>
      <w:r>
        <w:t xml:space="preserve"> </w:t>
      </w:r>
      <w:r>
        <w:t xml:space="preserve">The Credit Agreement Summary also describes different agreement dates, maturity, interest rate, financial covenants, and a 35% change-of-control threshold, all of which conflict with the S-1. Because the Underwriting Agreement’s representations adopt the accuracy of the Registration Statement, this conflict must be resolved before execution. (Items A-1, A-2.)</w:t>
      </w:r>
    </w:p>
    <w:p>
      <w:pPr>
        <w:numPr>
          <w:ilvl w:val="0"/>
          <w:numId w:val="1002"/>
        </w:numPr>
      </w:pPr>
      <w:r>
        <w:rPr>
          <w:b/>
          <w:bCs/>
        </w:rPr>
        <w:t xml:space="preserve">Critical — Mandatory prepayment / Use of Proceeds.</w:t>
      </w:r>
      <w:r>
        <w:t xml:space="preserve"> </w:t>
      </w:r>
      <w:r>
        <w:t xml:space="preserve">The S-1</w:t>
      </w:r>
      <w:r>
        <w:t xml:space="preserve"> </w:t>
      </w:r>
      <w:r>
        <w:t xml:space="preserve">“</w:t>
      </w:r>
      <w:r>
        <w:t xml:space="preserve">Use of Proceeds</w:t>
      </w:r>
      <w:r>
        <w:t xml:space="preserve">”</w:t>
      </w:r>
      <w:r>
        <w:t xml:space="preserve"> </w:t>
      </w:r>
      <w:r>
        <w:t xml:space="preserve">and Capitalization table disclose an approximately $10 million repayment of the revolving credit facility, while the S-1</w:t>
      </w:r>
      <w:r>
        <w:t xml:space="preserve"> </w:t>
      </w:r>
      <w:r>
        <w:t xml:space="preserve">“</w:t>
      </w:r>
      <w:r>
        <w:t xml:space="preserve">Risk Factors</w:t>
      </w:r>
      <w:r>
        <w:t xml:space="preserve">”</w:t>
      </w:r>
      <w:r>
        <w:t xml:space="preserve"> </w:t>
      </w:r>
      <w:r>
        <w:t xml:space="preserve">and the Credit Agreement Summary indicate a mandatory prepayment of approximately $15.2 million (or $13.6 million if offering expenses are deductible). This is both an internal S-1 inconsistency and a conflict with the Credit Agreement. The Final Prospectus must be updated. (Item A-4.)</w:t>
      </w:r>
    </w:p>
    <w:p>
      <w:pPr>
        <w:numPr>
          <w:ilvl w:val="0"/>
          <w:numId w:val="1002"/>
        </w:numPr>
      </w:pPr>
      <w:r>
        <w:rPr>
          <w:b/>
          <w:bCs/>
        </w:rPr>
        <w:t xml:space="preserve">Critical — Comfort Letter circle-up vs. S-1 figures.</w:t>
      </w:r>
      <w:r>
        <w:t xml:space="preserve"> </w:t>
      </w:r>
      <w:r>
        <w:t xml:space="preserve">The Comfort Letter represents that total stockholders’ equity of $198.4 million, cash of $47.3 million, and net tangible book value of $4.72 per share each</w:t>
      </w:r>
      <w:r>
        <w:t xml:space="preserve"> </w:t>
      </w:r>
      <w:r>
        <w:t xml:space="preserve">“</w:t>
      </w:r>
      <w:r>
        <w:t xml:space="preserve">agree</w:t>
      </w:r>
      <w:r>
        <w:t xml:space="preserve">”</w:t>
      </w:r>
      <w:r>
        <w:t xml:space="preserve"> </w:t>
      </w:r>
      <w:r>
        <w:t xml:space="preserve">with the audited balance sheet, but the S-1 Capitalization and Dilution tables show total stockholders’ equity of $101.4 million, cash of $38.4 million, and net tangible book value of $2.17 per share. These must be reconciled before the final Comfort Letter and the Final Prospectus are delivered. (Item A-3.)</w:t>
      </w:r>
    </w:p>
    <w:p>
      <w:pPr>
        <w:numPr>
          <w:ilvl w:val="0"/>
          <w:numId w:val="1002"/>
        </w:numPr>
      </w:pPr>
      <w:r>
        <w:rPr>
          <w:b/>
          <w:bCs/>
        </w:rPr>
        <w:t xml:space="preserve">Material — Selling stockholder entity, general partner, and control persons.</w:t>
      </w:r>
      <w:r>
        <w:t xml:space="preserve"> </w:t>
      </w:r>
      <w:r>
        <w:t xml:space="preserve">The name, general partner, control persons, and address of Cascade Kestridge Ventures, LP, and the general partner and control persons of Northlight Growth Partners Fund II, LP, differ across the S-1, the POA, and the Cascade Questionnaire. (Items B-4, B-5.)</w:t>
      </w:r>
    </w:p>
    <w:p>
      <w:pPr>
        <w:numPr>
          <w:ilvl w:val="0"/>
          <w:numId w:val="1002"/>
        </w:numPr>
      </w:pPr>
      <w:r>
        <w:rPr>
          <w:b/>
          <w:bCs/>
        </w:rPr>
        <w:t xml:space="preserve">Material — Lock-up springing extension for Dr. Krishnamurthy.</w:t>
      </w:r>
      <w:r>
        <w:t xml:space="preserve"> </w:t>
      </w:r>
      <w:r>
        <w:t xml:space="preserve">The Term Sheet and the POA contemplate a</w:t>
      </w:r>
      <w:r>
        <w:t xml:space="preserve"> </w:t>
      </w:r>
      <w:r>
        <w:t xml:space="preserve">“</w:t>
      </w:r>
      <w:r>
        <w:t xml:space="preserve">springing</w:t>
      </w:r>
      <w:r>
        <w:t xml:space="preserve">”</w:t>
      </w:r>
      <w:r>
        <w:t xml:space="preserve"> </w:t>
      </w:r>
      <w:r>
        <w:t xml:space="preserve">198-day lock-up for Dr. Krishnamurthy, but the form Lock-Up Agreement does not include it and the S-1 does not disclose it. (Items B-1, C-11.)</w:t>
      </w:r>
    </w:p>
    <w:p>
      <w:pPr>
        <w:pStyle w:val="FirstParagraph"/>
      </w:pPr>
      <w:r>
        <w:t xml:space="preserve">A consolidated discrepancy register appears in Section VI.</w:t>
      </w:r>
    </w:p>
    <w:bookmarkEnd w:id="21"/>
    <w:bookmarkStart w:id="26" w:name="X72bce83a2e72d35d7b91b9d2c59e136c949ede9"/>
    <w:p>
      <w:pPr>
        <w:pStyle w:val="Heading2"/>
      </w:pPr>
      <w:r>
        <w:t xml:space="preserve">III. Critical Discrepancies (Resolve Before Execution / Final Prospectus)</w:t>
      </w:r>
    </w:p>
    <w:bookmarkStart w:id="22" w:name="Xf985d319e6ceb6211df9da63bae846b693b998d"/>
    <w:p>
      <w:pPr>
        <w:pStyle w:val="Heading3"/>
      </w:pPr>
      <w:r>
        <w:t xml:space="preserve">A-1. Identity of the Credit Facility Lender —</w:t>
      </w:r>
      <w:r>
        <w:t xml:space="preserve"> </w:t>
      </w:r>
      <w:r>
        <w:t xml:space="preserve">“</w:t>
      </w:r>
      <w:r>
        <w:t xml:space="preserve">Oakvale</w:t>
      </w:r>
      <w:r>
        <w:t xml:space="preserve">”</w:t>
      </w:r>
      <w:r>
        <w:t xml:space="preserve"> </w:t>
      </w:r>
      <w:r>
        <w:t xml:space="preserve">vs. </w:t>
      </w:r>
      <w:r>
        <w:t xml:space="preserve">“</w:t>
      </w:r>
      <w:r>
        <w:t xml:space="preserve">Ridgemont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Lender named</w:t>
            </w:r>
          </w:p>
        </w:tc>
      </w:tr>
      <w:tr>
        <w:tc>
          <w:tcPr/>
          <w:p>
            <w:pPr>
              <w:pStyle w:val="Compact"/>
              <w:jc w:val="left"/>
            </w:pPr>
            <w:r>
              <w:t xml:space="preserve">S-1 (Cover, Risk Factors III.C, Use of Proceeds, Capitalization, Material Contracts IX.A)</w:t>
            </w:r>
          </w:p>
        </w:tc>
        <w:tc>
          <w:tcPr/>
          <w:p>
            <w:pPr>
              <w:pStyle w:val="Compact"/>
              <w:jc w:val="left"/>
            </w:pPr>
            <w:r>
              <w:t xml:space="preserve">Oakvale National Bank</w:t>
            </w:r>
          </w:p>
        </w:tc>
      </w:tr>
      <w:tr>
        <w:tc>
          <w:tcPr/>
          <w:p>
            <w:pPr>
              <w:pStyle w:val="Compact"/>
              <w:jc w:val="left"/>
            </w:pPr>
            <w:r>
              <w:t xml:space="preserve">Comfort Letter (Sec. V.A.v, Sec. VII.A)</w:t>
            </w:r>
          </w:p>
        </w:tc>
        <w:tc>
          <w:tcPr/>
          <w:p>
            <w:pPr>
              <w:pStyle w:val="Compact"/>
              <w:jc w:val="left"/>
            </w:pPr>
            <w:r>
              <w:t xml:space="preserve">Oakvale National Bank</w:t>
            </w:r>
          </w:p>
        </w:tc>
      </w:tr>
      <w:tr>
        <w:tc>
          <w:tcPr/>
          <w:p>
            <w:pPr>
              <w:pStyle w:val="Compact"/>
              <w:jc w:val="left"/>
            </w:pPr>
            <w:r>
              <w:t xml:space="preserve">Term Sheet (Sec. 11.1(i))</w:t>
            </w:r>
          </w:p>
        </w:tc>
        <w:tc>
          <w:tcPr/>
          <w:p>
            <w:pPr>
              <w:pStyle w:val="Compact"/>
              <w:jc w:val="left"/>
            </w:pPr>
            <w:r>
              <w:t xml:space="preserve">Oakvale National Bank</w:t>
            </w:r>
          </w:p>
        </w:tc>
      </w:tr>
      <w:tr>
        <w:tc>
          <w:tcPr/>
          <w:p>
            <w:pPr>
              <w:pStyle w:val="Compact"/>
              <w:jc w:val="left"/>
            </w:pPr>
            <w:r>
              <w:t xml:space="preserve">Credit Agreement Summary (Sec. 1, throughout)</w:t>
            </w:r>
          </w:p>
        </w:tc>
        <w:tc>
          <w:tcPr/>
          <w:p>
            <w:pPr>
              <w:pStyle w:val="Compact"/>
              <w:jc w:val="left"/>
            </w:pPr>
            <w:r>
              <w:t xml:space="preserve">Ridgemont National Bank</w:t>
            </w:r>
          </w:p>
        </w:tc>
      </w:tr>
    </w:tbl>
    <w:p>
      <w:pPr>
        <w:pStyle w:val="BodyText"/>
      </w:pPr>
      <w:r>
        <w:rPr>
          <w:b/>
          <w:bCs/>
        </w:rPr>
        <w:t xml:space="preserve">Issue.</w:t>
      </w:r>
      <w:r>
        <w:t xml:space="preserve"> </w:t>
      </w:r>
      <w:r>
        <w:t xml:space="preserve">The Credit Agreement Summary, prepared by Company Counsel from the actual Credit Agreement, identifies the lender/administrative agent as</w:t>
      </w:r>
      <w:r>
        <w:t xml:space="preserve"> </w:t>
      </w:r>
      <w:r>
        <w:t xml:space="preserve">“</w:t>
      </w:r>
      <w:r>
        <w:t xml:space="preserve">Ridgemont National Bank,</w:t>
      </w:r>
      <w:r>
        <w:t xml:space="preserve">”</w:t>
      </w:r>
      <w:r>
        <w:t xml:space="preserve"> </w:t>
      </w:r>
      <w:r>
        <w:t xml:space="preserve">a national banking association. The S-1, the Comfort Letter, and the Term Sheet each identify the lender as</w:t>
      </w:r>
      <w:r>
        <w:t xml:space="preserve"> </w:t>
      </w:r>
      <w:r>
        <w:t xml:space="preserve">“</w:t>
      </w:r>
      <w:r>
        <w:t xml:space="preserve">Oakvale National Bank.</w:t>
      </w:r>
      <w:r>
        <w:t xml:space="preserve">”</w:t>
      </w:r>
      <w:r>
        <w:t xml:space="preserve"> </w:t>
      </w:r>
      <w:r>
        <w:t xml:space="preserve">The Underwriting Agreement’s representations (Section 2.10) describe the credit facility as it appears in the Registration Statement (i.e.,</w:t>
      </w:r>
      <w:r>
        <w:t xml:space="preserve"> </w:t>
      </w:r>
      <w:r>
        <w:t xml:space="preserve">“</w:t>
      </w:r>
      <w:r>
        <w:t xml:space="preserve">Oakvale National Bank</w:t>
      </w:r>
      <w:r>
        <w:t xml:space="preserve">”</w:t>
      </w:r>
      <w:r>
        <w:t xml:space="preserve">). If the Credit Agreement Summary is correct, the Registration Statement contains a material misstatement as to the identity of the lender, and the Underwriting Agreement’s accuracy representations would be false.</w:t>
      </w:r>
    </w:p>
    <w:p>
      <w:pPr>
        <w:pStyle w:val="BodyText"/>
      </w:pPr>
      <w:r>
        <w:rPr>
          <w:b/>
          <w:bCs/>
        </w:rPr>
        <w:t xml:space="preserve">Recommendation.</w:t>
      </w:r>
      <w:r>
        <w:t xml:space="preserve"> </w:t>
      </w:r>
      <w:r>
        <w:t xml:space="preserve">Company Counsel must confirm the correct legal name of the lender from the actual Credit Agreement and related loan documents. If the lender is</w:t>
      </w:r>
      <w:r>
        <w:t xml:space="preserve"> </w:t>
      </w:r>
      <w:r>
        <w:t xml:space="preserve">“</w:t>
      </w:r>
      <w:r>
        <w:t xml:space="preserve">Ridgemont National Bank,</w:t>
      </w:r>
      <w:r>
        <w:t xml:space="preserve">”</w:t>
      </w:r>
      <w:r>
        <w:t xml:space="preserve"> </w:t>
      </w:r>
      <w:r>
        <w:t xml:space="preserve">the S-1 (and the Comfort Letter, which states that the $22.5 million balance</w:t>
      </w:r>
      <w:r>
        <w:t xml:space="preserve"> </w:t>
      </w:r>
      <w:r>
        <w:t xml:space="preserve">“</w:t>
      </w:r>
      <w:r>
        <w:t xml:space="preserve">agrees with the Audited Financial Statements</w:t>
      </w:r>
      <w:r>
        <w:t xml:space="preserve">”</w:t>
      </w:r>
      <w:r>
        <w:t xml:space="preserve"> </w:t>
      </w:r>
      <w:r>
        <w:t xml:space="preserve">and references</w:t>
      </w:r>
      <w:r>
        <w:t xml:space="preserve"> </w:t>
      </w:r>
      <w:r>
        <w:t xml:space="preserve">“</w:t>
      </w:r>
      <w:r>
        <w:t xml:space="preserve">Oakvale</w:t>
      </w:r>
      <w:r>
        <w:t xml:space="preserve">”</w:t>
      </w:r>
      <w:r>
        <w:t xml:space="preserve">) must be corrected before the Final Prospectus is filed, and the Underwriting Agreement must be updated. This is a blocking item.</w:t>
      </w:r>
    </w:p>
    <w:bookmarkEnd w:id="22"/>
    <w:bookmarkStart w:id="23" w:name="X180bd4ec2219a5c97828a02a3a0de171fa764dc"/>
    <w:p>
      <w:pPr>
        <w:pStyle w:val="Heading3"/>
      </w:pPr>
      <w:r>
        <w:t xml:space="preserve">A-2. Credit Facility Terms — Date, Maturity, Rate, Covenants, and Change-of-Control Threshold</w:t>
      </w:r>
    </w:p>
    <w:p>
      <w:pPr>
        <w:pStyle w:val="FirstParagraph"/>
      </w:pPr>
      <w:r>
        <w:t xml:space="preserve">The S-1’s description of the credit facility conflicts with the Credit Agreement Summary on multiple 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S-1 (Material Contracts IX.A; Risk Factors III.C)</w:t>
            </w:r>
          </w:p>
        </w:tc>
        <w:tc>
          <w:tcPr/>
          <w:p>
            <w:pPr>
              <w:pStyle w:val="Compact"/>
              <w:jc w:val="left"/>
            </w:pPr>
            <w:r>
              <w:t xml:space="preserve">Credit Agreement Summary</w:t>
            </w:r>
          </w:p>
        </w:tc>
      </w:tr>
      <w:tr>
        <w:tc>
          <w:tcPr/>
          <w:p>
            <w:pPr>
              <w:pStyle w:val="Compact"/>
              <w:jc w:val="left"/>
            </w:pPr>
            <w:r>
              <w:t xml:space="preserve">Agreement date</w:t>
            </w:r>
          </w:p>
        </w:tc>
        <w:tc>
          <w:tcPr/>
          <w:p>
            <w:pPr>
              <w:pStyle w:val="Compact"/>
              <w:jc w:val="left"/>
            </w:pPr>
            <w:r>
              <w:t xml:space="preserve">July 15, 2022</w:t>
            </w:r>
          </w:p>
        </w:tc>
        <w:tc>
          <w:tcPr/>
          <w:p>
            <w:pPr>
              <w:pStyle w:val="Compact"/>
              <w:jc w:val="left"/>
            </w:pPr>
            <w:r>
              <w:t xml:space="preserve">June 15, 2023 (as amended Feb. 28, 2024)</w:t>
            </w:r>
          </w:p>
        </w:tc>
      </w:tr>
      <w:tr>
        <w:tc>
          <w:tcPr/>
          <w:p>
            <w:pPr>
              <w:pStyle w:val="Compact"/>
              <w:jc w:val="left"/>
            </w:pPr>
            <w:r>
              <w:t xml:space="preserve">Maturity</w:t>
            </w:r>
          </w:p>
        </w:tc>
        <w:tc>
          <w:tcPr/>
          <w:p>
            <w:pPr>
              <w:pStyle w:val="Compact"/>
              <w:jc w:val="left"/>
            </w:pPr>
            <w:r>
              <w:t xml:space="preserve">December 31, 2026</w:t>
            </w:r>
          </w:p>
        </w:tc>
        <w:tc>
          <w:tcPr/>
          <w:p>
            <w:pPr>
              <w:pStyle w:val="Compact"/>
              <w:jc w:val="left"/>
            </w:pPr>
            <w:r>
              <w:t xml:space="preserve">June 15, 2027</w:t>
            </w:r>
          </w:p>
        </w:tc>
      </w:tr>
      <w:tr>
        <w:tc>
          <w:tcPr/>
          <w:p>
            <w:pPr>
              <w:pStyle w:val="Compact"/>
              <w:jc w:val="left"/>
            </w:pPr>
            <w:r>
              <w:t xml:space="preserve">Interest rate</w:t>
            </w:r>
          </w:p>
        </w:tc>
        <w:tc>
          <w:tcPr/>
          <w:p>
            <w:pPr>
              <w:pStyle w:val="Compact"/>
              <w:jc w:val="left"/>
            </w:pPr>
            <w:r>
              <w:t xml:space="preserve">SOFR + 2.50% (fixed)</w:t>
            </w:r>
          </w:p>
        </w:tc>
        <w:tc>
          <w:tcPr/>
          <w:p>
            <w:pPr>
              <w:pStyle w:val="Compact"/>
              <w:jc w:val="left"/>
            </w:pPr>
            <w:r>
              <w:t xml:space="preserve">Grid: SOFR + 2.25% / 2.75% / 3.25% (currently 2.25%)</w:t>
            </w:r>
          </w:p>
        </w:tc>
      </w:tr>
      <w:tr>
        <w:tc>
          <w:tcPr/>
          <w:p>
            <w:pPr>
              <w:pStyle w:val="Compact"/>
              <w:jc w:val="left"/>
            </w:pPr>
            <w:r>
              <w:t xml:space="preserve">Financial covenants</w:t>
            </w:r>
          </w:p>
        </w:tc>
        <w:tc>
          <w:tcPr/>
          <w:p>
            <w:pPr>
              <w:pStyle w:val="Compact"/>
              <w:jc w:val="left"/>
            </w:pPr>
            <w:r>
              <w:t xml:space="preserve">Min. cash $15M; max. leverage 3.00x; min. interest coverage 3.00x</w:t>
            </w:r>
          </w:p>
        </w:tc>
        <w:tc>
          <w:tcPr/>
          <w:p>
            <w:pPr>
              <w:pStyle w:val="Compact"/>
              <w:jc w:val="left"/>
            </w:pPr>
            <w:r>
              <w:t xml:space="preserve">Min. revenue $200M; max. net leverage 3.00x; min. liquidity $15M; fixed charge coverage 1.25x</w:t>
            </w:r>
          </w:p>
        </w:tc>
      </w:tr>
      <w:tr>
        <w:tc>
          <w:tcPr/>
          <w:p>
            <w:pPr>
              <w:pStyle w:val="Compact"/>
              <w:jc w:val="left"/>
            </w:pPr>
            <w:r>
              <w:t xml:space="preserve">Change-of-control threshold</w:t>
            </w:r>
          </w:p>
        </w:tc>
        <w:tc>
          <w:tcPr/>
          <w:p>
            <w:pPr>
              <w:pStyle w:val="Compact"/>
              <w:jc w:val="left"/>
            </w:pPr>
            <w:r>
              <w:t xml:space="preserve">More than 50% of voting stock</w:t>
            </w:r>
          </w:p>
        </w:tc>
        <w:tc>
          <w:tcPr/>
          <w:p>
            <w:pPr>
              <w:pStyle w:val="Compact"/>
              <w:jc w:val="left"/>
            </w:pPr>
            <w:r>
              <w:t xml:space="preserve">More than 35% of voting equity</w:t>
            </w:r>
          </w:p>
        </w:tc>
      </w:tr>
    </w:tbl>
    <w:p>
      <w:pPr>
        <w:pStyle w:val="BodyText"/>
      </w:pPr>
      <w:r>
        <w:rPr>
          <w:b/>
          <w:bCs/>
        </w:rPr>
        <w:t xml:space="preserve">Issue.</w:t>
      </w:r>
      <w:r>
        <w:t xml:space="preserve"> </w:t>
      </w:r>
      <w:r>
        <w:t xml:space="preserve">These are material terms of a material contract. The change-of-control threshold is particularly significant: the Credit Agreement Summary’s own IPO analysis (Sec. 9) confirms no holder exceeds 35% post-Offering, but if the true threshold is 50% (as the S-1 states) the analysis is different, and if the true threshold is 35% (as the Summary states) the S-1’s</w:t>
      </w:r>
      <w:r>
        <w:t xml:space="preserve"> </w:t>
      </w:r>
      <w:r>
        <w:t xml:space="preserve">“</w:t>
      </w:r>
      <w:r>
        <w:t xml:space="preserve">50%</w:t>
      </w:r>
      <w:r>
        <w:t xml:space="preserve">”</w:t>
      </w:r>
      <w:r>
        <w:t xml:space="preserve"> </w:t>
      </w:r>
      <w:r>
        <w:t xml:space="preserve">disclosure is a misstatement. The interest-rate and covenant descriptions also differ.</w:t>
      </w:r>
    </w:p>
    <w:p>
      <w:pPr>
        <w:pStyle w:val="BodyText"/>
      </w:pPr>
      <w:r>
        <w:rPr>
          <w:b/>
          <w:bCs/>
        </w:rPr>
        <w:t xml:space="preserve">Recommendation.</w:t>
      </w:r>
      <w:r>
        <w:t xml:space="preserve"> </w:t>
      </w:r>
      <w:r>
        <w:t xml:space="preserve">Company Counsel must reconcile the S-1’s</w:t>
      </w:r>
      <w:r>
        <w:t xml:space="preserve"> </w:t>
      </w:r>
      <w:r>
        <w:t xml:space="preserve">“</w:t>
      </w:r>
      <w:r>
        <w:t xml:space="preserve">Material Contracts</w:t>
      </w:r>
      <w:r>
        <w:t xml:space="preserve">”</w:t>
      </w:r>
      <w:r>
        <w:t xml:space="preserve"> </w:t>
      </w:r>
      <w:r>
        <w:t xml:space="preserve">disclosure with the actual Credit Agreement. The Final Prospectus should be corrected as necessary. The Underwriting Agreement’s material-contracts representation (Section 2.10) tracks the S-1 and must be updated once the S-1 is corrected. (See also Item B-7.)</w:t>
      </w:r>
    </w:p>
    <w:bookmarkEnd w:id="23"/>
    <w:bookmarkStart w:id="24" w:name="X6ab2415bb7517c5b74f859bb9bdfef369ae597b"/>
    <w:p>
      <w:pPr>
        <w:pStyle w:val="Heading3"/>
      </w:pPr>
      <w:r>
        <w:t xml:space="preserve">A-3. Comfort Letter Circle-Up vs. S-1 Capitalization and Dilution Tables</w:t>
      </w:r>
    </w:p>
    <w:p>
      <w:pPr>
        <w:pStyle w:val="FirstParagraph"/>
      </w:pPr>
      <w:r>
        <w:t xml:space="preserve">The Comfort Letter’s</w:t>
      </w:r>
      <w:r>
        <w:t xml:space="preserve"> </w:t>
      </w:r>
      <w:r>
        <w:t xml:space="preserve">“</w:t>
      </w:r>
      <w:r>
        <w:t xml:space="preserve">circle-up</w:t>
      </w:r>
      <w:r>
        <w:t xml:space="preserve">”</w:t>
      </w:r>
      <w:r>
        <w:t xml:space="preserve"> </w:t>
      </w:r>
      <w:r>
        <w:t xml:space="preserve">figures conflict with the corresponding figures in the S-1: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Comfort Letter (states</w:t>
            </w:r>
            <w:r>
              <w:t xml:space="preserve"> </w:t>
            </w:r>
            <w:r>
              <w:t xml:space="preserve">“</w:t>
            </w:r>
            <w:r>
              <w:t xml:space="preserve">agrees</w:t>
            </w:r>
            <w:r>
              <w:t xml:space="preserve">”</w:t>
            </w:r>
            <w:r>
              <w:t xml:space="preserve"> </w:t>
            </w:r>
            <w:r>
              <w:t xml:space="preserve">with audited balance sheet)</w:t>
            </w:r>
          </w:p>
        </w:tc>
        <w:tc>
          <w:tcPr/>
          <w:p>
            <w:pPr>
              <w:pStyle w:val="Compact"/>
              <w:jc w:val="left"/>
            </w:pPr>
            <w:r>
              <w:t xml:space="preserve">S-1 (Capitalization / Dilution tables)</w:t>
            </w:r>
          </w:p>
        </w:tc>
      </w:tr>
      <w:tr>
        <w:tc>
          <w:tcPr/>
          <w:p>
            <w:pPr>
              <w:pStyle w:val="Compact"/>
              <w:jc w:val="left"/>
            </w:pPr>
            <w:r>
              <w:t xml:space="preserve">Total stockholders’ equity (actual)</w:t>
            </w:r>
          </w:p>
        </w:tc>
        <w:tc>
          <w:tcPr/>
          <w:p>
            <w:pPr>
              <w:pStyle w:val="Compact"/>
              <w:jc w:val="left"/>
            </w:pPr>
            <w:r>
              <w:t xml:space="preserve">$198,400,000 (Sec. V.A.iv; App. A, Table 2)</w:t>
            </w:r>
          </w:p>
        </w:tc>
        <w:tc>
          <w:tcPr/>
          <w:p>
            <w:pPr>
              <w:pStyle w:val="Compact"/>
              <w:jc w:val="left"/>
            </w:pPr>
            <w:r>
              <w:t xml:space="preserve">$101,400,000 (Capitalization table)</w:t>
            </w:r>
          </w:p>
        </w:tc>
      </w:tr>
      <w:tr>
        <w:tc>
          <w:tcPr/>
          <w:p>
            <w:pPr>
              <w:pStyle w:val="Compact"/>
              <w:jc w:val="left"/>
            </w:pPr>
            <w:r>
              <w:t xml:space="preserve">Cash and cash equivalents (actual)</w:t>
            </w:r>
          </w:p>
        </w:tc>
        <w:tc>
          <w:tcPr/>
          <w:p>
            <w:pPr>
              <w:pStyle w:val="Compact"/>
              <w:jc w:val="left"/>
            </w:pPr>
            <w:r>
              <w:t xml:space="preserve">$47,300,000 (Sec. V.A.vi; App. A, Table 1,</w:t>
            </w:r>
            <w:r>
              <w:t xml:space="preserve"> </w:t>
            </w:r>
            <w:r>
              <w:t xml:space="preserve">“</w:t>
            </w:r>
            <w:r>
              <w:t xml:space="preserve">Prospectus Summary, p. 9</w:t>
            </w:r>
            <w:r>
              <w:t xml:space="preserve">”</w:t>
            </w:r>
            <w:r>
              <w:t xml:space="preserve">)</w:t>
            </w:r>
          </w:p>
        </w:tc>
        <w:tc>
          <w:tcPr/>
          <w:p>
            <w:pPr>
              <w:pStyle w:val="Compact"/>
              <w:jc w:val="left"/>
            </w:pPr>
            <w:r>
              <w:t xml:space="preserve">$38,400,000 (Capitalization table)</w:t>
            </w:r>
          </w:p>
        </w:tc>
      </w:tr>
      <w:tr>
        <w:tc>
          <w:tcPr/>
          <w:p>
            <w:pPr>
              <w:pStyle w:val="Compact"/>
              <w:jc w:val="left"/>
            </w:pPr>
            <w:r>
              <w:t xml:space="preserve">Net tangible book value per share (actual)</w:t>
            </w:r>
          </w:p>
        </w:tc>
        <w:tc>
          <w:tcPr/>
          <w:p>
            <w:pPr>
              <w:pStyle w:val="Compact"/>
              <w:jc w:val="left"/>
            </w:pPr>
            <w:r>
              <w:t xml:space="preserve">$4.72 (App. A, Table 3)</w:t>
            </w:r>
          </w:p>
        </w:tc>
        <w:tc>
          <w:tcPr/>
          <w:p>
            <w:pPr>
              <w:pStyle w:val="Compact"/>
              <w:jc w:val="left"/>
            </w:pPr>
            <w:r>
              <w:t xml:space="preserve">$2.17 (Dilution table)</w:t>
            </w:r>
          </w:p>
        </w:tc>
      </w:tr>
      <w:tr>
        <w:tc>
          <w:tcPr/>
          <w:p>
            <w:pPr>
              <w:pStyle w:val="Compact"/>
              <w:jc w:val="left"/>
            </w:pPr>
            <w:r>
              <w:t xml:space="preserve">Increase in NTBV per share</w:t>
            </w:r>
          </w:p>
        </w:tc>
        <w:tc>
          <w:tcPr/>
          <w:p>
            <w:pPr>
              <w:pStyle w:val="Compact"/>
              <w:jc w:val="left"/>
            </w:pPr>
            <w:r>
              <w:t xml:space="preserve">$2.61 (App. A, Table 3)</w:t>
            </w:r>
          </w:p>
        </w:tc>
        <w:tc>
          <w:tcPr/>
          <w:p>
            <w:pPr>
              <w:pStyle w:val="Compact"/>
              <w:jc w:val="left"/>
            </w:pPr>
            <w:r>
              <w:t xml:space="preserve">$3.20 (Dilution table)</w:t>
            </w:r>
          </w:p>
        </w:tc>
      </w:tr>
    </w:tbl>
    <w:p>
      <w:pPr>
        <w:pStyle w:val="BodyText"/>
      </w:pPr>
      <w:r>
        <w:rPr>
          <w:b/>
          <w:bCs/>
        </w:rPr>
        <w:t xml:space="preserve">Issue.</w:t>
      </w:r>
      <w:r>
        <w:t xml:space="preserve"> </w:t>
      </w:r>
      <w:r>
        <w:t xml:space="preserve">The Comfort Letter expressly represents that the $198.4 million total stockholders’ equity shown in the</w:t>
      </w:r>
      <w:r>
        <w:t xml:space="preserve"> </w:t>
      </w:r>
      <w:r>
        <w:t xml:space="preserve">“</w:t>
      </w:r>
      <w:r>
        <w:t xml:space="preserve">Capitalization, p. 42</w:t>
      </w:r>
      <w:r>
        <w:t xml:space="preserve">”</w:t>
      </w:r>
      <w:r>
        <w:t xml:space="preserve"> </w:t>
      </w:r>
      <w:r>
        <w:t xml:space="preserve">table</w:t>
      </w:r>
      <w:r>
        <w:t xml:space="preserve"> </w:t>
      </w:r>
      <w:r>
        <w:t xml:space="preserve">“</w:t>
      </w:r>
      <w:r>
        <w:t xml:space="preserve">agrees</w:t>
      </w:r>
      <w:r>
        <w:t xml:space="preserve">”</w:t>
      </w:r>
      <w:r>
        <w:t xml:space="preserve"> </w:t>
      </w:r>
      <w:r>
        <w:t xml:space="preserve">with the audited consolidated balance sheet, but the S-1 Capitalization table excerpt shows total stockholders’ equity of only $101.4 million (common stock $42k + additional paid-in capital $82,758k + retained earnings $18,600k). Likewise, the Comfort Letter states that cash of $47.3 million (per the Prospectus Summary) agrees with the audited balance sheet, while the S-1 Capitalization table shows cash of $38.4 million — an internal inconsistency within the S-1 itself (Prospectus Summary $47.3M vs. Capitalization table $38.4M). The Dilution figures are likewise inconsistent ($4.72 / $2.61 in the Comfort Letter vs. $2.17 / $3.20 in the S-1).</w:t>
      </w:r>
    </w:p>
    <w:p>
      <w:pPr>
        <w:pStyle w:val="BodyText"/>
      </w:pPr>
      <w:r>
        <w:rPr>
          <w:b/>
          <w:bCs/>
        </w:rPr>
        <w:t xml:space="preserve">Implication.</w:t>
      </w:r>
      <w:r>
        <w:t xml:space="preserve"> </w:t>
      </w:r>
      <w:r>
        <w:t xml:space="preserve">Either (a) the S-1 Capitalization and Dilution tables were revised after the Comfort Letter circle-up and now contain errors, or (b) the Comfort Letter circle-up is based on incorrect figures. In either case, the audited balance sheet, the S-1 Capitalization/Dilution tables, and the Comfort Letter must be reconciled before the final Comfort Letter and the bring-down Comfort Letter are delivered. This implicates the Underwriting Agreement’s bring-down Comfort Letter condition (Section 7.4) and the accuracy-of-the-Registration-Statement representation (Section 2.5). This is a blocking item for closing.</w:t>
      </w:r>
    </w:p>
    <w:p>
      <w:pPr>
        <w:pStyle w:val="BodyText"/>
      </w:pPr>
      <w:r>
        <w:rPr>
          <w:b/>
          <w:bCs/>
        </w:rPr>
        <w:t xml:space="preserve">Recommendation.</w:t>
      </w:r>
      <w:r>
        <w:t xml:space="preserve"> </w:t>
      </w:r>
      <w:r>
        <w:t xml:space="preserve">Company Counsel and Whitman Reese &amp; Co. should reconcile the audited balance sheet, the S-1 Capitalization and Dilution tables, and the Comfort Letter circle-up. The S-1 should be corrected in the Final Prospectus, and the final/bring-down Comfort Letter should circle the corrected figures.</w:t>
      </w:r>
    </w:p>
    <w:bookmarkEnd w:id="24"/>
    <w:bookmarkStart w:id="25" w:name="Xe33dbcb9c71a13cd61e12b619f3b6c7eb431571"/>
    <w:p>
      <w:pPr>
        <w:pStyle w:val="Heading3"/>
      </w:pPr>
      <w:r>
        <w:t xml:space="preserve">A-4. Mandatory Prepayment / Use of Proceeds — $10 Million vs. ~$15.2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 disclosed for credit facility repayment</w:t>
            </w:r>
          </w:p>
        </w:tc>
      </w:tr>
      <w:tr>
        <w:tc>
          <w:tcPr/>
          <w:p>
            <w:pPr>
              <w:pStyle w:val="Compact"/>
              <w:jc w:val="left"/>
            </w:pPr>
            <w:r>
              <w:t xml:space="preserve">S-1</w:t>
            </w:r>
            <w:r>
              <w:t xml:space="preserve"> </w:t>
            </w:r>
            <w:r>
              <w:t xml:space="preserve">“</w:t>
            </w:r>
            <w:r>
              <w:t xml:space="preserve">Use of Proceeds</w:t>
            </w:r>
            <w:r>
              <w:t xml:space="preserve">”</w:t>
            </w:r>
          </w:p>
        </w:tc>
        <w:tc>
          <w:tcPr/>
          <w:p>
            <w:pPr>
              <w:pStyle w:val="Compact"/>
              <w:jc w:val="left"/>
            </w:pPr>
            <w:r>
              <w:t xml:space="preserve">Approximately $10 million</w:t>
            </w:r>
          </w:p>
        </w:tc>
      </w:tr>
      <w:tr>
        <w:tc>
          <w:tcPr/>
          <w:p>
            <w:pPr>
              <w:pStyle w:val="Compact"/>
              <w:jc w:val="left"/>
            </w:pPr>
            <w:r>
              <w:t xml:space="preserve">S-1 Capitalization table (pro forma)</w:t>
            </w:r>
          </w:p>
        </w:tc>
        <w:tc>
          <w:tcPr/>
          <w:p>
            <w:pPr>
              <w:pStyle w:val="Compact"/>
              <w:jc w:val="left"/>
            </w:pPr>
            <w:r>
              <w:t xml:space="preserve">$22.5M → $12.5M (i.e., $10 million repayment)</w:t>
            </w:r>
          </w:p>
        </w:tc>
      </w:tr>
      <w:tr>
        <w:tc>
          <w:tcPr/>
          <w:p>
            <w:pPr>
              <w:pStyle w:val="Compact"/>
              <w:jc w:val="left"/>
            </w:pPr>
            <w:r>
              <w:t xml:space="preserve">S-1</w:t>
            </w:r>
            <w:r>
              <w:t xml:space="preserve"> </w:t>
            </w:r>
            <w:r>
              <w:t xml:space="preserve">“</w:t>
            </w:r>
            <w:r>
              <w:t xml:space="preserve">Risk Factors</w:t>
            </w:r>
            <w:r>
              <w:t xml:space="preserve">”</w:t>
            </w:r>
            <w:r>
              <w:t xml:space="preserve"> </w:t>
            </w:r>
            <w:r>
              <w:t xml:space="preserve">III.C</w:t>
            </w:r>
          </w:p>
        </w:tc>
        <w:tc>
          <w:tcPr/>
          <w:p>
            <w:pPr>
              <w:pStyle w:val="Compact"/>
              <w:jc w:val="left"/>
            </w:pPr>
            <w:r>
              <w:t xml:space="preserve">Mandatory prepayment of approximately $15.2 million</w:t>
            </w:r>
          </w:p>
        </w:tc>
      </w:tr>
      <w:tr>
        <w:tc>
          <w:tcPr/>
          <w:p>
            <w:pPr>
              <w:pStyle w:val="Compact"/>
              <w:jc w:val="left"/>
            </w:pPr>
            <w:r>
              <w:t xml:space="preserve">Credit Agreement Summary (Sec. 6, 15.1)</w:t>
            </w:r>
          </w:p>
        </w:tc>
        <w:tc>
          <w:tcPr/>
          <w:p>
            <w:pPr>
              <w:pStyle w:val="Compact"/>
              <w:jc w:val="left"/>
            </w:pPr>
            <w:r>
              <w:t xml:space="preserve">$15,240,000 (or $13,640,000 if offering expenses are deductible)</w:t>
            </w:r>
          </w:p>
        </w:tc>
      </w:tr>
      <w:tr>
        <w:tc>
          <w:tcPr/>
          <w:p>
            <w:pPr>
              <w:pStyle w:val="Compact"/>
              <w:jc w:val="left"/>
            </w:pPr>
            <w:r>
              <w:t xml:space="preserve">Comfort Letter (Sec. VII.D)</w:t>
            </w:r>
          </w:p>
        </w:tc>
        <w:tc>
          <w:tcPr/>
          <w:p>
            <w:pPr>
              <w:pStyle w:val="Compact"/>
              <w:jc w:val="left"/>
            </w:pPr>
            <w:r>
              <w:t xml:space="preserve">Supports $177.28M net equity proceeds (i.e., expenses deductible → $13.64M prepayment)</w:t>
            </w:r>
          </w:p>
        </w:tc>
      </w:tr>
    </w:tbl>
    <w:p>
      <w:pPr>
        <w:pStyle w:val="BodyText"/>
      </w:pPr>
      <w:r>
        <w:rPr>
          <w:b/>
          <w:bCs/>
        </w:rPr>
        <w:t xml:space="preserve">Issue.</w:t>
      </w:r>
      <w:r>
        <w:t xml:space="preserve"> </w:t>
      </w:r>
      <w:r>
        <w:t xml:space="preserve">The S-1 is internally inconsistent: the</w:t>
      </w:r>
      <w:r>
        <w:t xml:space="preserve"> </w:t>
      </w:r>
      <w:r>
        <w:t xml:space="preserve">“</w:t>
      </w:r>
      <w:r>
        <w:t xml:space="preserve">Use of Proceeds</w:t>
      </w:r>
      <w:r>
        <w:t xml:space="preserve">”</w:t>
      </w:r>
      <w:r>
        <w:t xml:space="preserve"> </w:t>
      </w:r>
      <w:r>
        <w:t xml:space="preserve">and Capitalization table reflect a $10 million repayment, while the</w:t>
      </w:r>
      <w:r>
        <w:t xml:space="preserve"> </w:t>
      </w:r>
      <w:r>
        <w:t xml:space="preserve">“</w:t>
      </w:r>
      <w:r>
        <w:t xml:space="preserve">Risk Factors</w:t>
      </w:r>
      <w:r>
        <w:t xml:space="preserve">”</w:t>
      </w:r>
      <w:r>
        <w:t xml:space="preserve"> </w:t>
      </w:r>
      <w:r>
        <w:t xml:space="preserve">disclosure and the Credit Agreement Summary reflect a mandatory prepayment of approximately $15.2 million (or $13.6 million if offering expenses are deductible from</w:t>
      </w:r>
      <w:r>
        <w:t xml:space="preserve"> </w:t>
      </w:r>
      <w:r>
        <w:t xml:space="preserve">“</w:t>
      </w:r>
      <w:r>
        <w:t xml:space="preserve">Net Equity Proceeds</w:t>
      </w:r>
      <w:r>
        <w:t xml:space="preserve">”</w:t>
      </w:r>
      <w:r>
        <w:t xml:space="preserve">). The Credit Agreement’s mandatory prepayment provision (Section 2.05(b)(i)) requires prepayment of 50% of Net Equity Proceeds in excess of $150 million, which on the assumed pricing yields a prepayment materially exceeding $10 million. The Credit Agreement Summary flags this as a potential material misstatement.</w:t>
      </w:r>
    </w:p>
    <w:p>
      <w:pPr>
        <w:pStyle w:val="BodyText"/>
      </w:pPr>
      <w:r>
        <w:rPr>
          <w:b/>
          <w:bCs/>
        </w:rPr>
        <w:t xml:space="preserve">Implication.</w:t>
      </w:r>
      <w:r>
        <w:t xml:space="preserve"> </w:t>
      </w:r>
      <w:r>
        <w:t xml:space="preserve">The Underwriting Agreement’s use-of-proceeds representation (Section 2.21) and material-contracts representation (Section 2.10) must be accurate. If the Final Prospectus continues to disclose only $10 million while the Company is contractually obligated to prepay ~$15.2 million, the use-of-proceeds disclosure is misleading.</w:t>
      </w:r>
    </w:p>
    <w:p>
      <w:pPr>
        <w:pStyle w:val="BodyText"/>
      </w:pPr>
      <w:r>
        <w:rPr>
          <w:b/>
          <w:bCs/>
        </w:rPr>
        <w:t xml:space="preserve">Recommendation.</w:t>
      </w:r>
      <w:r>
        <w:t xml:space="preserve"> </w:t>
      </w:r>
      <w:r>
        <w:t xml:space="preserve">Company Counsel must (a) confirm the correct interpretation of</w:t>
      </w:r>
      <w:r>
        <w:t xml:space="preserve"> </w:t>
      </w:r>
      <w:r>
        <w:t xml:space="preserve">“</w:t>
      </w:r>
      <w:r>
        <w:t xml:space="preserve">Net Equity Proceeds</w:t>
      </w:r>
      <w:r>
        <w:t xml:space="preserve">”</w:t>
      </w:r>
      <w:r>
        <w:t xml:space="preserve"> </w:t>
      </w:r>
      <w:r>
        <w:t xml:space="preserve">(including whether offering expenses are deductible), (b) calculate the exact mandatory prepayment amount at the final Public Offering Price, and (c) update the</w:t>
      </w:r>
      <w:r>
        <w:t xml:space="preserve"> </w:t>
      </w:r>
      <w:r>
        <w:t xml:space="preserve">“</w:t>
      </w:r>
      <w:r>
        <w:t xml:space="preserve">Use of Proceeds</w:t>
      </w:r>
      <w:r>
        <w:t xml:space="preserve">”</w:t>
      </w:r>
      <w:r>
        <w:t xml:space="preserve"> </w:t>
      </w:r>
      <w:r>
        <w:t xml:space="preserve">and Capitalization table in the Final Prospectus to reflect the actual mandatory prepayment. The Underwriting Agreement’s bracketed note in Sections 2.10 and 2.21 should be cleared once reconciled. This is a blocking item for filing the Final Prospectus.</w:t>
      </w:r>
    </w:p>
    <w:bookmarkEnd w:id="25"/>
    <w:bookmarkEnd w:id="26"/>
    <w:bookmarkStart w:id="37" w:name="iv.-material-discrepancies"/>
    <w:p>
      <w:pPr>
        <w:pStyle w:val="Heading2"/>
      </w:pPr>
      <w:r>
        <w:t xml:space="preserve">IV. Material Discrepancies</w:t>
      </w:r>
    </w:p>
    <w:bookmarkStart w:id="27" w:name="X76dbcd3e44e407fa7f67b4a2f7a230f38eddd31"/>
    <w:p>
      <w:pPr>
        <w:pStyle w:val="Heading3"/>
      </w:pPr>
      <w:r>
        <w:t xml:space="preserve">B-1. Lock-Up Springing Extension for Dr. Krishnamurthy — Not in Form Lock-Up; Not Disclosed in S-1</w:t>
      </w:r>
    </w:p>
    <w:p>
      <w:pPr>
        <w:pStyle w:val="FirstParagraph"/>
      </w:pPr>
      <w:r>
        <w:t xml:space="preserve">The Term Sheet (Sec. 10.2) and the POA (Sec. 2(c)) contemplate a</w:t>
      </w:r>
      <w:r>
        <w:t xml:space="preserve"> </w:t>
      </w:r>
      <w:r>
        <w:t xml:space="preserve">“</w:t>
      </w:r>
      <w:r>
        <w:t xml:space="preserve">springing</w:t>
      </w:r>
      <w:r>
        <w:t xml:space="preserve">”</w:t>
      </w:r>
      <w:r>
        <w:t xml:space="preserve"> </w:t>
      </w:r>
      <w:r>
        <w:t xml:space="preserve">market standoff extension for Dr. Krishnamurthy: if the closing price is below the IPO Price for five (5) consecutive trading days during the final seventeen (17) trading days of the 180-day lock-up, his lock-up automatically extends by 18 calendar days (to 198 days total). However, the form Lock-Up Agreement does not include this provision, and the S-1 lock-up disclosure (Sec. VIII and Sec. XI.D) does not mention it.</w:t>
      </w:r>
    </w:p>
    <w:p>
      <w:pPr>
        <w:pStyle w:val="BodyText"/>
      </w:pPr>
      <w:r>
        <w:rPr>
          <w:b/>
          <w:bCs/>
        </w:rPr>
        <w:t xml:space="preserve">Recommendation.</w:t>
      </w:r>
      <w:r>
        <w:t xml:space="preserve"> </w:t>
      </w:r>
      <w:r>
        <w:t xml:space="preserve">(a) Prepare a supplemental annex (Exhibit A-1 to the Underwriting Agreement) incorporating the springing extension into Dr. Krishnamurthy’s Lock-Up Agreement; (b) confirm the S-1 lock-up disclosure is updated in the Final Prospectus to reflect the springing extension (or confirm no disclosure is required); and (c) confirm the POA’s authorization to execute the springing-extension lock-up on Dr. Krishnamurthy’s behalf is sufficient. The Underwriting Agreement (Section 13.3 and Exhibit A-1) has been drafted to include the springing extension.</w:t>
      </w:r>
    </w:p>
    <w:bookmarkEnd w:id="27"/>
    <w:bookmarkStart w:id="28" w:name="Xfc112feb4be8776d8e516b74e966823abe78598"/>
    <w:p>
      <w:pPr>
        <w:pStyle w:val="Heading3"/>
      </w:pPr>
      <w:r>
        <w:t xml:space="preserve">B-2. Dr. Krishnamurthy — Shares to Be Sold: 500,000 vs. </w:t>
      </w:r>
      <w:r>
        <w:t xml:space="preserve">“</w:t>
      </w:r>
      <w:r>
        <w:t xml:space="preserve">Up to 750,000</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Dr. Krishnamurthy shares to be sold</w:t>
            </w:r>
          </w:p>
        </w:tc>
      </w:tr>
      <w:tr>
        <w:tc>
          <w:tcPr/>
          <w:p>
            <w:pPr>
              <w:pStyle w:val="Compact"/>
              <w:jc w:val="left"/>
            </w:pPr>
            <w:r>
              <w:t xml:space="preserve">S-1 (beneficial ownership table)</w:t>
            </w:r>
          </w:p>
        </w:tc>
        <w:tc>
          <w:tcPr/>
          <w:p>
            <w:pPr>
              <w:pStyle w:val="Compact"/>
              <w:jc w:val="left"/>
            </w:pPr>
            <w:r>
              <w:t xml:space="preserve">500,000</w:t>
            </w:r>
          </w:p>
        </w:tc>
      </w:tr>
      <w:tr>
        <w:tc>
          <w:tcPr/>
          <w:p>
            <w:pPr>
              <w:pStyle w:val="Compact"/>
              <w:jc w:val="left"/>
            </w:pPr>
            <w:r>
              <w:t xml:space="preserve">POA (Schedule A)</w:t>
            </w:r>
          </w:p>
        </w:tc>
        <w:tc>
          <w:tcPr/>
          <w:p>
            <w:pPr>
              <w:pStyle w:val="Compact"/>
              <w:jc w:val="left"/>
            </w:pPr>
            <w:r>
              <w:t xml:space="preserve">Up to 500,000</w:t>
            </w:r>
          </w:p>
        </w:tc>
      </w:tr>
      <w:tr>
        <w:tc>
          <w:tcPr/>
          <w:p>
            <w:pPr>
              <w:pStyle w:val="Compact"/>
              <w:jc w:val="left"/>
            </w:pPr>
            <w:r>
              <w:t xml:space="preserve">Term Sheet (Sec. 2.1, 6.1)</w:t>
            </w:r>
          </w:p>
        </w:tc>
        <w:tc>
          <w:tcPr/>
          <w:p>
            <w:pPr>
              <w:pStyle w:val="Compact"/>
              <w:jc w:val="left"/>
            </w:pPr>
            <w:r>
              <w:t xml:space="preserve">500,000</w:t>
            </w:r>
          </w:p>
        </w:tc>
      </w:tr>
      <w:tr>
        <w:tc>
          <w:tcPr/>
          <w:p>
            <w:pPr>
              <w:pStyle w:val="Compact"/>
              <w:jc w:val="left"/>
            </w:pPr>
            <w:r>
              <w:t xml:space="preserve">Engagement Letter (Sec. 2; Annex A)</w:t>
            </w:r>
          </w:p>
        </w:tc>
        <w:tc>
          <w:tcPr/>
          <w:p>
            <w:pPr>
              <w:pStyle w:val="Compact"/>
              <w:jc w:val="left"/>
            </w:pPr>
            <w:r>
              <w:t xml:space="preserve">Up to 750,000 (baseline 500,000)</w:t>
            </w:r>
          </w:p>
        </w:tc>
      </w:tr>
    </w:tbl>
    <w:p>
      <w:pPr>
        <w:pStyle w:val="BodyText"/>
      </w:pPr>
      <w:r>
        <w:rPr>
          <w:b/>
          <w:bCs/>
        </w:rPr>
        <w:t xml:space="preserve">Issue.</w:t>
      </w:r>
      <w:r>
        <w:t xml:space="preserve"> </w:t>
      </w:r>
      <w:r>
        <w:t xml:space="preserve">The Engagement Letter permits Dr. Krishnamurthy to sell</w:t>
      </w:r>
      <w:r>
        <w:t xml:space="preserve"> </w:t>
      </w:r>
      <w:r>
        <w:t xml:space="preserve">“</w:t>
      </w:r>
      <w:r>
        <w:t xml:space="preserve">up to 750,000 shares,</w:t>
      </w:r>
      <w:r>
        <w:t xml:space="preserve">”</w:t>
      </w:r>
      <w:r>
        <w:t xml:space="preserve"> </w:t>
      </w:r>
      <w:r>
        <w:t xml:space="preserve">while the S-1, the POA, and the Term Sheet each provide for 500,000 shares. The Underwriting Agreement follows the S-1 (500,000 shares).</w:t>
      </w:r>
    </w:p>
    <w:p>
      <w:pPr>
        <w:pStyle w:val="BodyText"/>
      </w:pPr>
      <w:r>
        <w:rPr>
          <w:b/>
          <w:bCs/>
        </w:rPr>
        <w:t xml:space="preserve">Recommendation.</w:t>
      </w:r>
      <w:r>
        <w:t xml:space="preserve"> </w:t>
      </w:r>
      <w:r>
        <w:t xml:space="preserve">Confirm with the Company and Dr. Krishnamurthy that 500,000 shares is the final number (consistent with the S-1 and POA). If 750,000 shares are to be sold, the S-1, the POA Schedule A, and the Underwriting Agreement (Schedule II) must be updated, and the beneficial-ownership and use-of-proceeds disclosures revisited.</w:t>
      </w:r>
    </w:p>
    <w:bookmarkEnd w:id="28"/>
    <w:bookmarkStart w:id="29" w:name="X2d0aa9b786031c9f49a5b67f4d0d95ea86da8c0"/>
    <w:p>
      <w:pPr>
        <w:pStyle w:val="Heading3"/>
      </w:pPr>
      <w:r>
        <w:t xml:space="preserve">B-3. Over-Allotment Option — Source of Option Shares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Source of over-allotment shares</w:t>
            </w:r>
          </w:p>
        </w:tc>
      </w:tr>
      <w:tr>
        <w:tc>
          <w:tcPr/>
          <w:p>
            <w:pPr>
              <w:pStyle w:val="Compact"/>
              <w:jc w:val="left"/>
            </w:pPr>
            <w:r>
              <w:t xml:space="preserve">S-1 (Cover; Sec. XI.B)</w:t>
            </w:r>
          </w:p>
        </w:tc>
        <w:tc>
          <w:tcPr/>
          <w:p>
            <w:pPr>
              <w:pStyle w:val="Compact"/>
              <w:jc w:val="left"/>
            </w:pPr>
            <w:r>
              <w:t xml:space="preserve">From the Company (</w:t>
            </w:r>
            <w:r>
              <w:t xml:space="preserve">“</w:t>
            </w:r>
            <w:r>
              <w:t xml:space="preserve">from us</w:t>
            </w:r>
            <w:r>
              <w:t xml:space="preserve">”</w:t>
            </w:r>
            <w:r>
              <w:t xml:space="preserve">)</w:t>
            </w:r>
          </w:p>
        </w:tc>
      </w:tr>
      <w:tr>
        <w:tc>
          <w:tcPr/>
          <w:p>
            <w:pPr>
              <w:pStyle w:val="Compact"/>
              <w:jc w:val="left"/>
            </w:pPr>
            <w:r>
              <w:t xml:space="preserve">Engagement Letter (Sec. 2)</w:t>
            </w:r>
          </w:p>
        </w:tc>
        <w:tc>
          <w:tcPr/>
          <w:p>
            <w:pPr>
              <w:pStyle w:val="Compact"/>
              <w:jc w:val="left"/>
            </w:pPr>
            <w:r>
              <w:t xml:space="preserve">Exclusively newly issued Company shares</w:t>
            </w:r>
          </w:p>
        </w:tc>
      </w:tr>
      <w:tr>
        <w:tc>
          <w:tcPr/>
          <w:p>
            <w:pPr>
              <w:pStyle w:val="Compact"/>
              <w:jc w:val="left"/>
            </w:pPr>
            <w:r>
              <w:t xml:space="preserve">Cascade Questionnaire (Sec. 2(b))</w:t>
            </w:r>
          </w:p>
        </w:tc>
        <w:tc>
          <w:tcPr/>
          <w:p>
            <w:pPr>
              <w:pStyle w:val="Compact"/>
              <w:jc w:val="left"/>
            </w:pPr>
            <w:r>
              <w:t xml:space="preserve">Exclusively newly issued Company shares</w:t>
            </w:r>
          </w:p>
        </w:tc>
      </w:tr>
      <w:tr>
        <w:tc>
          <w:tcPr/>
          <w:p>
            <w:pPr>
              <w:pStyle w:val="Compact"/>
              <w:jc w:val="left"/>
            </w:pPr>
            <w:r>
              <w:t xml:space="preserve">Term Sheet (Sec. 2.2)</w:t>
            </w:r>
          </w:p>
        </w:tc>
        <w:tc>
          <w:tcPr/>
          <w:p>
            <w:pPr>
              <w:pStyle w:val="Compact"/>
              <w:jc w:val="left"/>
            </w:pPr>
            <w:r>
              <w:t xml:space="preserve">From the Company and/or the Selling Stockholders</w:t>
            </w:r>
          </w:p>
        </w:tc>
      </w:tr>
    </w:tbl>
    <w:p>
      <w:pPr>
        <w:pStyle w:val="BodyText"/>
      </w:pPr>
      <w:r>
        <w:rPr>
          <w:b/>
          <w:bCs/>
        </w:rPr>
        <w:t xml:space="preserve">Issue.</w:t>
      </w:r>
      <w:r>
        <w:t xml:space="preserve"> </w:t>
      </w:r>
      <w:r>
        <w:t xml:space="preserve">The Term Sheet permits the Over-Allotment Option to be satisfied from the Company and/or the Selling Stockholders, while the S-1, the Engagement Letter, and the Cascade Questionnaire each provide that the option is sourced exclusively from newly issued Company shares. The Underwriting Agreement follows the S-1 (Company only; Section 4.2).</w:t>
      </w:r>
    </w:p>
    <w:p>
      <w:pPr>
        <w:pStyle w:val="BodyText"/>
      </w:pPr>
      <w:r>
        <w:rPr>
          <w:b/>
          <w:bCs/>
        </w:rPr>
        <w:t xml:space="preserve">Recommendation.</w:t>
      </w:r>
      <w:r>
        <w:t xml:space="preserve"> </w:t>
      </w:r>
      <w:r>
        <w:t xml:space="preserve">Confirm the Over-Allotment Option is sourced exclusively from the Company (consistent with the S-1). If Selling Stockholder shares are to be subject to the option, the S-1 disclosure and the Underwriting Agreement must be revised, and the Selling Stockholder Questionnaires and POA reviewed.</w:t>
      </w:r>
    </w:p>
    <w:bookmarkEnd w:id="29"/>
    <w:bookmarkStart w:id="30" w:name="X8713b62397d521bd89e95b681ace07058b5aef0"/>
    <w:p>
      <w:pPr>
        <w:pStyle w:val="Heading3"/>
      </w:pPr>
      <w:r>
        <w:t xml:space="preserve">B-4. Cascade Kestridge Ventures, LP — Entity, General Partner, Control Persons, and Address</w:t>
      </w:r>
    </w:p>
    <w:p>
      <w:pPr>
        <w:pStyle w:val="FirstParagraph"/>
      </w:pPr>
      <w:r>
        <w:t xml:space="preserve">The name, general partner, control persons, and address of Cascade Kestridge Ventures, LP differ across the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S-1 (footnote 1)</w:t>
            </w:r>
          </w:p>
        </w:tc>
        <w:tc>
          <w:tcPr/>
          <w:p>
            <w:pPr>
              <w:pStyle w:val="Compact"/>
              <w:jc w:val="left"/>
            </w:pPr>
            <w:r>
              <w:t xml:space="preserve">POA (signature block)</w:t>
            </w:r>
          </w:p>
        </w:tc>
        <w:tc>
          <w:tcPr/>
          <w:p>
            <w:pPr>
              <w:pStyle w:val="Compact"/>
              <w:jc w:val="left"/>
            </w:pPr>
            <w:r>
              <w:t xml:space="preserve">Cascade Questionnaire</w:t>
            </w:r>
          </w:p>
        </w:tc>
      </w:tr>
      <w:tr>
        <w:tc>
          <w:tcPr/>
          <w:p>
            <w:pPr>
              <w:pStyle w:val="Compact"/>
              <w:jc w:val="left"/>
            </w:pPr>
            <w:r>
              <w:t xml:space="preserve">LP name (signature block)</w:t>
            </w:r>
          </w:p>
        </w:tc>
        <w:tc>
          <w:tcPr/>
          <w:p>
            <w:pPr>
              <w:pStyle w:val="Compact"/>
              <w:jc w:val="left"/>
            </w:pPr>
            <w:r>
              <w:t xml:space="preserve">Cascade Kestridge Ventures, LP</w:t>
            </w:r>
          </w:p>
        </w:tc>
        <w:tc>
          <w:tcPr/>
          <w:p>
            <w:pPr>
              <w:pStyle w:val="Compact"/>
              <w:jc w:val="left"/>
            </w:pPr>
            <w:r>
              <w:t xml:space="preserve">“</w:t>
            </w:r>
            <w:r>
              <w:t xml:space="preserve">CASCADE RIDGE VENTURES, LP</w:t>
            </w:r>
            <w:r>
              <w:t xml:space="preserve">”</w:t>
            </w:r>
          </w:p>
        </w:tc>
        <w:tc>
          <w:tcPr/>
          <w:p>
            <w:pPr>
              <w:pStyle w:val="Compact"/>
              <w:jc w:val="left"/>
            </w:pPr>
            <w:r>
              <w:t xml:space="preserve">“</w:t>
            </w:r>
            <w:r>
              <w:t xml:space="preserve">CASCADE RIDGE VENTURES, LP</w:t>
            </w:r>
            <w:r>
              <w:t xml:space="preserve">”</w:t>
            </w:r>
          </w:p>
        </w:tc>
      </w:tr>
      <w:tr>
        <w:tc>
          <w:tcPr/>
          <w:p>
            <w:pPr>
              <w:pStyle w:val="Compact"/>
              <w:jc w:val="left"/>
            </w:pPr>
            <w:r>
              <w:t xml:space="preserve">General partner</w:t>
            </w:r>
          </w:p>
        </w:tc>
        <w:tc>
          <w:tcPr/>
          <w:p>
            <w:pPr>
              <w:pStyle w:val="Compact"/>
              <w:jc w:val="left"/>
            </w:pPr>
            <w:r>
              <w:t xml:space="preserve">Cascade Ridge Capital Management LLC</w:t>
            </w:r>
          </w:p>
        </w:tc>
        <w:tc>
          <w:tcPr/>
          <w:p>
            <w:pPr>
              <w:pStyle w:val="Compact"/>
              <w:jc w:val="left"/>
            </w:pPr>
            <w:r>
              <w:t xml:space="preserve">Cascade Ridge Capital Management, LLC</w:t>
            </w:r>
          </w:p>
        </w:tc>
        <w:tc>
          <w:tcPr/>
          <w:p>
            <w:pPr>
              <w:pStyle w:val="Compact"/>
              <w:jc w:val="left"/>
            </w:pPr>
            <w:r>
              <w:t xml:space="preserve">Cascade Kestridge Ventures Management, LLC</w:t>
            </w:r>
          </w:p>
        </w:tc>
      </w:tr>
      <w:tr>
        <w:tc>
          <w:tcPr/>
          <w:p>
            <w:pPr>
              <w:pStyle w:val="Compact"/>
              <w:jc w:val="left"/>
            </w:pPr>
            <w:r>
              <w:t xml:space="preserve">Control person(s)</w:t>
            </w:r>
          </w:p>
        </w:tc>
        <w:tc>
          <w:tcPr/>
          <w:p>
            <w:pPr>
              <w:pStyle w:val="Compact"/>
              <w:jc w:val="left"/>
            </w:pPr>
            <w:r>
              <w:t xml:space="preserve">James Whitfield (managing member)</w:t>
            </w:r>
          </w:p>
        </w:tc>
        <w:tc>
          <w:tcPr/>
          <w:p>
            <w:pPr>
              <w:pStyle w:val="Compact"/>
              <w:jc w:val="left"/>
            </w:pPr>
            <w:r>
              <w:t xml:space="preserve">Margaret T. Okonkwo (managing member)</w:t>
            </w:r>
          </w:p>
        </w:tc>
        <w:tc>
          <w:tcPr/>
          <w:p>
            <w:pPr>
              <w:pStyle w:val="Compact"/>
              <w:jc w:val="left"/>
            </w:pPr>
            <w:r>
              <w:t xml:space="preserve">Marcus J. Aldridge &amp; Teresa Huang</w:t>
            </w:r>
          </w:p>
        </w:tc>
      </w:tr>
      <w:tr>
        <w:tc>
          <w:tcPr/>
          <w:p>
            <w:pPr>
              <w:pStyle w:val="Compact"/>
              <w:jc w:val="left"/>
            </w:pPr>
            <w:r>
              <w:t xml:space="preserve">Address</w:t>
            </w:r>
          </w:p>
        </w:tc>
        <w:tc>
          <w:tcPr/>
          <w:p>
            <w:pPr>
              <w:pStyle w:val="Compact"/>
              <w:jc w:val="left"/>
            </w:pPr>
            <w:r>
              <w:t xml:space="preserve">1200 Fourth Avenue, Suite 3000, Seattle, WA 98101</w:t>
            </w:r>
          </w:p>
        </w:tc>
        <w:tc>
          <w:tcPr/>
          <w:p>
            <w:pPr>
              <w:pStyle w:val="Compact"/>
              <w:jc w:val="left"/>
            </w:pPr>
            <w:r>
              <w:t xml:space="preserve">(not specified)</w:t>
            </w:r>
          </w:p>
        </w:tc>
        <w:tc>
          <w:tcPr/>
          <w:p>
            <w:pPr>
              <w:pStyle w:val="Compact"/>
              <w:jc w:val="left"/>
            </w:pPr>
            <w:r>
              <w:t xml:space="preserve">2800 Sand Hill Road, Suite 210, Menlo Park, CA 94025</w:t>
            </w:r>
          </w:p>
        </w:tc>
      </w:tr>
    </w:tbl>
    <w:p>
      <w:pPr>
        <w:pStyle w:val="BodyText"/>
      </w:pPr>
      <w:r>
        <w:rPr>
          <w:b/>
          <w:bCs/>
        </w:rPr>
        <w:t xml:space="preserve">Issue.</w:t>
      </w:r>
      <w:r>
        <w:t xml:space="preserve"> </w:t>
      </w:r>
      <w:r>
        <w:t xml:space="preserve">There are at least three different versions of Cascade’s general partner and control persons, and the LP is misnamed</w:t>
      </w:r>
      <w:r>
        <w:t xml:space="preserve"> </w:t>
      </w:r>
      <w:r>
        <w:t xml:space="preserve">“</w:t>
      </w:r>
      <w:r>
        <w:t xml:space="preserve">Cascade Ridge Ventures, LP</w:t>
      </w:r>
      <w:r>
        <w:t xml:space="preserve">”</w:t>
      </w:r>
      <w:r>
        <w:t xml:space="preserve"> </w:t>
      </w:r>
      <w:r>
        <w:t xml:space="preserve">in the signature blocks of both the POA and the Cascade Questionnaire (the correct name, used throughout the body text, the S-1, the Term Sheet, and the Engagement Letter, is</w:t>
      </w:r>
      <w:r>
        <w:t xml:space="preserve"> </w:t>
      </w:r>
      <w:r>
        <w:t xml:space="preserve">“</w:t>
      </w:r>
      <w:r>
        <w:t xml:space="preserve">Cascade Kestridge Ventures, LP</w:t>
      </w:r>
      <w:r>
        <w:t xml:space="preserve">”</w:t>
      </w:r>
      <w:r>
        <w:t xml:space="preserve">). The Credit Agreement Summary (Sec. 9) also refers to</w:t>
      </w:r>
      <w:r>
        <w:t xml:space="preserve"> </w:t>
      </w:r>
      <w:r>
        <w:t xml:space="preserve">“</w:t>
      </w:r>
      <w:r>
        <w:t xml:space="preserve">Cascade Ridge Ventures.</w:t>
      </w:r>
      <w:r>
        <w:t xml:space="preserve">”</w:t>
      </w:r>
      <w:r>
        <w:t xml:space="preserve"> </w:t>
      </w:r>
      <w:r>
        <w:t xml:space="preserve">The address differs (Menlo Park vs. Seattle). These inconsistencies affect the accuracy of the S-1 selling-stockholder disclosure and the Selling Stockholder representations in the Underwriting Agreement (Article III).</w:t>
      </w:r>
    </w:p>
    <w:p>
      <w:pPr>
        <w:pStyle w:val="BodyText"/>
      </w:pPr>
      <w:r>
        <w:rPr>
          <w:b/>
          <w:bCs/>
        </w:rPr>
        <w:t xml:space="preserve">Recommendation.</w:t>
      </w:r>
      <w:r>
        <w:t xml:space="preserve"> </w:t>
      </w:r>
      <w:r>
        <w:t xml:space="preserve">Company Counsel must confirm the correct legal name of the LP, the correct name of its general partner, the natural person(s) with voting and investment control, and the correct address, and reconcile the S-1 footnote, the POA signature block, and the Cascade Questionnaire. The Underwriting Agreement signature block and Schedule II should be updated accordingly.</w:t>
      </w:r>
    </w:p>
    <w:bookmarkEnd w:id="30"/>
    <w:bookmarkStart w:id="31" w:name="X00280218cd2c8a833b553f53baed34191c70aef"/>
    <w:p>
      <w:pPr>
        <w:pStyle w:val="Heading3"/>
      </w:pPr>
      <w:r>
        <w:t xml:space="preserve">B-5. Northlight Growth Partners Fund II, LP — General Partner and Control Persons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S-1 (footnote 2)</w:t>
            </w:r>
          </w:p>
        </w:tc>
        <w:tc>
          <w:tcPr/>
          <w:p>
            <w:pPr>
              <w:pStyle w:val="Compact"/>
              <w:jc w:val="left"/>
            </w:pPr>
            <w:r>
              <w:t xml:space="preserve">POA (signature block)</w:t>
            </w:r>
          </w:p>
        </w:tc>
      </w:tr>
      <w:tr>
        <w:tc>
          <w:tcPr/>
          <w:p>
            <w:pPr>
              <w:pStyle w:val="Compact"/>
              <w:jc w:val="left"/>
            </w:pPr>
            <w:r>
              <w:t xml:space="preserve">General partner</w:t>
            </w:r>
          </w:p>
        </w:tc>
        <w:tc>
          <w:tcPr/>
          <w:p>
            <w:pPr>
              <w:pStyle w:val="Compact"/>
              <w:jc w:val="left"/>
            </w:pPr>
            <w:r>
              <w:t xml:space="preserve">Northlight Capital Advisors LLC</w:t>
            </w:r>
          </w:p>
        </w:tc>
        <w:tc>
          <w:tcPr/>
          <w:p>
            <w:pPr>
              <w:pStyle w:val="Compact"/>
              <w:jc w:val="left"/>
            </w:pPr>
            <w:r>
              <w:t xml:space="preserve">Northlight Growth Advisors, LLC</w:t>
            </w:r>
          </w:p>
        </w:tc>
      </w:tr>
      <w:tr>
        <w:tc>
          <w:tcPr/>
          <w:p>
            <w:pPr>
              <w:pStyle w:val="Compact"/>
              <w:jc w:val="left"/>
            </w:pPr>
            <w:r>
              <w:t xml:space="preserve">Control person</w:t>
            </w:r>
          </w:p>
        </w:tc>
        <w:tc>
          <w:tcPr/>
          <w:p>
            <w:pPr>
              <w:pStyle w:val="Compact"/>
              <w:jc w:val="left"/>
            </w:pPr>
            <w:r>
              <w:t xml:space="preserve">Caroline Briggs (managing member)</w:t>
            </w:r>
          </w:p>
        </w:tc>
        <w:tc>
          <w:tcPr/>
          <w:p>
            <w:pPr>
              <w:pStyle w:val="Compact"/>
              <w:jc w:val="left"/>
            </w:pPr>
            <w:r>
              <w:t xml:space="preserve">Eric P. Johansson (managing partner)</w:t>
            </w:r>
          </w:p>
        </w:tc>
      </w:tr>
      <w:tr>
        <w:tc>
          <w:tcPr/>
          <w:p>
            <w:pPr>
              <w:pStyle w:val="Compact"/>
              <w:jc w:val="left"/>
            </w:pPr>
            <w:r>
              <w:t xml:space="preserve">Address</w:t>
            </w:r>
          </w:p>
        </w:tc>
        <w:tc>
          <w:tcPr/>
          <w:p>
            <w:pPr>
              <w:pStyle w:val="Compact"/>
              <w:jc w:val="left"/>
            </w:pPr>
            <w:r>
              <w:t xml:space="preserve">500 Boylston Street, Suite 2400, Boston, MA 02116</w:t>
            </w:r>
          </w:p>
        </w:tc>
        <w:tc>
          <w:tcPr/>
          <w:p>
            <w:pPr>
              <w:pStyle w:val="Compact"/>
              <w:jc w:val="left"/>
            </w:pPr>
            <w:r>
              <w:t xml:space="preserve">(not specified)</w:t>
            </w:r>
          </w:p>
        </w:tc>
      </w:tr>
    </w:tbl>
    <w:p>
      <w:pPr>
        <w:pStyle w:val="BodyText"/>
      </w:pPr>
      <w:r>
        <w:rPr>
          <w:b/>
          <w:bCs/>
        </w:rPr>
        <w:t xml:space="preserve">Issue.</w:t>
      </w:r>
      <w:r>
        <w:t xml:space="preserve"> </w:t>
      </w:r>
      <w:r>
        <w:t xml:space="preserve">The general partner name (</w:t>
      </w:r>
      <w:r>
        <w:t xml:space="preserve">“</w:t>
      </w:r>
      <w:r>
        <w:t xml:space="preserve">Capital Advisors</w:t>
      </w:r>
      <w:r>
        <w:t xml:space="preserve">”</w:t>
      </w:r>
      <w:r>
        <w:t xml:space="preserve"> </w:t>
      </w:r>
      <w:r>
        <w:t xml:space="preserve">vs. </w:t>
      </w:r>
      <w:r>
        <w:t xml:space="preserve">“</w:t>
      </w:r>
      <w:r>
        <w:t xml:space="preserve">Growth Advisors</w:t>
      </w:r>
      <w:r>
        <w:t xml:space="preserve">”</w:t>
      </w:r>
      <w:r>
        <w:t xml:space="preserve">) and the control person (Briggs vs. Johansson) differ between the S-1 and the POA. No Northlight questionnaire was provided for a third data point.</w:t>
      </w:r>
    </w:p>
    <w:p>
      <w:pPr>
        <w:pStyle w:val="BodyText"/>
      </w:pPr>
      <w:r>
        <w:rPr>
          <w:b/>
          <w:bCs/>
        </w:rPr>
        <w:t xml:space="preserve">Recommendation.</w:t>
      </w:r>
      <w:r>
        <w:t xml:space="preserve"> </w:t>
      </w:r>
      <w:r>
        <w:t xml:space="preserve">Confirm the correct general partner and control persons from Northlight’s organizational records and reconcile the S-1 footnote and the POA signature block. Obtain and review the Northlight Selling Stockholder Questionnaire.</w:t>
      </w:r>
    </w:p>
    <w:bookmarkEnd w:id="31"/>
    <w:bookmarkStart w:id="32" w:name="X1339d5677c9583aae079470678779dc658ab7d5"/>
    <w:p>
      <w:pPr>
        <w:pStyle w:val="Heading3"/>
      </w:pPr>
      <w:r>
        <w:t xml:space="preserve">B-6. Dr. Krishnamurthy — Shares Held:</w:t>
      </w:r>
      <w:r>
        <w:t xml:space="preserve"> </w:t>
      </w:r>
      <w:r>
        <w:t xml:space="preserve">“</w:t>
      </w:r>
      <w:r>
        <w:t xml:space="preserve">Approximately 8.5 Million</w:t>
      </w:r>
      <w:r>
        <w:t xml:space="preserve">”</w:t>
      </w:r>
      <w:r>
        <w:t xml:space="preserve"> </w:t>
      </w:r>
      <w:r>
        <w:t xml:space="preserve">vs. 8,400,000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Shares beneficially owned (pre-Offering)</w:t>
            </w:r>
          </w:p>
        </w:tc>
      </w:tr>
      <w:tr>
        <w:tc>
          <w:tcPr/>
          <w:p>
            <w:pPr>
              <w:pStyle w:val="Compact"/>
              <w:jc w:val="left"/>
            </w:pPr>
            <w:r>
              <w:t xml:space="preserve">S-1 (beneficial ownership table; footnote 3)</w:t>
            </w:r>
          </w:p>
        </w:tc>
        <w:tc>
          <w:tcPr/>
          <w:p>
            <w:pPr>
              <w:pStyle w:val="Compact"/>
              <w:jc w:val="left"/>
            </w:pPr>
            <w:r>
              <w:t xml:space="preserve">8,400,000 (7,600,000 direct + 800,000 options)</w:t>
            </w:r>
          </w:p>
        </w:tc>
      </w:tr>
      <w:tr>
        <w:tc>
          <w:tcPr/>
          <w:p>
            <w:pPr>
              <w:pStyle w:val="Compact"/>
              <w:jc w:val="left"/>
            </w:pPr>
            <w:r>
              <w:t xml:space="preserve">POA (Schedule A)</w:t>
            </w:r>
          </w:p>
        </w:tc>
        <w:tc>
          <w:tcPr/>
          <w:p>
            <w:pPr>
              <w:pStyle w:val="Compact"/>
              <w:jc w:val="left"/>
            </w:pPr>
            <w:r>
              <w:t xml:space="preserve">8,400,000</w:t>
            </w:r>
          </w:p>
        </w:tc>
      </w:tr>
      <w:tr>
        <w:tc>
          <w:tcPr/>
          <w:p>
            <w:pPr>
              <w:pStyle w:val="Compact"/>
              <w:jc w:val="left"/>
            </w:pPr>
            <w:r>
              <w:t xml:space="preserve">Engagement Letter (Annex A)</w:t>
            </w:r>
          </w:p>
        </w:tc>
        <w:tc>
          <w:tcPr/>
          <w:p>
            <w:pPr>
              <w:pStyle w:val="Compact"/>
              <w:jc w:val="left"/>
            </w:pPr>
            <w:r>
              <w:t xml:space="preserve">8,400,000</w:t>
            </w:r>
          </w:p>
        </w:tc>
      </w:tr>
      <w:tr>
        <w:tc>
          <w:tcPr/>
          <w:p>
            <w:pPr>
              <w:pStyle w:val="Compact"/>
              <w:jc w:val="left"/>
            </w:pPr>
            <w:r>
              <w:t xml:space="preserve">Credit Agreement Summary (Sec. 9, post-Offering)</w:t>
            </w:r>
          </w:p>
        </w:tc>
        <w:tc>
          <w:tcPr/>
          <w:p>
            <w:pPr>
              <w:pStyle w:val="Compact"/>
              <w:jc w:val="left"/>
            </w:pPr>
            <w:r>
              <w:t xml:space="preserve">7,900,000 (consistent with 8,400,000 less 500,000)</w:t>
            </w:r>
          </w:p>
        </w:tc>
      </w:tr>
      <w:tr>
        <w:tc>
          <w:tcPr/>
          <w:p>
            <w:pPr>
              <w:pStyle w:val="Compact"/>
              <w:jc w:val="left"/>
            </w:pPr>
            <w:r>
              <w:t xml:space="preserve">Term Sheet (Sec. 6.1)</w:t>
            </w:r>
          </w:p>
        </w:tc>
        <w:tc>
          <w:tcPr/>
          <w:p>
            <w:pPr>
              <w:pStyle w:val="Compact"/>
              <w:jc w:val="left"/>
            </w:pPr>
            <w:r>
              <w:t xml:space="preserve">“</w:t>
            </w:r>
            <w:r>
              <w:t xml:space="preserve">Approximately 8.5 million</w:t>
            </w:r>
            <w:r>
              <w:t xml:space="preserve">”</w:t>
            </w:r>
          </w:p>
        </w:tc>
      </w:tr>
    </w:tbl>
    <w:p>
      <w:pPr>
        <w:pStyle w:val="BodyText"/>
      </w:pPr>
      <w:r>
        <w:rPr>
          <w:b/>
          <w:bCs/>
        </w:rPr>
        <w:t xml:space="preserve">Issue.</w:t>
      </w:r>
      <w:r>
        <w:t xml:space="preserve"> </w:t>
      </w:r>
      <w:r>
        <w:t xml:space="preserve">The Term Sheet states Dr. Krishnamurthy</w:t>
      </w:r>
      <w:r>
        <w:t xml:space="preserve"> </w:t>
      </w:r>
      <w:r>
        <w:t xml:space="preserve">“</w:t>
      </w:r>
      <w:r>
        <w:t xml:space="preserve">currently holds approximately 8.5 million</w:t>
      </w:r>
      <w:r>
        <w:t xml:space="preserve">”</w:t>
      </w:r>
      <w:r>
        <w:t xml:space="preserve"> </w:t>
      </w:r>
      <w:r>
        <w:t xml:space="preserve">shares, while the S-1, the POA, and the Engagement Letter each state 8,400,000 shares. The Term Sheet’s</w:t>
      </w:r>
      <w:r>
        <w:t xml:space="preserve"> </w:t>
      </w:r>
      <w:r>
        <w:t xml:space="preserve">“</w:t>
      </w:r>
      <w:r>
        <w:t xml:space="preserve">approximately 8.0 million</w:t>
      </w:r>
      <w:r>
        <w:t xml:space="preserve">”</w:t>
      </w:r>
      <w:r>
        <w:t xml:space="preserve"> </w:t>
      </w:r>
      <w:r>
        <w:t xml:space="preserve">post-Offering figure is a loose rounding of 7,900,000.</w:t>
      </w:r>
    </w:p>
    <w:p>
      <w:pPr>
        <w:pStyle w:val="BodyText"/>
      </w:pPr>
      <w:r>
        <w:rPr>
          <w:b/>
          <w:bCs/>
        </w:rPr>
        <w:t xml:space="preserve">Recommendation.</w:t>
      </w:r>
      <w:r>
        <w:t xml:space="preserve"> </w:t>
      </w:r>
      <w:r>
        <w:t xml:space="preserve">Correct the Term Sheet to 8,400,000 shares (or confirm the basis for</w:t>
      </w:r>
      <w:r>
        <w:t xml:space="preserve"> </w:t>
      </w:r>
      <w:r>
        <w:t xml:space="preserve">“</w:t>
      </w:r>
      <w:r>
        <w:t xml:space="preserve">8.5 million</w:t>
      </w:r>
      <w:r>
        <w:t xml:space="preserve">”</w:t>
      </w:r>
      <w:r>
        <w:t xml:space="preserve">). The Underwriting Agreement (Schedule II) uses 8,400,000, consistent with the S-1.</w:t>
      </w:r>
    </w:p>
    <w:bookmarkEnd w:id="32"/>
    <w:bookmarkStart w:id="33" w:name="Xc9f686f52a43d1bb89a1625deefd824d31a5d65"/>
    <w:p>
      <w:pPr>
        <w:pStyle w:val="Heading3"/>
      </w:pPr>
      <w:r>
        <w:t xml:space="preserve">B-7. Financial Covenants — Interest Coverage vs. Fixed Charge Coverage; Omitted Minimum Revenue Covenant</w:t>
      </w:r>
    </w:p>
    <w:p>
      <w:pPr>
        <w:pStyle w:val="FirstParagraph"/>
      </w:pPr>
      <w:r>
        <w:t xml:space="preserve">The S-1 (Material Contracts IX.A) describes the financial covenants as (i) minimum cash $15 million, (ii) maximum total leverage 3.00x, and (iii) minimum interest coverage 3.00x. The Credit Agreement Summary (Sec. 7) describes (i) minimum revenue $200 million, (ii) maximum total net leverage 3.00x, (iii) minimum liquidity $15 million, and (iv) fixed charge coverage 1.25x.</w:t>
      </w:r>
    </w:p>
    <w:p>
      <w:pPr>
        <w:pStyle w:val="BodyText"/>
      </w:pPr>
      <w:r>
        <w:rPr>
          <w:b/>
          <w:bCs/>
        </w:rPr>
        <w:t xml:space="preserve">Issue.</w:t>
      </w:r>
      <w:r>
        <w:t xml:space="preserve"> </w:t>
      </w:r>
      <w:r>
        <w:t xml:space="preserve">The S-1 references a</w:t>
      </w:r>
      <w:r>
        <w:t xml:space="preserve"> </w:t>
      </w:r>
      <w:r>
        <w:t xml:space="preserve">“</w:t>
      </w:r>
      <w:r>
        <w:t xml:space="preserve">minimum interest coverage ratio of 3.00x,</w:t>
      </w:r>
      <w:r>
        <w:t xml:space="preserve">”</w:t>
      </w:r>
      <w:r>
        <w:t xml:space="preserve"> </w:t>
      </w:r>
      <w:r>
        <w:t xml:space="preserve">while the Credit Agreement Summary references a</w:t>
      </w:r>
      <w:r>
        <w:t xml:space="preserve"> </w:t>
      </w:r>
      <w:r>
        <w:t xml:space="preserve">“</w:t>
      </w:r>
      <w:r>
        <w:t xml:space="preserve">fixed charge coverage ratio of 1.25x</w:t>
      </w:r>
      <w:r>
        <w:t xml:space="preserve">”</w:t>
      </w:r>
      <w:r>
        <w:t xml:space="preserve"> </w:t>
      </w:r>
      <w:r>
        <w:t xml:space="preserve">— different ratios. The S-1 also omits the minimum revenue covenant ($200 million).</w:t>
      </w:r>
    </w:p>
    <w:p>
      <w:pPr>
        <w:pStyle w:val="BodyText"/>
      </w:pPr>
      <w:r>
        <w:rPr>
          <w:b/>
          <w:bCs/>
        </w:rPr>
        <w:t xml:space="preserve">Recommendation.</w:t>
      </w:r>
      <w:r>
        <w:t xml:space="preserve"> </w:t>
      </w:r>
      <w:r>
        <w:t xml:space="preserve">Reconcile the S-1’s covenant description with the actual Credit Agreement as part of Item A-2.</w:t>
      </w:r>
    </w:p>
    <w:bookmarkEnd w:id="33"/>
    <w:bookmarkStart w:id="34" w:name="Xcfb91e3e6fef0f3379960b12749b3f40b9d1738"/>
    <w:p>
      <w:pPr>
        <w:pStyle w:val="Heading3"/>
      </w:pPr>
      <w:r>
        <w:t xml:space="preserve">B-8.</w:t>
      </w:r>
      <w:r>
        <w:t xml:space="preserve"> </w:t>
      </w:r>
      <w:r>
        <w:t xml:space="preserve">“</w:t>
      </w:r>
      <w:r>
        <w:t xml:space="preserve">Net Proceeds</w:t>
      </w:r>
      <w:r>
        <w:t xml:space="preserve">”</w:t>
      </w:r>
      <w:r>
        <w:t xml:space="preserve"> </w:t>
      </w:r>
      <w:r>
        <w:t xml:space="preserve">— Definitional Difference</w:t>
      </w:r>
    </w:p>
    <w:p>
      <w:pPr>
        <w:pStyle w:val="FirstParagraph"/>
      </w:pPr>
      <w:r>
        <w:t xml:space="preserve">The Term Sheet and the Engagement Letter define</w:t>
      </w:r>
      <w:r>
        <w:t xml:space="preserve"> </w:t>
      </w:r>
      <w:r>
        <w:t xml:space="preserve">“</w:t>
      </w:r>
      <w:r>
        <w:t xml:space="preserve">net proceeds</w:t>
      </w:r>
      <w:r>
        <w:t xml:space="preserve">”</w:t>
      </w:r>
      <w:r>
        <w:t xml:space="preserve"> </w:t>
      </w:r>
      <w:r>
        <w:t xml:space="preserve">as the Public Offering Price less the Underwriting Discount (e.g., $180,480,000 to the Company at $24.00). The S-1</w:t>
      </w:r>
      <w:r>
        <w:t xml:space="preserve"> </w:t>
      </w:r>
      <w:r>
        <w:t xml:space="preserve">“</w:t>
      </w:r>
      <w:r>
        <w:t xml:space="preserve">Use of Proceeds</w:t>
      </w:r>
      <w:r>
        <w:t xml:space="preserve">”</w:t>
      </w:r>
      <w:r>
        <w:t xml:space="preserve"> </w:t>
      </w:r>
      <w:r>
        <w:t xml:space="preserve">and the Comfort Letter define</w:t>
      </w:r>
      <w:r>
        <w:t xml:space="preserve"> </w:t>
      </w:r>
      <w:r>
        <w:t xml:space="preserve">“</w:t>
      </w:r>
      <w:r>
        <w:t xml:space="preserve">net proceeds</w:t>
      </w:r>
      <w:r>
        <w:t xml:space="preserve">”</w:t>
      </w:r>
      <w:r>
        <w:t xml:space="preserve"> </w:t>
      </w:r>
      <w:r>
        <w:t xml:space="preserve">as the Public Offering Price less the Underwriting Discount less estimated offering expenses (e.g., $177.3 million to the Company). The Underwriting Agreement defines</w:t>
      </w:r>
      <w:r>
        <w:t xml:space="preserve"> </w:t>
      </w:r>
      <w:r>
        <w:t xml:space="preserve">“</w:t>
      </w:r>
      <w:r>
        <w:t xml:space="preserve">Net Proceeds per Share</w:t>
      </w:r>
      <w:r>
        <w:t xml:space="preserve">”</w:t>
      </w:r>
      <w:r>
        <w:t xml:space="preserve"> </w:t>
      </w:r>
      <w:r>
        <w:t xml:space="preserve">as the Public Offering Price less the Underwriting Discount ($22.56), with expenses addressed separately in Article XII (consistent with the Term Sheet/Engagement Letter payment mechanics).</w:t>
      </w:r>
    </w:p>
    <w:p>
      <w:pPr>
        <w:pStyle w:val="BodyText"/>
      </w:pPr>
      <w:r>
        <w:rPr>
          <w:b/>
          <w:bCs/>
        </w:rPr>
        <w:t xml:space="preserve">Recommendation.</w:t>
      </w:r>
      <w:r>
        <w:t xml:space="preserve"> </w:t>
      </w:r>
      <w:r>
        <w:t xml:space="preserve">Confirm the Underwriting Agreement’s payment mechanics (price less discount, with expenses borne separately) are acceptable to all parties. Ensure the Final Prospectus</w:t>
      </w:r>
      <w:r>
        <w:t xml:space="preserve"> </w:t>
      </w:r>
      <w:r>
        <w:t xml:space="preserve">“</w:t>
      </w:r>
      <w:r>
        <w:t xml:space="preserve">Use of Proceeds</w:t>
      </w:r>
      <w:r>
        <w:t xml:space="preserve">”</w:t>
      </w:r>
      <w:r>
        <w:t xml:space="preserve"> </w:t>
      </w:r>
      <w:r>
        <w:t xml:space="preserve">net-proceeds figure (after expenses) is internally consistent with the Capitalization and Dilution tables.</w:t>
      </w:r>
    </w:p>
    <w:bookmarkEnd w:id="34"/>
    <w:bookmarkStart w:id="35" w:name="Xdae600f808506b7784b41f580ffea746fe6a982"/>
    <w:p>
      <w:pPr>
        <w:pStyle w:val="Heading3"/>
      </w:pPr>
      <w:r>
        <w:t xml:space="preserve">B-9. Rule 10b5-1 Plan Treatment in Lock-Up</w:t>
      </w:r>
    </w:p>
    <w:p>
      <w:pPr>
        <w:pStyle w:val="FirstParagraph"/>
      </w:pPr>
      <w:r>
        <w:t xml:space="preserve">The Term Sheet (Sec. 10.1(d)) permits the</w:t>
      </w:r>
      <w:r>
        <w:t xml:space="preserve"> </w:t>
      </w:r>
      <w:r>
        <w:t xml:space="preserve">“</w:t>
      </w:r>
      <w:r>
        <w:t xml:space="preserve">establishment of Rule 10b5-1 trading plans</w:t>
      </w:r>
      <w:r>
        <w:t xml:space="preserve">”</w:t>
      </w:r>
      <w:r>
        <w:t xml:space="preserve"> </w:t>
      </w:r>
      <w:r>
        <w:t xml:space="preserve">during the lock-up provided no sales occur during the lock-up period. The form Lock-Up Agreement (Sec. 2(e)) and the S-1 (Sec. VIII) require that any 10b5-1 plan be established prior to the date of the Lock-Up Agreement/Underwriting Agreement and prohibit new plans during the lock-up without the Lead Representative’s consent.</w:t>
      </w:r>
    </w:p>
    <w:p>
      <w:pPr>
        <w:pStyle w:val="BodyText"/>
      </w:pPr>
      <w:r>
        <w:rPr>
          <w:b/>
          <w:bCs/>
        </w:rPr>
        <w:t xml:space="preserve">Recommendation.</w:t>
      </w:r>
      <w:r>
        <w:t xml:space="preserve"> </w:t>
      </w:r>
      <w:r>
        <w:t xml:space="preserve">Confirm the intended 10b5-1 treatment. The Underwriting Agreement and form Lock-Up Agreement follow the more restrictive (pre-existing plan) approach; if the Term Sheet’s more permissive approach is intended, the Lock-Up Agreement and S-1 disclosure should be revised.</w:t>
      </w:r>
    </w:p>
    <w:bookmarkEnd w:id="35"/>
    <w:bookmarkStart w:id="36" w:name="b-10.-lock-up-early-release-threshold"/>
    <w:p>
      <w:pPr>
        <w:pStyle w:val="Heading3"/>
      </w:pPr>
      <w:r>
        <w:t xml:space="preserve">B-10. Lock-Up Early-Release Threshold</w:t>
      </w:r>
    </w:p>
    <w:p>
      <w:pPr>
        <w:pStyle w:val="FirstParagraph"/>
      </w:pPr>
      <w:r>
        <w:t xml:space="preserve">The Term Sheet (Sec. 10.1) leaves the early-release notice threshold</w:t>
      </w:r>
      <w:r>
        <w:t xml:space="preserve"> </w:t>
      </w:r>
      <w:r>
        <w:t xml:space="preserve">“</w:t>
      </w:r>
      <w:r>
        <w:t xml:space="preserve">to be agreed upon.</w:t>
      </w:r>
      <w:r>
        <w:t xml:space="preserve">”</w:t>
      </w:r>
      <w:r>
        <w:t xml:space="preserve"> </w:t>
      </w:r>
      <w:r>
        <w:t xml:space="preserve">The Engagement Letter (Sec. 7) and the form Lock-Up Agreement (Sec. 3) fix the threshold at 1% of outstanding shares (with three Business Days’ prior notice). The S-1 (Sec. VIII) refers to a</w:t>
      </w:r>
      <w:r>
        <w:t xml:space="preserve"> </w:t>
      </w:r>
      <w:r>
        <w:t xml:space="preserve">“</w:t>
      </w:r>
      <w:r>
        <w:t xml:space="preserve">material number of shares.</w:t>
      </w:r>
      <w:r>
        <w:t xml:space="preserve">”</w:t>
      </w:r>
      <w:r>
        <w:t xml:space="preserve"> </w:t>
      </w:r>
      <w:r>
        <w:t xml:space="preserve">The Underwriting Agreement (Section 13.2) adopts the 1% threshold, consistent with the form Lock-Up Agreement.</w:t>
      </w:r>
    </w:p>
    <w:p>
      <w:pPr>
        <w:pStyle w:val="BodyText"/>
      </w:pPr>
      <w:r>
        <w:rPr>
          <w:b/>
          <w:bCs/>
        </w:rPr>
        <w:t xml:space="preserve">Recommendation.</w:t>
      </w:r>
      <w:r>
        <w:t xml:space="preserve"> </w:t>
      </w:r>
      <w:r>
        <w:t xml:space="preserve">Confirm the 1% threshold is acceptable to the Company and the Lead Representative.</w:t>
      </w:r>
    </w:p>
    <w:bookmarkEnd w:id="36"/>
    <w:bookmarkEnd w:id="37"/>
    <w:bookmarkStart w:id="38" w:name="X88dd456296c1fada54457435775399d1c77b344"/>
    <w:p>
      <w:pPr>
        <w:pStyle w:val="Heading2"/>
      </w:pPr>
      <w:r>
        <w:t xml:space="preserve">V. Open Items and Conditions Precedent to Closing</w:t>
      </w:r>
    </w:p>
    <w:p>
      <w:pPr>
        <w:pStyle w:val="FirstParagraph"/>
      </w:pPr>
      <w:r>
        <w:t xml:space="preserve">The following items must be satisfied (or waived) on or before the Closing Date (March 24, 2025), consistent with Article VII of the Underwriting Agreement:</w:t>
      </w:r>
    </w:p>
    <w:p>
      <w:pPr>
        <w:pStyle w:val="BodyText"/>
      </w:pPr>
      <w:r>
        <w:rPr>
          <w:b/>
          <w:bCs/>
        </w:rPr>
        <w:t xml:space="preserve">C-1. Final and Bring-Down Comfort Letters.</w:t>
      </w:r>
      <w:r>
        <w:t xml:space="preserve"> </w:t>
      </w:r>
      <w:r>
        <w:t xml:space="preserve">The Comfort Letter furnished is in draft form, dated March 18, 2025, with the</w:t>
      </w:r>
      <w:r>
        <w:t xml:space="preserve"> </w:t>
      </w:r>
      <w:r>
        <w:t xml:space="preserve">“</w:t>
      </w:r>
      <w:r>
        <w:t xml:space="preserve">Change Period</w:t>
      </w:r>
      <w:r>
        <w:t xml:space="preserve">”</w:t>
      </w:r>
      <w:r>
        <w:t xml:space="preserve"> </w:t>
      </w:r>
      <w:r>
        <w:t xml:space="preserve">(negative-assurance period) extending only through March 10, 2025. A final Comfort Letter (at pricing) and a bring-down Comfort Letter (at closing, dated March 24, 2025) must be delivered, with the Change Period extended through a date not more than three Business Days prior to closing. The circle-up figures must be reconciled per Item A-3.</w:t>
      </w:r>
    </w:p>
    <w:p>
      <w:pPr>
        <w:pStyle w:val="BodyText"/>
      </w:pPr>
      <w:r>
        <w:rPr>
          <w:b/>
          <w:bCs/>
        </w:rPr>
        <w:t xml:space="preserve">C-2. Legal Opinions.</w:t>
      </w:r>
      <w:r>
        <w:t xml:space="preserve"> </w:t>
      </w:r>
      <w:r>
        <w:t xml:space="preserve">(a) Company Counsel (Stonebridge &amp; Calloway LLP) opinion, with a negative assurance letter; and (b) Underwriters’ Counsel (Ashford &amp; Pine LLP) opinion, each dated the Closing Date and in form satisfactory to the Representatives.</w:t>
      </w:r>
    </w:p>
    <w:p>
      <w:pPr>
        <w:pStyle w:val="BodyText"/>
      </w:pPr>
      <w:r>
        <w:rPr>
          <w:b/>
          <w:bCs/>
        </w:rPr>
        <w:t xml:space="preserve">C-3. Officers’ and Secretary’s Certificates.</w:t>
      </w:r>
      <w:r>
        <w:t xml:space="preserve"> </w:t>
      </w:r>
      <w:r>
        <w:t xml:space="preserve">Officers’ certificate signed by Dr. Krishnamurthy (CEO) and David Nishimura (CFO); secretary’s certificate signed by Samantha Reeves (General Counsel &amp; Secretary). Forms are attached as Exhibits B and C to the Underwriting Agreement.</w:t>
      </w:r>
    </w:p>
    <w:p>
      <w:pPr>
        <w:pStyle w:val="BodyText"/>
      </w:pPr>
      <w:r>
        <w:rPr>
          <w:b/>
          <w:bCs/>
        </w:rPr>
        <w:t xml:space="preserve">C-4. Lock-Up Agreements.</w:t>
      </w:r>
      <w:r>
        <w:t xml:space="preserve"> </w:t>
      </w:r>
      <w:r>
        <w:t xml:space="preserve">Executed Lock-Up Agreements from all officers, directors, and holders of 1% or more of pre-Offering Common Stock, including Dr. Krishnamurthy’s Lock-Up Agreement with the springing extension (Exhibit A-1). See Item B-1.</w:t>
      </w:r>
    </w:p>
    <w:p>
      <w:pPr>
        <w:pStyle w:val="BodyText"/>
      </w:pPr>
      <w:r>
        <w:rPr>
          <w:b/>
          <w:bCs/>
        </w:rPr>
        <w:t xml:space="preserve">C-5. Nasdaq Listing Approval.</w:t>
      </w:r>
      <w:r>
        <w:t xml:space="preserve"> </w:t>
      </w:r>
      <w:r>
        <w:t xml:space="preserve">Confirmation that the Common Stock has been approved for listing on the Nasdaq Global Select Market (subject to official notice of issuance).</w:t>
      </w:r>
    </w:p>
    <w:p>
      <w:pPr>
        <w:pStyle w:val="BodyText"/>
      </w:pPr>
      <w:r>
        <w:rPr>
          <w:b/>
          <w:bCs/>
        </w:rPr>
        <w:t xml:space="preserve">C-6. FINRA Clearance.</w:t>
      </w:r>
      <w:r>
        <w:t xml:space="preserve"> </w:t>
      </w:r>
      <w:r>
        <w:t xml:space="preserve">Confirmation that FINRA has cleared the underwriting compensation arrangements under Rule 5110 and that no Rule 5121 conflict exists. Confirm the FINRA filing has been made (estimated filing fee $21,780).</w:t>
      </w:r>
    </w:p>
    <w:p>
      <w:pPr>
        <w:pStyle w:val="BodyText"/>
      </w:pPr>
      <w:r>
        <w:rPr>
          <w:b/>
          <w:bCs/>
        </w:rPr>
        <w:t xml:space="preserve">C-7. Selling Stockholder Questionnaires.</w:t>
      </w:r>
      <w:r>
        <w:t xml:space="preserve"> </w:t>
      </w:r>
      <w:r>
        <w:t xml:space="preserve">Only the Cascade Questionnaire (dated February 3, 2025) was provided. Confirm that Selling Stockholder Questionnaires have been received from Northlight Growth Partners Fund II, LP and Dr. Krishnamurthy, and that all questionnaires are consistent with the S-1 selling-stockholder disclosure.</w:t>
      </w:r>
    </w:p>
    <w:p>
      <w:pPr>
        <w:pStyle w:val="BodyText"/>
      </w:pPr>
      <w:r>
        <w:rPr>
          <w:b/>
          <w:bCs/>
        </w:rPr>
        <w:t xml:space="preserve">C-8. Credit Agreement — Lender Consent to Organizational Document Amendments.</w:t>
      </w:r>
      <w:r>
        <w:t xml:space="preserve"> </w:t>
      </w:r>
      <w:r>
        <w:t xml:space="preserve">The Credit Agreement (per the Summary, Sec. 8 and 15.2) prohibits material amendments to the certificate of incorporation or bylaws without lender consent. Confirm that the lender consented to the Amended and Restated Certificate of Incorporation filed December 20, 2024, and confirm whether any IPO-related charter amendments require lender consent.</w:t>
      </w:r>
    </w:p>
    <w:p>
      <w:pPr>
        <w:pStyle w:val="BodyText"/>
      </w:pPr>
      <w:r>
        <w:rPr>
          <w:b/>
          <w:bCs/>
        </w:rPr>
        <w:t xml:space="preserve">C-9. Credit Agreement — Equity Issuance Prior Notice.</w:t>
      </w:r>
      <w:r>
        <w:t xml:space="preserve"> </w:t>
      </w:r>
      <w:r>
        <w:t xml:space="preserve">Confirm that the required 10-Business-Day advance written notice of the IPO (as an</w:t>
      </w:r>
      <w:r>
        <w:t xml:space="preserve"> </w:t>
      </w:r>
      <w:r>
        <w:t xml:space="preserve">“</w:t>
      </w:r>
      <w:r>
        <w:t xml:space="preserve">Equity Issuance</w:t>
      </w:r>
      <w:r>
        <w:t xml:space="preserve">”</w:t>
      </w:r>
      <w:r>
        <w:t xml:space="preserve">) was timely provided to the lender, together with a summary of the offering terms (Summary, Sec. 10 and 15.3).</w:t>
      </w:r>
    </w:p>
    <w:p>
      <w:pPr>
        <w:pStyle w:val="BodyText"/>
      </w:pPr>
      <w:r>
        <w:rPr>
          <w:b/>
          <w:bCs/>
        </w:rPr>
        <w:t xml:space="preserve">C-10. UT Austin License — Anti-Assignment / Security Interest / Change-of-Control.</w:t>
      </w:r>
      <w:r>
        <w:t xml:space="preserve"> </w:t>
      </w:r>
      <w:r>
        <w:t xml:space="preserve">The Credit Agreement’s security interest covers the Company’s rights under the exclusive license with the University of Texas at Austin</w:t>
      </w:r>
      <w:r>
        <w:t xml:space="preserve"> </w:t>
      </w:r>
      <w:r>
        <w:t xml:space="preserve">“</w:t>
      </w:r>
      <w:r>
        <w:t xml:space="preserve">to the extent assignable</w:t>
      </w:r>
      <w:r>
        <w:t xml:space="preserve">”</w:t>
      </w:r>
      <w:r>
        <w:t xml:space="preserve"> </w:t>
      </w:r>
      <w:r>
        <w:t xml:space="preserve">(Summary, Sec. 5 and 15.5). The S-1 (Material Contracts IX.B) states the license may not be assigned without UT’s consent (except in connection with a merger or sale of substantially all assets). Confirm that granting a security interest in the license does not violate its terms, and confirm whether UT consent is required in connection with the Offering.</w:t>
      </w:r>
    </w:p>
    <w:p>
      <w:pPr>
        <w:pStyle w:val="BodyText"/>
      </w:pPr>
      <w:r>
        <w:rPr>
          <w:b/>
          <w:bCs/>
        </w:rPr>
        <w:t xml:space="preserve">C-11. S-1 Disclosure of Springing Extension.</w:t>
      </w:r>
      <w:r>
        <w:t xml:space="preserve"> </w:t>
      </w:r>
      <w:r>
        <w:t xml:space="preserve">Confirm whether the Final Prospectus lock-up disclosure must be updated to reflect Dr. Krishnamurthy’s springing extension. See Item B-1.</w:t>
      </w:r>
    </w:p>
    <w:p>
      <w:pPr>
        <w:pStyle w:val="BodyText"/>
      </w:pPr>
      <w:r>
        <w:rPr>
          <w:b/>
          <w:bCs/>
        </w:rPr>
        <w:t xml:space="preserve">C-12. Investors’ Rights Agreement.</w:t>
      </w:r>
      <w:r>
        <w:t xml:space="preserve"> </w:t>
      </w:r>
      <w:r>
        <w:t xml:space="preserve">The Cascade Questionnaire (Sec. 2(b)) states that registration rights, rights of first refusal, and co-sale rights under the Company’s Investors’ Rights Agreement</w:t>
      </w:r>
      <w:r>
        <w:t xml:space="preserve"> </w:t>
      </w:r>
      <w:r>
        <w:t xml:space="preserve">“</w:t>
      </w:r>
      <w:r>
        <w:t xml:space="preserve">will terminate upon the closing of the IPO.</w:t>
      </w:r>
      <w:r>
        <w:t xml:space="preserve">”</w:t>
      </w:r>
      <w:r>
        <w:t xml:space="preserve"> </w:t>
      </w:r>
      <w:r>
        <w:t xml:space="preserve">Confirm the IRA termination mechanics and that no registration rights survive that would conflict with the Offering or the Underwriting Agreement.</w:t>
      </w:r>
    </w:p>
    <w:p>
      <w:pPr>
        <w:pStyle w:val="BodyText"/>
      </w:pPr>
      <w:r>
        <w:rPr>
          <w:b/>
          <w:bCs/>
        </w:rPr>
        <w:t xml:space="preserve">C-13. Board Observer Seat (Cascade).</w:t>
      </w:r>
      <w:r>
        <w:t xml:space="preserve"> </w:t>
      </w:r>
      <w:r>
        <w:t xml:space="preserve">The Cascade Questionnaire (Sec. 4(a)) discloses that Cascade held a board observer seat through January 2025, terminating at IPO closing. Confirm the termination and whether the S-1 selling-stockholder disclosure adequately describes this relationship.</w:t>
      </w:r>
    </w:p>
    <w:p>
      <w:pPr>
        <w:pStyle w:val="BodyText"/>
      </w:pPr>
      <w:r>
        <w:rPr>
          <w:b/>
          <w:bCs/>
        </w:rPr>
        <w:t xml:space="preserve">C-14. VitaBand Corp. Litigation.</w:t>
      </w:r>
      <w:r>
        <w:t xml:space="preserve"> </w:t>
      </w:r>
      <w:r>
        <w:t xml:space="preserve">The S-1 (Legal Proceedings X.A) discloses the patent infringement action (Case No. 6:24-cv-00891, E.D.D. Tex.; $45 million damages claim; injunctive relief), with a Markman hearing scheduled for June 2025 (post-closing). No loss reserve has been established. The officers’ certificate at closing (Exhibit B) should confirm no material adverse development since the date of the Registration Statement. Monitor for any development that could constitute a Material Adverse Effect or trigger the Credit Agreement’s $2 million judgment default threshold (Summary, Sec. 11).</w:t>
      </w:r>
    </w:p>
    <w:p>
      <w:pPr>
        <w:pStyle w:val="BodyText"/>
      </w:pPr>
      <w:r>
        <w:rPr>
          <w:b/>
          <w:bCs/>
        </w:rPr>
        <w:t xml:space="preserve">C-15. EEOC Charge.</w:t>
      </w:r>
      <w:r>
        <w:t xml:space="preserve"> </w:t>
      </w:r>
      <w:r>
        <w:t xml:space="preserve">The S-1 (Legal Proceedings X.B) discloses the EEOC age-discrimination charge, with a $350,000 reserve and estimated exposure of $250,000–$500,000. Confirm disclosure is adequate and consistent across documents.</w:t>
      </w:r>
    </w:p>
    <w:p>
      <w:pPr>
        <w:pStyle w:val="BodyText"/>
      </w:pPr>
      <w:r>
        <w:rPr>
          <w:b/>
          <w:bCs/>
        </w:rPr>
        <w:t xml:space="preserve">C-16. Final Public Offering Price.</w:t>
      </w:r>
      <w:r>
        <w:t xml:space="preserve"> </w:t>
      </w:r>
      <w:r>
        <w:t xml:space="preserve">All transaction documents assume a Public Offering Price of $24.00 per share (the midpoint of the $22.00–$26.00 range). The actual price will be set on the Pricing Date (March 19, 2025). All per-Share and aggregate amounts in the Underwriting Agreement (Schedules I and II) and in the Final Prospectus must be updated to reflect the final price. The Underwriting Agreement contains a bracketed note to this effect in Section 1.1.</w:t>
      </w:r>
    </w:p>
    <w:p>
      <w:pPr>
        <w:pStyle w:val="BodyText"/>
      </w:pPr>
      <w:r>
        <w:rPr>
          <w:b/>
          <w:bCs/>
        </w:rPr>
        <w:t xml:space="preserve">C-17. Engagement Letter — Expense Reimbursement Interaction.</w:t>
      </w:r>
      <w:r>
        <w:t xml:space="preserve"> </w:t>
      </w:r>
      <w:r>
        <w:t xml:space="preserve">The Engagement Letter (Sec. 5) provides for reimbursement of the Underwriters’ out-of-pocket expenses up to $500,000 if the Offering is not consummated (other than a Hargrove breach). The Underwriting Agreement (Section 12.5) includes a parallel provision with a credit for amounts previously reimbursed under the Engagement Letter, to avoid double recovery. Confirm this treatment is acceptable.</w:t>
      </w:r>
    </w:p>
    <w:p>
      <w:pPr>
        <w:pStyle w:val="BodyText"/>
      </w:pPr>
      <w:r>
        <w:rPr>
          <w:b/>
          <w:bCs/>
        </w:rPr>
        <w:t xml:space="preserve">C-18. Charter — Federal Forum Provision.</w:t>
      </w:r>
      <w:r>
        <w:t xml:space="preserve"> </w:t>
      </w:r>
      <w:r>
        <w:t xml:space="preserve">The Charter (Article X, Sec. 10.2) designates the federal district courts as the exclusive forum for Securities Act claims and expressly states that the provision is intended to benefit, and may be enforced by, the underwriters. The Underwriting Agreement (Section 14.1/14.2) provides for New York governing law and New York forum for contract claims. Confirm the underwriters wish to rely on the Charter’s federal forum provision and that the two forum provisions do not conflict (one governs Securities Act claims; the other governs contract claims under the Underwriting Agreement).</w:t>
      </w:r>
    </w:p>
    <w:p>
      <w:pPr>
        <w:pStyle w:val="BodyText"/>
      </w:pPr>
      <w:r>
        <w:rPr>
          <w:b/>
          <w:bCs/>
        </w:rPr>
        <w:t xml:space="preserve">C-19. Transfer Agent and DTC.</w:t>
      </w:r>
      <w:r>
        <w:t xml:space="preserve"> </w:t>
      </w:r>
      <w:r>
        <w:t xml:space="preserve">Confirm Atlantic Stock Transfer &amp; Trust Company’s arrangements for book-entry delivery of the Shares through DTC at the Closing and any Option Closing.</w:t>
      </w:r>
    </w:p>
    <w:p>
      <w:pPr>
        <w:pStyle w:val="BodyText"/>
      </w:pPr>
      <w:r>
        <w:rPr>
          <w:b/>
          <w:bCs/>
        </w:rPr>
        <w:t xml:space="preserve">C-20. Section 382 / NOL Ownership Change.</w:t>
      </w:r>
      <w:r>
        <w:t xml:space="preserve"> </w:t>
      </w:r>
      <w:r>
        <w:t xml:space="preserve">The S-1 (Risk Factors) states that no Section 382</w:t>
      </w:r>
      <w:r>
        <w:t xml:space="preserve"> </w:t>
      </w:r>
      <w:r>
        <w:t xml:space="preserve">“</w:t>
      </w:r>
      <w:r>
        <w:t xml:space="preserve">ownership change</w:t>
      </w:r>
      <w:r>
        <w:t xml:space="preserve">”</w:t>
      </w:r>
      <w:r>
        <w:t xml:space="preserve"> </w:t>
      </w:r>
      <w:r>
        <w:t xml:space="preserve">has occurred through December 31, 2024, and that the Offering is not expected to trigger one. Confirm the Section 382 analysis accounts for the Offering and the selling-stockholder transactions, given the $14.2 million federal NOL carryforward.</w:t>
      </w:r>
    </w:p>
    <w:p>
      <w:pPr>
        <w:pStyle w:val="BodyText"/>
      </w:pPr>
      <w:r>
        <w:rPr>
          <w:b/>
          <w:bCs/>
        </w:rPr>
        <w:t xml:space="preserve">C-21. Selling Stockholder POA Execution.</w:t>
      </w:r>
      <w:r>
        <w:t xml:space="preserve"> </w:t>
      </w:r>
      <w:r>
        <w:t xml:space="preserve">Confirm that all three Selling Stockholders have executed the Power of Attorney and Custody Agreement and that the shares have been placed in custody with the Transfer Agent or the custodians (David Nishimura and Samantha Reeves) for delivery at the Closing.</w:t>
      </w:r>
    </w:p>
    <w:p>
      <w:pPr>
        <w:pStyle w:val="BodyText"/>
      </w:pPr>
      <w:r>
        <w:rPr>
          <w:b/>
          <w:bCs/>
        </w:rPr>
        <w:t xml:space="preserve">C-22. Reconciliation of Capitalization/Dilution Figures.</w:t>
      </w:r>
      <w:r>
        <w:t xml:space="preserve"> </w:t>
      </w:r>
      <w:r>
        <w:t xml:space="preserve">As noted in Item A-3, the audited balance sheet, the S-1 Capitalization and Dilution tables, and the Comfort Letter must be reconciled before the bring-down Comfort Letter is delivered and the Final Prospectus is filed.</w:t>
      </w:r>
    </w:p>
    <w:bookmarkEnd w:id="38"/>
    <w:bookmarkStart w:id="39" w:name="vi.-consolidated-discrepancy-register"/>
    <w:p>
      <w:pPr>
        <w:pStyle w:val="Heading2"/>
      </w:pPr>
      <w:r>
        <w:t xml:space="preserve">VI. Consolidated Discrepancy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Severity</w:t>
            </w:r>
          </w:p>
        </w:tc>
        <w:tc>
          <w:tcPr/>
          <w:p>
            <w:pPr>
              <w:pStyle w:val="Compact"/>
              <w:jc w:val="left"/>
            </w:pPr>
            <w:r>
              <w:t xml:space="preserve">Primary conflict</w:t>
            </w:r>
          </w:p>
        </w:tc>
        <w:tc>
          <w:tcPr/>
          <w:p>
            <w:pPr>
              <w:pStyle w:val="Compact"/>
              <w:jc w:val="left"/>
            </w:pPr>
            <w:r>
              <w:t xml:space="preserve">UA treatment</w:t>
            </w:r>
          </w:p>
        </w:tc>
      </w:tr>
      <w:tr>
        <w:tc>
          <w:tcPr/>
          <w:p>
            <w:pPr>
              <w:pStyle w:val="Compact"/>
              <w:jc w:val="left"/>
            </w:pPr>
            <w:r>
              <w:t xml:space="preserve">A-1</w:t>
            </w:r>
          </w:p>
        </w:tc>
        <w:tc>
          <w:tcPr/>
          <w:p>
            <w:pPr>
              <w:pStyle w:val="Compact"/>
              <w:jc w:val="left"/>
            </w:pPr>
            <w:r>
              <w:t xml:space="preserve">Credit facility lender name</w:t>
            </w:r>
          </w:p>
        </w:tc>
        <w:tc>
          <w:tcPr/>
          <w:p>
            <w:pPr>
              <w:pStyle w:val="Compact"/>
              <w:jc w:val="left"/>
            </w:pPr>
            <w:r>
              <w:t xml:space="preserve">Critical</w:t>
            </w:r>
          </w:p>
        </w:tc>
        <w:tc>
          <w:tcPr/>
          <w:p>
            <w:pPr>
              <w:pStyle w:val="Compact"/>
              <w:jc w:val="left"/>
            </w:pPr>
            <w:r>
              <w:t xml:space="preserve">S-1/Comfort Letter/Term Sheet:</w:t>
            </w:r>
            <w:r>
              <w:t xml:space="preserve"> </w:t>
            </w:r>
            <w:r>
              <w:t xml:space="preserve">“</w:t>
            </w:r>
            <w:r>
              <w:t xml:space="preserve">Oakvale</w:t>
            </w:r>
            <w:r>
              <w:t xml:space="preserve">”</w:t>
            </w:r>
            <w:r>
              <w:t xml:space="preserve"> </w:t>
            </w:r>
            <w:r>
              <w:t xml:space="preserve">vs. Credit Agreement Summary:</w:t>
            </w:r>
            <w:r>
              <w:t xml:space="preserve"> </w:t>
            </w:r>
            <w:r>
              <w:t xml:space="preserve">“</w:t>
            </w:r>
            <w:r>
              <w:t xml:space="preserve">Ridgemont</w:t>
            </w:r>
            <w:r>
              <w:t xml:space="preserve">”</w:t>
            </w:r>
          </w:p>
        </w:tc>
        <w:tc>
          <w:tcPr/>
          <w:p>
            <w:pPr>
              <w:pStyle w:val="Compact"/>
              <w:jc w:val="left"/>
            </w:pPr>
            <w:r>
              <w:t xml:space="preserve">Follows S-1 (</w:t>
            </w:r>
            <w:r>
              <w:t xml:space="preserve">“</w:t>
            </w:r>
            <w:r>
              <w:t xml:space="preserve">Oakvale</w:t>
            </w:r>
            <w:r>
              <w:t xml:space="preserve">”</w:t>
            </w:r>
            <w:r>
              <w:t xml:space="preserve">); bracketed; blocking</w:t>
            </w:r>
          </w:p>
        </w:tc>
      </w:tr>
      <w:tr>
        <w:tc>
          <w:tcPr/>
          <w:p>
            <w:pPr>
              <w:pStyle w:val="Compact"/>
              <w:jc w:val="left"/>
            </w:pPr>
            <w:r>
              <w:t xml:space="preserve">A-2</w:t>
            </w:r>
          </w:p>
        </w:tc>
        <w:tc>
          <w:tcPr/>
          <w:p>
            <w:pPr>
              <w:pStyle w:val="Compact"/>
              <w:jc w:val="left"/>
            </w:pPr>
            <w:r>
              <w:t xml:space="preserve">Credit facility terms (date, maturity, rate, covenants, COC threshold)</w:t>
            </w:r>
          </w:p>
        </w:tc>
        <w:tc>
          <w:tcPr/>
          <w:p>
            <w:pPr>
              <w:pStyle w:val="Compact"/>
              <w:jc w:val="left"/>
            </w:pPr>
            <w:r>
              <w:t xml:space="preserve">Critical</w:t>
            </w:r>
          </w:p>
        </w:tc>
        <w:tc>
          <w:tcPr/>
          <w:p>
            <w:pPr>
              <w:pStyle w:val="Compact"/>
              <w:jc w:val="left"/>
            </w:pPr>
            <w:r>
              <w:t xml:space="preserve">S-1 vs. Credit Agreement Summary</w:t>
            </w:r>
          </w:p>
        </w:tc>
        <w:tc>
          <w:tcPr/>
          <w:p>
            <w:pPr>
              <w:pStyle w:val="Compact"/>
              <w:jc w:val="left"/>
            </w:pPr>
            <w:r>
              <w:t xml:space="preserve">Follows S-1; bracketed; blocking</w:t>
            </w:r>
          </w:p>
        </w:tc>
      </w:tr>
      <w:tr>
        <w:tc>
          <w:tcPr/>
          <w:p>
            <w:pPr>
              <w:pStyle w:val="Compact"/>
              <w:jc w:val="left"/>
            </w:pPr>
            <w:r>
              <w:t xml:space="preserve">A-3</w:t>
            </w:r>
          </w:p>
        </w:tc>
        <w:tc>
          <w:tcPr/>
          <w:p>
            <w:pPr>
              <w:pStyle w:val="Compact"/>
              <w:jc w:val="left"/>
            </w:pPr>
            <w:r>
              <w:t xml:space="preserve">Comfort Letter circle-up vs. S-1 cap/dilution (equity, cash, NTBV)</w:t>
            </w:r>
          </w:p>
        </w:tc>
        <w:tc>
          <w:tcPr/>
          <w:p>
            <w:pPr>
              <w:pStyle w:val="Compact"/>
              <w:jc w:val="left"/>
            </w:pPr>
            <w:r>
              <w:t xml:space="preserve">Critical</w:t>
            </w:r>
          </w:p>
        </w:tc>
        <w:tc>
          <w:tcPr/>
          <w:p>
            <w:pPr>
              <w:pStyle w:val="Compact"/>
              <w:jc w:val="left"/>
            </w:pPr>
            <w:r>
              <w:t xml:space="preserve">Comfort Letter vs. S-1</w:t>
            </w:r>
          </w:p>
        </w:tc>
        <w:tc>
          <w:tcPr/>
          <w:p>
            <w:pPr>
              <w:pStyle w:val="Compact"/>
              <w:jc w:val="left"/>
            </w:pPr>
            <w:r>
              <w:t xml:space="preserve">Implicates Sec. 7.4 and Sec. 2.5; blocking</w:t>
            </w:r>
          </w:p>
        </w:tc>
      </w:tr>
      <w:tr>
        <w:tc>
          <w:tcPr/>
          <w:p>
            <w:pPr>
              <w:pStyle w:val="Compact"/>
              <w:jc w:val="left"/>
            </w:pPr>
            <w:r>
              <w:t xml:space="preserve">A-4</w:t>
            </w:r>
          </w:p>
        </w:tc>
        <w:tc>
          <w:tcPr/>
          <w:p>
            <w:pPr>
              <w:pStyle w:val="Compact"/>
              <w:jc w:val="left"/>
            </w:pPr>
            <w:r>
              <w:t xml:space="preserve">Mandatory prepayment / Use of Proceeds ($10M vs. ~$15.2M)</w:t>
            </w:r>
          </w:p>
        </w:tc>
        <w:tc>
          <w:tcPr/>
          <w:p>
            <w:pPr>
              <w:pStyle w:val="Compact"/>
              <w:jc w:val="left"/>
            </w:pPr>
            <w:r>
              <w:t xml:space="preserve">Critical</w:t>
            </w:r>
          </w:p>
        </w:tc>
        <w:tc>
          <w:tcPr/>
          <w:p>
            <w:pPr>
              <w:pStyle w:val="Compact"/>
              <w:jc w:val="left"/>
            </w:pPr>
            <w:r>
              <w:t xml:space="preserve">S-1 internal + vs. Credit Agreement</w:t>
            </w:r>
          </w:p>
        </w:tc>
        <w:tc>
          <w:tcPr/>
          <w:p>
            <w:pPr>
              <w:pStyle w:val="Compact"/>
              <w:jc w:val="left"/>
            </w:pPr>
            <w:r>
              <w:t xml:space="preserve">Follows S-1; bracketed; blocking</w:t>
            </w:r>
          </w:p>
        </w:tc>
      </w:tr>
      <w:tr>
        <w:tc>
          <w:tcPr/>
          <w:p>
            <w:pPr>
              <w:pStyle w:val="Compact"/>
              <w:jc w:val="left"/>
            </w:pPr>
            <w:r>
              <w:t xml:space="preserve">B-1</w:t>
            </w:r>
          </w:p>
        </w:tc>
        <w:tc>
          <w:tcPr/>
          <w:p>
            <w:pPr>
              <w:pStyle w:val="Compact"/>
              <w:jc w:val="left"/>
            </w:pPr>
            <w:r>
              <w:t xml:space="preserve">Lock-up springing extension (Dr. Krishnamurthy)</w:t>
            </w:r>
          </w:p>
        </w:tc>
        <w:tc>
          <w:tcPr/>
          <w:p>
            <w:pPr>
              <w:pStyle w:val="Compact"/>
              <w:jc w:val="left"/>
            </w:pPr>
            <w:r>
              <w:t xml:space="preserve">Material</w:t>
            </w:r>
          </w:p>
        </w:tc>
        <w:tc>
          <w:tcPr/>
          <w:p>
            <w:pPr>
              <w:pStyle w:val="Compact"/>
              <w:jc w:val="left"/>
            </w:pPr>
            <w:r>
              <w:t xml:space="preserve">Term Sheet/POA vs. form Lock-Up/S-1</w:t>
            </w:r>
          </w:p>
        </w:tc>
        <w:tc>
          <w:tcPr/>
          <w:p>
            <w:pPr>
              <w:pStyle w:val="Compact"/>
              <w:jc w:val="left"/>
            </w:pPr>
            <w:r>
              <w:t xml:space="preserve">Included (Sec. 13.3, Ex. A-1)</w:t>
            </w:r>
          </w:p>
        </w:tc>
      </w:tr>
      <w:tr>
        <w:tc>
          <w:tcPr/>
          <w:p>
            <w:pPr>
              <w:pStyle w:val="Compact"/>
              <w:jc w:val="left"/>
            </w:pPr>
            <w:r>
              <w:t xml:space="preserve">B-2</w:t>
            </w:r>
          </w:p>
        </w:tc>
        <w:tc>
          <w:tcPr/>
          <w:p>
            <w:pPr>
              <w:pStyle w:val="Compact"/>
              <w:jc w:val="left"/>
            </w:pPr>
            <w:r>
              <w:t xml:space="preserve">Dr. Krishnamurthy shares to sell (500,000 vs. up to 750,000)</w:t>
            </w:r>
          </w:p>
        </w:tc>
        <w:tc>
          <w:tcPr/>
          <w:p>
            <w:pPr>
              <w:pStyle w:val="Compact"/>
              <w:jc w:val="left"/>
            </w:pPr>
            <w:r>
              <w:t xml:space="preserve">Material</w:t>
            </w:r>
          </w:p>
        </w:tc>
        <w:tc>
          <w:tcPr/>
          <w:p>
            <w:pPr>
              <w:pStyle w:val="Compact"/>
              <w:jc w:val="left"/>
            </w:pPr>
            <w:r>
              <w:t xml:space="preserve">Engagement Letter vs. S-1/POA/Term Sheet</w:t>
            </w:r>
          </w:p>
        </w:tc>
        <w:tc>
          <w:tcPr/>
          <w:p>
            <w:pPr>
              <w:pStyle w:val="Compact"/>
              <w:jc w:val="left"/>
            </w:pPr>
            <w:r>
              <w:t xml:space="preserve">Follows S-1 (500,000)</w:t>
            </w:r>
          </w:p>
        </w:tc>
      </w:tr>
      <w:tr>
        <w:tc>
          <w:tcPr/>
          <w:p>
            <w:pPr>
              <w:pStyle w:val="Compact"/>
              <w:jc w:val="left"/>
            </w:pPr>
            <w:r>
              <w:t xml:space="preserve">B-3</w:t>
            </w:r>
          </w:p>
        </w:tc>
        <w:tc>
          <w:tcPr/>
          <w:p>
            <w:pPr>
              <w:pStyle w:val="Compact"/>
              <w:jc w:val="left"/>
            </w:pPr>
            <w:r>
              <w:t xml:space="preserve">Over-allotment source (Company only vs. Company and/or SHs)</w:t>
            </w:r>
          </w:p>
        </w:tc>
        <w:tc>
          <w:tcPr/>
          <w:p>
            <w:pPr>
              <w:pStyle w:val="Compact"/>
              <w:jc w:val="left"/>
            </w:pPr>
            <w:r>
              <w:t xml:space="preserve">Material</w:t>
            </w:r>
          </w:p>
        </w:tc>
        <w:tc>
          <w:tcPr/>
          <w:p>
            <w:pPr>
              <w:pStyle w:val="Compact"/>
              <w:jc w:val="left"/>
            </w:pPr>
            <w:r>
              <w:t xml:space="preserve">Term Sheet vs. S-1/Engagement Letter/Questionnaire</w:t>
            </w:r>
          </w:p>
        </w:tc>
        <w:tc>
          <w:tcPr/>
          <w:p>
            <w:pPr>
              <w:pStyle w:val="Compact"/>
              <w:jc w:val="left"/>
            </w:pPr>
            <w:r>
              <w:t xml:space="preserve">Follows S-1 (Company only)</w:t>
            </w:r>
          </w:p>
        </w:tc>
      </w:tr>
      <w:tr>
        <w:tc>
          <w:tcPr/>
          <w:p>
            <w:pPr>
              <w:pStyle w:val="Compact"/>
              <w:jc w:val="left"/>
            </w:pPr>
            <w:r>
              <w:t xml:space="preserve">B-4</w:t>
            </w:r>
          </w:p>
        </w:tc>
        <w:tc>
          <w:tcPr/>
          <w:p>
            <w:pPr>
              <w:pStyle w:val="Compact"/>
              <w:jc w:val="left"/>
            </w:pPr>
            <w:r>
              <w:t xml:space="preserve">Cascade entity/GP/control persons/address</w:t>
            </w:r>
          </w:p>
        </w:tc>
        <w:tc>
          <w:tcPr/>
          <w:p>
            <w:pPr>
              <w:pStyle w:val="Compact"/>
              <w:jc w:val="left"/>
            </w:pPr>
            <w:r>
              <w:t xml:space="preserve">Material</w:t>
            </w:r>
          </w:p>
        </w:tc>
        <w:tc>
          <w:tcPr/>
          <w:p>
            <w:pPr>
              <w:pStyle w:val="Compact"/>
              <w:jc w:val="left"/>
            </w:pPr>
            <w:r>
              <w:t xml:space="preserve">S-1 vs. POA vs. Questionnaire</w:t>
            </w:r>
          </w:p>
        </w:tc>
        <w:tc>
          <w:tcPr/>
          <w:p>
            <w:pPr>
              <w:pStyle w:val="Compact"/>
              <w:jc w:val="left"/>
            </w:pPr>
            <w:r>
              <w:t xml:space="preserve">Schedule II; to be reconciled</w:t>
            </w:r>
          </w:p>
        </w:tc>
      </w:tr>
      <w:tr>
        <w:tc>
          <w:tcPr/>
          <w:p>
            <w:pPr>
              <w:pStyle w:val="Compact"/>
              <w:jc w:val="left"/>
            </w:pPr>
            <w:r>
              <w:t xml:space="preserve">B-5</w:t>
            </w:r>
          </w:p>
        </w:tc>
        <w:tc>
          <w:tcPr/>
          <w:p>
            <w:pPr>
              <w:pStyle w:val="Compact"/>
              <w:jc w:val="left"/>
            </w:pPr>
            <w:r>
              <w:t xml:space="preserve">Northlight GP/control persons</w:t>
            </w:r>
          </w:p>
        </w:tc>
        <w:tc>
          <w:tcPr/>
          <w:p>
            <w:pPr>
              <w:pStyle w:val="Compact"/>
              <w:jc w:val="left"/>
            </w:pPr>
            <w:r>
              <w:t xml:space="preserve">Material</w:t>
            </w:r>
          </w:p>
        </w:tc>
        <w:tc>
          <w:tcPr/>
          <w:p>
            <w:pPr>
              <w:pStyle w:val="Compact"/>
              <w:jc w:val="left"/>
            </w:pPr>
            <w:r>
              <w:t xml:space="preserve">S-1 vs. POA</w:t>
            </w:r>
          </w:p>
        </w:tc>
        <w:tc>
          <w:tcPr/>
          <w:p>
            <w:pPr>
              <w:pStyle w:val="Compact"/>
              <w:jc w:val="left"/>
            </w:pPr>
            <w:r>
              <w:t xml:space="preserve">Schedule II; to be reconciled</w:t>
            </w:r>
          </w:p>
        </w:tc>
      </w:tr>
      <w:tr>
        <w:tc>
          <w:tcPr/>
          <w:p>
            <w:pPr>
              <w:pStyle w:val="Compact"/>
              <w:jc w:val="left"/>
            </w:pPr>
            <w:r>
              <w:t xml:space="preserve">B-6</w:t>
            </w:r>
          </w:p>
        </w:tc>
        <w:tc>
          <w:tcPr/>
          <w:p>
            <w:pPr>
              <w:pStyle w:val="Compact"/>
              <w:jc w:val="left"/>
            </w:pPr>
            <w:r>
              <w:t xml:space="preserve">Dr. Krishnamurthy shares held (8.5M vs. 8.4M)</w:t>
            </w:r>
          </w:p>
        </w:tc>
        <w:tc>
          <w:tcPr/>
          <w:p>
            <w:pPr>
              <w:pStyle w:val="Compact"/>
              <w:jc w:val="left"/>
            </w:pPr>
            <w:r>
              <w:t xml:space="preserve">Material</w:t>
            </w:r>
          </w:p>
        </w:tc>
        <w:tc>
          <w:tcPr/>
          <w:p>
            <w:pPr>
              <w:pStyle w:val="Compact"/>
              <w:jc w:val="left"/>
            </w:pPr>
            <w:r>
              <w:t xml:space="preserve">Term Sheet vs. S-1/POA/Engagement Letter</w:t>
            </w:r>
          </w:p>
        </w:tc>
        <w:tc>
          <w:tcPr/>
          <w:p>
            <w:pPr>
              <w:pStyle w:val="Compact"/>
              <w:jc w:val="left"/>
            </w:pPr>
            <w:r>
              <w:t xml:space="preserve">Follows S-1 (8,400,000)</w:t>
            </w:r>
          </w:p>
        </w:tc>
      </w:tr>
      <w:tr>
        <w:tc>
          <w:tcPr/>
          <w:p>
            <w:pPr>
              <w:pStyle w:val="Compact"/>
              <w:jc w:val="left"/>
            </w:pPr>
            <w:r>
              <w:t xml:space="preserve">B-7</w:t>
            </w:r>
          </w:p>
        </w:tc>
        <w:tc>
          <w:tcPr/>
          <w:p>
            <w:pPr>
              <w:pStyle w:val="Compact"/>
              <w:jc w:val="left"/>
            </w:pPr>
            <w:r>
              <w:t xml:space="preserve">Financial covenants (interest coverage vs. fixed charge; min. revenue)</w:t>
            </w:r>
          </w:p>
        </w:tc>
        <w:tc>
          <w:tcPr/>
          <w:p>
            <w:pPr>
              <w:pStyle w:val="Compact"/>
              <w:jc w:val="left"/>
            </w:pPr>
            <w:r>
              <w:t xml:space="preserve">Material</w:t>
            </w:r>
          </w:p>
        </w:tc>
        <w:tc>
          <w:tcPr/>
          <w:p>
            <w:pPr>
              <w:pStyle w:val="Compact"/>
              <w:jc w:val="left"/>
            </w:pPr>
            <w:r>
              <w:t xml:space="preserve">S-1 vs. Credit Agreement Summary</w:t>
            </w:r>
          </w:p>
        </w:tc>
        <w:tc>
          <w:tcPr/>
          <w:p>
            <w:pPr>
              <w:pStyle w:val="Compact"/>
              <w:jc w:val="left"/>
            </w:pPr>
            <w:r>
              <w:t xml:space="preserve">Part of A-2 reconciliation</w:t>
            </w:r>
          </w:p>
        </w:tc>
      </w:tr>
      <w:tr>
        <w:tc>
          <w:tcPr/>
          <w:p>
            <w:pPr>
              <w:pStyle w:val="Compact"/>
              <w:jc w:val="left"/>
            </w:pPr>
            <w:r>
              <w:t xml:space="preserve">B-8</w:t>
            </w:r>
          </w:p>
        </w:tc>
        <w:tc>
          <w:tcPr/>
          <w:p>
            <w:pPr>
              <w:pStyle w:val="Compact"/>
              <w:jc w:val="left"/>
            </w:pPr>
            <w:r>
              <w:t xml:space="preserve">“</w:t>
            </w:r>
            <w:r>
              <w:t xml:space="preserve">Net proceeds</w:t>
            </w:r>
            <w:r>
              <w:t xml:space="preserve">”</w:t>
            </w:r>
            <w:r>
              <w:t xml:space="preserve"> </w:t>
            </w:r>
            <w:r>
              <w:t xml:space="preserve">definition</w:t>
            </w:r>
          </w:p>
        </w:tc>
        <w:tc>
          <w:tcPr/>
          <w:p>
            <w:pPr>
              <w:pStyle w:val="Compact"/>
              <w:jc w:val="left"/>
            </w:pPr>
            <w:r>
              <w:t xml:space="preserve">Material</w:t>
            </w:r>
          </w:p>
        </w:tc>
        <w:tc>
          <w:tcPr/>
          <w:p>
            <w:pPr>
              <w:pStyle w:val="Compact"/>
              <w:jc w:val="left"/>
            </w:pPr>
            <w:r>
              <w:t xml:space="preserve">Term Sheet/Engagement Letter vs. S-1/Comfort Letter</w:t>
            </w:r>
          </w:p>
        </w:tc>
        <w:tc>
          <w:tcPr/>
          <w:p>
            <w:pPr>
              <w:pStyle w:val="Compact"/>
              <w:jc w:val="left"/>
            </w:pPr>
            <w:r>
              <w:t xml:space="preserve">UA: price less discount; expenses separate</w:t>
            </w:r>
          </w:p>
        </w:tc>
      </w:tr>
      <w:tr>
        <w:tc>
          <w:tcPr/>
          <w:p>
            <w:pPr>
              <w:pStyle w:val="Compact"/>
              <w:jc w:val="left"/>
            </w:pPr>
            <w:r>
              <w:t xml:space="preserve">B-9</w:t>
            </w:r>
          </w:p>
        </w:tc>
        <w:tc>
          <w:tcPr/>
          <w:p>
            <w:pPr>
              <w:pStyle w:val="Compact"/>
              <w:jc w:val="left"/>
            </w:pPr>
            <w:r>
              <w:t xml:space="preserve">10b5-1 plan treatment in lock-up</w:t>
            </w:r>
          </w:p>
        </w:tc>
        <w:tc>
          <w:tcPr/>
          <w:p>
            <w:pPr>
              <w:pStyle w:val="Compact"/>
              <w:jc w:val="left"/>
            </w:pPr>
            <w:r>
              <w:t xml:space="preserve">Material</w:t>
            </w:r>
          </w:p>
        </w:tc>
        <w:tc>
          <w:tcPr/>
          <w:p>
            <w:pPr>
              <w:pStyle w:val="Compact"/>
              <w:jc w:val="left"/>
            </w:pPr>
            <w:r>
              <w:t xml:space="preserve">Term Sheet vs. form Lock-Up/S-1</w:t>
            </w:r>
          </w:p>
        </w:tc>
        <w:tc>
          <w:tcPr/>
          <w:p>
            <w:pPr>
              <w:pStyle w:val="Compact"/>
              <w:jc w:val="left"/>
            </w:pPr>
            <w:r>
              <w:t xml:space="preserve">Follows form Lock-Up (pre-existing)</w:t>
            </w:r>
          </w:p>
        </w:tc>
      </w:tr>
      <w:tr>
        <w:tc>
          <w:tcPr/>
          <w:p>
            <w:pPr>
              <w:pStyle w:val="Compact"/>
              <w:jc w:val="left"/>
            </w:pPr>
            <w:r>
              <w:t xml:space="preserve">B-10</w:t>
            </w:r>
          </w:p>
        </w:tc>
        <w:tc>
          <w:tcPr/>
          <w:p>
            <w:pPr>
              <w:pStyle w:val="Compact"/>
              <w:jc w:val="left"/>
            </w:pPr>
            <w:r>
              <w:t xml:space="preserve">Lock-up early-release threshold</w:t>
            </w:r>
          </w:p>
        </w:tc>
        <w:tc>
          <w:tcPr/>
          <w:p>
            <w:pPr>
              <w:pStyle w:val="Compact"/>
              <w:jc w:val="left"/>
            </w:pPr>
            <w:r>
              <w:t xml:space="preserve">Material</w:t>
            </w:r>
          </w:p>
        </w:tc>
        <w:tc>
          <w:tcPr/>
          <w:p>
            <w:pPr>
              <w:pStyle w:val="Compact"/>
              <w:jc w:val="left"/>
            </w:pPr>
            <w:r>
              <w:t xml:space="preserve">Term Sheet (open) vs. form Lock-Up (1%) vs. S-1 (</w:t>
            </w:r>
            <w:r>
              <w:t xml:space="preserve">“</w:t>
            </w:r>
            <w:r>
              <w:t xml:space="preserve">material</w:t>
            </w:r>
            <w:r>
              <w:t xml:space="preserve">”</w:t>
            </w:r>
            <w:r>
              <w:t xml:space="preserve">)</w:t>
            </w:r>
          </w:p>
        </w:tc>
        <w:tc>
          <w:tcPr/>
          <w:p>
            <w:pPr>
              <w:pStyle w:val="Compact"/>
              <w:jc w:val="left"/>
            </w:pPr>
            <w:r>
              <w:t xml:space="preserve">Follows form Lock-Up (1%)</w:t>
            </w:r>
          </w:p>
        </w:tc>
      </w:tr>
    </w:tbl>
    <w:bookmarkEnd w:id="39"/>
    <w:bookmarkStart w:id="40" w:name="vii.-drafting-notes-and-recommendations"/>
    <w:p>
      <w:pPr>
        <w:pStyle w:val="Heading2"/>
      </w:pPr>
      <w:r>
        <w:t xml:space="preserve">VII. Drafting Notes and Recommendations</w:t>
      </w:r>
    </w:p>
    <w:p>
      <w:pPr>
        <w:numPr>
          <w:ilvl w:val="0"/>
          <w:numId w:val="1003"/>
        </w:numPr>
      </w:pPr>
      <w:r>
        <w:rPr>
          <w:b/>
          <w:bCs/>
        </w:rPr>
        <w:t xml:space="preserve">Operative-disclosure priority.</w:t>
      </w:r>
      <w:r>
        <w:t xml:space="preserve"> </w:t>
      </w:r>
      <w:r>
        <w:t xml:space="preserve">The Underwriting Agreement has been drafted to follow the Registration Statement where the Term Sheet, the Engagement Letter, or internal summaries conflict with the S-1, because the Underwriting Agreement’s representations adopt the accuracy of the Registration Statement. The conflicts are flagged above and in bracketed notes within the Underwriting Agreement. The bracketed notes are not intended to remain in the executed agreement.</w:t>
      </w:r>
    </w:p>
    <w:p>
      <w:pPr>
        <w:numPr>
          <w:ilvl w:val="0"/>
          <w:numId w:val="1003"/>
        </w:numPr>
      </w:pPr>
      <w:r>
        <w:rPr>
          <w:b/>
          <w:bCs/>
        </w:rPr>
        <w:t xml:space="preserve">Blocking items.</w:t>
      </w:r>
      <w:r>
        <w:t xml:space="preserve"> </w:t>
      </w:r>
      <w:r>
        <w:t xml:space="preserve">Items A-1, A-2, A-3, and A-4 should be treated as blocking items for execution of the Underwriting Agreement and/or filing of the Final Prospectus. Company Counsel should lead the reconciliation of the credit-facility terms (A-1, A-2, A-4) and the capitalization/dilution figures (A-3), with input from Whitman Reese &amp; Co. and Underwriters’ Counsel.</w:t>
      </w:r>
    </w:p>
    <w:p>
      <w:pPr>
        <w:numPr>
          <w:ilvl w:val="0"/>
          <w:numId w:val="1003"/>
        </w:numPr>
      </w:pPr>
      <w:r>
        <w:rPr>
          <w:b/>
          <w:bCs/>
        </w:rPr>
        <w:t xml:space="preserve">Selling stockholder accuracy.</w:t>
      </w:r>
      <w:r>
        <w:t xml:space="preserve"> </w:t>
      </w:r>
      <w:r>
        <w:t xml:space="preserve">Items B-4 and B-5 (and the related open items C-7 and C-21) should be resolved promptly, as they affect the accuracy of the S-1 selling-stockholder disclosure and the Selling Stockholder representations in Article III of the Underwriting Agreement. The signature blocks of the POA and the Cascade Questionnaire should be corrected to use the proper LP name (</w:t>
      </w:r>
      <w:r>
        <w:t xml:space="preserve">“</w:t>
      </w:r>
      <w:r>
        <w:t xml:space="preserve">Cascade Kestridge Ventures, LP</w:t>
      </w:r>
      <w:r>
        <w:t xml:space="preserve">”</w:t>
      </w:r>
      <w:r>
        <w:t xml:space="preserve">).</w:t>
      </w:r>
    </w:p>
    <w:p>
      <w:pPr>
        <w:numPr>
          <w:ilvl w:val="0"/>
          <w:numId w:val="1003"/>
        </w:numPr>
      </w:pPr>
      <w:r>
        <w:rPr>
          <w:b/>
          <w:bCs/>
        </w:rPr>
        <w:t xml:space="preserve">Lock-up springing extension.</w:t>
      </w:r>
      <w:r>
        <w:t xml:space="preserve"> </w:t>
      </w:r>
      <w:r>
        <w:t xml:space="preserve">Item B-1 / C-11 should be resolved by (a) finalizing Exhibit A-1 to the Underwriting Agreement, (b) updating the form Lock-Up Agreement for Dr. Krishnamurthy, and (c) confirming the S-1 disclosure treatment.</w:t>
      </w:r>
    </w:p>
    <w:p>
      <w:pPr>
        <w:numPr>
          <w:ilvl w:val="0"/>
          <w:numId w:val="1003"/>
        </w:numPr>
      </w:pPr>
      <w:r>
        <w:rPr>
          <w:b/>
          <w:bCs/>
        </w:rPr>
        <w:t xml:space="preserve">Pricing.</w:t>
      </w:r>
      <w:r>
        <w:t xml:space="preserve"> </w:t>
      </w:r>
      <w:r>
        <w:t xml:space="preserve">Item C-16: once the final Public Offering Price is set on the Pricing Date, all per-Share and aggregate amounts in the Underwriting Agreement (Schedules I and II) and the Final Prospectus must be updated, and the bracketed note in Section 1.1 removed.</w:t>
      </w:r>
    </w:p>
    <w:p>
      <w:pPr>
        <w:numPr>
          <w:ilvl w:val="0"/>
          <w:numId w:val="1003"/>
        </w:numPr>
      </w:pPr>
      <w:r>
        <w:rPr>
          <w:b/>
          <w:bCs/>
        </w:rPr>
        <w:t xml:space="preserve">Conditions precedent.</w:t>
      </w:r>
      <w:r>
        <w:t xml:space="preserve"> </w:t>
      </w:r>
      <w:r>
        <w:t xml:space="preserve">The open items in Section V (C-1 through C-22) should be tracked to closing. Several (comfort letters, opinions, certificates, lock-ups, Nasdaq approval, FINRA clearance) are express conditions in Article VII of the Underwriting Agreement.</w:t>
      </w:r>
    </w:p>
    <w:bookmarkEnd w:id="40"/>
    <w:bookmarkStart w:id="41" w:name="viii.-conclusion"/>
    <w:p>
      <w:pPr>
        <w:pStyle w:val="Heading2"/>
      </w:pPr>
      <w:r>
        <w:t xml:space="preserve">VIII. Conclusion</w:t>
      </w:r>
    </w:p>
    <w:p>
      <w:pPr>
        <w:pStyle w:val="FirstParagraph"/>
      </w:pPr>
      <w:r>
        <w:t xml:space="preserve">The Offering documents are substantially consistent and the transaction is ready to proceed to pricing on March 19, 2025, subject to resolution of the four critical discrepancies identified in Section III (credit-facility lender identity and terms; comfort-letter/capitalization reconciliation; and the mandatory-prepayment/use-of-proceeds amount) and the material discrepancies and open items identified in Sections IV and V. The accompanying Underwriting Agreement is execution-ready in form, with the critical open items flagged in brackets for clearance before signature. We recommend that Company Counsel and Underwriters’ Counsel coordinate to clear the blocking items (A-1 through A-4) on an expedited basis before the Final Prospectus is filed under Rule 424(b)(4).</w:t>
      </w:r>
    </w:p>
    <w:p>
      <w:r>
        <w:pict>
          <v:rect style="width:0;height:1.5pt" o:hralign="center" o:hrstd="t" o:hr="t"/>
        </w:pict>
      </w:r>
    </w:p>
    <w:p>
      <w:pPr>
        <w:pStyle w:val="FirstParagraph"/>
      </w:pPr>
      <w:r>
        <w:rPr>
          <w:i/>
          <w:iCs/>
        </w:rPr>
        <w:t xml:space="preserve">This memorandum is privileged and confidential attorney work product prepared in connection with the Offering. It is intended for the use of the deal working group only and should not be distributed outside the working group.</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2026-06-23T05:25:33Z</dcterms:created>
  <dcterms:modified xsi:type="dcterms:W3CDTF">2026-06-23T05:25:33Z</dcterms:modified>
</cp:coreProperties>
</file>

<file path=docProps/custom.xml><?xml version="1.0" encoding="utf-8"?>
<Properties xmlns="http://schemas.openxmlformats.org/officeDocument/2006/custom-properties" xmlns:vt="http://schemas.openxmlformats.org/officeDocument/2006/docPropsVTypes"/>
</file>