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issues-memorandum"/>
    <w:p>
      <w:pPr>
        <w:pStyle w:val="Heading1"/>
      </w:pPr>
      <w:r>
        <w:t xml:space="preserve">ISSUES 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Deal Team — Hargrove Securities LLC (Lead Book-Runner); Bellweather Capital Markets, Inc. (Co-Manager); Meridian Pulse Technologies, Inc.; Stonebridge &amp; Calloway LLP (Company Counsel)</w:t>
      </w:r>
      <w:r>
        <w:t xml:space="preserve"> </w:t>
      </w:r>
      <w:r>
        <w:rPr>
          <w:b/>
          <w:bCs/>
        </w:rPr>
        <w:t xml:space="preserve">From:</w:t>
      </w:r>
      <w:r>
        <w:t xml:space="preserve"> </w:t>
      </w:r>
      <w:r>
        <w:t xml:space="preserve">Ashford &amp; Pine LLP (Underwriters’ Counsel)</w:t>
      </w:r>
      <w:r>
        <w:t xml:space="preserve"> </w:t>
      </w:r>
      <w:r>
        <w:rPr>
          <w:b/>
          <w:bCs/>
        </w:rPr>
        <w:t xml:space="preserve">Date:</w:t>
      </w:r>
      <w:r>
        <w:t xml:space="preserve"> </w:t>
      </w:r>
      <w:r>
        <w:t xml:space="preserve">March 19, 2025</w:t>
      </w:r>
      <w:r>
        <w:t xml:space="preserve"> </w:t>
      </w:r>
      <w:r>
        <w:rPr>
          <w:b/>
          <w:bCs/>
        </w:rPr>
        <w:t xml:space="preserve">Re:</w:t>
      </w:r>
      <w:r>
        <w:t xml:space="preserve"> </w:t>
      </w:r>
      <w:r>
        <w:t xml:space="preserve">Initial Public Offering of Common Stock of Meridian Pulse Technologies, Inc. — Cross-Document Discrepancies and Open Items</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flags cross-document discrepancies and open items identified during our review of the transaction documents in connection with the firm-commitment underwriting of 12,000,000 shares of common stock (the</w:t>
      </w:r>
      <w:r>
        <w:t xml:space="preserve"> </w:t>
      </w:r>
      <w:r>
        <w:t xml:space="preserve">“</w:t>
      </w:r>
      <w:r>
        <w:t xml:space="preserve">Shares</w:t>
      </w:r>
      <w:r>
        <w:t xml:space="preserve">”</w:t>
      </w:r>
      <w:r>
        <w:t xml:space="preserve">) of Meridian Pulse Technologies, Inc. (the</w:t>
      </w:r>
      <w:r>
        <w:t xml:space="preserve"> </w:t>
      </w:r>
      <w:r>
        <w:t xml:space="preserve">“</w:t>
      </w:r>
      <w:r>
        <w:t xml:space="preserve">Company</w:t>
      </w:r>
      <w:r>
        <w:t xml:space="preserve">”</w:t>
      </w:r>
      <w:r>
        <w:t xml:space="preserve">) pursuant to Registration Statement on Form S-1 (File No. 333-284517). The documents reviewed are: (1) the IPO Term Sheet dated March 19, 2025 (the</w:t>
      </w:r>
      <w:r>
        <w:t xml:space="preserve"> </w:t>
      </w:r>
      <w:r>
        <w:t xml:space="preserve">“</w:t>
      </w:r>
      <w:r>
        <w:t xml:space="preserve">Term Sheet</w:t>
      </w:r>
      <w:r>
        <w:t xml:space="preserve">”</w:t>
      </w:r>
      <w:r>
        <w:t xml:space="preserve">); (2) the Engagement Letter dated November 8, 2024 (the</w:t>
      </w:r>
      <w:r>
        <w:t xml:space="preserve"> </w:t>
      </w:r>
      <w:r>
        <w:t xml:space="preserve">“</w:t>
      </w:r>
      <w:r>
        <w:t xml:space="preserve">Engagement Letter</w:t>
      </w:r>
      <w:r>
        <w:t xml:space="preserve">”</w:t>
      </w:r>
      <w:r>
        <w:t xml:space="preserve">); (3) the S-1 Registration Statement excerpts (the</w:t>
      </w:r>
      <w:r>
        <w:t xml:space="preserve"> </w:t>
      </w:r>
      <w:r>
        <w:t xml:space="preserve">“</w:t>
      </w:r>
      <w:r>
        <w:t xml:space="preserve">S-1</w:t>
      </w:r>
      <w:r>
        <w:t xml:space="preserve">”</w:t>
      </w:r>
      <w:r>
        <w:t xml:space="preserve">); (4) the Amended and Restated Certificate of Incorporation (the</w:t>
      </w:r>
      <w:r>
        <w:t xml:space="preserve"> </w:t>
      </w:r>
      <w:r>
        <w:t xml:space="preserve">“</w:t>
      </w:r>
      <w:r>
        <w:t xml:space="preserve">COI</w:t>
      </w:r>
      <w:r>
        <w:t xml:space="preserve">”</w:t>
      </w:r>
      <w:r>
        <w:t xml:space="preserve">); (5) the Summary of Key Terms — Revolving Credit Agreement (the</w:t>
      </w:r>
      <w:r>
        <w:t xml:space="preserve"> </w:t>
      </w:r>
      <w:r>
        <w:t xml:space="preserve">“</w:t>
      </w:r>
      <w:r>
        <w:t xml:space="preserve">Credit Summary</w:t>
      </w:r>
      <w:r>
        <w:t xml:space="preserve">”</w:t>
      </w:r>
      <w:r>
        <w:t xml:space="preserve">); (6) the draft Comfort Letter of Whitman Reese &amp; Co. dated March 18, 2025 (the</w:t>
      </w:r>
      <w:r>
        <w:t xml:space="preserve"> </w:t>
      </w:r>
      <w:r>
        <w:t xml:space="preserve">“</w:t>
      </w:r>
      <w:r>
        <w:t xml:space="preserve">Comfort Letter</w:t>
      </w:r>
      <w:r>
        <w:t xml:space="preserve">”</w:t>
      </w:r>
      <w:r>
        <w:t xml:space="preserve">); (7) the form of Lock-Up Agreement (the</w:t>
      </w:r>
      <w:r>
        <w:t xml:space="preserve"> </w:t>
      </w:r>
      <w:r>
        <w:t xml:space="preserve">“</w:t>
      </w:r>
      <w:r>
        <w:t xml:space="preserve">Lock-Up Form</w:t>
      </w:r>
      <w:r>
        <w:t xml:space="preserve">”</w:t>
      </w:r>
      <w:r>
        <w:t xml:space="preserve">); (8) the Power of Attorney and Custody Agreement (the</w:t>
      </w:r>
      <w:r>
        <w:t xml:space="preserve"> </w:t>
      </w:r>
      <w:r>
        <w:t xml:space="preserve">“</w:t>
      </w:r>
      <w:r>
        <w:t xml:space="preserve">POA</w:t>
      </w:r>
      <w:r>
        <w:t xml:space="preserve">”</w:t>
      </w:r>
      <w:r>
        <w:t xml:space="preserve">); and (9) the Selling Stockholder Questionnaire completed by Cascade Kestridge Ventures, LP (the</w:t>
      </w:r>
      <w:r>
        <w:t xml:space="preserve"> </w:t>
      </w:r>
      <w:r>
        <w:t xml:space="preserve">“</w:t>
      </w:r>
      <w:r>
        <w:t xml:space="preserve">Questionnaire</w:t>
      </w:r>
      <w:r>
        <w:t xml:space="preserve">”</w:t>
      </w:r>
      <w:r>
        <w:t xml:space="preserve">).</w:t>
      </w:r>
    </w:p>
    <w:p>
      <w:pPr>
        <w:pStyle w:val="BodyText"/>
      </w:pPr>
      <w:r>
        <w:t xml:space="preserve">Issues are classified by severity:</w:t>
      </w:r>
      <w:r>
        <w:t xml:space="preserve"> </w:t>
      </w:r>
      <w:r>
        <w:rPr>
          <w:b/>
          <w:bCs/>
        </w:rPr>
        <w:t xml:space="preserve">Critical</w:t>
      </w:r>
      <w:r>
        <w:t xml:space="preserve"> </w:t>
      </w:r>
      <w:r>
        <w:t xml:space="preserve">(must be resolved before pricing/closing; potential material misstatement in the Registration Statement or a defect affecting execution validity),</w:t>
      </w:r>
      <w:r>
        <w:t xml:space="preserve"> </w:t>
      </w:r>
      <w:r>
        <w:rPr>
          <w:b/>
          <w:bCs/>
        </w:rPr>
        <w:t xml:space="preserve">Material</w:t>
      </w:r>
      <w:r>
        <w:t xml:space="preserve"> </w:t>
      </w:r>
      <w:r>
        <w:t xml:space="preserve">(must be reconciled; affects accuracy of disclosure or deal terms), and</w:t>
      </w:r>
      <w:r>
        <w:t xml:space="preserve"> </w:t>
      </w:r>
      <w:r>
        <w:rPr>
          <w:b/>
          <w:bCs/>
        </w:rPr>
        <w:t xml:space="preserve">Minor</w:t>
      </w:r>
      <w:r>
        <w:t xml:space="preserve"> </w:t>
      </w:r>
      <w:r>
        <w:t xml:space="preserve">(conforming/consistency items). A consolidated status table appears in Section VI.</w:t>
      </w:r>
    </w:p>
    <w:p>
      <w:pPr>
        <w:pStyle w:val="BodyText"/>
      </w:pPr>
      <w:r>
        <w:t xml:space="preserve">The Underwriting Agreement (the</w:t>
      </w:r>
      <w:r>
        <w:t xml:space="preserve"> </w:t>
      </w:r>
      <w:r>
        <w:t xml:space="preserve">“</w:t>
      </w:r>
      <w:r>
        <w:t xml:space="preserve">UA</w:t>
      </w:r>
      <w:r>
        <w:t xml:space="preserve">”</w:t>
      </w:r>
      <w:r>
        <w:t xml:space="preserve">) has been drafted to reflect the terms as we understand them to be finally agreed, drawing on the most authoritative and internally consistent sources. Where documents conflict, the UA tracks the S-1 (the operative SEC document the UA’s representations cover) and the executed form documents (Lock-Up Form, POA), and the conflicting term is flagged below for reconciliation.</w:t>
      </w:r>
    </w:p>
    <w:p>
      <w:r>
        <w:pict>
          <v:rect style="width:0;height:1.5pt" o:hralign="center" o:hrstd="t" o:hr="t"/>
        </w:pict>
      </w:r>
    </w:p>
    <w:bookmarkEnd w:id="20"/>
    <w:bookmarkStart w:id="27" w:name="ii.-critical-issues"/>
    <w:p>
      <w:pPr>
        <w:pStyle w:val="Heading2"/>
      </w:pPr>
      <w:r>
        <w:t xml:space="preserve">II. Critical Issues</w:t>
      </w:r>
    </w:p>
    <w:bookmarkStart w:id="21" w:name="X845502acc3207700984e43814433c0acf44533a"/>
    <w:p>
      <w:pPr>
        <w:pStyle w:val="Heading3"/>
      </w:pPr>
      <w:r>
        <w:t xml:space="preserve">Issue 1 — Identity of the Lender under the Revolving Credit Facility:</w:t>
      </w:r>
      <w:r>
        <w:t xml:space="preserve"> </w:t>
      </w:r>
      <w:r>
        <w:t xml:space="preserve">“</w:t>
      </w:r>
      <w:r>
        <w:t xml:space="preserve">Oakvale National Bank</w:t>
      </w:r>
      <w:r>
        <w:t xml:space="preserve">”</w:t>
      </w:r>
      <w:r>
        <w:t xml:space="preserve"> </w:t>
      </w:r>
      <w:r>
        <w:t xml:space="preserve">vs. </w:t>
      </w:r>
      <w:r>
        <w:t xml:space="preserve">“</w:t>
      </w:r>
      <w:r>
        <w:t xml:space="preserve">Ridgemont National Bank</w:t>
      </w:r>
      <w:r>
        <w:t xml:space="preserve">”</w:t>
      </w:r>
    </w:p>
    <w:p>
      <w:pPr>
        <w:pStyle w:val="FirstParagraph"/>
      </w:pPr>
      <w:r>
        <w:rPr>
          <w:b/>
          <w:bCs/>
        </w:rPr>
        <w:t xml:space="preserve">Identification.</w:t>
      </w:r>
      <w:r>
        <w:t xml:space="preserve"> </w:t>
      </w:r>
      <w:r>
        <w:t xml:space="preserve">The S-1 (Risk Factors §III.C; Material Contracts §IX.A; Capitalization table; Use of Proceeds §IV), the Term Sheet (§11.1(i)), and the Comfort Letter (§VII.A) all refer to the Company’s revolving credit facility as being with</w:t>
      </w:r>
      <w:r>
        <w:t xml:space="preserve"> </w:t>
      </w:r>
      <w:r>
        <w:rPr>
          <w:b/>
          <w:bCs/>
        </w:rPr>
        <w:t xml:space="preserve">“</w:t>
      </w:r>
      <w:r>
        <w:rPr>
          <w:b/>
          <w:bCs/>
        </w:rPr>
        <w:t xml:space="preserve">Oakvale National Bank.</w:t>
      </w:r>
      <w:r>
        <w:rPr>
          <w:b/>
          <w:bCs/>
        </w:rPr>
        <w:t xml:space="preserve">”</w:t>
      </w:r>
      <w:r>
        <w:t xml:space="preserve"> </w:t>
      </w:r>
      <w:r>
        <w:t xml:space="preserve">The Credit Summary — prepared by Company Counsel (Stonebridge &amp; Calloway LLP) from the Credit Agreement itself for the internal deal team — identifies the Lender/Administrative Agent as</w:t>
      </w:r>
      <w:r>
        <w:t xml:space="preserve"> </w:t>
      </w:r>
      <w:r>
        <w:rPr>
          <w:b/>
          <w:bCs/>
        </w:rPr>
        <w:t xml:space="preserve">“</w:t>
      </w:r>
      <w:r>
        <w:rPr>
          <w:b/>
          <w:bCs/>
        </w:rPr>
        <w:t xml:space="preserve">Ridgemont National Bank</w:t>
      </w:r>
      <w:r>
        <w:rPr>
          <w:b/>
          <w:bCs/>
        </w:rPr>
        <w:t xml:space="preserve">”</w:t>
      </w:r>
      <w:r>
        <w:t xml:space="preserve"> </w:t>
      </w:r>
      <w:r>
        <w:t xml:space="preserve">(Credit Summary §1).</w:t>
      </w:r>
    </w:p>
    <w:p>
      <w:pPr>
        <w:pStyle w:val="BodyText"/>
      </w:pPr>
      <w:r>
        <w:rPr>
          <w:b/>
          <w:bCs/>
        </w:rPr>
        <w:t xml:space="preserve">Why it matters.</w:t>
      </w:r>
      <w:r>
        <w:t xml:space="preserve"> </w:t>
      </w:r>
      <w:r>
        <w:t xml:space="preserve">The identity of the lender is a material fact. The UA’s material-contracts representation (UA §5.14) and the S-1 disclosure must be accurate. If the actual lender is Ridgemont, the S-1, the Term Sheet, and the Comfort Letter each contain a material misstatement of a material contract; if the actual lender is Oakvale, the Credit Summary is erroneous. Either way, the UA cannot be executed with an inaccurate material-contracts representation, and the S-1 (declared effective March 12, 2025) may require correction via prospectus supplement or post-effective amendment.</w:t>
      </w:r>
    </w:p>
    <w:p>
      <w:pPr>
        <w:pStyle w:val="BodyText"/>
      </w:pPr>
      <w:r>
        <w:rPr>
          <w:b/>
          <w:bCs/>
        </w:rPr>
        <w:t xml:space="preserve">Recommendation.</w:t>
      </w:r>
      <w:r>
        <w:t xml:space="preserve"> </w:t>
      </w:r>
      <w:r>
        <w:t xml:space="preserve">Company Counsel must immediately confirm the correct legal name of the lender from the Credit Agreement and related loan documents. If the lender is Ridgemont, the S-1 must be corrected and the UA’s credit-facility references conformed before execution. The Comfort Letter (which states the facility is with</w:t>
      </w:r>
      <w:r>
        <w:t xml:space="preserve"> </w:t>
      </w:r>
      <w:r>
        <w:t xml:space="preserve">“</w:t>
      </w:r>
      <w:r>
        <w:t xml:space="preserve">Oakvale</w:t>
      </w:r>
      <w:r>
        <w:t xml:space="preserve">”</w:t>
      </w:r>
      <w:r>
        <w:t xml:space="preserve">) must also be conformed.</w:t>
      </w:r>
    </w:p>
    <w:p>
      <w:pPr>
        <w:pStyle w:val="BodyText"/>
      </w:pPr>
      <w:r>
        <w:rPr>
          <w:b/>
          <w:bCs/>
        </w:rPr>
        <w:t xml:space="preserve">Severity.</w:t>
      </w:r>
      <w:r>
        <w:t xml:space="preserve"> </w:t>
      </w:r>
      <w:r>
        <w:t xml:space="preserve">Critical.</w:t>
      </w:r>
    </w:p>
    <w:bookmarkEnd w:id="21"/>
    <w:bookmarkStart w:id="22" w:name="X47e55240a9393be5442464330563b52d2b116b4"/>
    <w:p>
      <w:pPr>
        <w:pStyle w:val="Heading3"/>
      </w:pPr>
      <w:r>
        <w:t xml:space="preserve">Issue 2 — Credit Agreement Date, Maturity, Interest Rate, and Change-of-Control Threshold: S-1 vs. Credit Summary</w:t>
      </w:r>
    </w:p>
    <w:p>
      <w:pPr>
        <w:pStyle w:val="FirstParagraph"/>
      </w:pPr>
      <w:r>
        <w:rPr>
          <w:b/>
          <w:bCs/>
        </w:rPr>
        <w:t xml:space="preserve">Identification.</w:t>
      </w:r>
      <w:r>
        <w:t xml:space="preserve"> </w:t>
      </w:r>
      <w:r>
        <w:t xml:space="preserve">The S-1 and the Credit Summary disagree on multiple fundamental terms of the credit facility: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S-1 (§IX.A / §III.C)</w:t>
            </w:r>
          </w:p>
        </w:tc>
        <w:tc>
          <w:tcPr/>
          <w:p>
            <w:pPr>
              <w:pStyle w:val="Compact"/>
              <w:jc w:val="left"/>
            </w:pPr>
            <w:r>
              <w:t xml:space="preserve">Credit Summary</w:t>
            </w:r>
          </w:p>
        </w:tc>
      </w:tr>
      <w:tr>
        <w:tc>
          <w:tcPr/>
          <w:p>
            <w:pPr>
              <w:pStyle w:val="Compact"/>
              <w:jc w:val="left"/>
            </w:pPr>
            <w:r>
              <w:t xml:space="preserve">Agreement date</w:t>
            </w:r>
          </w:p>
        </w:tc>
        <w:tc>
          <w:tcPr/>
          <w:p>
            <w:pPr>
              <w:pStyle w:val="Compact"/>
              <w:jc w:val="left"/>
            </w:pPr>
            <w:r>
              <w:t xml:space="preserve">July 15, 2022</w:t>
            </w:r>
          </w:p>
        </w:tc>
        <w:tc>
          <w:tcPr/>
          <w:p>
            <w:pPr>
              <w:pStyle w:val="Compact"/>
              <w:jc w:val="left"/>
            </w:pPr>
            <w:r>
              <w:t xml:space="preserve">June 15, 2023 (as amended Feb. 28, 2024) (§1)</w:t>
            </w:r>
          </w:p>
        </w:tc>
      </w:tr>
      <w:tr>
        <w:tc>
          <w:tcPr/>
          <w:p>
            <w:pPr>
              <w:pStyle w:val="Compact"/>
              <w:jc w:val="left"/>
            </w:pPr>
            <w:r>
              <w:t xml:space="preserve">Maturity date</w:t>
            </w:r>
          </w:p>
        </w:tc>
        <w:tc>
          <w:tcPr/>
          <w:p>
            <w:pPr>
              <w:pStyle w:val="Compact"/>
              <w:jc w:val="left"/>
            </w:pPr>
            <w:r>
              <w:t xml:space="preserve">December 31, 2026</w:t>
            </w:r>
          </w:p>
        </w:tc>
        <w:tc>
          <w:tcPr/>
          <w:p>
            <w:pPr>
              <w:pStyle w:val="Compact"/>
              <w:jc w:val="left"/>
            </w:pPr>
            <w:r>
              <w:t xml:space="preserve">June 15, 2027 (§3)</w:t>
            </w:r>
          </w:p>
        </w:tc>
      </w:tr>
      <w:tr>
        <w:tc>
          <w:tcPr/>
          <w:p>
            <w:pPr>
              <w:pStyle w:val="Compact"/>
              <w:jc w:val="left"/>
            </w:pPr>
            <w:r>
              <w:t xml:space="preserve">Interest rate</w:t>
            </w:r>
          </w:p>
        </w:tc>
        <w:tc>
          <w:tcPr/>
          <w:p>
            <w:pPr>
              <w:pStyle w:val="Compact"/>
              <w:jc w:val="left"/>
            </w:pPr>
            <w:r>
              <w:t xml:space="preserve">SOFR + 2.50%</w:t>
            </w:r>
          </w:p>
        </w:tc>
        <w:tc>
          <w:tcPr/>
          <w:p>
            <w:pPr>
              <w:pStyle w:val="Compact"/>
              <w:jc w:val="left"/>
            </w:pPr>
            <w:r>
              <w:t xml:space="preserve">SOFR + 2.25% (current; grid 2.25/2.75/3.25%) (§4)</w:t>
            </w:r>
          </w:p>
        </w:tc>
      </w:tr>
      <w:tr>
        <w:tc>
          <w:tcPr/>
          <w:p>
            <w:pPr>
              <w:pStyle w:val="Compact"/>
              <w:jc w:val="left"/>
            </w:pPr>
            <w:r>
              <w:t xml:space="preserve">Change-of-control threshold</w:t>
            </w:r>
          </w:p>
        </w:tc>
        <w:tc>
          <w:tcPr/>
          <w:p>
            <w:pPr>
              <w:pStyle w:val="Compact"/>
              <w:jc w:val="left"/>
            </w:pPr>
            <w:r>
              <w:t xml:space="preserve">acquisition of</w:t>
            </w:r>
            <w:r>
              <w:t xml:space="preserve"> </w:t>
            </w:r>
            <w:r>
              <w:t xml:space="preserve">“</w:t>
            </w:r>
            <w:r>
              <w:t xml:space="preserve">more than 50%</w:t>
            </w:r>
            <w:r>
              <w:t xml:space="preserve">”</w:t>
            </w:r>
            <w:r>
              <w:t xml:space="preserve"> </w:t>
            </w:r>
            <w:r>
              <w:t xml:space="preserve">of voting stock</w:t>
            </w:r>
          </w:p>
        </w:tc>
        <w:tc>
          <w:tcPr/>
          <w:p>
            <w:pPr>
              <w:pStyle w:val="Compact"/>
              <w:jc w:val="left"/>
            </w:pPr>
            <w:r>
              <w:t xml:space="preserve">acquisition of</w:t>
            </w:r>
            <w:r>
              <w:t xml:space="preserve"> </w:t>
            </w:r>
            <w:r>
              <w:t xml:space="preserve">“</w:t>
            </w:r>
            <w:r>
              <w:t xml:space="preserve">more than 35%</w:t>
            </w:r>
            <w:r>
              <w:t xml:space="preserve">”</w:t>
            </w:r>
            <w:r>
              <w:t xml:space="preserve"> </w:t>
            </w:r>
            <w:r>
              <w:t xml:space="preserve">of voting equity (plus board/Continuing-Director and subsidiary tests) (§9)</w:t>
            </w:r>
          </w:p>
        </w:tc>
      </w:tr>
    </w:tbl>
    <w:p>
      <w:pPr>
        <w:pStyle w:val="BodyText"/>
      </w:pPr>
      <w:r>
        <w:rPr>
          <w:b/>
          <w:bCs/>
        </w:rPr>
        <w:t xml:space="preserve">Why it matters.</w:t>
      </w:r>
      <w:r>
        <w:t xml:space="preserve"> </w:t>
      </w:r>
      <w:r>
        <w:t xml:space="preserve">Each of these is a material term of a material contract. The 35% change-of-control threshold (per the Credit Summary) is materially lower than the 50% threshold disclosed in the S-1 and changes the change-of-control analysis: post-IPO, Dr. Krishnamurthy will hold 15.8% and Cascade 8.4%, so neither crosses 35%, but the S-1’s disclosure of a 50% threshold is inaccurate if the Credit Summary is correct. The maturity and rate discrepancies affect the S-1’s</w:t>
      </w:r>
      <w:r>
        <w:t xml:space="preserve"> </w:t>
      </w:r>
      <w:r>
        <w:t xml:space="preserve">“</w:t>
      </w:r>
      <w:r>
        <w:t xml:space="preserve">Indebtedness</w:t>
      </w:r>
      <w:r>
        <w:t xml:space="preserve">”</w:t>
      </w:r>
      <w:r>
        <w:t xml:space="preserve"> </w:t>
      </w:r>
      <w:r>
        <w:t xml:space="preserve">risk factor and the Capitalization table. The UA’s material-contracts representation (UA §5.14) and the S-1 must be reconciled.</w:t>
      </w:r>
    </w:p>
    <w:p>
      <w:pPr>
        <w:pStyle w:val="BodyText"/>
      </w:pPr>
      <w:r>
        <w:rPr>
          <w:b/>
          <w:bCs/>
        </w:rPr>
        <w:t xml:space="preserve">Recommendation.</w:t>
      </w:r>
      <w:r>
        <w:t xml:space="preserve"> </w:t>
      </w:r>
      <w:r>
        <w:t xml:space="preserve">Company Counsel to confirm the actual terms from the Credit Agreement and any amendments. Reconcile the S-1 disclosure (Risk Factors, Material Contracts, Capitalization) to the actual terms. If the S-1 is wrong, correct it before the UA is executed. Conform the UA §5.14 representation.</w:t>
      </w:r>
    </w:p>
    <w:p>
      <w:pPr>
        <w:pStyle w:val="BodyText"/>
      </w:pPr>
      <w:r>
        <w:rPr>
          <w:b/>
          <w:bCs/>
        </w:rPr>
        <w:t xml:space="preserve">Severity.</w:t>
      </w:r>
      <w:r>
        <w:t xml:space="preserve"> </w:t>
      </w:r>
      <w:r>
        <w:t xml:space="preserve">Critical (agreement date, change-of-control threshold); Material (maturity, interest rate).</w:t>
      </w:r>
    </w:p>
    <w:bookmarkEnd w:id="22"/>
    <w:bookmarkStart w:id="23" w:name="X0d54c7cc501f7fa7923b59ff1d758bf993e50e7"/>
    <w:p>
      <w:pPr>
        <w:pStyle w:val="Heading3"/>
      </w:pPr>
      <w:r>
        <w:t xml:space="preserve">Issue 3 — Mandatory Prepayment of the Credit Facility: S-1</w:t>
      </w:r>
      <w:r>
        <w:t xml:space="preserve"> </w:t>
      </w:r>
      <w:r>
        <w:t xml:space="preserve">“</w:t>
      </w:r>
      <w:r>
        <w:t xml:space="preserve">Use of Proceeds</w:t>
      </w:r>
      <w:r>
        <w:t xml:space="preserve">”</w:t>
      </w:r>
      <w:r>
        <w:t xml:space="preserve"> </w:t>
      </w:r>
      <w:r>
        <w:t xml:space="preserve">($10M) vs. Credit Agreement (~$15.24M)</w:t>
      </w:r>
    </w:p>
    <w:p>
      <w:pPr>
        <w:pStyle w:val="FirstParagraph"/>
      </w:pPr>
      <w:r>
        <w:rPr>
          <w:b/>
          <w:bCs/>
        </w:rPr>
        <w:t xml:space="preserve">Identification.</w:t>
      </w:r>
      <w:r>
        <w:t xml:space="preserve"> </w:t>
      </w:r>
      <w:r>
        <w:t xml:space="preserve">The S-1</w:t>
      </w:r>
      <w:r>
        <w:t xml:space="preserve"> </w:t>
      </w:r>
      <w:r>
        <w:t xml:space="preserve">“</w:t>
      </w:r>
      <w:r>
        <w:t xml:space="preserve">Use of Proceeds</w:t>
      </w:r>
      <w:r>
        <w:t xml:space="preserve">”</w:t>
      </w:r>
      <w:r>
        <w:t xml:space="preserve"> </w:t>
      </w:r>
      <w:r>
        <w:t xml:space="preserve">(§IV) and the Capitalization table disclose that the Company intends to use</w:t>
      </w:r>
      <w:r>
        <w:t xml:space="preserve"> </w:t>
      </w:r>
      <w:r>
        <w:t xml:space="preserve">“</w:t>
      </w:r>
      <w:r>
        <w:t xml:space="preserve">approximately $10 million</w:t>
      </w:r>
      <w:r>
        <w:t xml:space="preserve">”</w:t>
      </w:r>
      <w:r>
        <w:t xml:space="preserve"> </w:t>
      </w:r>
      <w:r>
        <w:t xml:space="preserve">to repay indebtedness under the revolving credit facility (facility balance $22.5M → $12.5M pro forma). However, the S-1’s own Risk Factors (§III.C) state the mandatory prepayment will be</w:t>
      </w:r>
      <w:r>
        <w:t xml:space="preserve"> </w:t>
      </w:r>
      <w:r>
        <w:t xml:space="preserve">“</w:t>
      </w:r>
      <w:r>
        <w:t xml:space="preserve">approximately $15.2 million,</w:t>
      </w:r>
      <w:r>
        <w:t xml:space="preserve">”</w:t>
      </w:r>
      <w:r>
        <w:t xml:space="preserve"> </w:t>
      </w:r>
      <w:r>
        <w:t xml:space="preserve">and the Credit Summary (§6) calculates the mandatory prepayment under Section 2.05(b)(i) of the Credit Agreement at</w:t>
      </w:r>
      <w:r>
        <w:t xml:space="preserve"> </w:t>
      </w:r>
      <w:r>
        <w:rPr>
          <w:b/>
          <w:bCs/>
        </w:rPr>
        <w:t xml:space="preserve">$15,240,000</w:t>
      </w:r>
      <w:r>
        <w:t xml:space="preserve"> </w:t>
      </w:r>
      <w:r>
        <w:t xml:space="preserve">(or $13,640,000 if offering expenses are deductible from</w:t>
      </w:r>
      <w:r>
        <w:t xml:space="preserve"> </w:t>
      </w:r>
      <w:r>
        <w:t xml:space="preserve">“</w:t>
      </w:r>
      <w:r>
        <w:t xml:space="preserve">Net Equity Proceeds</w:t>
      </w:r>
      <w:r>
        <w:t xml:space="preserve">”</w:t>
      </w:r>
      <w:r>
        <w:t xml:space="preserve">) — i.e., 50% of net equity proceeds in excess of $150,000,000. The Credit Summary expressly flags that the Use of Proceeds disclosure</w:t>
      </w:r>
      <w:r>
        <w:t xml:space="preserve"> </w:t>
      </w:r>
      <w:r>
        <w:t xml:space="preserve">“</w:t>
      </w:r>
      <w:r>
        <w:t xml:space="preserve">understates the mandatory prepayment obligation by $3,640,000 to $5,240,000.</w:t>
      </w:r>
      <w:r>
        <w:t xml:space="preserve">”</w:t>
      </w:r>
    </w:p>
    <w:p>
      <w:pPr>
        <w:pStyle w:val="BodyText"/>
      </w:pPr>
      <w:r>
        <w:rPr>
          <w:b/>
          <w:bCs/>
        </w:rPr>
        <w:t xml:space="preserve">Why it matters.</w:t>
      </w:r>
      <w:r>
        <w:t xml:space="preserve"> </w:t>
      </w:r>
      <w:r>
        <w:t xml:space="preserve">This is an internal inconsistency within the S-1 (Risk Factor $15.2M vs. Use of Proceeds $10M) and a discrepancy with the Credit Agreement. The Use of Proceeds and Capitalization table appear to understate the mandatory prepayment, which could constitute a material misstatement. The UA’s use-of-proceeds representation (UA §5.20) and material-contracts representation (UA §5.14) must reflect the actual mandatory prepayment. The Comfort Letter’s capitalization</w:t>
      </w:r>
      <w:r>
        <w:t xml:space="preserve"> </w:t>
      </w:r>
      <w:r>
        <w:t xml:space="preserve">“</w:t>
      </w:r>
      <w:r>
        <w:t xml:space="preserve">as adjusted</w:t>
      </w:r>
      <w:r>
        <w:t xml:space="preserve">”</w:t>
      </w:r>
      <w:r>
        <w:t xml:space="preserve"> </w:t>
      </w:r>
      <w:r>
        <w:t xml:space="preserve">figures (which assume a $10M repayment) would also be affected.</w:t>
      </w:r>
    </w:p>
    <w:p>
      <w:pPr>
        <w:pStyle w:val="BodyText"/>
      </w:pPr>
      <w:r>
        <w:rPr>
          <w:b/>
          <w:bCs/>
        </w:rPr>
        <w:t xml:space="preserve">Recommendation.</w:t>
      </w:r>
      <w:r>
        <w:t xml:space="preserve"> </w:t>
      </w:r>
      <w:r>
        <w:t xml:space="preserve">(a) Company Counsel to confirm the correct interpretation of</w:t>
      </w:r>
      <w:r>
        <w:t xml:space="preserve"> </w:t>
      </w:r>
      <w:r>
        <w:t xml:space="preserve">“</w:t>
      </w:r>
      <w:r>
        <w:t xml:space="preserve">Net Equity Proceeds</w:t>
      </w:r>
      <w:r>
        <w:t xml:space="preserve">”</w:t>
      </w:r>
      <w:r>
        <w:t xml:space="preserve"> </w:t>
      </w:r>
      <w:r>
        <w:t xml:space="preserve">and whether offering expenses are deductible, and the resulting mandatory prepayment amount. (b) Revise the S-1</w:t>
      </w:r>
      <w:r>
        <w:t xml:space="preserve"> </w:t>
      </w:r>
      <w:r>
        <w:t xml:space="preserve">“</w:t>
      </w:r>
      <w:r>
        <w:t xml:space="preserve">Use of Proceeds</w:t>
      </w:r>
      <w:r>
        <w:t xml:space="preserve">”</w:t>
      </w:r>
      <w:r>
        <w:t xml:space="preserve"> </w:t>
      </w:r>
      <w:r>
        <w:t xml:space="preserve">and Capitalization table to reflect the actual mandatory prepayment (likely ~$15.2M, leaving a ~$7.3M balance). (c) Update the UA §5.20 representation and the Comfort Letter’s pro forma capitalization figures accordingly. (d) Confirm the 5-business-day prepayment timing under the Credit Agreement is satisfied at closing.</w:t>
      </w:r>
    </w:p>
    <w:p>
      <w:pPr>
        <w:pStyle w:val="BodyText"/>
      </w:pPr>
      <w:r>
        <w:rPr>
          <w:b/>
          <w:bCs/>
        </w:rPr>
        <w:t xml:space="preserve">Severity.</w:t>
      </w:r>
      <w:r>
        <w:t xml:space="preserve"> </w:t>
      </w:r>
      <w:r>
        <w:t xml:space="preserve">Critical.</w:t>
      </w:r>
    </w:p>
    <w:bookmarkEnd w:id="23"/>
    <w:bookmarkStart w:id="24" w:name="Xb7fa1a303813adfa90cc9e2766e63f91717720a"/>
    <w:p>
      <w:pPr>
        <w:pStyle w:val="Heading3"/>
      </w:pPr>
      <w:r>
        <w:t xml:space="preserve">Issue 4 — Comfort Letter Financial Figures Do Not Agree with the S-1 Capitalization and Dilution Tables</w:t>
      </w:r>
    </w:p>
    <w:p>
      <w:pPr>
        <w:pStyle w:val="FirstParagraph"/>
      </w:pPr>
      <w:r>
        <w:rPr>
          <w:b/>
          <w:bCs/>
        </w:rPr>
        <w:t xml:space="preserve">Identification.</w:t>
      </w:r>
      <w:r>
        <w:t xml:space="preserve"> </w:t>
      </w:r>
      <w:r>
        <w:t xml:space="preserve">The draft Comfort Letter represents that certain S-1 figures</w:t>
      </w:r>
      <w:r>
        <w:t xml:space="preserve"> </w:t>
      </w:r>
      <w:r>
        <w:t xml:space="preserve">“</w:t>
      </w:r>
      <w:r>
        <w:t xml:space="preserve">agree with the audited consolidated balance sheet,</w:t>
      </w:r>
      <w:r>
        <w:t xml:space="preserve">”</w:t>
      </w:r>
      <w:r>
        <w:t xml:space="preserve"> </w:t>
      </w:r>
      <w:r>
        <w:t xml:space="preserve">but those figures do not match the S-1 Capitalization table or Dilution section as provided: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S-1 (Capitalization / Dilution)</w:t>
            </w:r>
          </w:p>
        </w:tc>
        <w:tc>
          <w:tcPr/>
          <w:p>
            <w:pPr>
              <w:pStyle w:val="Compact"/>
              <w:jc w:val="left"/>
            </w:pPr>
            <w:r>
              <w:t xml:space="preserve">Comfort Letter (§V.A; App. A)</w:t>
            </w:r>
          </w:p>
        </w:tc>
      </w:tr>
      <w:tr>
        <w:tc>
          <w:tcPr/>
          <w:p>
            <w:pPr>
              <w:pStyle w:val="Compact"/>
              <w:jc w:val="left"/>
            </w:pPr>
            <w:r>
              <w:t xml:space="preserve">Total stockholders’ equity (actual)</w:t>
            </w:r>
          </w:p>
        </w:tc>
        <w:tc>
          <w:tcPr/>
          <w:p>
            <w:pPr>
              <w:pStyle w:val="Compact"/>
              <w:jc w:val="left"/>
            </w:pPr>
            <w:r>
              <w:t xml:space="preserve">$101,400,000 (Cap. table)</w:t>
            </w:r>
          </w:p>
        </w:tc>
        <w:tc>
          <w:tcPr/>
          <w:p>
            <w:pPr>
              <w:pStyle w:val="Compact"/>
              <w:jc w:val="left"/>
            </w:pPr>
            <w:r>
              <w:t xml:space="preserve">$198,400,000 (</w:t>
            </w:r>
            <w:r>
              <w:t xml:space="preserve">“</w:t>
            </w:r>
            <w:r>
              <w:t xml:space="preserve">agrees with audited balance sheet</w:t>
            </w:r>
            <w:r>
              <w:t xml:space="preserve">”</w:t>
            </w:r>
            <w:r>
              <w:t xml:space="preserve">)</w:t>
            </w:r>
          </w:p>
        </w:tc>
      </w:tr>
      <w:tr>
        <w:tc>
          <w:tcPr/>
          <w:p>
            <w:pPr>
              <w:pStyle w:val="Compact"/>
              <w:jc w:val="left"/>
            </w:pPr>
            <w:r>
              <w:t xml:space="preserve">Cash and cash equivalents (actual)</w:t>
            </w:r>
          </w:p>
        </w:tc>
        <w:tc>
          <w:tcPr/>
          <w:p>
            <w:pPr>
              <w:pStyle w:val="Compact"/>
              <w:jc w:val="left"/>
            </w:pPr>
            <w:r>
              <w:t xml:space="preserve">$38,400,000 (Cap. table)</w:t>
            </w:r>
          </w:p>
        </w:tc>
        <w:tc>
          <w:tcPr/>
          <w:p>
            <w:pPr>
              <w:pStyle w:val="Compact"/>
              <w:jc w:val="left"/>
            </w:pPr>
            <w:r>
              <w:t xml:space="preserve">$47,300,000 (Prospectus Summary p. 9;</w:t>
            </w:r>
            <w:r>
              <w:t xml:space="preserve"> </w:t>
            </w:r>
            <w:r>
              <w:t xml:space="preserve">“</w:t>
            </w:r>
            <w:r>
              <w:t xml:space="preserve">agrees</w:t>
            </w:r>
            <w:r>
              <w:t xml:space="preserve">”</w:t>
            </w:r>
            <w:r>
              <w:t xml:space="preserve">)</w:t>
            </w:r>
          </w:p>
        </w:tc>
      </w:tr>
      <w:tr>
        <w:tc>
          <w:tcPr/>
          <w:p>
            <w:pPr>
              <w:pStyle w:val="Compact"/>
              <w:jc w:val="left"/>
            </w:pPr>
            <w:r>
              <w:t xml:space="preserve">Net tangible book value per share (actual)</w:t>
            </w:r>
          </w:p>
        </w:tc>
        <w:tc>
          <w:tcPr/>
          <w:p>
            <w:pPr>
              <w:pStyle w:val="Compact"/>
              <w:jc w:val="left"/>
            </w:pPr>
            <w:r>
              <w:t xml:space="preserve">$2.17 (Dilution)</w:t>
            </w:r>
          </w:p>
        </w:tc>
        <w:tc>
          <w:tcPr/>
          <w:p>
            <w:pPr>
              <w:pStyle w:val="Compact"/>
              <w:jc w:val="left"/>
            </w:pPr>
            <w:r>
              <w:t xml:space="preserve">$4.72 (App. A Table 3)</w:t>
            </w:r>
          </w:p>
        </w:tc>
      </w:tr>
      <w:tr>
        <w:tc>
          <w:tcPr/>
          <w:p>
            <w:pPr>
              <w:pStyle w:val="Compact"/>
              <w:jc w:val="left"/>
            </w:pPr>
            <w:r>
              <w:t xml:space="preserve">Increase in NTBV/share (offering)</w:t>
            </w:r>
          </w:p>
        </w:tc>
        <w:tc>
          <w:tcPr/>
          <w:p>
            <w:pPr>
              <w:pStyle w:val="Compact"/>
              <w:jc w:val="left"/>
            </w:pPr>
            <w:r>
              <w:t xml:space="preserve">$3.20 (Dilution)</w:t>
            </w:r>
          </w:p>
        </w:tc>
        <w:tc>
          <w:tcPr/>
          <w:p>
            <w:pPr>
              <w:pStyle w:val="Compact"/>
              <w:jc w:val="left"/>
            </w:pPr>
            <w:r>
              <w:t xml:space="preserve">$2.61 (App. A Table 3)</w:t>
            </w:r>
          </w:p>
        </w:tc>
      </w:tr>
      <w:tr>
        <w:tc>
          <w:tcPr/>
          <w:p>
            <w:pPr>
              <w:pStyle w:val="Compact"/>
              <w:jc w:val="left"/>
            </w:pPr>
            <w:r>
              <w:t xml:space="preserve">Pro forma NTBV/share</w:t>
            </w:r>
          </w:p>
        </w:tc>
        <w:tc>
          <w:tcPr/>
          <w:p>
            <w:pPr>
              <w:pStyle w:val="Compact"/>
              <w:jc w:val="left"/>
            </w:pPr>
            <w:r>
              <w:t xml:space="preserve">$5.37 (Dilution)</w:t>
            </w:r>
          </w:p>
        </w:tc>
        <w:tc>
          <w:tcPr/>
          <w:p>
            <w:pPr>
              <w:pStyle w:val="Compact"/>
              <w:jc w:val="left"/>
            </w:pPr>
            <w:r>
              <w:t xml:space="preserve">~$7.33 (implied: $4.72 + $2.61)</w:t>
            </w:r>
          </w:p>
        </w:tc>
      </w:tr>
    </w:tbl>
    <w:p>
      <w:pPr>
        <w:pStyle w:val="BodyText"/>
      </w:pPr>
      <w:r>
        <w:t xml:space="preserve">The Comfort Letter’s Appendix A Table 2 further states that the Capitalization table (p. 42) shows total stockholders’ equity of $198,400,000 and</w:t>
      </w:r>
      <w:r>
        <w:t xml:space="preserve"> </w:t>
      </w:r>
      <w:r>
        <w:t xml:space="preserve">“</w:t>
      </w:r>
      <w:r>
        <w:t xml:space="preserve">Agrees,</w:t>
      </w:r>
      <w:r>
        <w:t xml:space="preserve">”</w:t>
      </w:r>
      <w:r>
        <w:t xml:space="preserve"> </w:t>
      </w:r>
      <w:r>
        <w:t xml:space="preserve">but the S-1 Capitalization table actually shows $101,400,000. The Comfort Letter’s figures are internally consistent with each other (e.g., $4.72 × 42M shares ≈ $198.2M, matching its $198.4M equity figure), while the S-1’s figures are internally consistent with each other (e.g., $2.17 × 42M ≈ $91.2M, matching the S-1’s stated $91.2M historical NTBV; pro forma cash $205.7M = $38.4M + $177.3M net proceeds − $10M repayment).</w:t>
      </w:r>
    </w:p>
    <w:p>
      <w:pPr>
        <w:pStyle w:val="BodyText"/>
      </w:pPr>
      <w:r>
        <w:rPr>
          <w:b/>
          <w:bCs/>
        </w:rPr>
        <w:t xml:space="preserve">Why it matters.</w:t>
      </w:r>
      <w:r>
        <w:t xml:space="preserve"> </w:t>
      </w:r>
      <w:r>
        <w:t xml:space="preserve">The Comfort Letter is a closing condition (UA §7.4, §8.3). If the audited balance sheet shows $198.4M equity and $47.3M cash (as the auditor represents), then the S-1 Capitalization table ($101.4M equity, $38.4M cash) and Dilution section ($2.17/share) do</w:t>
      </w:r>
      <w:r>
        <w:t xml:space="preserve"> </w:t>
      </w:r>
      <w:r>
        <w:rPr>
          <w:b/>
          <w:bCs/>
        </w:rPr>
        <w:t xml:space="preserve">not</w:t>
      </w:r>
      <w:r>
        <w:t xml:space="preserve"> </w:t>
      </w:r>
      <w:r>
        <w:t xml:space="preserve">agree with the audited financial statements — a potential material misstatement in the S-1. Conversely, if the S-1 figures are correct, the draft Comfort Letter contains incorrect figures. The Comfort Letter cannot be delivered in its current form until the S-1 figures are reconciled to the audited financials. This also implicates the Prospectus Summary (p. 9), which the Comfort Letter says shows $47.3M cash — inconsistent with the Capitalization table’s $38.4M.</w:t>
      </w:r>
    </w:p>
    <w:p>
      <w:pPr>
        <w:pStyle w:val="BodyText"/>
      </w:pPr>
      <w:r>
        <w:rPr>
          <w:b/>
          <w:bCs/>
        </w:rPr>
        <w:t xml:space="preserve">Recommendation.</w:t>
      </w:r>
      <w:r>
        <w:t xml:space="preserve"> </w:t>
      </w:r>
      <w:r>
        <w:t xml:space="preserve">(a) Company Counsel and Whitman Reese &amp; Co. to reconcile the S-1 Capitalization table, Dilution section, and Prospectus Summary financial data to the audited consolidated balance sheet. (b) Determine which set of figures is correct and correct the other. (c) If the S-1 is wrong, file a corrected prospectus supplement/post-effective amendment and update the Comfort Letter circle-up items. (d) Do not deliver the Comfort Letter or close until the figures tie. (e) Confirm the pro forma</w:t>
      </w:r>
      <w:r>
        <w:t xml:space="preserve"> </w:t>
      </w:r>
      <w:r>
        <w:t xml:space="preserve">“</w:t>
      </w:r>
      <w:r>
        <w:t xml:space="preserve">as adjusted</w:t>
      </w:r>
      <w:r>
        <w:t xml:space="preserve">”</w:t>
      </w:r>
      <w:r>
        <w:t xml:space="preserve"> </w:t>
      </w:r>
      <w:r>
        <w:t xml:space="preserve">Capitalization column (which assumes $10M debt repayment — see Issue 3) is also corrected.</w:t>
      </w:r>
    </w:p>
    <w:p>
      <w:pPr>
        <w:pStyle w:val="BodyText"/>
      </w:pPr>
      <w:r>
        <w:rPr>
          <w:b/>
          <w:bCs/>
        </w:rPr>
        <w:t xml:space="preserve">Severity.</w:t>
      </w:r>
      <w:r>
        <w:t xml:space="preserve"> </w:t>
      </w:r>
      <w:r>
        <w:t xml:space="preserve">Critical.</w:t>
      </w:r>
    </w:p>
    <w:bookmarkEnd w:id="24"/>
    <w:bookmarkStart w:id="25" w:name="Xd740f790ad2ef926bdfa8c56f700896488e45c7"/>
    <w:p>
      <w:pPr>
        <w:pStyle w:val="Heading3"/>
      </w:pPr>
      <w:r>
        <w:t xml:space="preserve">Issue 5 — Cascade Selling Stockholder: Entity Name, General Partner, and Control Persons Inconsistent Across Documents</w:t>
      </w:r>
    </w:p>
    <w:p>
      <w:pPr>
        <w:pStyle w:val="FirstParagraph"/>
      </w:pPr>
      <w:r>
        <w:rPr>
          <w:b/>
          <w:bCs/>
        </w:rPr>
        <w:t xml:space="preserve">Identification.</w:t>
      </w:r>
      <w:r>
        <w:t xml:space="preserve"> </w:t>
      </w:r>
      <w:r>
        <w:t xml:space="preserve">The Cascade selling stockholder is described inconsistently across the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S-1 (footnote 1)</w:t>
            </w:r>
          </w:p>
        </w:tc>
        <w:tc>
          <w:tcPr/>
          <w:p>
            <w:pPr>
              <w:pStyle w:val="Compact"/>
              <w:jc w:val="left"/>
            </w:pPr>
            <w:r>
              <w:t xml:space="preserve">POA (signature page)</w:t>
            </w:r>
          </w:p>
        </w:tc>
        <w:tc>
          <w:tcPr/>
          <w:p>
            <w:pPr>
              <w:pStyle w:val="Compact"/>
              <w:jc w:val="left"/>
            </w:pPr>
            <w:r>
              <w:t xml:space="preserve">Questionnaire (§1)</w:t>
            </w:r>
          </w:p>
        </w:tc>
      </w:tr>
      <w:tr>
        <w:tc>
          <w:tcPr/>
          <w:p>
            <w:pPr>
              <w:pStyle w:val="Compact"/>
              <w:jc w:val="left"/>
            </w:pPr>
            <w:r>
              <w:t xml:space="preserve">Entity name</w:t>
            </w:r>
          </w:p>
        </w:tc>
        <w:tc>
          <w:tcPr/>
          <w:p>
            <w:pPr>
              <w:pStyle w:val="Compact"/>
              <w:jc w:val="left"/>
            </w:pPr>
            <w:r>
              <w:t xml:space="preserve">Cascade Kestridge Ventures, LP</w:t>
            </w:r>
          </w:p>
        </w:tc>
        <w:tc>
          <w:tcPr/>
          <w:p>
            <w:pPr>
              <w:pStyle w:val="Compact"/>
              <w:jc w:val="left"/>
            </w:pPr>
            <w:r>
              <w:rPr>
                <w:b/>
                <w:bCs/>
              </w:rPr>
              <w:t xml:space="preserve">Cascade Ridge Ventures, LP</w:t>
            </w:r>
          </w:p>
        </w:tc>
        <w:tc>
          <w:tcPr/>
          <w:p>
            <w:pPr>
              <w:pStyle w:val="Compact"/>
              <w:jc w:val="left"/>
            </w:pPr>
            <w:r>
              <w:t xml:space="preserve">Cascade Kestridge Ventures, LP</w:t>
            </w:r>
          </w:p>
        </w:tc>
      </w:tr>
      <w:tr>
        <w:tc>
          <w:tcPr/>
          <w:p>
            <w:pPr>
              <w:pStyle w:val="Compact"/>
              <w:jc w:val="left"/>
            </w:pPr>
            <w:r>
              <w:t xml:space="preserve">General partner</w:t>
            </w:r>
          </w:p>
        </w:tc>
        <w:tc>
          <w:tcPr/>
          <w:p>
            <w:pPr>
              <w:pStyle w:val="Compact"/>
              <w:jc w:val="left"/>
            </w:pPr>
            <w:r>
              <w:t xml:space="preserve">Cascade Ridge Capital Management LLC</w:t>
            </w:r>
          </w:p>
        </w:tc>
        <w:tc>
          <w:tcPr/>
          <w:p>
            <w:pPr>
              <w:pStyle w:val="Compact"/>
              <w:jc w:val="left"/>
            </w:pPr>
            <w:r>
              <w:t xml:space="preserve">Cascade Ridge Capital Management, LLC</w:t>
            </w:r>
          </w:p>
        </w:tc>
        <w:tc>
          <w:tcPr/>
          <w:p>
            <w:pPr>
              <w:pStyle w:val="Compact"/>
              <w:jc w:val="left"/>
            </w:pPr>
            <w:r>
              <w:rPr>
                <w:b/>
                <w:bCs/>
              </w:rPr>
              <w:t xml:space="preserve">Cascade Kestridge Ventures Management, LLC</w:t>
            </w:r>
          </w:p>
        </w:tc>
      </w:tr>
      <w:tr>
        <w:tc>
          <w:tcPr/>
          <w:p>
            <w:pPr>
              <w:pStyle w:val="Compact"/>
              <w:jc w:val="left"/>
            </w:pPr>
            <w:r>
              <w:t xml:space="preserve">Natural person(s) with voting/investment control</w:t>
            </w:r>
          </w:p>
        </w:tc>
        <w:tc>
          <w:tcPr/>
          <w:p>
            <w:pPr>
              <w:pStyle w:val="Compact"/>
              <w:jc w:val="left"/>
            </w:pPr>
            <w:r>
              <w:rPr>
                <w:b/>
                <w:bCs/>
              </w:rPr>
              <w:t xml:space="preserve">James Whitfield</w:t>
            </w:r>
            <w:r>
              <w:t xml:space="preserve"> </w:t>
            </w:r>
            <w:r>
              <w:t xml:space="preserve">(managing member of GP)</w:t>
            </w:r>
          </w:p>
        </w:tc>
        <w:tc>
          <w:tcPr/>
          <w:p>
            <w:pPr>
              <w:pStyle w:val="Compact"/>
              <w:jc w:val="left"/>
            </w:pPr>
            <w:r>
              <w:rPr>
                <w:b/>
                <w:bCs/>
              </w:rPr>
              <w:t xml:space="preserve">Margaret T. Okonkwo</w:t>
            </w:r>
            <w:r>
              <w:t xml:space="preserve"> </w:t>
            </w:r>
            <w:r>
              <w:t xml:space="preserve">(managing member)</w:t>
            </w:r>
          </w:p>
        </w:tc>
        <w:tc>
          <w:tcPr/>
          <w:p>
            <w:pPr>
              <w:pStyle w:val="Compact"/>
              <w:jc w:val="left"/>
            </w:pPr>
            <w:r>
              <w:rPr>
                <w:b/>
                <w:bCs/>
              </w:rPr>
              <w:t xml:space="preserve">Marcus J. Aldridge</w:t>
            </w:r>
            <w:r>
              <w:t xml:space="preserve"> </w:t>
            </w:r>
            <w:r>
              <w:t xml:space="preserve">(Managing Partner) and</w:t>
            </w:r>
            <w:r>
              <w:t xml:space="preserve"> </w:t>
            </w:r>
            <w:r>
              <w:rPr>
                <w:b/>
                <w:bCs/>
              </w:rPr>
              <w:t xml:space="preserve">Teresa Huang</w:t>
            </w:r>
            <w:r>
              <w:t xml:space="preserve"> </w:t>
            </w:r>
            <w:r>
              <w:t xml:space="preserve">(Partner)</w:t>
            </w:r>
          </w:p>
        </w:tc>
      </w:tr>
      <w:tr>
        <w:tc>
          <w:tcPr/>
          <w:p>
            <w:pPr>
              <w:pStyle w:val="Compact"/>
              <w:jc w:val="left"/>
            </w:pPr>
            <w:r>
              <w:t xml:space="preserve">Address</w:t>
            </w:r>
          </w:p>
        </w:tc>
        <w:tc>
          <w:tcPr/>
          <w:p>
            <w:pPr>
              <w:pStyle w:val="Compact"/>
              <w:jc w:val="left"/>
            </w:pPr>
            <w:r>
              <w:t xml:space="preserve">1200 Fourth Avenue, Suite 3000, Seattle, WA 98101</w:t>
            </w:r>
          </w:p>
        </w:tc>
        <w:tc>
          <w:tcPr/>
          <w:p>
            <w:pPr>
              <w:pStyle w:val="Compact"/>
              <w:jc w:val="left"/>
            </w:pPr>
            <w:r>
              <w:t xml:space="preserve">(not specified)</w:t>
            </w:r>
          </w:p>
        </w:tc>
        <w:tc>
          <w:tcPr/>
          <w:p>
            <w:pPr>
              <w:pStyle w:val="Compact"/>
              <w:jc w:val="left"/>
            </w:pPr>
            <w:r>
              <w:t xml:space="preserve">2800 Sand Hill Road, Suite 210, Menlo Park, CA 94025</w:t>
            </w:r>
          </w:p>
        </w:tc>
      </w:tr>
    </w:tbl>
    <w:p>
      <w:pPr>
        <w:pStyle w:val="BodyText"/>
      </w:pPr>
      <w:r>
        <w:rPr>
          <w:b/>
          <w:bCs/>
        </w:rPr>
        <w:t xml:space="preserve">Why it matters.</w:t>
      </w:r>
      <w:r>
        <w:t xml:space="preserve"> </w:t>
      </w:r>
      <w:r>
        <w:t xml:space="preserve">(i) The POA signature page names a different entity (</w:t>
      </w:r>
      <w:r>
        <w:t xml:space="preserve">“</w:t>
      </w:r>
      <w:r>
        <w:t xml:space="preserve">Cascade Ridge Ventures, LP</w:t>
      </w:r>
      <w:r>
        <w:t xml:space="preserve">”</w:t>
      </w:r>
      <w:r>
        <w:t xml:space="preserve">) than every other document (</w:t>
      </w:r>
      <w:r>
        <w:t xml:space="preserve">“</w:t>
      </w:r>
      <w:r>
        <w:t xml:space="preserve">Cascade Kestridge Ventures, LP</w:t>
      </w:r>
      <w:r>
        <w:t xml:space="preserve">”</w:t>
      </w:r>
      <w:r>
        <w:t xml:space="preserve">). If the POA is executed by the wrong entity, the POA — and the UA executed through the attorneys-in-fact — would be invalid as to Cascade. (ii) The S-1 beneficial-ownership disclosure (footnote 1) identifies</w:t>
      </w:r>
      <w:r>
        <w:t xml:space="preserve"> </w:t>
      </w:r>
      <w:r>
        <w:t xml:space="preserve">“</w:t>
      </w:r>
      <w:r>
        <w:t xml:space="preserve">James Whitfield</w:t>
      </w:r>
      <w:r>
        <w:t xml:space="preserve">”</w:t>
      </w:r>
      <w:r>
        <w:t xml:space="preserve"> </w:t>
      </w:r>
      <w:r>
        <w:t xml:space="preserve">as the natural person with voting/investment power, while the Questionnaire identifies</w:t>
      </w:r>
      <w:r>
        <w:t xml:space="preserve"> </w:t>
      </w:r>
      <w:r>
        <w:t xml:space="preserve">“</w:t>
      </w:r>
      <w:r>
        <w:t xml:space="preserve">Aldridge/Huang</w:t>
      </w:r>
      <w:r>
        <w:t xml:space="preserve">”</w:t>
      </w:r>
      <w:r>
        <w:t xml:space="preserve"> </w:t>
      </w:r>
      <w:r>
        <w:t xml:space="preserve">and the POA identifies</w:t>
      </w:r>
      <w:r>
        <w:t xml:space="preserve"> </w:t>
      </w:r>
      <w:r>
        <w:t xml:space="preserve">“</w:t>
      </w:r>
      <w:r>
        <w:t xml:space="preserve">Okonkwo.</w:t>
      </w:r>
      <w:r>
        <w:t xml:space="preserve">”</w:t>
      </w:r>
      <w:r>
        <w:t xml:space="preserve"> </w:t>
      </w:r>
      <w:r>
        <w:t xml:space="preserve">The S-1 disclosure of the control person appears to be inaccurate, which is a material misstatement in the beneficial-ownership table. (iii) The GP name differs between the S-1/POA (</w:t>
      </w:r>
      <w:r>
        <w:t xml:space="preserve">“</w:t>
      </w:r>
      <w:r>
        <w:t xml:space="preserve">Cascade Ridge Capital Management</w:t>
      </w:r>
      <w:r>
        <w:t xml:space="preserve">”</w:t>
      </w:r>
      <w:r>
        <w:t xml:space="preserve">) and the Questionnaire (</w:t>
      </w:r>
      <w:r>
        <w:t xml:space="preserve">“</w:t>
      </w:r>
      <w:r>
        <w:t xml:space="preserve">Cascade Kestridge Ventures Management</w:t>
      </w:r>
      <w:r>
        <w:t xml:space="preserve">”</w:t>
      </w:r>
      <w:r>
        <w:t xml:space="preserve">). (iv) The address differs (Seattle vs. Menlo Park). The UA’s selling-stockholder representations (UA §6.1, §6.4) and the S-1 beneficial-ownership table depend on the correct identity and control persons.</w:t>
      </w:r>
    </w:p>
    <w:p>
      <w:pPr>
        <w:pStyle w:val="BodyText"/>
      </w:pPr>
      <w:r>
        <w:rPr>
          <w:b/>
          <w:bCs/>
        </w:rPr>
        <w:t xml:space="preserve">Recommendation.</w:t>
      </w:r>
      <w:r>
        <w:t xml:space="preserve"> </w:t>
      </w:r>
      <w:r>
        <w:t xml:space="preserve">(a) Cascade to provide certified organizational documents (LP agreement, GP LLC agreement) confirming the exact legal name of the LP and the GP, the managing member(s) of the GP, and the natural person(s) with voting/investment control. (b) Correct the S-1 beneficial-ownership footnote to identify the correct control person(s) and address. (c) Re-execute the POA (and any signature page) under the correct entity name. (d) Conform the UA Schedule II and the Questionnaire. (e) Confirm FINRA 5110/5121 disclosures (control persons) are accurate.</w:t>
      </w:r>
    </w:p>
    <w:p>
      <w:pPr>
        <w:pStyle w:val="BodyText"/>
      </w:pPr>
      <w:r>
        <w:rPr>
          <w:b/>
          <w:bCs/>
        </w:rPr>
        <w:t xml:space="preserve">Severity.</w:t>
      </w:r>
      <w:r>
        <w:t xml:space="preserve"> </w:t>
      </w:r>
      <w:r>
        <w:t xml:space="preserve">Critical (entity name on POA; control persons in S-1); Material (GP name, address).</w:t>
      </w:r>
    </w:p>
    <w:bookmarkEnd w:id="25"/>
    <w:bookmarkStart w:id="26" w:name="X057b8c7f10a7f1edb12844f307b665aa8d35221"/>
    <w:p>
      <w:pPr>
        <w:pStyle w:val="Heading3"/>
      </w:pPr>
      <w:r>
        <w:t xml:space="preserve">Issue 6 — Northlight Selling Stockholder: General Partner and Control Person Inconsistent</w:t>
      </w:r>
    </w:p>
    <w:p>
      <w:pPr>
        <w:pStyle w:val="FirstParagraph"/>
      </w:pPr>
      <w:r>
        <w:rPr>
          <w:b/>
          <w:bCs/>
        </w:rPr>
        <w:t xml:space="preserve">Identification.</w:t>
      </w:r>
      <w:r>
        <w:t xml:space="preserve"> </w:t>
      </w:r>
      <w:r>
        <w:t xml:space="preserve">The S-1 (footnote 2) identifies the general partner of Northlight Growth Partners Fund II, LP as</w:t>
      </w:r>
      <w:r>
        <w:t xml:space="preserve"> </w:t>
      </w:r>
      <w:r>
        <w:t xml:space="preserve">“</w:t>
      </w:r>
      <w:r>
        <w:t xml:space="preserve">Northlight Capital Advisors LLC</w:t>
      </w:r>
      <w:r>
        <w:t xml:space="preserve">”</w:t>
      </w:r>
      <w:r>
        <w:t xml:space="preserve"> </w:t>
      </w:r>
      <w:r>
        <w:t xml:space="preserve">and the managing member as</w:t>
      </w:r>
      <w:r>
        <w:t xml:space="preserve"> </w:t>
      </w:r>
      <w:r>
        <w:t xml:space="preserve">“</w:t>
      </w:r>
      <w:r>
        <w:t xml:space="preserve">Caroline Briggs.</w:t>
      </w:r>
      <w:r>
        <w:t xml:space="preserve">”</w:t>
      </w:r>
      <w:r>
        <w:t xml:space="preserve"> </w:t>
      </w:r>
      <w:r>
        <w:t xml:space="preserve">The POA signature page identifies the general partner as</w:t>
      </w:r>
      <w:r>
        <w:t xml:space="preserve"> </w:t>
      </w:r>
      <w:r>
        <w:t xml:space="preserve">“</w:t>
      </w:r>
      <w:r>
        <w:t xml:space="preserve">Northlight Growth Advisors, LLC</w:t>
      </w:r>
      <w:r>
        <w:t xml:space="preserve">”</w:t>
      </w:r>
      <w:r>
        <w:t xml:space="preserve"> </w:t>
      </w:r>
      <w:r>
        <w:t xml:space="preserve">and the managing partner as</w:t>
      </w:r>
      <w:r>
        <w:t xml:space="preserve"> </w:t>
      </w:r>
      <w:r>
        <w:t xml:space="preserve">“</w:t>
      </w:r>
      <w:r>
        <w:t xml:space="preserve">Eric P. Johansson.</w:t>
      </w:r>
      <w:r>
        <w:t xml:space="preserve">”</w:t>
      </w:r>
    </w:p>
    <w:p>
      <w:pPr>
        <w:pStyle w:val="BodyText"/>
      </w:pPr>
      <w:r>
        <w:rPr>
          <w:b/>
          <w:bCs/>
        </w:rPr>
        <w:t xml:space="preserve">Why it matters.</w:t>
      </w:r>
      <w:r>
        <w:t xml:space="preserve"> </w:t>
      </w:r>
      <w:r>
        <w:t xml:space="preserve">The S-1 beneficial-ownership disclosure of the GP and control person appears inconsistent with the POA. As with Cascade (Issue 5), this affects the accuracy of the S-1 beneficial-ownership table and the validity of the POA execution.</w:t>
      </w:r>
    </w:p>
    <w:p>
      <w:pPr>
        <w:pStyle w:val="BodyText"/>
      </w:pPr>
      <w:r>
        <w:rPr>
          <w:b/>
          <w:bCs/>
        </w:rPr>
        <w:t xml:space="preserve">Recommendation.</w:t>
      </w:r>
      <w:r>
        <w:t xml:space="preserve"> </w:t>
      </w:r>
      <w:r>
        <w:t xml:space="preserve">Northlight to provide certified organizational documents confirming the GP’s correct legal name and the natural person(s) with voting/investment control. Correct the S-1 footnote and conform the POA and UA Schedule II.</w:t>
      </w:r>
    </w:p>
    <w:p>
      <w:pPr>
        <w:pStyle w:val="BodyText"/>
      </w:pPr>
      <w:r>
        <w:rPr>
          <w:b/>
          <w:bCs/>
        </w:rPr>
        <w:t xml:space="preserve">Severity.</w:t>
      </w:r>
      <w:r>
        <w:t xml:space="preserve"> </w:t>
      </w:r>
      <w:r>
        <w:t xml:space="preserve">Critical (control person in S-1); Material (GP name).</w:t>
      </w:r>
    </w:p>
    <w:p>
      <w:r>
        <w:pict>
          <v:rect style="width:0;height:1.5pt" o:hralign="center" o:hrstd="t" o:hr="t"/>
        </w:pict>
      </w:r>
    </w:p>
    <w:bookmarkEnd w:id="26"/>
    <w:bookmarkEnd w:id="27"/>
    <w:bookmarkStart w:id="35" w:name="iii.-material-issues"/>
    <w:p>
      <w:pPr>
        <w:pStyle w:val="Heading2"/>
      </w:pPr>
      <w:r>
        <w:t xml:space="preserve">III. Material Issues</w:t>
      </w:r>
    </w:p>
    <w:bookmarkStart w:id="28" w:name="X7655a2e4b25fd7d05c63d25fa8f1b184d542e03"/>
    <w:p>
      <w:pPr>
        <w:pStyle w:val="Heading3"/>
      </w:pPr>
      <w:r>
        <w:t xml:space="preserve">Issue 7 — Over-Allotment Option Source: Term Sheet (</w:t>
      </w:r>
      <w:r>
        <w:t xml:space="preserve">“</w:t>
      </w:r>
      <w:r>
        <w:t xml:space="preserve">Company and/or Selling Stockholders</w:t>
      </w:r>
      <w:r>
        <w:t xml:space="preserve">”</w:t>
      </w:r>
      <w:r>
        <w:t xml:space="preserve">) vs. All Other Documents (</w:t>
      </w:r>
      <w:r>
        <w:t xml:space="preserve">“</w:t>
      </w:r>
      <w:r>
        <w:t xml:space="preserve">Company only</w:t>
      </w:r>
      <w:r>
        <w:t xml:space="preserve">”</w:t>
      </w:r>
      <w:r>
        <w:t xml:space="preserve">)</w:t>
      </w:r>
    </w:p>
    <w:p>
      <w:pPr>
        <w:pStyle w:val="FirstParagraph"/>
      </w:pPr>
      <w:r>
        <w:rPr>
          <w:b/>
          <w:bCs/>
        </w:rPr>
        <w:t xml:space="preserve">Identification.</w:t>
      </w:r>
      <w:r>
        <w:t xml:space="preserve"> </w:t>
      </w:r>
      <w:r>
        <w:t xml:space="preserve">The Term Sheet (§2.2) states the Over-Allotment Option is to purchase shares</w:t>
      </w:r>
      <w:r>
        <w:t xml:space="preserve"> </w:t>
      </w:r>
      <w:r>
        <w:t xml:space="preserve">“</w:t>
      </w:r>
      <w:r>
        <w:t xml:space="preserve">from the Company and/or the Selling Stockholders.</w:t>
      </w:r>
      <w:r>
        <w:t xml:space="preserve">”</w:t>
      </w:r>
      <w:r>
        <w:t xml:space="preserve"> </w:t>
      </w:r>
      <w:r>
        <w:t xml:space="preserve">The S-1 (cover page;</w:t>
      </w:r>
      <w:r>
        <w:t xml:space="preserve"> </w:t>
      </w:r>
      <w:r>
        <w:t xml:space="preserve">“</w:t>
      </w:r>
      <w:r>
        <w:t xml:space="preserve">The Offering</w:t>
      </w:r>
      <w:r>
        <w:t xml:space="preserve">”</w:t>
      </w:r>
      <w:r>
        <w:t xml:space="preserve"> </w:t>
      </w:r>
      <w:r>
        <w:t xml:space="preserve">table; §XI.B), the Engagement Letter (§2), the POA (§4; Schedule A), and the Questionnaire (§2(b)) all state the over-allotment is sourced</w:t>
      </w:r>
      <w:r>
        <w:t xml:space="preserve"> </w:t>
      </w:r>
      <w:r>
        <w:rPr>
          <w:b/>
          <w:bCs/>
        </w:rPr>
        <w:t xml:space="preserve">exclusively from newly issued Company shares</w:t>
      </w:r>
      <w:r>
        <w:t xml:space="preserve">. The Questionnaire expressly confirms Cascade’s</w:t>
      </w:r>
      <w:r>
        <w:t xml:space="preserve"> </w:t>
      </w:r>
      <w:r>
        <w:t xml:space="preserve">“</w:t>
      </w:r>
      <w:r>
        <w:t xml:space="preserve">understanding that the over-allotment option is sourced exclusively from newly issued shares of the Company.</w:t>
      </w:r>
      <w:r>
        <w:t xml:space="preserve">”</w:t>
      </w:r>
    </w:p>
    <w:p>
      <w:pPr>
        <w:pStyle w:val="BodyText"/>
      </w:pPr>
      <w:r>
        <w:rPr>
          <w:b/>
          <w:bCs/>
        </w:rPr>
        <w:t xml:space="preserve">Why it matters.</w:t>
      </w:r>
      <w:r>
        <w:t xml:space="preserve"> </w:t>
      </w:r>
      <w:r>
        <w:t xml:space="preserve">The source of the over-allotment shares affects the Selling Stockholders’ maximum sale obligation, the S-1 disclosure, the capitalization</w:t>
      </w:r>
      <w:r>
        <w:t xml:space="preserve"> </w:t>
      </w:r>
      <w:r>
        <w:t xml:space="preserve">“</w:t>
      </w:r>
      <w:r>
        <w:t xml:space="preserve">as adjusted</w:t>
      </w:r>
      <w:r>
        <w:t xml:space="preserve">”</w:t>
      </w:r>
      <w:r>
        <w:t xml:space="preserve"> </w:t>
      </w:r>
      <w:r>
        <w:t xml:space="preserve">figures, and the POA’s scope. The Term Sheet is the outlier. The UA has been drafted to provide that the Option Securities are newly issued Company shares (UA §3.1), consistent with the S-1, Engagement Letter, POA, and Questionnaire.</w:t>
      </w:r>
    </w:p>
    <w:p>
      <w:pPr>
        <w:pStyle w:val="BodyText"/>
      </w:pPr>
      <w:r>
        <w:rPr>
          <w:b/>
          <w:bCs/>
        </w:rPr>
        <w:t xml:space="preserve">Recommendation.</w:t>
      </w:r>
      <w:r>
        <w:t xml:space="preserve"> </w:t>
      </w:r>
      <w:r>
        <w:t xml:space="preserve">Confirm with the Company and the Selling Stockholders that the over-allotment is Company-only. Correct the Term Sheet’s</w:t>
      </w:r>
      <w:r>
        <w:t xml:space="preserve"> </w:t>
      </w:r>
      <w:r>
        <w:t xml:space="preserve">“</w:t>
      </w:r>
      <w:r>
        <w:t xml:space="preserve">and/or the Selling Stockholders</w:t>
      </w:r>
      <w:r>
        <w:t xml:space="preserve">”</w:t>
      </w:r>
      <w:r>
        <w:t xml:space="preserve"> </w:t>
      </w:r>
      <w:r>
        <w:t xml:space="preserve">language. No change to the UA or S-1 required if Company-only is confirmed.</w:t>
      </w:r>
    </w:p>
    <w:p>
      <w:pPr>
        <w:pStyle w:val="BodyText"/>
      </w:pPr>
      <w:r>
        <w:rPr>
          <w:b/>
          <w:bCs/>
        </w:rPr>
        <w:t xml:space="preserve">Severity.</w:t>
      </w:r>
      <w:r>
        <w:t xml:space="preserve"> </w:t>
      </w:r>
      <w:r>
        <w:t xml:space="preserve">Material.</w:t>
      </w:r>
    </w:p>
    <w:bookmarkEnd w:id="28"/>
    <w:bookmarkStart w:id="29" w:name="Xfbccf3257ce94a8a1f559ffb47c3f12ae029b3f"/>
    <w:p>
      <w:pPr>
        <w:pStyle w:val="Heading3"/>
      </w:pPr>
      <w:r>
        <w:t xml:space="preserve">Issue 8 — Dr. Krishnamurthy Secondary Shares: Engagement Letter</w:t>
      </w:r>
      <w:r>
        <w:t xml:space="preserve"> </w:t>
      </w:r>
      <w:r>
        <w:t xml:space="preserve">“</w:t>
      </w:r>
      <w:r>
        <w:t xml:space="preserve">up to 750,000</w:t>
      </w:r>
      <w:r>
        <w:t xml:space="preserve">”</w:t>
      </w:r>
      <w:r>
        <w:t xml:space="preserve"> </w:t>
      </w:r>
      <w:r>
        <w:t xml:space="preserve">vs. 500,000 in All Other Documents</w:t>
      </w:r>
    </w:p>
    <w:p>
      <w:pPr>
        <w:pStyle w:val="FirstParagraph"/>
      </w:pPr>
      <w:r>
        <w:rPr>
          <w:b/>
          <w:bCs/>
        </w:rPr>
        <w:t xml:space="preserve">Identification.</w:t>
      </w:r>
      <w:r>
        <w:t xml:space="preserve"> </w:t>
      </w:r>
      <w:r>
        <w:t xml:space="preserve">The Engagement Letter (§2; Annex A) states Dr. Krishnamurthy will sell</w:t>
      </w:r>
      <w:r>
        <w:t xml:space="preserve"> </w:t>
      </w:r>
      <w:r>
        <w:t xml:space="preserve">“</w:t>
      </w:r>
      <w:r>
        <w:t xml:space="preserve">up to 750,000 shares.</w:t>
      </w:r>
      <w:r>
        <w:t xml:space="preserve">”</w:t>
      </w:r>
      <w:r>
        <w:t xml:space="preserve"> </w:t>
      </w:r>
      <w:r>
        <w:t xml:space="preserve">The Term Sheet (§2.1; §6.1), the S-1 (cover; beneficial-ownership table), and the POA (Schedule A) all state</w:t>
      </w:r>
      <w:r>
        <w:t xml:space="preserve"> </w:t>
      </w:r>
      <w:r>
        <w:rPr>
          <w:b/>
          <w:bCs/>
        </w:rPr>
        <w:t xml:space="preserve">500,000 shares</w:t>
      </w:r>
      <w:r>
        <w:t xml:space="preserve">.</w:t>
      </w:r>
    </w:p>
    <w:p>
      <w:pPr>
        <w:pStyle w:val="BodyText"/>
      </w:pPr>
      <w:r>
        <w:rPr>
          <w:b/>
          <w:bCs/>
        </w:rPr>
        <w:t xml:space="preserve">Why it matters.</w:t>
      </w:r>
      <w:r>
        <w:t xml:space="preserve"> </w:t>
      </w:r>
      <w:r>
        <w:t xml:space="preserve">The final agreed number of Secondary Shares to be sold by Dr. Krishnamurthy is 500,000 (consistent across the Term Sheet, S-1, and POA). The Engagement Letter’s</w:t>
      </w:r>
      <w:r>
        <w:t xml:space="preserve"> </w:t>
      </w:r>
      <w:r>
        <w:t xml:space="preserve">“</w:t>
      </w:r>
      <w:r>
        <w:t xml:space="preserve">up to 750,000</w:t>
      </w:r>
      <w:r>
        <w:t xml:space="preserve">”</w:t>
      </w:r>
      <w:r>
        <w:t xml:space="preserve"> </w:t>
      </w:r>
      <w:r>
        <w:t xml:space="preserve">is the outlier and reflects an earlier, larger anticipated participation. The UA Schedule II and the S-1 use 500,000.</w:t>
      </w:r>
    </w:p>
    <w:p>
      <w:pPr>
        <w:pStyle w:val="BodyText"/>
      </w:pPr>
      <w:r>
        <w:rPr>
          <w:b/>
          <w:bCs/>
        </w:rPr>
        <w:t xml:space="preserve">Recommendation.</w:t>
      </w:r>
      <w:r>
        <w:t xml:space="preserve"> </w:t>
      </w:r>
      <w:r>
        <w:t xml:space="preserve">Confirm 500,000 is the final number. No change to the UA or S-1; the Engagement Letter’s</w:t>
      </w:r>
      <w:r>
        <w:t xml:space="preserve"> </w:t>
      </w:r>
      <w:r>
        <w:t xml:space="preserve">“</w:t>
      </w:r>
      <w:r>
        <w:t xml:space="preserve">up to 750,000</w:t>
      </w:r>
      <w:r>
        <w:t xml:space="preserve">”</w:t>
      </w:r>
      <w:r>
        <w:t xml:space="preserve"> </w:t>
      </w:r>
      <w:r>
        <w:t xml:space="preserve">is superseded by the final terms. Note for the record that the Engagement Letter anticipated a larger participation that was reduced to 500,000.</w:t>
      </w:r>
    </w:p>
    <w:p>
      <w:pPr>
        <w:pStyle w:val="BodyText"/>
      </w:pPr>
      <w:r>
        <w:rPr>
          <w:b/>
          <w:bCs/>
        </w:rPr>
        <w:t xml:space="preserve">Severity.</w:t>
      </w:r>
      <w:r>
        <w:t xml:space="preserve"> </w:t>
      </w:r>
      <w:r>
        <w:t xml:space="preserve">Material.</w:t>
      </w:r>
    </w:p>
    <w:bookmarkEnd w:id="29"/>
    <w:bookmarkStart w:id="30" w:name="X65dd7678a6cf9d4eaf4a633a59c25a71fd93aeb"/>
    <w:p>
      <w:pPr>
        <w:pStyle w:val="Heading3"/>
      </w:pPr>
      <w:r>
        <w:t xml:space="preserve">Issue 9 — Springing Lock-Up Extension for Dr. Krishnamurthy: In Term Sheet and POA, but Absent from the Lock-Up Form and S-1</w:t>
      </w:r>
    </w:p>
    <w:p>
      <w:pPr>
        <w:pStyle w:val="FirstParagraph"/>
      </w:pPr>
      <w:r>
        <w:rPr>
          <w:b/>
          <w:bCs/>
        </w:rPr>
        <w:t xml:space="preserve">Identification.</w:t>
      </w:r>
      <w:r>
        <w:t xml:space="preserve"> </w:t>
      </w:r>
      <w:r>
        <w:t xml:space="preserve">The Term Sheet (§10.2) and the POA (§2(c)) contemplate a</w:t>
      </w:r>
      <w:r>
        <w:t xml:space="preserve"> </w:t>
      </w:r>
      <w:r>
        <w:t xml:space="preserve">“</w:t>
      </w:r>
      <w:r>
        <w:t xml:space="preserve">market standoff</w:t>
      </w:r>
      <w:r>
        <w:t xml:space="preserve">”</w:t>
      </w:r>
      <w:r>
        <w:t xml:space="preserve"> </w:t>
      </w:r>
      <w:r>
        <w:t xml:space="preserve">springing extension for Dr. Krishnamurthy: if the closing price of the Common Stock is below the IPO Price for five (5) consecutive trading days during the final seventeen (17) trading days of the standard 180-day lock-up, Dr. Krishnamurthy’s lock-up automatically extends by 18 calendar days (to 198 days total). The Lock-Up Form provided, however, contains only the standard 180-day lock-up and does</w:t>
      </w:r>
      <w:r>
        <w:t xml:space="preserve"> </w:t>
      </w:r>
      <w:r>
        <w:rPr>
          <w:b/>
          <w:bCs/>
        </w:rPr>
        <w:t xml:space="preserve">not</w:t>
      </w:r>
      <w:r>
        <w:t xml:space="preserve"> </w:t>
      </w:r>
      <w:r>
        <w:t xml:space="preserve">include the springing extension. The S-1 lock-up disclosure (§VIII; §XI.D) also describes only the 180-day lock-up.</w:t>
      </w:r>
    </w:p>
    <w:p>
      <w:pPr>
        <w:pStyle w:val="BodyText"/>
      </w:pPr>
      <w:r>
        <w:rPr>
          <w:b/>
          <w:bCs/>
        </w:rPr>
        <w:t xml:space="preserve">Why it matters.</w:t>
      </w:r>
      <w:r>
        <w:t xml:space="preserve"> </w:t>
      </w:r>
      <w:r>
        <w:t xml:space="preserve">If the springing extension is to apply, the Lock-Up Form executed by Dr. Krishnamurthy must be supplemented to include it, and the S-1 lock-up disclosure should be updated to reflect the extended potential lock-up for Dr. Krishnamurthy. The UA (§7.8 and Exhibit A, Section 2) has been drafted to require Dr. Krishnamurthy’s Lock-Up Agreement to include the springing extension, consistent with the Term Sheet and POA.</w:t>
      </w:r>
    </w:p>
    <w:p>
      <w:pPr>
        <w:pStyle w:val="BodyText"/>
      </w:pPr>
      <w:r>
        <w:rPr>
          <w:b/>
          <w:bCs/>
        </w:rPr>
        <w:t xml:space="preserve">Recommendation.</w:t>
      </w:r>
      <w:r>
        <w:t xml:space="preserve"> </w:t>
      </w:r>
      <w:r>
        <w:t xml:space="preserve">(a) Confirm with the Company and Dr. Krishnamurthy that the springing extension is retained. (b) Prepare a supplemented Lock-Up Agreement for Dr. Krishnamurthy incorporating the springing extension (the UA’s Exhibit A, Section 2 sets it out). (c) Update the S-1 lock-up disclosure to reflect the potential 198-day lock-up for Dr. Krishnamurthy. (d) Ensure the POA’s authorization (§2(c)) to execute the supplemented lock-up is sufficient.</w:t>
      </w:r>
    </w:p>
    <w:p>
      <w:pPr>
        <w:pStyle w:val="BodyText"/>
      </w:pPr>
      <w:r>
        <w:rPr>
          <w:b/>
          <w:bCs/>
        </w:rPr>
        <w:t xml:space="preserve">Severity.</w:t>
      </w:r>
      <w:r>
        <w:t xml:space="preserve"> </w:t>
      </w:r>
      <w:r>
        <w:t xml:space="preserve">Material.</w:t>
      </w:r>
    </w:p>
    <w:bookmarkEnd w:id="30"/>
    <w:bookmarkStart w:id="31" w:name="Xeca0f9058346f5fc22f2b5a3e196ddb8043805f"/>
    <w:p>
      <w:pPr>
        <w:pStyle w:val="Heading3"/>
      </w:pPr>
      <w:r>
        <w:t xml:space="preserve">Issue 10 — UT Austin License: Anti-Assignment, Security-Interest, and Change-of-Control Provisions</w:t>
      </w:r>
    </w:p>
    <w:p>
      <w:pPr>
        <w:pStyle w:val="FirstParagraph"/>
      </w:pPr>
      <w:r>
        <w:rPr>
          <w:b/>
          <w:bCs/>
        </w:rPr>
        <w:t xml:space="preserve">Identification.</w:t>
      </w:r>
      <w:r>
        <w:t xml:space="preserve"> </w:t>
      </w:r>
      <w:r>
        <w:t xml:space="preserve">The S-1 (§III.A; §IX.B) states the exclusive license agreement with the University of Texas at Austin (effective July 1, 2018; term through June 30, 2033)</w:t>
      </w:r>
      <w:r>
        <w:t xml:space="preserve"> </w:t>
      </w:r>
      <w:r>
        <w:t xml:space="preserve">“</w:t>
      </w:r>
      <w:r>
        <w:t xml:space="preserve">may not be assigned by either party without the prior written consent of the other party, except that the Company may assign the agreement in connection with a merger, acquisition, or sale of substantially all of its assets,</w:t>
      </w:r>
      <w:r>
        <w:t xml:space="preserve">”</w:t>
      </w:r>
      <w:r>
        <w:t xml:space="preserve"> </w:t>
      </w:r>
      <w:r>
        <w:t xml:space="preserve">and</w:t>
      </w:r>
      <w:r>
        <w:t xml:space="preserve"> </w:t>
      </w:r>
      <w:r>
        <w:t xml:space="preserve">“</w:t>
      </w:r>
      <w:r>
        <w:t xml:space="preserve">contains provisions governing the assignment and transfer of the license that may be implicated by changes in our ownership structure.</w:t>
      </w:r>
      <w:r>
        <w:t xml:space="preserve">”</w:t>
      </w:r>
      <w:r>
        <w:t xml:space="preserve"> </w:t>
      </w:r>
      <w:r>
        <w:t xml:space="preserve">The Credit Summary (§5; §15(5)) notes the Credit Agreement grants a first-priority security interest in IP and general intangibles, including the Company’s rights under the UT license</w:t>
      </w:r>
      <w:r>
        <w:t xml:space="preserve"> </w:t>
      </w:r>
      <w:r>
        <w:t xml:space="preserve">“</w:t>
      </w:r>
      <w:r>
        <w:t xml:space="preserve">to the extent such rights are assignable as collateral.</w:t>
      </w:r>
      <w:r>
        <w:t xml:space="preserve">”</w:t>
      </w:r>
    </w:p>
    <w:p>
      <w:pPr>
        <w:pStyle w:val="BodyText"/>
      </w:pPr>
      <w:r>
        <w:rPr>
          <w:b/>
          <w:bCs/>
        </w:rPr>
        <w:t xml:space="preserve">Why it matters.</w:t>
      </w:r>
      <w:r>
        <w:t xml:space="preserve"> </w:t>
      </w:r>
      <w:r>
        <w:t xml:space="preserve">(i) Granting a security interest in the UT license may have required UT consent; if not obtained, the security interest may be ineffective as to the license or could constitute a breach. (ii) The IPO changes the Company’s ownership structure, which</w:t>
      </w:r>
      <w:r>
        <w:t xml:space="preserve"> </w:t>
      </w:r>
      <w:r>
        <w:t xml:space="preserve">“</w:t>
      </w:r>
      <w:r>
        <w:t xml:space="preserve">may be implicated</w:t>
      </w:r>
      <w:r>
        <w:t xml:space="preserve">”</w:t>
      </w:r>
      <w:r>
        <w:t xml:space="preserve"> </w:t>
      </w:r>
      <w:r>
        <w:t xml:space="preserve">by the license’s assignment/transfer provisions — confirm the IPO does not trigger a UT termination or review right. (iii) The UA’s IP representation (UA §5.12) and material-contracts representation (UA §5.14) must be accurate.</w:t>
      </w:r>
    </w:p>
    <w:p>
      <w:pPr>
        <w:pStyle w:val="BodyText"/>
      </w:pPr>
      <w:r>
        <w:rPr>
          <w:b/>
          <w:bCs/>
        </w:rPr>
        <w:t xml:space="preserve">Recommendation.</w:t>
      </w:r>
      <w:r>
        <w:t xml:space="preserve"> </w:t>
      </w:r>
      <w:r>
        <w:t xml:space="preserve">(a) Company Counsel to confirm whether UT consent was obtained for the grant of the security interest in the license, and whether the IPO triggers any UT license provision. (b) If UT consent is required for the IPO or the security interest, obtain it before closing. (c) Confirm the UA §5.12/§5.14 representations are accurate (consider adding a representation that the Company has obtained all consents required to grant security interests in licensed IP). (d) Consider whether the UT license anti-assignment provision should be disclosed as an exception to the UA’s material-contracts representation.</w:t>
      </w:r>
    </w:p>
    <w:p>
      <w:pPr>
        <w:pStyle w:val="BodyText"/>
      </w:pPr>
      <w:r>
        <w:rPr>
          <w:b/>
          <w:bCs/>
        </w:rPr>
        <w:t xml:space="preserve">Severity.</w:t>
      </w:r>
      <w:r>
        <w:t xml:space="preserve"> </w:t>
      </w:r>
      <w:r>
        <w:t xml:space="preserve">Material.</w:t>
      </w:r>
    </w:p>
    <w:bookmarkEnd w:id="31"/>
    <w:bookmarkStart w:id="32" w:name="Xee7673c59caf1b111c7920f632449b29321b203"/>
    <w:p>
      <w:pPr>
        <w:pStyle w:val="Heading3"/>
      </w:pPr>
      <w:r>
        <w:t xml:space="preserve">Issue 11 — S-1 Financial Covenants Disclosure Inconsistent with the Credit Summary</w:t>
      </w:r>
    </w:p>
    <w:p>
      <w:pPr>
        <w:pStyle w:val="FirstParagraph"/>
      </w:pPr>
      <w:r>
        <w:rPr>
          <w:b/>
          <w:bCs/>
        </w:rPr>
        <w:t xml:space="preserve">Identification.</w:t>
      </w:r>
      <w:r>
        <w:t xml:space="preserve"> </w:t>
      </w:r>
      <w:r>
        <w:t xml:space="preserve">The S-1 (§IX.A) discloses financial covenants of (i) minimum unrestricted cash of $15M, (ii) maximum total leverage ratio of 3.00:1.00, and (iii) minimum interest coverage ratio of 3.00:1.00. The Credit Summary (§7) discloses (a) minimum revenue of $200M, (b) maximum total net leverage ratio of 3.00:1.00, (c) minimum liquidity of $15M (cash plus available revolver), and (d) fixed charge coverage ratio of 1.25:1.00. The S-1 omits the minimum-revenue covenant and discloses a 3.00x interest-coverage ratio that does not appear in the Credit Summary (which has a 1.25x fixed-charge coverage ratio).</w:t>
      </w:r>
    </w:p>
    <w:p>
      <w:pPr>
        <w:pStyle w:val="BodyText"/>
      </w:pPr>
      <w:r>
        <w:rPr>
          <w:b/>
          <w:bCs/>
        </w:rPr>
        <w:t xml:space="preserve">Why it matters.</w:t>
      </w:r>
      <w:r>
        <w:t xml:space="preserve"> </w:t>
      </w:r>
      <w:r>
        <w:t xml:space="preserve">The S-1’s description of the financial covenants appears incomplete and inconsistent with the Credit Agreement. Accurate covenant disclosure is important to investors and to the UA’s material-contracts representation.</w:t>
      </w:r>
    </w:p>
    <w:p>
      <w:pPr>
        <w:pStyle w:val="BodyText"/>
      </w:pPr>
      <w:r>
        <w:rPr>
          <w:b/>
          <w:bCs/>
        </w:rPr>
        <w:t xml:space="preserve">Recommendation.</w:t>
      </w:r>
      <w:r>
        <w:t xml:space="preserve"> </w:t>
      </w:r>
      <w:r>
        <w:t xml:space="preserve">Company Counsel to confirm the actual financial covenants from the Credit Agreement and correct the S-1 disclosure. Conform the UA §5.14 representation.</w:t>
      </w:r>
    </w:p>
    <w:p>
      <w:pPr>
        <w:pStyle w:val="BodyText"/>
      </w:pPr>
      <w:r>
        <w:rPr>
          <w:b/>
          <w:bCs/>
        </w:rPr>
        <w:t xml:space="preserve">Severity.</w:t>
      </w:r>
      <w:r>
        <w:t xml:space="preserve"> </w:t>
      </w:r>
      <w:r>
        <w:t xml:space="preserve">Material.</w:t>
      </w:r>
    </w:p>
    <w:bookmarkEnd w:id="32"/>
    <w:bookmarkStart w:id="33" w:name="X0cdafbe9c075da00b59e390c2ef92002606d9fd"/>
    <w:p>
      <w:pPr>
        <w:pStyle w:val="Heading3"/>
      </w:pPr>
      <w:r>
        <w:t xml:space="preserve">Issue 12 — S-1 Does Not Disclose Cascade’s Board Observer Seat</w:t>
      </w:r>
    </w:p>
    <w:p>
      <w:pPr>
        <w:pStyle w:val="FirstParagraph"/>
      </w:pPr>
      <w:r>
        <w:rPr>
          <w:b/>
          <w:bCs/>
        </w:rPr>
        <w:t xml:space="preserve">Identification.</w:t>
      </w:r>
      <w:r>
        <w:t xml:space="preserve"> </w:t>
      </w:r>
      <w:r>
        <w:t xml:space="preserve">The Questionnaire (§4(a)) discloses that Cascade Kestridge Ventures, LP held a board observer seat pursuant to the Series A Preferred Stock Purchase Agreement through January 2025, terminating upon IPO closing. The S-1 beneficial-ownership footnote (1) does not disclose this relationship.</w:t>
      </w:r>
    </w:p>
    <w:p>
      <w:pPr>
        <w:pStyle w:val="BodyText"/>
      </w:pPr>
      <w:r>
        <w:rPr>
          <w:b/>
          <w:bCs/>
        </w:rPr>
        <w:t xml:space="preserve">Why it matters.</w:t>
      </w:r>
      <w:r>
        <w:t xml:space="preserve"> </w:t>
      </w:r>
      <w:r>
        <w:t xml:space="preserve">A board observer relationship is a related-party/relationship disclosure that may be required in the S-1 (and is relevant to the FINRA Rule 5121 conflicts analysis and the UA’s FINRA-affiliations representation, UA §5.22).</w:t>
      </w:r>
    </w:p>
    <w:p>
      <w:pPr>
        <w:pStyle w:val="BodyText"/>
      </w:pPr>
      <w:r>
        <w:rPr>
          <w:b/>
          <w:bCs/>
        </w:rPr>
        <w:t xml:space="preserve">Recommendation.</w:t>
      </w:r>
      <w:r>
        <w:t xml:space="preserve"> </w:t>
      </w:r>
      <w:r>
        <w:t xml:space="preserve">Company Counsel to confirm whether the board observer relationship must be disclosed in the S-1 (e.g., in the beneficial-ownership footnote or a related-party disclosure). If so, update the S-1. Confirm the relationship terminates at IPO closing as stated.</w:t>
      </w:r>
    </w:p>
    <w:p>
      <w:pPr>
        <w:pStyle w:val="BodyText"/>
      </w:pPr>
      <w:r>
        <w:rPr>
          <w:b/>
          <w:bCs/>
        </w:rPr>
        <w:t xml:space="preserve">Severity.</w:t>
      </w:r>
      <w:r>
        <w:t xml:space="preserve"> </w:t>
      </w:r>
      <w:r>
        <w:t xml:space="preserve">Material (disclosure); confirm FINRA 5121 implications.</w:t>
      </w:r>
    </w:p>
    <w:bookmarkEnd w:id="33"/>
    <w:bookmarkStart w:id="34" w:name="Xd9ea28879fc7763be3928dad6577be0fcc6238e"/>
    <w:p>
      <w:pPr>
        <w:pStyle w:val="Heading3"/>
      </w:pPr>
      <w:r>
        <w:t xml:space="preserve">Issue 13 — Investors’ Rights Agreement Referenced but Not Disclosed in S-1/Term Sheet/Engagement Letter</w:t>
      </w:r>
    </w:p>
    <w:p>
      <w:pPr>
        <w:pStyle w:val="FirstParagraph"/>
      </w:pPr>
      <w:r>
        <w:rPr>
          <w:b/>
          <w:bCs/>
        </w:rPr>
        <w:t xml:space="preserve">Identification.</w:t>
      </w:r>
      <w:r>
        <w:t xml:space="preserve"> </w:t>
      </w:r>
      <w:r>
        <w:t xml:space="preserve">The Questionnaire (§2(b)) references the Company’s</w:t>
      </w:r>
      <w:r>
        <w:t xml:space="preserve"> </w:t>
      </w:r>
      <w:r>
        <w:t xml:space="preserve">“</w:t>
      </w:r>
      <w:r>
        <w:t xml:space="preserve">Investors’ Rights Agreement</w:t>
      </w:r>
      <w:r>
        <w:t xml:space="preserve">”</w:t>
      </w:r>
      <w:r>
        <w:t xml:space="preserve"> </w:t>
      </w:r>
      <w:r>
        <w:t xml:space="preserve">(IRA), under which registration rights, rights of first refusal, and co-sale rights</w:t>
      </w:r>
      <w:r>
        <w:t xml:space="preserve"> </w:t>
      </w:r>
      <w:r>
        <w:t xml:space="preserve">“</w:t>
      </w:r>
      <w:r>
        <w:t xml:space="preserve">will terminate upon the closing of the IPO pursuant to the terms thereof.</w:t>
      </w:r>
      <w:r>
        <w:t xml:space="preserve">”</w:t>
      </w:r>
      <w:r>
        <w:t xml:space="preserve"> </w:t>
      </w:r>
      <w:r>
        <w:t xml:space="preserve">The IRA is not mentioned in the S-1 excerpts, the Term Sheet, or the Engagement Letter.</w:t>
      </w:r>
    </w:p>
    <w:p>
      <w:pPr>
        <w:pStyle w:val="BodyText"/>
      </w:pPr>
      <w:r>
        <w:rPr>
          <w:b/>
          <w:bCs/>
        </w:rPr>
        <w:t xml:space="preserve">Why it matters.</w:t>
      </w:r>
      <w:r>
        <w:t xml:space="preserve"> </w:t>
      </w:r>
      <w:r>
        <w:t xml:space="preserve">(i) If registration rights survive the IPO, they could conflict with the offering and the UA’s selling-stockholder representation regarding registration rights (UA §6.5). (ii) The IRA is a material stockholder agreement that may require S-1 disclosure. (iii) The UA §6.5 representation (no registration-rights violation) depends on the IRA’s termination at closing.</w:t>
      </w:r>
    </w:p>
    <w:p>
      <w:pPr>
        <w:pStyle w:val="BodyText"/>
      </w:pPr>
      <w:r>
        <w:rPr>
          <w:b/>
          <w:bCs/>
        </w:rPr>
        <w:t xml:space="preserve">Recommendation.</w:t>
      </w:r>
      <w:r>
        <w:t xml:space="preserve"> </w:t>
      </w:r>
      <w:r>
        <w:t xml:space="preserve">(a) Company Counsel to confirm the IRA exists, its terms, and that all registration rights/ROFR/co-sale rights terminate at IPO closing. (b) Confirm whether the IRA requires S-1 disclosure. (c) Obtain a selling-stockholder representation (UA §6.5) that the sale does not violate the IRA, and confirm the IRA’s termination at closing supports that representation.</w:t>
      </w:r>
    </w:p>
    <w:p>
      <w:pPr>
        <w:pStyle w:val="BodyText"/>
      </w:pPr>
      <w:r>
        <w:rPr>
          <w:b/>
          <w:bCs/>
        </w:rPr>
        <w:t xml:space="preserve">Severity.</w:t>
      </w:r>
      <w:r>
        <w:t xml:space="preserve"> </w:t>
      </w:r>
      <w:r>
        <w:t xml:space="preserve">Material.</w:t>
      </w:r>
    </w:p>
    <w:p>
      <w:r>
        <w:pict>
          <v:rect style="width:0;height:1.5pt" o:hralign="center" o:hrstd="t" o:hr="t"/>
        </w:pict>
      </w:r>
    </w:p>
    <w:bookmarkEnd w:id="34"/>
    <w:bookmarkEnd w:id="35"/>
    <w:bookmarkStart w:id="45" w:name="iv.-minor-issues-and-conforming-items"/>
    <w:p>
      <w:pPr>
        <w:pStyle w:val="Heading2"/>
      </w:pPr>
      <w:r>
        <w:t xml:space="preserve">IV. Minor Issues and Conforming Items</w:t>
      </w:r>
    </w:p>
    <w:bookmarkStart w:id="36" w:name="X7c7dc996df79d8931651a423d332fd233e6af6b"/>
    <w:p>
      <w:pPr>
        <w:pStyle w:val="Heading3"/>
      </w:pPr>
      <w:r>
        <w:t xml:space="preserve">Issue 14 — Lock-Up Early-Release Notice Threshold:</w:t>
      </w:r>
      <w:r>
        <w:t xml:space="preserve"> </w:t>
      </w:r>
      <w:r>
        <w:t xml:space="preserve">“</w:t>
      </w:r>
      <w:r>
        <w:t xml:space="preserve">to be agreed</w:t>
      </w:r>
      <w:r>
        <w:t xml:space="preserve">”</w:t>
      </w:r>
      <w:r>
        <w:t xml:space="preserve"> </w:t>
      </w:r>
      <w:r>
        <w:t xml:space="preserve">(Term Sheet) vs. </w:t>
      </w:r>
      <w:r>
        <w:t xml:space="preserve">“</w:t>
      </w:r>
      <w:r>
        <w:t xml:space="preserve">1%</w:t>
      </w:r>
      <w:r>
        <w:t xml:space="preserve">”</w:t>
      </w:r>
      <w:r>
        <w:t xml:space="preserve"> </w:t>
      </w:r>
      <w:r>
        <w:t xml:space="preserve">(Engagement Letter/Lock-Up Form) vs. </w:t>
      </w:r>
      <w:r>
        <w:t xml:space="preserve">“</w:t>
      </w:r>
      <w:r>
        <w:t xml:space="preserve">material number</w:t>
      </w:r>
      <w:r>
        <w:t xml:space="preserve">”</w:t>
      </w:r>
      <w:r>
        <w:t xml:space="preserve"> </w:t>
      </w:r>
      <w:r>
        <w:t xml:space="preserve">(S-1)</w:t>
      </w:r>
    </w:p>
    <w:p>
      <w:pPr>
        <w:pStyle w:val="FirstParagraph"/>
      </w:pPr>
      <w:r>
        <w:rPr>
          <w:b/>
          <w:bCs/>
        </w:rPr>
        <w:t xml:space="preserve">Identification.</w:t>
      </w:r>
      <w:r>
        <w:t xml:space="preserve"> </w:t>
      </w:r>
      <w:r>
        <w:t xml:space="preserve">The Term Sheet (§10.1) says the 3-business-day notice threshold is</w:t>
      </w:r>
      <w:r>
        <w:t xml:space="preserve"> </w:t>
      </w:r>
      <w:r>
        <w:t xml:space="preserve">“</w:t>
      </w:r>
      <w:r>
        <w:t xml:space="preserve">a threshold to be agreed upon in the definitive underwriting agreement.</w:t>
      </w:r>
      <w:r>
        <w:t xml:space="preserve">”</w:t>
      </w:r>
      <w:r>
        <w:t xml:space="preserve"> </w:t>
      </w:r>
      <w:r>
        <w:t xml:space="preserve">The Engagement Letter (§7) and the Lock-Up Form (§3) set the threshold at</w:t>
      </w:r>
      <w:r>
        <w:t xml:space="preserve"> </w:t>
      </w:r>
      <w:r>
        <w:t xml:space="preserve">“</w:t>
      </w:r>
      <w:r>
        <w:t xml:space="preserve">more than one percent (1%)</w:t>
      </w:r>
      <w:r>
        <w:t xml:space="preserve">”</w:t>
      </w:r>
      <w:r>
        <w:t xml:space="preserve"> </w:t>
      </w:r>
      <w:r>
        <w:t xml:space="preserve">of outstanding shares. The S-1 (§VIII; §XI.D) says</w:t>
      </w:r>
      <w:r>
        <w:t xml:space="preserve"> </w:t>
      </w:r>
      <w:r>
        <w:t xml:space="preserve">“</w:t>
      </w:r>
      <w:r>
        <w:t xml:space="preserve">a material number of shares.</w:t>
      </w:r>
      <w:r>
        <w:t xml:space="preserve">”</w:t>
      </w:r>
    </w:p>
    <w:p>
      <w:pPr>
        <w:pStyle w:val="BodyText"/>
      </w:pPr>
      <w:r>
        <w:rPr>
          <w:b/>
          <w:bCs/>
        </w:rPr>
        <w:t xml:space="preserve">Recommendation.</w:t>
      </w:r>
      <w:r>
        <w:t xml:space="preserve"> </w:t>
      </w:r>
      <w:r>
        <w:t xml:space="preserve">The 1% threshold in the executed Lock-Up Form governs. Conform the Term Sheet and the S-1 language to</w:t>
      </w:r>
      <w:r>
        <w:t xml:space="preserve"> </w:t>
      </w:r>
      <w:r>
        <w:t xml:space="preserve">“</w:t>
      </w:r>
      <w:r>
        <w:t xml:space="preserve">1%.</w:t>
      </w:r>
      <w:r>
        <w:t xml:space="preserve">”</w:t>
      </w:r>
      <w:r>
        <w:t xml:space="preserve"> </w:t>
      </w:r>
      <w:r>
        <w:t xml:space="preserve">The UA (§7.8) references the Lock-Up Form. No substantive change required.</w:t>
      </w:r>
    </w:p>
    <w:p>
      <w:pPr>
        <w:pStyle w:val="BodyText"/>
      </w:pPr>
      <w:r>
        <w:rPr>
          <w:b/>
          <w:bCs/>
        </w:rPr>
        <w:t xml:space="preserve">Severity.</w:t>
      </w:r>
      <w:r>
        <w:t xml:space="preserve"> </w:t>
      </w:r>
      <w:r>
        <w:t xml:space="preserve">Minor.</w:t>
      </w:r>
    </w:p>
    <w:bookmarkEnd w:id="36"/>
    <w:bookmarkStart w:id="37" w:name="Xe34b4a45f3f67cf5abd14193e64f4235be88f10"/>
    <w:p>
      <w:pPr>
        <w:pStyle w:val="Heading3"/>
      </w:pPr>
      <w:r>
        <w:t xml:space="preserve">Issue 15 — Lock-Up Exceptions Narrower in Term Sheet than in the Lock-Up Form and S-1</w:t>
      </w:r>
    </w:p>
    <w:p>
      <w:pPr>
        <w:pStyle w:val="FirstParagraph"/>
      </w:pPr>
      <w:r>
        <w:rPr>
          <w:b/>
          <w:bCs/>
        </w:rPr>
        <w:t xml:space="preserve">Identification.</w:t>
      </w:r>
      <w:r>
        <w:t xml:space="preserve"> </w:t>
      </w:r>
      <w:r>
        <w:t xml:space="preserve">The Term Sheet (§10.1) lists four exceptions (gifts, estate-planning trusts, operation of law, Rule 10b5-1 plans). The Lock-Up Form (§2) and the S-1 (§VIII; §XI.D) include broader exceptions (additionally: transfers to affiliates/members, pro rata distributions, option exercise/sell-to-cover, shares sold in the offering, transfers to the Company).</w:t>
      </w:r>
    </w:p>
    <w:p>
      <w:pPr>
        <w:pStyle w:val="BodyText"/>
      </w:pPr>
      <w:r>
        <w:rPr>
          <w:b/>
          <w:bCs/>
        </w:rPr>
        <w:t xml:space="preserve">Recommendation.</w:t>
      </w:r>
      <w:r>
        <w:t xml:space="preserve"> </w:t>
      </w:r>
      <w:r>
        <w:t xml:space="preserve">The Lock-Up Form’s exceptions govern. Conform the Term Sheet. The UA (§7.8; Exhibit A) references the Lock-Up Form.</w:t>
      </w:r>
    </w:p>
    <w:p>
      <w:pPr>
        <w:pStyle w:val="BodyText"/>
      </w:pPr>
      <w:r>
        <w:rPr>
          <w:b/>
          <w:bCs/>
        </w:rPr>
        <w:t xml:space="preserve">Severity.</w:t>
      </w:r>
      <w:r>
        <w:t xml:space="preserve"> </w:t>
      </w:r>
      <w:r>
        <w:t xml:space="preserve">Minor.</w:t>
      </w:r>
    </w:p>
    <w:bookmarkEnd w:id="37"/>
    <w:bookmarkStart w:id="38" w:name="Xd078b2fe65f01ee3196d71aef6744f0ecebf406"/>
    <w:p>
      <w:pPr>
        <w:pStyle w:val="Heading3"/>
      </w:pPr>
      <w:r>
        <w:t xml:space="preserve">Issue 16 — Lock-Up Threshold Phrasing:</w:t>
      </w:r>
      <w:r>
        <w:t xml:space="preserve"> </w:t>
      </w:r>
      <w:r>
        <w:t xml:space="preserve">“</w:t>
      </w:r>
      <w:r>
        <w:t xml:space="preserve">1% or more</w:t>
      </w:r>
      <w:r>
        <w:t xml:space="preserve">”</w:t>
      </w:r>
      <w:r>
        <w:t xml:space="preserve"> </w:t>
      </w:r>
      <w:r>
        <w:t xml:space="preserve">vs. </w:t>
      </w:r>
      <w:r>
        <w:t xml:space="preserve">“</w:t>
      </w:r>
      <w:r>
        <w:t xml:space="preserve">more than 1%</w:t>
      </w:r>
      <w:r>
        <w:t xml:space="preserve">”</w:t>
      </w:r>
      <w:r>
        <w:t xml:space="preserve"> </w:t>
      </w:r>
      <w:r>
        <w:t xml:space="preserve">(internal S-1 inconsistency)</w:t>
      </w:r>
    </w:p>
    <w:p>
      <w:pPr>
        <w:pStyle w:val="FirstParagraph"/>
      </w:pPr>
      <w:r>
        <w:rPr>
          <w:b/>
          <w:bCs/>
        </w:rPr>
        <w:t xml:space="preserve">Identification.</w:t>
      </w:r>
      <w:r>
        <w:t xml:space="preserve"> </w:t>
      </w:r>
      <w:r>
        <w:t xml:space="preserve">The Term Sheet and Engagement Letter say</w:t>
      </w:r>
      <w:r>
        <w:t xml:space="preserve"> </w:t>
      </w:r>
      <w:r>
        <w:t xml:space="preserve">“</w:t>
      </w:r>
      <w:r>
        <w:t xml:space="preserve">holders of 1% or more.</w:t>
      </w:r>
      <w:r>
        <w:t xml:space="preserve">”</w:t>
      </w:r>
      <w:r>
        <w:t xml:space="preserve"> </w:t>
      </w:r>
      <w:r>
        <w:t xml:space="preserve">The S-1 says</w:t>
      </w:r>
      <w:r>
        <w:t xml:space="preserve"> </w:t>
      </w:r>
      <w:r>
        <w:t xml:space="preserve">“</w:t>
      </w:r>
      <w:r>
        <w:t xml:space="preserve">holders of more than 1%</w:t>
      </w:r>
      <w:r>
        <w:t xml:space="preserve">”</w:t>
      </w:r>
      <w:r>
        <w:t xml:space="preserve"> </w:t>
      </w:r>
      <w:r>
        <w:t xml:space="preserve">(§VIII; §XI.D) in some places and</w:t>
      </w:r>
      <w:r>
        <w:t xml:space="preserve"> </w:t>
      </w:r>
      <w:r>
        <w:t xml:space="preserve">“</w:t>
      </w:r>
      <w:r>
        <w:t xml:space="preserve">holders of 1% or more</w:t>
      </w:r>
      <w:r>
        <w:t xml:space="preserve">”</w:t>
      </w:r>
      <w:r>
        <w:t xml:space="preserve"> </w:t>
      </w:r>
      <w:r>
        <w:t xml:space="preserve">(§III.D) in another.</w:t>
      </w:r>
    </w:p>
    <w:p>
      <w:pPr>
        <w:pStyle w:val="BodyText"/>
      </w:pPr>
      <w:r>
        <w:rPr>
          <w:b/>
          <w:bCs/>
        </w:rPr>
        <w:t xml:space="preserve">Recommendation.</w:t>
      </w:r>
      <w:r>
        <w:t xml:space="preserve"> </w:t>
      </w:r>
      <w:r>
        <w:t xml:space="preserve">Conform the S-1 to a single formulation. Practically, the same parties are locked up either way (all directors and officers, plus 5%+ holders Cascade and Northlight, plus Nishimura (2.02%) and Reeves (1.24%)).</w:t>
      </w:r>
    </w:p>
    <w:p>
      <w:pPr>
        <w:pStyle w:val="BodyText"/>
      </w:pPr>
      <w:r>
        <w:rPr>
          <w:b/>
          <w:bCs/>
        </w:rPr>
        <w:t xml:space="preserve">Severity.</w:t>
      </w:r>
      <w:r>
        <w:t xml:space="preserve"> </w:t>
      </w:r>
      <w:r>
        <w:t xml:space="preserve">Minor.</w:t>
      </w:r>
    </w:p>
    <w:bookmarkEnd w:id="38"/>
    <w:bookmarkStart w:id="39" w:name="X12ba4e00822185498e42a8b6137733e0654f98b"/>
    <w:p>
      <w:pPr>
        <w:pStyle w:val="Heading3"/>
      </w:pPr>
      <w:r>
        <w:t xml:space="preserve">Issue 17 — S-1 Cover Page Labels Hargrove as</w:t>
      </w:r>
      <w:r>
        <w:t xml:space="preserve"> </w:t>
      </w:r>
      <w:r>
        <w:t xml:space="preserve">“</w:t>
      </w:r>
      <w:r>
        <w:t xml:space="preserve">Joint Book-Running Manager</w:t>
      </w:r>
      <w:r>
        <w:t xml:space="preserve">”</w:t>
      </w:r>
    </w:p>
    <w:p>
      <w:pPr>
        <w:pStyle w:val="FirstParagraph"/>
      </w:pPr>
      <w:r>
        <w:rPr>
          <w:b/>
          <w:bCs/>
        </w:rPr>
        <w:t xml:space="preserve">Identification.</w:t>
      </w:r>
      <w:r>
        <w:t xml:space="preserve"> </w:t>
      </w:r>
      <w:r>
        <w:t xml:space="preserve">The S-1 cover page labels Hargrove Securities LLC as</w:t>
      </w:r>
      <w:r>
        <w:t xml:space="preserve"> </w:t>
      </w:r>
      <w:r>
        <w:t xml:space="preserve">“</w:t>
      </w:r>
      <w:r>
        <w:t xml:space="preserve">Joint Book-Running Manager</w:t>
      </w:r>
      <w:r>
        <w:t xml:space="preserve">”</w:t>
      </w:r>
      <w:r>
        <w:t xml:space="preserve"> </w:t>
      </w:r>
      <w:r>
        <w:t xml:space="preserve">(a single entity), inconsistent with the S-1’s own §XI.A (</w:t>
      </w:r>
      <w:r>
        <w:t xml:space="preserve">“</w:t>
      </w:r>
      <w:r>
        <w:t xml:space="preserve">lead book-running manager</w:t>
      </w:r>
      <w:r>
        <w:t xml:space="preserve">”</w:t>
      </w:r>
      <w:r>
        <w:t xml:space="preserve">) and the Term Sheet/Engagement Letter (</w:t>
      </w:r>
      <w:r>
        <w:t xml:space="preserve">“</w:t>
      </w:r>
      <w:r>
        <w:t xml:space="preserve">Lead Book-Runner</w:t>
      </w:r>
      <w:r>
        <w:t xml:space="preserve">”</w:t>
      </w:r>
      <w:r>
        <w:t xml:space="preserve"> </w:t>
      </w:r>
      <w:r>
        <w:t xml:space="preserve">/</w:t>
      </w:r>
      <w:r>
        <w:t xml:space="preserve"> </w:t>
      </w:r>
      <w:r>
        <w:t xml:space="preserve">“</w:t>
      </w:r>
      <w:r>
        <w:t xml:space="preserve">lead book-running manager</w:t>
      </w:r>
      <w:r>
        <w:t xml:space="preserve">”</w:t>
      </w:r>
      <w:r>
        <w:t xml:space="preserve">).</w:t>
      </w:r>
      <w:r>
        <w:t xml:space="preserve"> </w:t>
      </w:r>
      <w:r>
        <w:t xml:space="preserve">“</w:t>
      </w:r>
      <w:r>
        <w:t xml:space="preserve">Joint Book-Running Manager</w:t>
      </w:r>
      <w:r>
        <w:t xml:space="preserve">”</w:t>
      </w:r>
      <w:r>
        <w:t xml:space="preserve"> </w:t>
      </w:r>
      <w:r>
        <w:t xml:space="preserve">conventionally implies multiple book-runners.</w:t>
      </w:r>
    </w:p>
    <w:p>
      <w:pPr>
        <w:pStyle w:val="BodyText"/>
      </w:pPr>
      <w:r>
        <w:rPr>
          <w:b/>
          <w:bCs/>
        </w:rPr>
        <w:t xml:space="preserve">Recommendation.</w:t>
      </w:r>
      <w:r>
        <w:t xml:space="preserve"> </w:t>
      </w:r>
      <w:r>
        <w:t xml:space="preserve">Correct the S-1 cover page to</w:t>
      </w:r>
      <w:r>
        <w:t xml:space="preserve"> </w:t>
      </w:r>
      <w:r>
        <w:t xml:space="preserve">“</w:t>
      </w:r>
      <w:r>
        <w:t xml:space="preserve">Book-Running Manager</w:t>
      </w:r>
      <w:r>
        <w:t xml:space="preserve">”</w:t>
      </w:r>
      <w:r>
        <w:t xml:space="preserve"> </w:t>
      </w:r>
      <w:r>
        <w:t xml:space="preserve">or</w:t>
      </w:r>
      <w:r>
        <w:t xml:space="preserve"> </w:t>
      </w:r>
      <w:r>
        <w:t xml:space="preserve">“</w:t>
      </w:r>
      <w:r>
        <w:t xml:space="preserve">Lead Book-Running Manager.</w:t>
      </w:r>
      <w:r>
        <w:t xml:space="preserve">”</w:t>
      </w:r>
      <w:r>
        <w:t xml:space="preserve"> </w:t>
      </w:r>
      <w:r>
        <w:t xml:space="preserve">Conform the UA (which designates Hargrove as</w:t>
      </w:r>
      <w:r>
        <w:t xml:space="preserve"> </w:t>
      </w:r>
      <w:r>
        <w:t xml:space="preserve">“</w:t>
      </w:r>
      <w:r>
        <w:t xml:space="preserve">lead book-running manager and representative</w:t>
      </w:r>
      <w:r>
        <w:t xml:space="preserve">”</w:t>
      </w:r>
      <w:r>
        <w:t xml:space="preserve">).</w:t>
      </w:r>
    </w:p>
    <w:p>
      <w:pPr>
        <w:pStyle w:val="BodyText"/>
      </w:pPr>
      <w:r>
        <w:rPr>
          <w:b/>
          <w:bCs/>
        </w:rPr>
        <w:t xml:space="preserve">Severity.</w:t>
      </w:r>
      <w:r>
        <w:t xml:space="preserve"> </w:t>
      </w:r>
      <w:r>
        <w:t xml:space="preserve">Minor.</w:t>
      </w:r>
    </w:p>
    <w:bookmarkEnd w:id="39"/>
    <w:bookmarkStart w:id="40" w:name="Xc14aa09b9dd51428150fc0291d9531fa8b9fcc0"/>
    <w:p>
      <w:pPr>
        <w:pStyle w:val="Heading3"/>
      </w:pPr>
      <w:r>
        <w:t xml:space="preserve">Issue 18 — Dr. Krishnamurthy Shares Currently Held:</w:t>
      </w:r>
      <w:r>
        <w:t xml:space="preserve"> </w:t>
      </w:r>
      <w:r>
        <w:t xml:space="preserve">“</w:t>
      </w:r>
      <w:r>
        <w:t xml:space="preserve">approximately 8.5 million</w:t>
      </w:r>
      <w:r>
        <w:t xml:space="preserve">”</w:t>
      </w:r>
      <w:r>
        <w:t xml:space="preserve"> </w:t>
      </w:r>
      <w:r>
        <w:t xml:space="preserve">(Term Sheet) vs. 8,400,000 (S-1/POA/Engagement Letter)</w:t>
      </w:r>
    </w:p>
    <w:p>
      <w:pPr>
        <w:pStyle w:val="FirstParagraph"/>
      </w:pPr>
      <w:r>
        <w:rPr>
          <w:b/>
          <w:bCs/>
        </w:rPr>
        <w:t xml:space="preserve">Identification.</w:t>
      </w:r>
      <w:r>
        <w:t xml:space="preserve"> </w:t>
      </w:r>
      <w:r>
        <w:t xml:space="preserve">The Term Sheet (§2.1; §6.1) says Dr. Krishnamurthy</w:t>
      </w:r>
      <w:r>
        <w:t xml:space="preserve"> </w:t>
      </w:r>
      <w:r>
        <w:t xml:space="preserve">“</w:t>
      </w:r>
      <w:r>
        <w:t xml:space="preserve">currently holds approximately 8.5 million shares.</w:t>
      </w:r>
      <w:r>
        <w:t xml:space="preserve">”</w:t>
      </w:r>
      <w:r>
        <w:t xml:space="preserve"> </w:t>
      </w:r>
      <w:r>
        <w:t xml:space="preserve">The S-1 beneficial-ownership table (8,400,000 = 7,600,000 direct + 800,000 options), the Engagement Letter (Annex A), and the POA (Schedule A) all say 8,400,000.</w:t>
      </w:r>
    </w:p>
    <w:p>
      <w:pPr>
        <w:pStyle w:val="BodyText"/>
      </w:pPr>
      <w:r>
        <w:rPr>
          <w:b/>
          <w:bCs/>
        </w:rPr>
        <w:t xml:space="preserve">Recommendation.</w:t>
      </w:r>
      <w:r>
        <w:t xml:space="preserve"> </w:t>
      </w:r>
      <w:r>
        <w:t xml:space="preserve">Conform the Term Sheet to 8,400,000. The UA Schedule II and S-1 use 8,400,000.</w:t>
      </w:r>
    </w:p>
    <w:p>
      <w:pPr>
        <w:pStyle w:val="BodyText"/>
      </w:pPr>
      <w:r>
        <w:rPr>
          <w:b/>
          <w:bCs/>
        </w:rPr>
        <w:t xml:space="preserve">Severity.</w:t>
      </w:r>
      <w:r>
        <w:t xml:space="preserve"> </w:t>
      </w:r>
      <w:r>
        <w:t xml:space="preserve">Minor.</w:t>
      </w:r>
    </w:p>
    <w:bookmarkEnd w:id="40"/>
    <w:bookmarkStart w:id="41" w:name="X8f242a94b2aced12c6d7788ef6e9f3bcd19ce8d"/>
    <w:p>
      <w:pPr>
        <w:pStyle w:val="Heading3"/>
      </w:pPr>
      <w:r>
        <w:t xml:space="preserve">Issue 19 — Comfort Letter</w:t>
      </w:r>
      <w:r>
        <w:t xml:space="preserve"> </w:t>
      </w:r>
      <w:r>
        <w:t xml:space="preserve">“</w:t>
      </w:r>
      <w:r>
        <w:t xml:space="preserve">Representatives</w:t>
      </w:r>
      <w:r>
        <w:t xml:space="preserve">”</w:t>
      </w:r>
      <w:r>
        <w:t xml:space="preserve"> </w:t>
      </w:r>
      <w:r>
        <w:t xml:space="preserve">(Plural) vs. Hargrove as Sole Lead Representative</w:t>
      </w:r>
    </w:p>
    <w:p>
      <w:pPr>
        <w:pStyle w:val="FirstParagraph"/>
      </w:pPr>
      <w:r>
        <w:rPr>
          <w:b/>
          <w:bCs/>
        </w:rPr>
        <w:t xml:space="preserve">Identification.</w:t>
      </w:r>
      <w:r>
        <w:t xml:space="preserve"> </w:t>
      </w:r>
      <w:r>
        <w:t xml:space="preserve">The Comfort Letter states</w:t>
      </w:r>
      <w:r>
        <w:t xml:space="preserve"> </w:t>
      </w:r>
      <w:r>
        <w:t xml:space="preserve">“</w:t>
      </w:r>
      <w:r>
        <w:t xml:space="preserve">Hargrove Securities LLC and Bellweather Capital Markets, Inc. are acting as Representatives.</w:t>
      </w:r>
      <w:r>
        <w:t xml:space="preserve">”</w:t>
      </w:r>
      <w:r>
        <w:t xml:space="preserve"> </w:t>
      </w:r>
      <w:r>
        <w:t xml:space="preserve">The Term Sheet, Lock-Up Form, and POA consistently give Hargrove sole authority (over-allotment exercise, lock-up release, termination). The UA designates Hargrove as the</w:t>
      </w:r>
      <w:r>
        <w:t xml:space="preserve"> </w:t>
      </w:r>
      <w:r>
        <w:t xml:space="preserve">“</w:t>
      </w:r>
      <w:r>
        <w:t xml:space="preserve">Representative</w:t>
      </w:r>
      <w:r>
        <w:t xml:space="preserve">”</w:t>
      </w:r>
      <w:r>
        <w:t xml:space="preserve"> </w:t>
      </w:r>
      <w:r>
        <w:t xml:space="preserve">with sole authority (UA §11.10).</w:t>
      </w:r>
    </w:p>
    <w:p>
      <w:pPr>
        <w:pStyle w:val="BodyText"/>
      </w:pPr>
      <w:r>
        <w:rPr>
          <w:b/>
          <w:bCs/>
        </w:rPr>
        <w:t xml:space="preserve">Recommendation.</w:t>
      </w:r>
      <w:r>
        <w:t xml:space="preserve"> </w:t>
      </w:r>
      <w:r>
        <w:t xml:space="preserve">Confirm whether Bellweather is a</w:t>
      </w:r>
      <w:r>
        <w:t xml:space="preserve"> </w:t>
      </w:r>
      <w:r>
        <w:t xml:space="preserve">“</w:t>
      </w:r>
      <w:r>
        <w:t xml:space="preserve">Representative</w:t>
      </w:r>
      <w:r>
        <w:t xml:space="preserve">”</w:t>
      </w:r>
      <w:r>
        <w:t xml:space="preserve"> </w:t>
      </w:r>
      <w:r>
        <w:t xml:space="preserve">for any UA purpose or whether Hargrove is the sole Representative. The UA treats Hargrove as the sole Representative with authority to act on behalf of the several Underwriters. Conform the Comfort Letter’s addressee block if necessary (the Comfort Letter is addressed to both, which is acceptable as a practical matter, but the UA’s</w:t>
      </w:r>
      <w:r>
        <w:t xml:space="preserve"> </w:t>
      </w:r>
      <w:r>
        <w:t xml:space="preserve">“</w:t>
      </w:r>
      <w:r>
        <w:t xml:space="preserve">Representative</w:t>
      </w:r>
      <w:r>
        <w:t xml:space="preserve">”</w:t>
      </w:r>
      <w:r>
        <w:t xml:space="preserve"> </w:t>
      </w:r>
      <w:r>
        <w:t xml:space="preserve">is Hargrove).</w:t>
      </w:r>
    </w:p>
    <w:p>
      <w:pPr>
        <w:pStyle w:val="BodyText"/>
      </w:pPr>
      <w:r>
        <w:rPr>
          <w:b/>
          <w:bCs/>
        </w:rPr>
        <w:t xml:space="preserve">Severity.</w:t>
      </w:r>
      <w:r>
        <w:t xml:space="preserve"> </w:t>
      </w:r>
      <w:r>
        <w:t xml:space="preserve">Minor.</w:t>
      </w:r>
    </w:p>
    <w:bookmarkEnd w:id="41"/>
    <w:bookmarkStart w:id="42" w:name="X8389ee6ce36904cb3b0ee27d92b1ace6b7a8226"/>
    <w:p>
      <w:pPr>
        <w:pStyle w:val="Heading3"/>
      </w:pPr>
      <w:r>
        <w:t xml:space="preserve">Issue 20 — Comfort Letter Change-Period Cutoff (March 10) vs. Pricing Date (March 19)</w:t>
      </w:r>
    </w:p>
    <w:p>
      <w:pPr>
        <w:pStyle w:val="FirstParagraph"/>
      </w:pPr>
      <w:r>
        <w:rPr>
          <w:b/>
          <w:bCs/>
        </w:rPr>
        <w:t xml:space="preserve">Identification.</w:t>
      </w:r>
      <w:r>
        <w:t xml:space="preserve"> </w:t>
      </w:r>
      <w:r>
        <w:t xml:space="preserve">The draft Comfort Letter’s negative assurance extends only through March 10, 2025 (the</w:t>
      </w:r>
      <w:r>
        <w:t xml:space="preserve"> </w:t>
      </w:r>
      <w:r>
        <w:t xml:space="preserve">“</w:t>
      </w:r>
      <w:r>
        <w:t xml:space="preserve">Change Period</w:t>
      </w:r>
      <w:r>
        <w:t xml:space="preserve">”</w:t>
      </w:r>
      <w:r>
        <w:t xml:space="preserve">), but the Pricing Date is March 19, 2025 — a 9-day gap. The Comfort Letter is dated March 18, 2025.</w:t>
      </w:r>
    </w:p>
    <w:p>
      <w:pPr>
        <w:pStyle w:val="BodyText"/>
      </w:pPr>
      <w:r>
        <w:rPr>
          <w:b/>
          <w:bCs/>
        </w:rPr>
        <w:t xml:space="preserve">Recommendation.</w:t>
      </w:r>
      <w:r>
        <w:t xml:space="preserve"> </w:t>
      </w:r>
      <w:r>
        <w:t xml:space="preserve">The final pricing Comfort Letter should cover through a date closer to the Pricing Date (customarily within a few days). The bring-down Comfort Letter at closing (March 24) will update the negative assurance through ~3 business days prior. Confirm the final Comfort Letter cutoff is acceptable to Underwriters’ Counsel. Also reconcile the Comfort Letter date: the Term Sheet (§8.1) lists March 18, but the Comfort Letter states the final will be</w:t>
      </w:r>
      <w:r>
        <w:t xml:space="preserve"> </w:t>
      </w:r>
      <w:r>
        <w:t xml:space="preserve">“</w:t>
      </w:r>
      <w:r>
        <w:t xml:space="preserve">dated as of the pricing date</w:t>
      </w:r>
      <w:r>
        <w:t xml:space="preserve">”</w:t>
      </w:r>
      <w:r>
        <w:t xml:space="preserve"> </w:t>
      </w:r>
      <w:r>
        <w:t xml:space="preserve">(March 19), and the Engagement Letter says</w:t>
      </w:r>
      <w:r>
        <w:t xml:space="preserve"> </w:t>
      </w:r>
      <w:r>
        <w:t xml:space="preserve">“</w:t>
      </w:r>
      <w:r>
        <w:t xml:space="preserve">dated as of the date of the Final Prospectus.</w:t>
      </w:r>
      <w:r>
        <w:t xml:space="preserve">”</w:t>
      </w:r>
    </w:p>
    <w:p>
      <w:pPr>
        <w:pStyle w:val="BodyText"/>
      </w:pPr>
      <w:r>
        <w:rPr>
          <w:b/>
          <w:bCs/>
        </w:rPr>
        <w:t xml:space="preserve">Severity.</w:t>
      </w:r>
      <w:r>
        <w:t xml:space="preserve"> </w:t>
      </w:r>
      <w:r>
        <w:t xml:space="preserve">Minor.</w:t>
      </w:r>
    </w:p>
    <w:bookmarkEnd w:id="42"/>
    <w:bookmarkStart w:id="43" w:name="X927519ba668dddd06ff4c69a9c5adef61801285"/>
    <w:p>
      <w:pPr>
        <w:pStyle w:val="Heading3"/>
      </w:pPr>
      <w:r>
        <w:t xml:space="preserve">Issue 21 — POA Hardcodes the Underwriting Discount at $1.44 per Share</w:t>
      </w:r>
    </w:p>
    <w:p>
      <w:pPr>
        <w:pStyle w:val="FirstParagraph"/>
      </w:pPr>
      <w:r>
        <w:rPr>
          <w:b/>
          <w:bCs/>
        </w:rPr>
        <w:t xml:space="preserve">Identification.</w:t>
      </w:r>
      <w:r>
        <w:t xml:space="preserve"> </w:t>
      </w:r>
      <w:r>
        <w:t xml:space="preserve">The POA (§5) hardcodes the underwriting discount at</w:t>
      </w:r>
      <w:r>
        <w:t xml:space="preserve"> </w:t>
      </w:r>
      <w:r>
        <w:t xml:space="preserve">“</w:t>
      </w:r>
      <w:r>
        <w:t xml:space="preserve">$1.44 per share,</w:t>
      </w:r>
      <w:r>
        <w:t xml:space="preserve">”</w:t>
      </w:r>
      <w:r>
        <w:t xml:space="preserve"> </w:t>
      </w:r>
      <w:r>
        <w:t xml:space="preserve">which is correct only at the assumed Public Offering Price of $24.00. If the final Public Offering Price differs from $24.00, the discount will be 6.0% of the actual price (not $1.44).</w:t>
      </w:r>
    </w:p>
    <w:p>
      <w:pPr>
        <w:pStyle w:val="BodyText"/>
      </w:pPr>
      <w:r>
        <w:rPr>
          <w:b/>
          <w:bCs/>
        </w:rPr>
        <w:t xml:space="preserve">Recommendation.</w:t>
      </w:r>
      <w:r>
        <w:t xml:space="preserve"> </w:t>
      </w:r>
      <w:r>
        <w:t xml:space="preserve">Amend the POA to reference the underwriting discount</w:t>
      </w:r>
      <w:r>
        <w:t xml:space="preserve"> </w:t>
      </w:r>
      <w:r>
        <w:t xml:space="preserve">“</w:t>
      </w:r>
      <w:r>
        <w:t xml:space="preserve">as set forth in the Underwriting Agreement</w:t>
      </w:r>
      <w:r>
        <w:t xml:space="preserve">”</w:t>
      </w:r>
      <w:r>
        <w:t xml:space="preserve"> </w:t>
      </w:r>
      <w:r>
        <w:t xml:space="preserve">rather than a hardcoded $1.44. The UA (§4.1) sets the discount at 6.0% of the Public Offering Price.</w:t>
      </w:r>
    </w:p>
    <w:p>
      <w:pPr>
        <w:pStyle w:val="BodyText"/>
      </w:pPr>
      <w:r>
        <w:rPr>
          <w:b/>
          <w:bCs/>
        </w:rPr>
        <w:t xml:space="preserve">Severity.</w:t>
      </w:r>
      <w:r>
        <w:t xml:space="preserve"> </w:t>
      </w:r>
      <w:r>
        <w:t xml:space="preserve">Minor.</w:t>
      </w:r>
    </w:p>
    <w:bookmarkEnd w:id="43"/>
    <w:bookmarkStart w:id="44" w:name="issue-22-finra-filing-fee-amount"/>
    <w:p>
      <w:pPr>
        <w:pStyle w:val="Heading3"/>
      </w:pPr>
      <w:r>
        <w:t xml:space="preserve">Issue 22 — FINRA Filing Fee Amount</w:t>
      </w:r>
    </w:p>
    <w:p>
      <w:pPr>
        <w:pStyle w:val="FirstParagraph"/>
      </w:pPr>
      <w:r>
        <w:rPr>
          <w:b/>
          <w:bCs/>
        </w:rPr>
        <w:t xml:space="preserve">Identification.</w:t>
      </w:r>
      <w:r>
        <w:t xml:space="preserve"> </w:t>
      </w:r>
      <w:r>
        <w:t xml:space="preserve">The Engagement Letter (§5; §13) estimates the FINRA filing fee at $21,780 (a Company expense). The Term Sheet (§9) does not specify the amount.</w:t>
      </w:r>
    </w:p>
    <w:p>
      <w:pPr>
        <w:pStyle w:val="BodyText"/>
      </w:pPr>
      <w:r>
        <w:rPr>
          <w:b/>
          <w:bCs/>
        </w:rPr>
        <w:t xml:space="preserve">Recommendation.</w:t>
      </w:r>
      <w:r>
        <w:t xml:space="preserve"> </w:t>
      </w:r>
      <w:r>
        <w:t xml:space="preserve">Confirm the FINRA filing fee amount. The UA (§7.10) references the estimated $21,780 as a Company expense. Update if the final amount differs.</w:t>
      </w:r>
    </w:p>
    <w:p>
      <w:pPr>
        <w:pStyle w:val="BodyText"/>
      </w:pPr>
      <w:r>
        <w:rPr>
          <w:b/>
          <w:bCs/>
        </w:rPr>
        <w:t xml:space="preserve">Severity.</w:t>
      </w:r>
      <w:r>
        <w:t xml:space="preserve"> </w:t>
      </w:r>
      <w:r>
        <w:t xml:space="preserve">Minor.</w:t>
      </w:r>
    </w:p>
    <w:p>
      <w:r>
        <w:pict>
          <v:rect style="width:0;height:1.5pt" o:hralign="center" o:hrstd="t" o:hr="t"/>
        </w:pict>
      </w:r>
    </w:p>
    <w:bookmarkEnd w:id="44"/>
    <w:bookmarkEnd w:id="45"/>
    <w:bookmarkStart w:id="46" w:name="X9e0cd7a9c61cbead51b1f6275d72230f2cf41c0"/>
    <w:p>
      <w:pPr>
        <w:pStyle w:val="Heading2"/>
      </w:pPr>
      <w:r>
        <w:t xml:space="preserve">V. Open Items and Confirmations Required Before Closing</w:t>
      </w:r>
    </w:p>
    <w:p>
      <w:pPr>
        <w:pStyle w:val="FirstParagraph"/>
      </w:pPr>
      <w:r>
        <w:t xml:space="preserve">The following items must be confirmed or completed before the Closing Date. Several are flagged in the Credit Summary (§15) and require Company Counsel action.</w:t>
      </w:r>
    </w:p>
    <w:p>
      <w:pPr>
        <w:pStyle w:val="BodyText"/>
      </w:pPr>
      <w:r>
        <w:rPr>
          <w:b/>
          <w:bCs/>
        </w:rPr>
        <w:t xml:space="preserve">A. Credit Agreement confirmations (per Credit Summary §15):</w:t>
      </w:r>
    </w:p>
    <w:p>
      <w:pPr>
        <w:numPr>
          <w:ilvl w:val="0"/>
          <w:numId w:val="1001"/>
        </w:numPr>
      </w:pPr>
      <w:r>
        <w:rPr>
          <w:b/>
          <w:bCs/>
        </w:rPr>
        <w:t xml:space="preserve">Lender consent for the A&amp;R COI.</w:t>
      </w:r>
      <w:r>
        <w:t xml:space="preserve"> </w:t>
      </w:r>
      <w:r>
        <w:t xml:space="preserve">The Credit Agreement (Credit Summary §8) requires lender consent for material amendments to organizational documents. Confirm the lender consented to the Amended and Restated Certificate of Incorporation filed December 20, 2024, and whether any further IPO-related charter amendment requires consent. (The UA §5.23 representation covers no conflict with organizational documents.)</w:t>
      </w:r>
    </w:p>
    <w:p>
      <w:pPr>
        <w:numPr>
          <w:ilvl w:val="0"/>
          <w:numId w:val="1001"/>
        </w:numPr>
      </w:pPr>
      <w:r>
        <w:rPr>
          <w:b/>
          <w:bCs/>
        </w:rPr>
        <w:t xml:space="preserve">Equity-issuance prior notice.</w:t>
      </w:r>
      <w:r>
        <w:t xml:space="preserve"> </w:t>
      </w:r>
      <w:r>
        <w:t xml:space="preserve">The Credit Agreement requires at least 10 business days’ prior written notice of any equity issuance. Confirm timely notice of the IPO was given to the lender.</w:t>
      </w:r>
    </w:p>
    <w:p>
      <w:pPr>
        <w:numPr>
          <w:ilvl w:val="0"/>
          <w:numId w:val="1001"/>
        </w:numPr>
      </w:pPr>
      <w:r>
        <w:rPr>
          <w:b/>
          <w:bCs/>
        </w:rPr>
        <w:t xml:space="preserve">Change-of-control re-confirmation.</w:t>
      </w:r>
      <w:r>
        <w:t xml:space="preserve"> </w:t>
      </w:r>
      <w:r>
        <w:t xml:space="preserve">Re-confirm the post-IPO ownership structure does not trigger a change of control under the Credit Agreement — particularly important given the 35% threshold in the Credit Summary (vs. the 50% disclosed in the S-1) (Issue 2). Post-IPO, the largest holder is Dr. Krishnamurthy at 15.8%, below either threshold, but the analysis should be re-confirmed against the correct threshold.</w:t>
      </w:r>
    </w:p>
    <w:p>
      <w:pPr>
        <w:numPr>
          <w:ilvl w:val="0"/>
          <w:numId w:val="1001"/>
        </w:numPr>
      </w:pPr>
      <w:r>
        <w:rPr>
          <w:b/>
          <w:bCs/>
        </w:rPr>
        <w:t xml:space="preserve">Mandatory prepayment mechanics.</w:t>
      </w:r>
      <w:r>
        <w:t xml:space="preserve"> </w:t>
      </w:r>
      <w:r>
        <w:t xml:space="preserve">Confirm the mandatory prepayment (Issue 3) will be made within 5 business days of receipt of net proceeds, and that the post-prepayment facility balance and liquidity comply with the minimum-liquidity covenant.</w:t>
      </w:r>
    </w:p>
    <w:p>
      <w:pPr>
        <w:pStyle w:val="FirstParagraph"/>
      </w:pPr>
      <w:r>
        <w:rPr>
          <w:b/>
          <w:bCs/>
        </w:rPr>
        <w:t xml:space="preserve">B. Litigation and regulatory:</w:t>
      </w:r>
    </w:p>
    <w:p>
      <w:pPr>
        <w:numPr>
          <w:ilvl w:val="0"/>
          <w:numId w:val="1002"/>
        </w:numPr>
      </w:pPr>
      <w:r>
        <w:rPr>
          <w:b/>
          <w:bCs/>
        </w:rPr>
        <w:t xml:space="preserve">VitaBand litigation.</w:t>
      </w:r>
      <w:r>
        <w:t xml:space="preserve"> </w:t>
      </w:r>
      <w:r>
        <w:t xml:space="preserve">The VitaBand action (Case No. 6:24-cv-00891, E.D. Tex.) seeks $45M damages plus injunctive relief. The Credit Summary (§11) notes an adverse judgment exceeding $2M not stayed or insured would be an event of default under the Credit Agreement. The UA litigation representation (§5.15) discloses VitaBand as an exception. Confirm: (i) no loss reserve is consistent with the credit agreement’s material-adverse-change event of default; (ii) the Markman hearing (June 2025, post-closing) does not require a closing-date disclosure update; (iii) the bring-down Comfort Letter and officers’ certificate address any developments.</w:t>
      </w:r>
    </w:p>
    <w:p>
      <w:pPr>
        <w:numPr>
          <w:ilvl w:val="0"/>
          <w:numId w:val="1002"/>
        </w:numPr>
      </w:pPr>
      <w:r>
        <w:rPr>
          <w:b/>
          <w:bCs/>
        </w:rPr>
        <w:t xml:space="preserve">EEOC charge.</w:t>
      </w:r>
      <w:r>
        <w:t xml:space="preserve"> </w:t>
      </w:r>
      <w:r>
        <w:t xml:space="preserve">The EEOC charge ($250K–$500K exposure; $350K reserve) is below the Credit Agreement’s $2M judgment threshold. Disclose as an exception to the UA litigation representation (§5.15). Confirm reserve adequacy for the bring-down Comfort Letter.</w:t>
      </w:r>
    </w:p>
    <w:p>
      <w:pPr>
        <w:numPr>
          <w:ilvl w:val="0"/>
          <w:numId w:val="1002"/>
        </w:numPr>
      </w:pPr>
      <w:r>
        <w:rPr>
          <w:b/>
          <w:bCs/>
        </w:rPr>
        <w:t xml:space="preserve">FINRA clearance.</w:t>
      </w:r>
      <w:r>
        <w:t xml:space="preserve"> </w:t>
      </w:r>
      <w:r>
        <w:t xml:space="preserve">Confirm FINRA has cleared the underwriting arrangements under Rule 5110 (compensation ≤ 8% of gross proceeds; actual discount is 6.0%) and that no Rule 5121 disqualifying conflict exists (UA §8.10). Confirm the $500,000 non-consummation expense reimbursement (UA §10.4) and any other compensation are within the 8% cap.</w:t>
      </w:r>
    </w:p>
    <w:p>
      <w:pPr>
        <w:pStyle w:val="FirstParagraph"/>
      </w:pPr>
      <w:r>
        <w:rPr>
          <w:b/>
          <w:bCs/>
        </w:rPr>
        <w:t xml:space="preserve">C. Pricing and execution:</w:t>
      </w:r>
    </w:p>
    <w:p>
      <w:pPr>
        <w:numPr>
          <w:ilvl w:val="0"/>
          <w:numId w:val="1003"/>
        </w:numPr>
      </w:pPr>
      <w:r>
        <w:rPr>
          <w:b/>
          <w:bCs/>
        </w:rPr>
        <w:t xml:space="preserve">Final Public Offering Price.</w:t>
      </w:r>
      <w:r>
        <w:t xml:space="preserve"> </w:t>
      </w:r>
      <w:r>
        <w:t xml:space="preserve">All economics in the documents assume $24.00 per Share (the midpoint of the $22–$26 range). The final price is subject to agreement at pricing. If the final price differs from $24.00, update the UA schedules (per-share price, discount, net proceeds, allocations), the POA’s hardcoded $1.44 discount (Issue 21), and the S-1 pricing tables. The UA is drafted at $24.00; confirm the final price at pricing and conform if necessary.</w:t>
      </w:r>
    </w:p>
    <w:p>
      <w:pPr>
        <w:numPr>
          <w:ilvl w:val="0"/>
          <w:numId w:val="1003"/>
        </w:numPr>
      </w:pPr>
      <w:r>
        <w:rPr>
          <w:b/>
          <w:bCs/>
        </w:rPr>
        <w:t xml:space="preserve">Expense reimbursement upon non-consummation.</w:t>
      </w:r>
      <w:r>
        <w:t xml:space="preserve"> </w:t>
      </w:r>
      <w:r>
        <w:t xml:space="preserve">The Engagement Letter (§5) provides a $500,000 cap on Hargrove’s expense reimbursement if the offering is not consummated (other than Hargrove’s material breach). The Term Sheet (§9; §14.1) does not mention this cap. The UA (§10.3; §10.4) includes the $500,000 cap, consistent with the Engagement Letter. Confirm the Company agrees the $500,000 cap is reflected in the UA.</w:t>
      </w:r>
    </w:p>
    <w:p>
      <w:pPr>
        <w:numPr>
          <w:ilvl w:val="0"/>
          <w:numId w:val="1003"/>
        </w:numPr>
      </w:pPr>
      <w:r>
        <w:rPr>
          <w:b/>
          <w:bCs/>
        </w:rPr>
        <w:t xml:space="preserve">Selling Stockholder execution via POA.</w:t>
      </w:r>
      <w:r>
        <w:t xml:space="preserve"> </w:t>
      </w:r>
      <w:r>
        <w:t xml:space="preserve">Confirm each Selling Stockholder has duly executed the POA appointing David Nishimura (CFO) and Samantha Reeves (General Counsel) as attorneys-in-fact, and that the POA is valid and enforceable as to each Selling Stockholder (subject to resolution of the Cascade entity-name issue, Issue 5). The UA (§11.11) provides for Selling Stockholder execution via the POA.</w:t>
      </w:r>
    </w:p>
    <w:p>
      <w:pPr>
        <w:numPr>
          <w:ilvl w:val="0"/>
          <w:numId w:val="1003"/>
        </w:numPr>
      </w:pPr>
      <w:r>
        <w:rPr>
          <w:b/>
          <w:bCs/>
        </w:rPr>
        <w:t xml:space="preserve">Lock-Up Agreements.</w:t>
      </w:r>
      <w:r>
        <w:t xml:space="preserve"> </w:t>
      </w:r>
      <w:r>
        <w:t xml:space="preserve">Confirm executed Lock-Up Agreements are obtained from all directors, officers, and 1%+ holders (UA §7.8; Schedule III), including the supplemented Lock-Up Agreement for Dr. Krishnamurthy with the springing extension (Issue 9).</w:t>
      </w:r>
    </w:p>
    <w:p>
      <w:pPr>
        <w:numPr>
          <w:ilvl w:val="0"/>
          <w:numId w:val="1003"/>
        </w:numPr>
      </w:pPr>
      <w:r>
        <w:rPr>
          <w:b/>
          <w:bCs/>
        </w:rPr>
        <w:t xml:space="preserve">Nasdaq listing.</w:t>
      </w:r>
      <w:r>
        <w:t xml:space="preserve"> </w:t>
      </w:r>
      <w:r>
        <w:t xml:space="preserve">Confirm Nasdaq has approved the Shares for listing, subject to official notice of issuance (UA §8.8).</w:t>
      </w:r>
    </w:p>
    <w:p>
      <w:pPr>
        <w:numPr>
          <w:ilvl w:val="0"/>
          <w:numId w:val="1003"/>
        </w:numPr>
      </w:pPr>
      <w:r>
        <w:rPr>
          <w:b/>
          <w:bCs/>
        </w:rPr>
        <w:t xml:space="preserve">Closing opinions and certificates.</w:t>
      </w:r>
      <w:r>
        <w:t xml:space="preserve"> </w:t>
      </w:r>
      <w:r>
        <w:t xml:space="preserve">Confirm Company Counsel’s opinion and negative assurance letter, Underwriters’ Counsel’s opinion, the officers’ certificate (CEO + CFO), and the secretary’s certificate will be delivered at closing (UA §§7.5–7.7, 8.4–8.6).</w:t>
      </w:r>
    </w:p>
    <w:p>
      <w:r>
        <w:pict>
          <v:rect style="width:0;height:1.5pt" o:hralign="center" o:hrstd="t" o:hr="t"/>
        </w:pict>
      </w:r>
    </w:p>
    <w:bookmarkEnd w:id="46"/>
    <w:bookmarkStart w:id="47" w:name="vi.-consolidated-status-table"/>
    <w:p>
      <w:pPr>
        <w:pStyle w:val="Heading2"/>
      </w:pPr>
      <w:r>
        <w:t xml:space="preserve">VI. Consolidated Status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Source conflict</w:t>
            </w:r>
          </w:p>
        </w:tc>
        <w:tc>
          <w:tcPr/>
          <w:p>
            <w:pPr>
              <w:pStyle w:val="Compact"/>
              <w:jc w:val="left"/>
            </w:pPr>
            <w:r>
              <w:t xml:space="preserve">UA treatment</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Lender name: Oakvale vs. Ridgemont</w:t>
            </w:r>
          </w:p>
        </w:tc>
        <w:tc>
          <w:tcPr/>
          <w:p>
            <w:pPr>
              <w:pStyle w:val="Compact"/>
              <w:jc w:val="left"/>
            </w:pPr>
            <w:r>
              <w:t xml:space="preserve">Critical</w:t>
            </w:r>
          </w:p>
        </w:tc>
        <w:tc>
          <w:tcPr/>
          <w:p>
            <w:pPr>
              <w:pStyle w:val="Compact"/>
              <w:jc w:val="left"/>
            </w:pPr>
            <w:r>
              <w:t xml:space="preserve">S-1/TS/Comfort vs. Credit Summary</w:t>
            </w:r>
          </w:p>
        </w:tc>
        <w:tc>
          <w:tcPr/>
          <w:p>
            <w:pPr>
              <w:pStyle w:val="Compact"/>
              <w:jc w:val="left"/>
            </w:pPr>
            <w:r>
              <w:t xml:space="preserve">Tracks S-1 (</w:t>
            </w:r>
            <w:r>
              <w:t xml:space="preserve">“</w:t>
            </w:r>
            <w:r>
              <w:t xml:space="preserve">Oakvale</w:t>
            </w:r>
            <w:r>
              <w:t xml:space="preserve">”</w:t>
            </w:r>
            <w:r>
              <w:t xml:space="preserve">)</w:t>
            </w:r>
          </w:p>
        </w:tc>
        <w:tc>
          <w:tcPr/>
          <w:p>
            <w:pPr>
              <w:pStyle w:val="Compact"/>
              <w:jc w:val="left"/>
            </w:pPr>
            <w:r>
              <w:t xml:space="preserve">Confirm lender; correct S-1/UA if Ridgemont</w:t>
            </w:r>
          </w:p>
        </w:tc>
      </w:tr>
      <w:tr>
        <w:tc>
          <w:tcPr/>
          <w:p>
            <w:pPr>
              <w:pStyle w:val="Compact"/>
              <w:jc w:val="left"/>
            </w:pPr>
            <w:r>
              <w:t xml:space="preserve">2</w:t>
            </w:r>
          </w:p>
        </w:tc>
        <w:tc>
          <w:tcPr/>
          <w:p>
            <w:pPr>
              <w:pStyle w:val="Compact"/>
              <w:jc w:val="left"/>
            </w:pPr>
            <w:r>
              <w:t xml:space="preserve">Credit agreement date/maturity/rate/CoC threshold</w:t>
            </w:r>
          </w:p>
        </w:tc>
        <w:tc>
          <w:tcPr/>
          <w:p>
            <w:pPr>
              <w:pStyle w:val="Compact"/>
              <w:jc w:val="left"/>
            </w:pPr>
            <w:r>
              <w:t xml:space="preserve">Critical/Material</w:t>
            </w:r>
          </w:p>
        </w:tc>
        <w:tc>
          <w:tcPr/>
          <w:p>
            <w:pPr>
              <w:pStyle w:val="Compact"/>
              <w:jc w:val="left"/>
            </w:pPr>
            <w:r>
              <w:t xml:space="preserve">S-1 vs. Credit Summary</w:t>
            </w:r>
          </w:p>
        </w:tc>
        <w:tc>
          <w:tcPr/>
          <w:p>
            <w:pPr>
              <w:pStyle w:val="Compact"/>
              <w:jc w:val="left"/>
            </w:pPr>
            <w:r>
              <w:t xml:space="preserve">Tracks S-1</w:t>
            </w:r>
          </w:p>
        </w:tc>
        <w:tc>
          <w:tcPr/>
          <w:p>
            <w:pPr>
              <w:pStyle w:val="Compact"/>
              <w:jc w:val="left"/>
            </w:pPr>
            <w:r>
              <w:t xml:space="preserve">Confirm terms; reconcile S-1/UA</w:t>
            </w:r>
          </w:p>
        </w:tc>
      </w:tr>
      <w:tr>
        <w:tc>
          <w:tcPr/>
          <w:p>
            <w:pPr>
              <w:pStyle w:val="Compact"/>
              <w:jc w:val="left"/>
            </w:pPr>
            <w:r>
              <w:t xml:space="preserve">3</w:t>
            </w:r>
          </w:p>
        </w:tc>
        <w:tc>
          <w:tcPr/>
          <w:p>
            <w:pPr>
              <w:pStyle w:val="Compact"/>
              <w:jc w:val="left"/>
            </w:pPr>
            <w:r>
              <w:t xml:space="preserve">Mandatory prepayment $10M vs. ~$15.24M</w:t>
            </w:r>
          </w:p>
        </w:tc>
        <w:tc>
          <w:tcPr/>
          <w:p>
            <w:pPr>
              <w:pStyle w:val="Compact"/>
              <w:jc w:val="left"/>
            </w:pPr>
            <w:r>
              <w:t xml:space="preserve">Critical</w:t>
            </w:r>
          </w:p>
        </w:tc>
        <w:tc>
          <w:tcPr/>
          <w:p>
            <w:pPr>
              <w:pStyle w:val="Compact"/>
              <w:jc w:val="left"/>
            </w:pPr>
            <w:r>
              <w:t xml:space="preserve">S-1 Use of Proceeds vs. S-1 Risk Factor/Credit Summary</w:t>
            </w:r>
          </w:p>
        </w:tc>
        <w:tc>
          <w:tcPr/>
          <w:p>
            <w:pPr>
              <w:pStyle w:val="Compact"/>
              <w:jc w:val="left"/>
            </w:pPr>
            <w:r>
              <w:t xml:space="preserve">UA §5.20 reflects mandatory prepayment</w:t>
            </w:r>
          </w:p>
        </w:tc>
        <w:tc>
          <w:tcPr/>
          <w:p>
            <w:pPr>
              <w:pStyle w:val="Compact"/>
              <w:jc w:val="left"/>
            </w:pPr>
            <w:r>
              <w:t xml:space="preserve">Confirm amount; correct S-1 Use of Proceeds/Cap table</w:t>
            </w:r>
          </w:p>
        </w:tc>
      </w:tr>
      <w:tr>
        <w:tc>
          <w:tcPr/>
          <w:p>
            <w:pPr>
              <w:pStyle w:val="Compact"/>
              <w:jc w:val="left"/>
            </w:pPr>
            <w:r>
              <w:t xml:space="preserve">4</w:t>
            </w:r>
          </w:p>
        </w:tc>
        <w:tc>
          <w:tcPr/>
          <w:p>
            <w:pPr>
              <w:pStyle w:val="Compact"/>
              <w:jc w:val="left"/>
            </w:pPr>
            <w:r>
              <w:t xml:space="preserve">Comfort Letter figures vs. S-1 Cap/Dilution tables</w:t>
            </w:r>
          </w:p>
        </w:tc>
        <w:tc>
          <w:tcPr/>
          <w:p>
            <w:pPr>
              <w:pStyle w:val="Compact"/>
              <w:jc w:val="left"/>
            </w:pPr>
            <w:r>
              <w:t xml:space="preserve">Critical</w:t>
            </w:r>
          </w:p>
        </w:tc>
        <w:tc>
          <w:tcPr/>
          <w:p>
            <w:pPr>
              <w:pStyle w:val="Compact"/>
              <w:jc w:val="left"/>
            </w:pPr>
            <w:r>
              <w:t xml:space="preserve">Comfort Letter vs. S-1</w:t>
            </w:r>
          </w:p>
        </w:tc>
        <w:tc>
          <w:tcPr/>
          <w:p>
            <w:pPr>
              <w:pStyle w:val="Compact"/>
              <w:jc w:val="left"/>
            </w:pPr>
            <w:r>
              <w:t xml:space="preserve">UA requires satisfactory comfort letter</w:t>
            </w:r>
          </w:p>
        </w:tc>
        <w:tc>
          <w:tcPr/>
          <w:p>
            <w:pPr>
              <w:pStyle w:val="Compact"/>
              <w:jc w:val="left"/>
            </w:pPr>
            <w:r>
              <w:t xml:space="preserve">Reconcile to audited financials before closing</w:t>
            </w:r>
          </w:p>
        </w:tc>
      </w:tr>
      <w:tr>
        <w:tc>
          <w:tcPr/>
          <w:p>
            <w:pPr>
              <w:pStyle w:val="Compact"/>
              <w:jc w:val="left"/>
            </w:pPr>
            <w:r>
              <w:t xml:space="preserve">5</w:t>
            </w:r>
          </w:p>
        </w:tc>
        <w:tc>
          <w:tcPr/>
          <w:p>
            <w:pPr>
              <w:pStyle w:val="Compact"/>
              <w:jc w:val="left"/>
            </w:pPr>
            <w:r>
              <w:t xml:space="preserve">Cascade entity name/GP/control persons/address</w:t>
            </w:r>
          </w:p>
        </w:tc>
        <w:tc>
          <w:tcPr/>
          <w:p>
            <w:pPr>
              <w:pStyle w:val="Compact"/>
              <w:jc w:val="left"/>
            </w:pPr>
            <w:r>
              <w:t xml:space="preserve">Critical/Material</w:t>
            </w:r>
          </w:p>
        </w:tc>
        <w:tc>
          <w:tcPr/>
          <w:p>
            <w:pPr>
              <w:pStyle w:val="Compact"/>
              <w:jc w:val="left"/>
            </w:pPr>
            <w:r>
              <w:t xml:space="preserve">S-1 vs. POA vs. Questionnaire</w:t>
            </w:r>
          </w:p>
        </w:tc>
        <w:tc>
          <w:tcPr/>
          <w:p>
            <w:pPr>
              <w:pStyle w:val="Compact"/>
              <w:jc w:val="left"/>
            </w:pPr>
            <w:r>
              <w:t xml:space="preserve">UA Schedule II uses</w:t>
            </w:r>
            <w:r>
              <w:t xml:space="preserve"> </w:t>
            </w:r>
            <w:r>
              <w:t xml:space="preserve">“</w:t>
            </w:r>
            <w:r>
              <w:t xml:space="preserve">Cascade Kestridge Ventures, LP</w:t>
            </w:r>
            <w:r>
              <w:t xml:space="preserve">”</w:t>
            </w:r>
          </w:p>
        </w:tc>
        <w:tc>
          <w:tcPr/>
          <w:p>
            <w:pPr>
              <w:pStyle w:val="Compact"/>
              <w:jc w:val="left"/>
            </w:pPr>
            <w:r>
              <w:t xml:space="preserve">Confirm org docs; correct S-1; re-execute POA</w:t>
            </w:r>
          </w:p>
        </w:tc>
      </w:tr>
      <w:tr>
        <w:tc>
          <w:tcPr/>
          <w:p>
            <w:pPr>
              <w:pStyle w:val="Compact"/>
              <w:jc w:val="left"/>
            </w:pPr>
            <w:r>
              <w:t xml:space="preserve">6</w:t>
            </w:r>
          </w:p>
        </w:tc>
        <w:tc>
          <w:tcPr/>
          <w:p>
            <w:pPr>
              <w:pStyle w:val="Compact"/>
              <w:jc w:val="left"/>
            </w:pPr>
            <w:r>
              <w:t xml:space="preserve">Northlight GP/control person</w:t>
            </w:r>
          </w:p>
        </w:tc>
        <w:tc>
          <w:tcPr/>
          <w:p>
            <w:pPr>
              <w:pStyle w:val="Compact"/>
              <w:jc w:val="left"/>
            </w:pPr>
            <w:r>
              <w:t xml:space="preserve">Critical/Material</w:t>
            </w:r>
          </w:p>
        </w:tc>
        <w:tc>
          <w:tcPr/>
          <w:p>
            <w:pPr>
              <w:pStyle w:val="Compact"/>
              <w:jc w:val="left"/>
            </w:pPr>
            <w:r>
              <w:t xml:space="preserve">S-1 vs. POA</w:t>
            </w:r>
          </w:p>
        </w:tc>
        <w:tc>
          <w:tcPr/>
          <w:p>
            <w:pPr>
              <w:pStyle w:val="Compact"/>
              <w:jc w:val="left"/>
            </w:pPr>
            <w:r>
              <w:t xml:space="preserve">UA Schedule II uses S-1 name</w:t>
            </w:r>
          </w:p>
        </w:tc>
        <w:tc>
          <w:tcPr/>
          <w:p>
            <w:pPr>
              <w:pStyle w:val="Compact"/>
              <w:jc w:val="left"/>
            </w:pPr>
            <w:r>
              <w:t xml:space="preserve">Confirm org docs; correct S-1/POA</w:t>
            </w:r>
          </w:p>
        </w:tc>
      </w:tr>
      <w:tr>
        <w:tc>
          <w:tcPr/>
          <w:p>
            <w:pPr>
              <w:pStyle w:val="Compact"/>
              <w:jc w:val="left"/>
            </w:pPr>
            <w:r>
              <w:t xml:space="preserve">7</w:t>
            </w:r>
          </w:p>
        </w:tc>
        <w:tc>
          <w:tcPr/>
          <w:p>
            <w:pPr>
              <w:pStyle w:val="Compact"/>
              <w:jc w:val="left"/>
            </w:pPr>
            <w:r>
              <w:t xml:space="preserve">Over-allotment source: Company only vs. </w:t>
            </w:r>
            <w:r>
              <w:t xml:space="preserve">“</w:t>
            </w:r>
            <w:r>
              <w:t xml:space="preserve">and/or SS</w:t>
            </w:r>
            <w:r>
              <w:t xml:space="preserve">”</w:t>
            </w:r>
          </w:p>
        </w:tc>
        <w:tc>
          <w:tcPr/>
          <w:p>
            <w:pPr>
              <w:pStyle w:val="Compact"/>
              <w:jc w:val="left"/>
            </w:pPr>
            <w:r>
              <w:t xml:space="preserve">Material</w:t>
            </w:r>
          </w:p>
        </w:tc>
        <w:tc>
          <w:tcPr/>
          <w:p>
            <w:pPr>
              <w:pStyle w:val="Compact"/>
              <w:jc w:val="left"/>
            </w:pPr>
            <w:r>
              <w:t xml:space="preserve">TS vs. S-1/Eng/POA/Quest</w:t>
            </w:r>
          </w:p>
        </w:tc>
        <w:tc>
          <w:tcPr/>
          <w:p>
            <w:pPr>
              <w:pStyle w:val="Compact"/>
              <w:jc w:val="left"/>
            </w:pPr>
            <w:r>
              <w:t xml:space="preserve">UA §3.1: Company only</w:t>
            </w:r>
          </w:p>
        </w:tc>
        <w:tc>
          <w:tcPr/>
          <w:p>
            <w:pPr>
              <w:pStyle w:val="Compact"/>
              <w:jc w:val="left"/>
            </w:pPr>
            <w:r>
              <w:t xml:space="preserve">Confirm; correct TS</w:t>
            </w:r>
          </w:p>
        </w:tc>
      </w:tr>
      <w:tr>
        <w:tc>
          <w:tcPr/>
          <w:p>
            <w:pPr>
              <w:pStyle w:val="Compact"/>
              <w:jc w:val="left"/>
            </w:pPr>
            <w:r>
              <w:t xml:space="preserve">8</w:t>
            </w:r>
          </w:p>
        </w:tc>
        <w:tc>
          <w:tcPr/>
          <w:p>
            <w:pPr>
              <w:pStyle w:val="Compact"/>
              <w:jc w:val="left"/>
            </w:pPr>
            <w:r>
              <w:t xml:space="preserve">Krishnamurthy 500,000 vs. </w:t>
            </w:r>
            <w:r>
              <w:t xml:space="preserve">“</w:t>
            </w:r>
            <w:r>
              <w:t xml:space="preserve">up to 750,000</w:t>
            </w:r>
            <w:r>
              <w:t xml:space="preserve">”</w:t>
            </w:r>
          </w:p>
        </w:tc>
        <w:tc>
          <w:tcPr/>
          <w:p>
            <w:pPr>
              <w:pStyle w:val="Compact"/>
              <w:jc w:val="left"/>
            </w:pPr>
            <w:r>
              <w:t xml:space="preserve">Material</w:t>
            </w:r>
          </w:p>
        </w:tc>
        <w:tc>
          <w:tcPr/>
          <w:p>
            <w:pPr>
              <w:pStyle w:val="Compact"/>
              <w:jc w:val="left"/>
            </w:pPr>
            <w:r>
              <w:t xml:space="preserve">Eng vs. TS/S-1/POA</w:t>
            </w:r>
          </w:p>
        </w:tc>
        <w:tc>
          <w:tcPr/>
          <w:p>
            <w:pPr>
              <w:pStyle w:val="Compact"/>
              <w:jc w:val="left"/>
            </w:pPr>
            <w:r>
              <w:t xml:space="preserve">UA: 500,000</w:t>
            </w:r>
          </w:p>
        </w:tc>
        <w:tc>
          <w:tcPr/>
          <w:p>
            <w:pPr>
              <w:pStyle w:val="Compact"/>
              <w:jc w:val="left"/>
            </w:pPr>
            <w:r>
              <w:t xml:space="preserve">Confirm 500,000 final</w:t>
            </w:r>
          </w:p>
        </w:tc>
      </w:tr>
      <w:tr>
        <w:tc>
          <w:tcPr/>
          <w:p>
            <w:pPr>
              <w:pStyle w:val="Compact"/>
              <w:jc w:val="left"/>
            </w:pPr>
            <w:r>
              <w:t xml:space="preserve">9</w:t>
            </w:r>
          </w:p>
        </w:tc>
        <w:tc>
          <w:tcPr/>
          <w:p>
            <w:pPr>
              <w:pStyle w:val="Compact"/>
              <w:jc w:val="left"/>
            </w:pPr>
            <w:r>
              <w:t xml:space="preserve">Springing lock-up extension for Krishnamurthy</w:t>
            </w:r>
          </w:p>
        </w:tc>
        <w:tc>
          <w:tcPr/>
          <w:p>
            <w:pPr>
              <w:pStyle w:val="Compact"/>
              <w:jc w:val="left"/>
            </w:pPr>
            <w:r>
              <w:t xml:space="preserve">Material</w:t>
            </w:r>
          </w:p>
        </w:tc>
        <w:tc>
          <w:tcPr/>
          <w:p>
            <w:pPr>
              <w:pStyle w:val="Compact"/>
              <w:jc w:val="left"/>
            </w:pPr>
            <w:r>
              <w:t xml:space="preserve">TS/POA vs. Lock-Up Form/S-1</w:t>
            </w:r>
          </w:p>
        </w:tc>
        <w:tc>
          <w:tcPr/>
          <w:p>
            <w:pPr>
              <w:pStyle w:val="Compact"/>
              <w:jc w:val="left"/>
            </w:pPr>
            <w:r>
              <w:t xml:space="preserve">UA §7.8/Ex. A §2 includes it</w:t>
            </w:r>
          </w:p>
        </w:tc>
        <w:tc>
          <w:tcPr/>
          <w:p>
            <w:pPr>
              <w:pStyle w:val="Compact"/>
              <w:jc w:val="left"/>
            </w:pPr>
            <w:r>
              <w:t xml:space="preserve">Supplement Krishnamurthy lock-up; update S-1</w:t>
            </w:r>
          </w:p>
        </w:tc>
      </w:tr>
      <w:tr>
        <w:tc>
          <w:tcPr/>
          <w:p>
            <w:pPr>
              <w:pStyle w:val="Compact"/>
              <w:jc w:val="left"/>
            </w:pPr>
            <w:r>
              <w:t xml:space="preserve">10</w:t>
            </w:r>
          </w:p>
        </w:tc>
        <w:tc>
          <w:tcPr/>
          <w:p>
            <w:pPr>
              <w:pStyle w:val="Compact"/>
              <w:jc w:val="left"/>
            </w:pPr>
            <w:r>
              <w:t xml:space="preserve">UT license anti-assignment/security interest/CoC</w:t>
            </w:r>
          </w:p>
        </w:tc>
        <w:tc>
          <w:tcPr/>
          <w:p>
            <w:pPr>
              <w:pStyle w:val="Compact"/>
              <w:jc w:val="left"/>
            </w:pPr>
            <w:r>
              <w:t xml:space="preserve">Material</w:t>
            </w:r>
          </w:p>
        </w:tc>
        <w:tc>
          <w:tcPr/>
          <w:p>
            <w:pPr>
              <w:pStyle w:val="Compact"/>
              <w:jc w:val="left"/>
            </w:pPr>
            <w:r>
              <w:t xml:space="preserve">S-1 vs. Credit Summary</w:t>
            </w:r>
          </w:p>
        </w:tc>
        <w:tc>
          <w:tcPr/>
          <w:p>
            <w:pPr>
              <w:pStyle w:val="Compact"/>
              <w:jc w:val="left"/>
            </w:pPr>
            <w:r>
              <w:t xml:space="preserve">UA §5.12/§5.14</w:t>
            </w:r>
          </w:p>
        </w:tc>
        <w:tc>
          <w:tcPr/>
          <w:p>
            <w:pPr>
              <w:pStyle w:val="Compact"/>
              <w:jc w:val="left"/>
            </w:pPr>
            <w:r>
              <w:t xml:space="preserve">Confirm UT consent; IPO impact</w:t>
            </w:r>
          </w:p>
        </w:tc>
      </w:tr>
      <w:tr>
        <w:tc>
          <w:tcPr/>
          <w:p>
            <w:pPr>
              <w:pStyle w:val="Compact"/>
              <w:jc w:val="left"/>
            </w:pPr>
            <w:r>
              <w:t xml:space="preserve">11</w:t>
            </w:r>
          </w:p>
        </w:tc>
        <w:tc>
          <w:tcPr/>
          <w:p>
            <w:pPr>
              <w:pStyle w:val="Compact"/>
              <w:jc w:val="left"/>
            </w:pPr>
            <w:r>
              <w:t xml:space="preserve">S-1 financial covenants vs. Credit Summary</w:t>
            </w:r>
          </w:p>
        </w:tc>
        <w:tc>
          <w:tcPr/>
          <w:p>
            <w:pPr>
              <w:pStyle w:val="Compact"/>
              <w:jc w:val="left"/>
            </w:pPr>
            <w:r>
              <w:t xml:space="preserve">Material</w:t>
            </w:r>
          </w:p>
        </w:tc>
        <w:tc>
          <w:tcPr/>
          <w:p>
            <w:pPr>
              <w:pStyle w:val="Compact"/>
              <w:jc w:val="left"/>
            </w:pPr>
            <w:r>
              <w:t xml:space="preserve">S-1 vs. Credit Summary</w:t>
            </w:r>
          </w:p>
        </w:tc>
        <w:tc>
          <w:tcPr/>
          <w:p>
            <w:pPr>
              <w:pStyle w:val="Compact"/>
              <w:jc w:val="left"/>
            </w:pPr>
            <w:r>
              <w:t xml:space="preserve">UA §5.14</w:t>
            </w:r>
          </w:p>
        </w:tc>
        <w:tc>
          <w:tcPr/>
          <w:p>
            <w:pPr>
              <w:pStyle w:val="Compact"/>
              <w:jc w:val="left"/>
            </w:pPr>
            <w:r>
              <w:t xml:space="preserve">Confirm covenants; correct S-1</w:t>
            </w:r>
          </w:p>
        </w:tc>
      </w:tr>
      <w:tr>
        <w:tc>
          <w:tcPr/>
          <w:p>
            <w:pPr>
              <w:pStyle w:val="Compact"/>
              <w:jc w:val="left"/>
            </w:pPr>
            <w:r>
              <w:t xml:space="preserve">12</w:t>
            </w:r>
          </w:p>
        </w:tc>
        <w:tc>
          <w:tcPr/>
          <w:p>
            <w:pPr>
              <w:pStyle w:val="Compact"/>
              <w:jc w:val="left"/>
            </w:pPr>
            <w:r>
              <w:t xml:space="preserve">S-1 omits Cascade board observer seat</w:t>
            </w:r>
          </w:p>
        </w:tc>
        <w:tc>
          <w:tcPr/>
          <w:p>
            <w:pPr>
              <w:pStyle w:val="Compact"/>
              <w:jc w:val="left"/>
            </w:pPr>
            <w:r>
              <w:t xml:space="preserve">Material</w:t>
            </w:r>
          </w:p>
        </w:tc>
        <w:tc>
          <w:tcPr/>
          <w:p>
            <w:pPr>
              <w:pStyle w:val="Compact"/>
              <w:jc w:val="left"/>
            </w:pPr>
            <w:r>
              <w:t xml:space="preserve">Questionnaire vs. S-1</w:t>
            </w:r>
          </w:p>
        </w:tc>
        <w:tc>
          <w:tcPr/>
          <w:p>
            <w:pPr>
              <w:pStyle w:val="Compact"/>
              <w:jc w:val="left"/>
            </w:pPr>
            <w:r>
              <w:t xml:space="preserve">UA §5.22</w:t>
            </w:r>
          </w:p>
        </w:tc>
        <w:tc>
          <w:tcPr/>
          <w:p>
            <w:pPr>
              <w:pStyle w:val="Compact"/>
              <w:jc w:val="left"/>
            </w:pPr>
            <w:r>
              <w:t xml:space="preserve">Confirm disclosure required; update S-1</w:t>
            </w:r>
          </w:p>
        </w:tc>
      </w:tr>
      <w:tr>
        <w:tc>
          <w:tcPr/>
          <w:p>
            <w:pPr>
              <w:pStyle w:val="Compact"/>
              <w:jc w:val="left"/>
            </w:pPr>
            <w:r>
              <w:t xml:space="preserve">13</w:t>
            </w:r>
          </w:p>
        </w:tc>
        <w:tc>
          <w:tcPr/>
          <w:p>
            <w:pPr>
              <w:pStyle w:val="Compact"/>
              <w:jc w:val="left"/>
            </w:pPr>
            <w:r>
              <w:t xml:space="preserve">Investors’ Rights Agreement not disclosed</w:t>
            </w:r>
          </w:p>
        </w:tc>
        <w:tc>
          <w:tcPr/>
          <w:p>
            <w:pPr>
              <w:pStyle w:val="Compact"/>
              <w:jc w:val="left"/>
            </w:pPr>
            <w:r>
              <w:t xml:space="preserve">Material</w:t>
            </w:r>
          </w:p>
        </w:tc>
        <w:tc>
          <w:tcPr/>
          <w:p>
            <w:pPr>
              <w:pStyle w:val="Compact"/>
              <w:jc w:val="left"/>
            </w:pPr>
            <w:r>
              <w:t xml:space="preserve">Questionnaire vs. S-1/TS/Eng</w:t>
            </w:r>
          </w:p>
        </w:tc>
        <w:tc>
          <w:tcPr/>
          <w:p>
            <w:pPr>
              <w:pStyle w:val="Compact"/>
              <w:jc w:val="left"/>
            </w:pPr>
            <w:r>
              <w:t xml:space="preserve">UA §6.5 (no reg-rights violation)</w:t>
            </w:r>
          </w:p>
        </w:tc>
        <w:tc>
          <w:tcPr/>
          <w:p>
            <w:pPr>
              <w:pStyle w:val="Compact"/>
              <w:jc w:val="left"/>
            </w:pPr>
            <w:r>
              <w:t xml:space="preserve">Confirm IRA terms/termination; disclose if required</w:t>
            </w:r>
          </w:p>
        </w:tc>
      </w:tr>
      <w:tr>
        <w:tc>
          <w:tcPr/>
          <w:p>
            <w:pPr>
              <w:pStyle w:val="Compact"/>
              <w:jc w:val="left"/>
            </w:pPr>
            <w:r>
              <w:t xml:space="preserve">14</w:t>
            </w:r>
          </w:p>
        </w:tc>
        <w:tc>
          <w:tcPr/>
          <w:p>
            <w:pPr>
              <w:pStyle w:val="Compact"/>
              <w:jc w:val="left"/>
            </w:pPr>
            <w:r>
              <w:t xml:space="preserve">Lock-up early-release threshold</w:t>
            </w:r>
          </w:p>
        </w:tc>
        <w:tc>
          <w:tcPr/>
          <w:p>
            <w:pPr>
              <w:pStyle w:val="Compact"/>
              <w:jc w:val="left"/>
            </w:pPr>
            <w:r>
              <w:t xml:space="preserve">Minor</w:t>
            </w:r>
          </w:p>
        </w:tc>
        <w:tc>
          <w:tcPr/>
          <w:p>
            <w:pPr>
              <w:pStyle w:val="Compact"/>
              <w:jc w:val="left"/>
            </w:pPr>
            <w:r>
              <w:t xml:space="preserve">TS vs. Eng/Lock-Up Form/S-1</w:t>
            </w:r>
          </w:p>
        </w:tc>
        <w:tc>
          <w:tcPr/>
          <w:p>
            <w:pPr>
              <w:pStyle w:val="Compact"/>
              <w:jc w:val="left"/>
            </w:pPr>
            <w:r>
              <w:t xml:space="preserve">UA references Lock-Up Form (1%)</w:t>
            </w:r>
          </w:p>
        </w:tc>
        <w:tc>
          <w:tcPr/>
          <w:p>
            <w:pPr>
              <w:pStyle w:val="Compact"/>
              <w:jc w:val="left"/>
            </w:pPr>
            <w:r>
              <w:t xml:space="preserve">Conform TS/S-1</w:t>
            </w:r>
          </w:p>
        </w:tc>
      </w:tr>
      <w:tr>
        <w:tc>
          <w:tcPr/>
          <w:p>
            <w:pPr>
              <w:pStyle w:val="Compact"/>
              <w:jc w:val="left"/>
            </w:pPr>
            <w:r>
              <w:t xml:space="preserve">15</w:t>
            </w:r>
          </w:p>
        </w:tc>
        <w:tc>
          <w:tcPr/>
          <w:p>
            <w:pPr>
              <w:pStyle w:val="Compact"/>
              <w:jc w:val="left"/>
            </w:pPr>
            <w:r>
              <w:t xml:space="preserve">Lock-up exceptions narrower in TS</w:t>
            </w:r>
          </w:p>
        </w:tc>
        <w:tc>
          <w:tcPr/>
          <w:p>
            <w:pPr>
              <w:pStyle w:val="Compact"/>
              <w:jc w:val="left"/>
            </w:pPr>
            <w:r>
              <w:t xml:space="preserve">Minor</w:t>
            </w:r>
          </w:p>
        </w:tc>
        <w:tc>
          <w:tcPr/>
          <w:p>
            <w:pPr>
              <w:pStyle w:val="Compact"/>
              <w:jc w:val="left"/>
            </w:pPr>
            <w:r>
              <w:t xml:space="preserve">TS vs. Lock-Up Form/S-1</w:t>
            </w:r>
          </w:p>
        </w:tc>
        <w:tc>
          <w:tcPr/>
          <w:p>
            <w:pPr>
              <w:pStyle w:val="Compact"/>
              <w:jc w:val="left"/>
            </w:pPr>
            <w:r>
              <w:t xml:space="preserve">UA references Lock-Up Form</w:t>
            </w:r>
          </w:p>
        </w:tc>
        <w:tc>
          <w:tcPr/>
          <w:p>
            <w:pPr>
              <w:pStyle w:val="Compact"/>
              <w:jc w:val="left"/>
            </w:pPr>
            <w:r>
              <w:t xml:space="preserve">Conform TS</w:t>
            </w:r>
          </w:p>
        </w:tc>
      </w:tr>
      <w:tr>
        <w:tc>
          <w:tcPr/>
          <w:p>
            <w:pPr>
              <w:pStyle w:val="Compact"/>
              <w:jc w:val="left"/>
            </w:pPr>
            <w:r>
              <w:t xml:space="preserve">16</w:t>
            </w:r>
          </w:p>
        </w:tc>
        <w:tc>
          <w:tcPr/>
          <w:p>
            <w:pPr>
              <w:pStyle w:val="Compact"/>
              <w:jc w:val="left"/>
            </w:pPr>
            <w:r>
              <w:t xml:space="preserve">“</w:t>
            </w:r>
            <w:r>
              <w:t xml:space="preserve">1% or more</w:t>
            </w:r>
            <w:r>
              <w:t xml:space="preserve">”</w:t>
            </w:r>
            <w:r>
              <w:t xml:space="preserve"> </w:t>
            </w:r>
            <w:r>
              <w:t xml:space="preserve">vs. </w:t>
            </w:r>
            <w:r>
              <w:t xml:space="preserve">“</w:t>
            </w:r>
            <w:r>
              <w:t xml:space="preserve">more than 1%</w:t>
            </w:r>
            <w:r>
              <w:t xml:space="preserve">”</w:t>
            </w:r>
            <w:r>
              <w:t xml:space="preserve"> </w:t>
            </w:r>
            <w:r>
              <w:t xml:space="preserve">(S-1 internal)</w:t>
            </w:r>
          </w:p>
        </w:tc>
        <w:tc>
          <w:tcPr/>
          <w:p>
            <w:pPr>
              <w:pStyle w:val="Compact"/>
              <w:jc w:val="left"/>
            </w:pPr>
            <w:r>
              <w:t xml:space="preserve">Minor</w:t>
            </w:r>
          </w:p>
        </w:tc>
        <w:tc>
          <w:tcPr/>
          <w:p>
            <w:pPr>
              <w:pStyle w:val="Compact"/>
              <w:jc w:val="left"/>
            </w:pPr>
            <w:r>
              <w:t xml:space="preserve">S-1 internal</w:t>
            </w:r>
          </w:p>
        </w:tc>
        <w:tc>
          <w:tcPr/>
          <w:p>
            <w:pPr>
              <w:pStyle w:val="Compact"/>
              <w:jc w:val="left"/>
            </w:pPr>
            <w:r>
              <w:t xml:space="preserve">UA:</w:t>
            </w:r>
            <w:r>
              <w:t xml:space="preserve"> </w:t>
            </w:r>
            <w:r>
              <w:t xml:space="preserve">“</w:t>
            </w:r>
            <w:r>
              <w:t xml:space="preserve">1% or more</w:t>
            </w:r>
            <w:r>
              <w:t xml:space="preserve">”</w:t>
            </w:r>
          </w:p>
        </w:tc>
        <w:tc>
          <w:tcPr/>
          <w:p>
            <w:pPr>
              <w:pStyle w:val="Compact"/>
              <w:jc w:val="left"/>
            </w:pPr>
            <w:r>
              <w:t xml:space="preserve">Conform S-1</w:t>
            </w:r>
          </w:p>
        </w:tc>
      </w:tr>
      <w:tr>
        <w:tc>
          <w:tcPr/>
          <w:p>
            <w:pPr>
              <w:pStyle w:val="Compact"/>
              <w:jc w:val="left"/>
            </w:pPr>
            <w:r>
              <w:t xml:space="preserve">17</w:t>
            </w:r>
          </w:p>
        </w:tc>
        <w:tc>
          <w:tcPr/>
          <w:p>
            <w:pPr>
              <w:pStyle w:val="Compact"/>
              <w:jc w:val="left"/>
            </w:pPr>
            <w:r>
              <w:t xml:space="preserve">S-1 cover</w:t>
            </w:r>
            <w:r>
              <w:t xml:space="preserve"> </w:t>
            </w:r>
            <w:r>
              <w:t xml:space="preserve">“</w:t>
            </w:r>
            <w:r>
              <w:t xml:space="preserve">Joint Book-Running Manager</w:t>
            </w:r>
            <w:r>
              <w:t xml:space="preserve">”</w:t>
            </w:r>
          </w:p>
        </w:tc>
        <w:tc>
          <w:tcPr/>
          <w:p>
            <w:pPr>
              <w:pStyle w:val="Compact"/>
              <w:jc w:val="left"/>
            </w:pPr>
            <w:r>
              <w:t xml:space="preserve">Minor</w:t>
            </w:r>
          </w:p>
        </w:tc>
        <w:tc>
          <w:tcPr/>
          <w:p>
            <w:pPr>
              <w:pStyle w:val="Compact"/>
              <w:jc w:val="left"/>
            </w:pPr>
            <w:r>
              <w:t xml:space="preserve">S-1 cover vs. S-1 §XI.A/TS/Eng</w:t>
            </w:r>
          </w:p>
        </w:tc>
        <w:tc>
          <w:tcPr/>
          <w:p>
            <w:pPr>
              <w:pStyle w:val="Compact"/>
              <w:jc w:val="left"/>
            </w:pPr>
            <w:r>
              <w:t xml:space="preserve">UA:</w:t>
            </w:r>
            <w:r>
              <w:t xml:space="preserve"> </w:t>
            </w:r>
            <w:r>
              <w:t xml:space="preserve">“</w:t>
            </w:r>
            <w:r>
              <w:t xml:space="preserve">lead book-running manager</w:t>
            </w:r>
            <w:r>
              <w:t xml:space="preserve">”</w:t>
            </w:r>
          </w:p>
        </w:tc>
        <w:tc>
          <w:tcPr/>
          <w:p>
            <w:pPr>
              <w:pStyle w:val="Compact"/>
              <w:jc w:val="left"/>
            </w:pPr>
            <w:r>
              <w:t xml:space="preserve">Correct S-1 cover</w:t>
            </w:r>
          </w:p>
        </w:tc>
      </w:tr>
      <w:tr>
        <w:tc>
          <w:tcPr/>
          <w:p>
            <w:pPr>
              <w:pStyle w:val="Compact"/>
              <w:jc w:val="left"/>
            </w:pPr>
            <w:r>
              <w:t xml:space="preserve">18</w:t>
            </w:r>
          </w:p>
        </w:tc>
        <w:tc>
          <w:tcPr/>
          <w:p>
            <w:pPr>
              <w:pStyle w:val="Compact"/>
              <w:jc w:val="left"/>
            </w:pPr>
            <w:r>
              <w:t xml:space="preserve">Krishnamurthy held</w:t>
            </w:r>
            <w:r>
              <w:t xml:space="preserve"> </w:t>
            </w:r>
            <w:r>
              <w:t xml:space="preserve">“</w:t>
            </w:r>
            <w:r>
              <w:t xml:space="preserve">8.5M</w:t>
            </w:r>
            <w:r>
              <w:t xml:space="preserve">”</w:t>
            </w:r>
            <w:r>
              <w:t xml:space="preserve"> </w:t>
            </w:r>
            <w:r>
              <w:t xml:space="preserve">vs. 8,400,000</w:t>
            </w:r>
          </w:p>
        </w:tc>
        <w:tc>
          <w:tcPr/>
          <w:p>
            <w:pPr>
              <w:pStyle w:val="Compact"/>
              <w:jc w:val="left"/>
            </w:pPr>
            <w:r>
              <w:t xml:space="preserve">Minor</w:t>
            </w:r>
          </w:p>
        </w:tc>
        <w:tc>
          <w:tcPr/>
          <w:p>
            <w:pPr>
              <w:pStyle w:val="Compact"/>
              <w:jc w:val="left"/>
            </w:pPr>
            <w:r>
              <w:t xml:space="preserve">TS vs. S-1/POA/Eng</w:t>
            </w:r>
          </w:p>
        </w:tc>
        <w:tc>
          <w:tcPr/>
          <w:p>
            <w:pPr>
              <w:pStyle w:val="Compact"/>
              <w:jc w:val="left"/>
            </w:pPr>
            <w:r>
              <w:t xml:space="preserve">UA: 8,400,000</w:t>
            </w:r>
          </w:p>
        </w:tc>
        <w:tc>
          <w:tcPr/>
          <w:p>
            <w:pPr>
              <w:pStyle w:val="Compact"/>
              <w:jc w:val="left"/>
            </w:pPr>
            <w:r>
              <w:t xml:space="preserve">Conform TS</w:t>
            </w:r>
          </w:p>
        </w:tc>
      </w:tr>
      <w:tr>
        <w:tc>
          <w:tcPr/>
          <w:p>
            <w:pPr>
              <w:pStyle w:val="Compact"/>
              <w:jc w:val="left"/>
            </w:pPr>
            <w:r>
              <w:t xml:space="preserve">19</w:t>
            </w:r>
          </w:p>
        </w:tc>
        <w:tc>
          <w:tcPr/>
          <w:p>
            <w:pPr>
              <w:pStyle w:val="Compact"/>
              <w:jc w:val="left"/>
            </w:pPr>
            <w:r>
              <w:t xml:space="preserve">Comfort Letter</w:t>
            </w:r>
            <w:r>
              <w:t xml:space="preserve"> </w:t>
            </w:r>
            <w:r>
              <w:t xml:space="preserve">“</w:t>
            </w:r>
            <w:r>
              <w:t xml:space="preserve">Representatives</w:t>
            </w:r>
            <w:r>
              <w:t xml:space="preserve">”</w:t>
            </w:r>
            <w:r>
              <w:t xml:space="preserve"> </w:t>
            </w:r>
            <w:r>
              <w:t xml:space="preserve">plural</w:t>
            </w:r>
          </w:p>
        </w:tc>
        <w:tc>
          <w:tcPr/>
          <w:p>
            <w:pPr>
              <w:pStyle w:val="Compact"/>
              <w:jc w:val="left"/>
            </w:pPr>
            <w:r>
              <w:t xml:space="preserve">Minor</w:t>
            </w:r>
          </w:p>
        </w:tc>
        <w:tc>
          <w:tcPr/>
          <w:p>
            <w:pPr>
              <w:pStyle w:val="Compact"/>
              <w:jc w:val="left"/>
            </w:pPr>
            <w:r>
              <w:t xml:space="preserve">Comfort Letter vs. TS/Lock-Up/POA</w:t>
            </w:r>
          </w:p>
        </w:tc>
        <w:tc>
          <w:tcPr/>
          <w:p>
            <w:pPr>
              <w:pStyle w:val="Compact"/>
              <w:jc w:val="left"/>
            </w:pPr>
            <w:r>
              <w:t xml:space="preserve">UA: Hargrove sole Representative</w:t>
            </w:r>
          </w:p>
        </w:tc>
        <w:tc>
          <w:tcPr/>
          <w:p>
            <w:pPr>
              <w:pStyle w:val="Compact"/>
              <w:jc w:val="left"/>
            </w:pPr>
            <w:r>
              <w:t xml:space="preserve">Confirm; conform if needed</w:t>
            </w:r>
          </w:p>
        </w:tc>
      </w:tr>
      <w:tr>
        <w:tc>
          <w:tcPr/>
          <w:p>
            <w:pPr>
              <w:pStyle w:val="Compact"/>
              <w:jc w:val="left"/>
            </w:pPr>
            <w:r>
              <w:t xml:space="preserve">20</w:t>
            </w:r>
          </w:p>
        </w:tc>
        <w:tc>
          <w:tcPr/>
          <w:p>
            <w:pPr>
              <w:pStyle w:val="Compact"/>
              <w:jc w:val="left"/>
            </w:pPr>
            <w:r>
              <w:t xml:space="preserve">Comfort Letter cutoff Mar 10 vs. pricing Mar 19</w:t>
            </w:r>
          </w:p>
        </w:tc>
        <w:tc>
          <w:tcPr/>
          <w:p>
            <w:pPr>
              <w:pStyle w:val="Compact"/>
              <w:jc w:val="left"/>
            </w:pPr>
            <w:r>
              <w:t xml:space="preserve">Minor</w:t>
            </w:r>
          </w:p>
        </w:tc>
        <w:tc>
          <w:tcPr/>
          <w:p>
            <w:pPr>
              <w:pStyle w:val="Compact"/>
              <w:jc w:val="left"/>
            </w:pPr>
            <w:r>
              <w:t xml:space="preserve">Comfort Letter vs. TS/Eng</w:t>
            </w:r>
          </w:p>
        </w:tc>
        <w:tc>
          <w:tcPr/>
          <w:p>
            <w:pPr>
              <w:pStyle w:val="Compact"/>
              <w:jc w:val="left"/>
            </w:pPr>
            <w:r>
              <w:t xml:space="preserve">UA §7.4</w:t>
            </w:r>
          </w:p>
        </w:tc>
        <w:tc>
          <w:tcPr/>
          <w:p>
            <w:pPr>
              <w:pStyle w:val="Compact"/>
              <w:jc w:val="left"/>
            </w:pPr>
            <w:r>
              <w:t xml:space="preserve">Confirm final cutoff acceptable</w:t>
            </w:r>
          </w:p>
        </w:tc>
      </w:tr>
      <w:tr>
        <w:tc>
          <w:tcPr/>
          <w:p>
            <w:pPr>
              <w:pStyle w:val="Compact"/>
              <w:jc w:val="left"/>
            </w:pPr>
            <w:r>
              <w:t xml:space="preserve">21</w:t>
            </w:r>
          </w:p>
        </w:tc>
        <w:tc>
          <w:tcPr/>
          <w:p>
            <w:pPr>
              <w:pStyle w:val="Compact"/>
              <w:jc w:val="left"/>
            </w:pPr>
            <w:r>
              <w:t xml:space="preserve">POA hardcodes discount $1.44</w:t>
            </w:r>
          </w:p>
        </w:tc>
        <w:tc>
          <w:tcPr/>
          <w:p>
            <w:pPr>
              <w:pStyle w:val="Compact"/>
              <w:jc w:val="left"/>
            </w:pPr>
            <w:r>
              <w:t xml:space="preserve">Minor</w:t>
            </w:r>
          </w:p>
        </w:tc>
        <w:tc>
          <w:tcPr/>
          <w:p>
            <w:pPr>
              <w:pStyle w:val="Compact"/>
              <w:jc w:val="left"/>
            </w:pPr>
            <w:r>
              <w:t xml:space="preserve">POA vs. UA §4.1</w:t>
            </w:r>
          </w:p>
        </w:tc>
        <w:tc>
          <w:tcPr/>
          <w:p>
            <w:pPr>
              <w:pStyle w:val="Compact"/>
              <w:jc w:val="left"/>
            </w:pPr>
            <w:r>
              <w:t xml:space="preserve">UA: 6.0% of POP</w:t>
            </w:r>
          </w:p>
        </w:tc>
        <w:tc>
          <w:tcPr/>
          <w:p>
            <w:pPr>
              <w:pStyle w:val="Compact"/>
              <w:jc w:val="left"/>
            </w:pPr>
            <w:r>
              <w:t xml:space="preserve">Amend POA to reference UA</w:t>
            </w:r>
          </w:p>
        </w:tc>
      </w:tr>
      <w:tr>
        <w:tc>
          <w:tcPr/>
          <w:p>
            <w:pPr>
              <w:pStyle w:val="Compact"/>
              <w:jc w:val="left"/>
            </w:pPr>
            <w:r>
              <w:t xml:space="preserve">22</w:t>
            </w:r>
          </w:p>
        </w:tc>
        <w:tc>
          <w:tcPr/>
          <w:p>
            <w:pPr>
              <w:pStyle w:val="Compact"/>
              <w:jc w:val="left"/>
            </w:pPr>
            <w:r>
              <w:t xml:space="preserve">FINRA filing fee $21,780</w:t>
            </w:r>
          </w:p>
        </w:tc>
        <w:tc>
          <w:tcPr/>
          <w:p>
            <w:pPr>
              <w:pStyle w:val="Compact"/>
              <w:jc w:val="left"/>
            </w:pPr>
            <w:r>
              <w:t xml:space="preserve">Minor</w:t>
            </w:r>
          </w:p>
        </w:tc>
        <w:tc>
          <w:tcPr/>
          <w:p>
            <w:pPr>
              <w:pStyle w:val="Compact"/>
              <w:jc w:val="left"/>
            </w:pPr>
            <w:r>
              <w:t xml:space="preserve">Eng vs. TS</w:t>
            </w:r>
          </w:p>
        </w:tc>
        <w:tc>
          <w:tcPr/>
          <w:p>
            <w:pPr>
              <w:pStyle w:val="Compact"/>
              <w:jc w:val="left"/>
            </w:pPr>
            <w:r>
              <w:t xml:space="preserve">UA §7.10</w:t>
            </w:r>
          </w:p>
        </w:tc>
        <w:tc>
          <w:tcPr/>
          <w:p>
            <w:pPr>
              <w:pStyle w:val="Compact"/>
              <w:jc w:val="left"/>
            </w:pPr>
            <w:r>
              <w:t xml:space="preserve">Confirm amount</w:t>
            </w:r>
          </w:p>
        </w:tc>
      </w:tr>
    </w:tbl>
    <w:p>
      <w:r>
        <w:pict>
          <v:rect style="width:0;height:1.5pt" o:hralign="center" o:hrstd="t" o:hr="t"/>
        </w:pict>
      </w:r>
    </w:p>
    <w:bookmarkEnd w:id="47"/>
    <w:bookmarkStart w:id="48" w:name="vii.-summary-and-next-steps"/>
    <w:p>
      <w:pPr>
        <w:pStyle w:val="Heading2"/>
      </w:pPr>
      <w:r>
        <w:t xml:space="preserve">VII. Summary and Next Steps</w:t>
      </w:r>
    </w:p>
    <w:p>
      <w:pPr>
        <w:pStyle w:val="FirstParagraph"/>
      </w:pPr>
      <w:r>
        <w:t xml:space="preserve">Twenty-two distinct issues have been identified, of which</w:t>
      </w:r>
      <w:r>
        <w:t xml:space="preserve"> </w:t>
      </w:r>
      <w:r>
        <w:rPr>
          <w:b/>
          <w:bCs/>
        </w:rPr>
        <w:t xml:space="preserve">six are Critical</w:t>
      </w:r>
      <w:r>
        <w:t xml:space="preserve"> </w:t>
      </w:r>
      <w:r>
        <w:t xml:space="preserve">(Issues 1–6),</w:t>
      </w:r>
      <w:r>
        <w:t xml:space="preserve"> </w:t>
      </w:r>
      <w:r>
        <w:rPr>
          <w:b/>
          <w:bCs/>
        </w:rPr>
        <w:t xml:space="preserve">seven are Material</w:t>
      </w:r>
      <w:r>
        <w:t xml:space="preserve"> </w:t>
      </w:r>
      <w:r>
        <w:t xml:space="preserve">(Issues 7–13), and</w:t>
      </w:r>
      <w:r>
        <w:t xml:space="preserve"> </w:t>
      </w:r>
      <w:r>
        <w:rPr>
          <w:b/>
          <w:bCs/>
        </w:rPr>
        <w:t xml:space="preserve">nine are Minor</w:t>
      </w:r>
      <w:r>
        <w:t xml:space="preserve"> </w:t>
      </w:r>
      <w:r>
        <w:t xml:space="preserve">(Issues 14–22). The Critical issues fall into three clusters:</w:t>
      </w:r>
    </w:p>
    <w:p>
      <w:pPr>
        <w:numPr>
          <w:ilvl w:val="0"/>
          <w:numId w:val="1004"/>
        </w:numPr>
      </w:pPr>
      <w:r>
        <w:rPr>
          <w:b/>
          <w:bCs/>
        </w:rPr>
        <w:t xml:space="preserve">Credit-facility discrepancies (Issues 1–3, 11):</w:t>
      </w:r>
      <w:r>
        <w:t xml:space="preserve"> </w:t>
      </w:r>
      <w:r>
        <w:t xml:space="preserve">The S-1 and the Credit Summary disagree on the lender’s identity, the agreement date, maturity, interest rate, change-of-control threshold, financial covenants, and the mandatory prepayment amount. These must be reconciled against the actual Credit Agreement before the UA is executed, and the S-1 corrected if necessary. The mandatory prepayment discrepancy (Use of Proceeds $10M vs. required ~$15.24M) is an internal S-1 inconsistency that must be corrected.</w:t>
      </w:r>
    </w:p>
    <w:p>
      <w:pPr>
        <w:numPr>
          <w:ilvl w:val="0"/>
          <w:numId w:val="1004"/>
        </w:numPr>
      </w:pPr>
      <w:r>
        <w:rPr>
          <w:b/>
          <w:bCs/>
        </w:rPr>
        <w:t xml:space="preserve">Comfort Letter vs. S-1 financial figures (Issue 4):</w:t>
      </w:r>
      <w:r>
        <w:t xml:space="preserve"> </w:t>
      </w:r>
      <w:r>
        <w:t xml:space="preserve">The draft Comfort Letter represents figures (total equity $198.4M; cash $47.3M; NTBV/share $4.72) that do not match the S-1 Capitalization and Dilution tables ($101.4M; $38.4M; $2.17). The Comfort Letter cannot be delivered (a closing condition) until the S-1 figures are reconciled to the audited financial statements.</w:t>
      </w:r>
    </w:p>
    <w:p>
      <w:pPr>
        <w:numPr>
          <w:ilvl w:val="0"/>
          <w:numId w:val="1004"/>
        </w:numPr>
      </w:pPr>
      <w:r>
        <w:rPr>
          <w:b/>
          <w:bCs/>
        </w:rPr>
        <w:t xml:space="preserve">Selling-stockholder identity (Issues 5–6):</w:t>
      </w:r>
      <w:r>
        <w:t xml:space="preserve"> </w:t>
      </w:r>
      <w:r>
        <w:t xml:space="preserve">The Cascade and Northlight entity names, general partners, and control persons are inconsistent across the S-1, POA, and Questionnaire. The POA signature page names a different Cascade entity than every other document. These must be reconciled from certified organizational documents, the S-1 beneficial-ownership disclosure corrected, and the POA re-executed if necessary.</w:t>
      </w:r>
    </w:p>
    <w:p>
      <w:pPr>
        <w:pStyle w:val="FirstParagraph"/>
      </w:pPr>
      <w:r>
        <w:t xml:space="preserve">The Underwriting Agreement has been drafted to reflect the terms as finally understood, tracking the S-1 and the executed form documents and incorporating the springing lock-up extension for Dr. Krishnamurthy, the Company-only over-allotment, the 500,000-share Krishnamurthy participation, and the $500,000 non-consummation expense cap. The Critical and Material issues above should be resolved, and the open items in Section V confirmed, before the Closing Date.</w:t>
      </w:r>
    </w:p>
    <w:p>
      <w:pPr>
        <w:pStyle w:val="BodyText"/>
      </w:pPr>
      <w:r>
        <w:t xml:space="preserve">We are available to discuss any of the foregoing.</w:t>
      </w:r>
    </w:p>
    <w:p>
      <w:pPr>
        <w:pStyle w:val="BodyText"/>
      </w:pPr>
      <w:r>
        <w:rPr>
          <w:i/>
          <w:iCs/>
        </w:rPr>
        <w:t xml:space="preserve">Ashford &amp; Pine LLP</w:t>
      </w:r>
      <w:r>
        <w:t xml:space="preserve"> </w:t>
      </w:r>
      <w:r>
        <w:rPr>
          <w:i/>
          <w:iCs/>
        </w:rPr>
        <w:t xml:space="preserve">Underwriters’ Counsel</w:t>
      </w:r>
      <w:r>
        <w:t xml:space="preserve"> </w:t>
      </w:r>
      <w:r>
        <w:rPr>
          <w:i/>
          <w:iCs/>
        </w:rPr>
        <w:t xml:space="preserve">1231 Avenue of the Americas, 34th Floor</w:t>
      </w:r>
      <w:r>
        <w:t xml:space="preserve"> </w:t>
      </w:r>
      <w:r>
        <w:rPr>
          <w:i/>
          <w:iCs/>
        </w:rPr>
        <w:t xml:space="preserve">New York, New York 10020</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2026-06-27T20:40:27Z</dcterms:created>
  <dcterms:modified xsi:type="dcterms:W3CDTF">2026-06-27T20:40:27Z</dcterms:modified>
</cp:coreProperties>
</file>

<file path=docProps/custom.xml><?xml version="1.0" encoding="utf-8"?>
<Properties xmlns="http://schemas.openxmlformats.org/officeDocument/2006/custom-properties" xmlns:vt="http://schemas.openxmlformats.org/officeDocument/2006/docPropsVTypes"/>
</file>