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21" w:name="X35255bd0e1b4a1c43250c9653c6c292742cc602"/>
    <w:p>
      <w:pPr>
        <w:pStyle w:val="Heading1"/>
      </w:pPr>
      <w:r>
        <w:t xml:space="preserve">WITHOUT PREJUDICE — FOR SETTLEMENT DISCUSSION PURPOSES ONLY</w:t>
      </w:r>
    </w:p>
    <w:bookmarkEnd w:id="21"/>
    <w:bookmarkStart w:id="50" w:name="memorandum"/>
    <w:p>
      <w:pPr>
        <w:pStyle w:val="Heading1"/>
      </w:pPr>
      <w:r>
        <w:t xml:space="preserve">MEMORANDUM</w:t>
      </w:r>
    </w:p>
    <w:p>
      <w:pPr>
        <w:pStyle w:val="FirstParagraph"/>
      </w:pPr>
      <w:r>
        <w:rPr>
          <w:b/>
          <w:bCs/>
        </w:rPr>
        <w:t xml:space="preserve">TO:</w:t>
      </w:r>
      <w:r>
        <w:t xml:space="preserve"> </w:t>
      </w:r>
      <w:r>
        <w:t xml:space="preserve">Sandra Koh-Wexler, Chief Executive Officer, Meridian Industrial Holdings, Inc.</w:t>
      </w:r>
    </w:p>
    <w:p>
      <w:pPr>
        <w:pStyle w:val="BodyText"/>
      </w:pPr>
      <w:r>
        <w:rPr>
          <w:b/>
          <w:bCs/>
        </w:rPr>
        <w:t xml:space="preserve">CC:</w:t>
      </w:r>
      <w:r>
        <w:t xml:space="preserve"> </w:t>
      </w:r>
      <w:r>
        <w:t xml:space="preserve">Rachel Fong, General Counsel, Meridian Industrial Holdings, Inc.</w:t>
      </w:r>
    </w:p>
    <w:p>
      <w:pPr>
        <w:pStyle w:val="BodyText"/>
      </w:pPr>
      <w:r>
        <w:rPr>
          <w:b/>
          <w:bCs/>
        </w:rPr>
        <w:t xml:space="preserve">FROM:</w:t>
      </w:r>
      <w:r>
        <w:t xml:space="preserve"> </w:t>
      </w:r>
      <w:r>
        <w:t xml:space="preserve">David Tanaka,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Language for the Four Contested Provisions of the Intercreditor Agreement — Meridian Industrial Holdings, Inc. — Presented as a Single Indivisible Package</w:t>
      </w:r>
    </w:p>
    <w:p>
      <w:r>
        <w:pict>
          <v:rect style="width:0;height:1.5pt" o:hralign="center" o:hrstd="t" o:hr="t"/>
        </w:pict>
      </w:r>
    </w:p>
    <w:bookmarkStart w:id="22" w:name="privilege-and-confidentiality-legend"/>
    <w:p>
      <w:pPr>
        <w:pStyle w:val="Heading2"/>
      </w:pPr>
      <w:r>
        <w:t xml:space="preserve">PRIVILEGE AND CONFIDENTIALITY LEGEND</w:t>
      </w:r>
    </w:p>
    <w:p>
      <w:pPr>
        <w:pStyle w:val="FirstParagraph"/>
      </w:pPr>
      <w:r>
        <w:t xml:space="preserve">This memorandum is privileged and confidential, is protected by the attorney-client privilege and the attorney work product doctrine, and is prepared in anticipation of settlement discussions among Meridian Industrial Holdings, Inc. (the</w:t>
      </w:r>
      <w:r>
        <w:t xml:space="preserve"> </w:t>
      </w:r>
      <w:r>
        <w:t xml:space="preserve">“</w:t>
      </w:r>
      <w:r>
        <w:t xml:space="preserve">Borrower</w:t>
      </w:r>
      <w:r>
        <w:t xml:space="preserve">”</w:t>
      </w:r>
      <w:r>
        <w:t xml:space="preserve"> </w:t>
      </w:r>
      <w:r>
        <w:t xml:space="preserve">or</w:t>
      </w:r>
      <w:r>
        <w:t xml:space="preserve"> </w:t>
      </w:r>
      <w:r>
        <w:t xml:space="preserve">“</w:t>
      </w:r>
      <w:r>
        <w:t xml:space="preserve">Meridian</w:t>
      </w:r>
      <w:r>
        <w:t xml:space="preserve">”</w:t>
      </w:r>
      <w:r>
        <w:t xml:space="preserve">), Cartwright National Bank, N.A. (as First Lien Agent, the</w:t>
      </w:r>
      <w:r>
        <w:t xml:space="preserve"> </w:t>
      </w:r>
      <w:r>
        <w:t xml:space="preserve">“</w:t>
      </w:r>
      <w:r>
        <w:t xml:space="preserve">1L Agent</w:t>
      </w:r>
      <w:r>
        <w:t xml:space="preserve">”</w:t>
      </w:r>
      <w:r>
        <w:t xml:space="preserve">), and Ridgeline Capital Partners, LP (as Second Lien Agent, the</w:t>
      </w:r>
      <w:r>
        <w:t xml:space="preserve"> </w:t>
      </w:r>
      <w:r>
        <w:t xml:space="preserve">“</w:t>
      </w:r>
      <w:r>
        <w:t xml:space="preserve">2L Agent</w:t>
      </w:r>
      <w:r>
        <w:t xml:space="preserve">”</w:t>
      </w:r>
      <w:r>
        <w:t xml:space="preserve">). This memorandum is submitted without prejudice and for settlement discussion purposes only pursuant to Federal Rule of Evidence 408 and applicable New York law. Nothing herein constitutes an admission of fact, an admission of liability, or a concession on any issue of law or fact. This memorandum may not be offered or admitted into evidence in any judicial, arbitral, or administrative proceeding for any purpose other than to enforce the terms of any agreement reached as a result of the discussions contemplated herein. Do not forward, copy, or distribute this memorandum without express authorization.</w:t>
      </w:r>
    </w:p>
    <w:p>
      <w:r>
        <w:pict>
          <v:rect style="width:0;height:1.5pt" o:hralign="center" o:hrstd="t" o:hr="t"/>
        </w:pict>
      </w:r>
    </w:p>
    <w:bookmarkEnd w:id="22"/>
    <w:bookmarkStart w:id="23" w:name="i.-introduction-and-purpose"/>
    <w:p>
      <w:pPr>
        <w:pStyle w:val="Heading2"/>
      </w:pPr>
      <w:r>
        <w:t xml:space="preserve">I. INTRODUCTION AND PURPOSE</w:t>
      </w:r>
    </w:p>
    <w:p>
      <w:pPr>
        <w:pStyle w:val="FirstParagraph"/>
      </w:pPr>
      <w:r>
        <w:t xml:space="preserve">You have asked Kesswick, Tanaka &amp; Moreau LLP (</w:t>
      </w:r>
      <w:r>
        <w:t xml:space="preserve">“</w:t>
      </w:r>
      <w:r>
        <w:t xml:space="preserve">KTM</w:t>
      </w:r>
      <w:r>
        <w:t xml:space="preserve">”</w:t>
      </w:r>
      <w:r>
        <w:t xml:space="preserve">) to prepare proposed compromise language for the four contested provisions of the Intercreditor Agreement (the</w:t>
      </w:r>
      <w:r>
        <w:t xml:space="preserve"> </w:t>
      </w:r>
      <w:r>
        <w:t xml:space="preserve">“</w:t>
      </w:r>
      <w:r>
        <w:t xml:space="preserve">ICA</w:t>
      </w:r>
      <w:r>
        <w:t xml:space="preserve">”</w:t>
      </w:r>
      <w:r>
        <w:t xml:space="preserve">) to be entered into among Cartwright National Bank, N.A. (the</w:t>
      </w:r>
      <w:r>
        <w:t xml:space="preserve"> </w:t>
      </w:r>
      <w:r>
        <w:t xml:space="preserve">“</w:t>
      </w:r>
      <w:r>
        <w:t xml:space="preserve">1L Agent</w:t>
      </w:r>
      <w:r>
        <w:t xml:space="preserve">”</w:t>
      </w:r>
      <w:r>
        <w:t xml:space="preserve">), Ridgeline Capital Partners, LP (the</w:t>
      </w:r>
      <w:r>
        <w:t xml:space="preserve"> </w:t>
      </w:r>
      <w:r>
        <w:t xml:space="preserve">“</w:t>
      </w:r>
      <w:r>
        <w:t xml:space="preserve">2L Agent</w:t>
      </w:r>
      <w:r>
        <w:t xml:space="preserve">”</w:t>
      </w:r>
      <w:r>
        <w:t xml:space="preserve">), and Meridian Industrial Holdings, Inc. (the</w:t>
      </w:r>
      <w:r>
        <w:t xml:space="preserve"> </w:t>
      </w:r>
      <w:r>
        <w:t xml:space="preserve">“</w:t>
      </w:r>
      <w:r>
        <w:t xml:space="preserve">Borrower</w:t>
      </w:r>
      <w:r>
        <w:t xml:space="preserve">”</w:t>
      </w:r>
      <w:r>
        <w:t xml:space="preserve">), dated as of July 31, 2025. The ICA is a condition precedent to the closing of both the $475,000,000 First Lien Credit Agreement and the $150,000,000 Second Lien Credit Agreement. Negotiations commenced on May 12, 2025, and have reached an impasse on four provisions: (i) the standstill period (Section 3.01(b)); (ii) the Second Lien purchase right (Section 5.01); (iii) the definition of Permitted Second Lien Refinancing Indebtedness (Section 2.03(c)); and (iv) the application of asset disposition and casualty proceeds (Section 4.02).</w:t>
      </w:r>
    </w:p>
    <w:p>
      <w:pPr>
        <w:pStyle w:val="BodyText"/>
      </w:pPr>
      <w:r>
        <w:t xml:space="preserve">This memorandum sets forth, for each contested provision, (a) a summary of the respective positions of the 1L Agent and the 2L Agent, (b) the relevant market data from KTM’s survey of 42 broadly syndicated first lien / second lien intercreditor agreements closed between January 2022 and December 2024 (the</w:t>
      </w:r>
      <w:r>
        <w:t xml:space="preserve"> </w:t>
      </w:r>
      <w:r>
        <w:t xml:space="preserve">“</w:t>
      </w:r>
      <w:r>
        <w:t xml:space="preserve">KTM Market Survey</w:t>
      </w:r>
      <w:r>
        <w:t xml:space="preserve">”</w:t>
      </w:r>
      <w:r>
        <w:t xml:space="preserve">), (c) proposed compromise contractual language ready for insertion into the ICA, and (d) a negotiation rationale explaining why the compromise falls within each side’s expressed flexibility and quantifying the economic impacts where possible.</w:t>
      </w:r>
    </w:p>
    <w:p>
      <w:pPr>
        <w:pStyle w:val="BodyText"/>
      </w:pPr>
      <w:r>
        <w:rPr>
          <w:b/>
          <w:bCs/>
        </w:rPr>
        <w:t xml:space="preserve">The four compromise proposals are presented as a single, indivisible package.</w:t>
      </w:r>
      <w:r>
        <w:t xml:space="preserve"> </w:t>
      </w:r>
      <w:r>
        <w:t xml:space="preserve">This is deliberate. The concessions on each provision are calibrated against the concessions on the others, and the overall balance of the package reflects a deliberate allocation of value between the two lien groups. Unbundling the package — accepting some provisions while rejecting or renegotiating others — would disturb that balance and would, in our judgment, jeopardize the ability to close on or before the July 31, 2025 drop-dead date. The package should be presented to both agents as a take-it-or-leave-it integrated proposal, with Meridian’s express endorsement.</w:t>
      </w:r>
    </w:p>
    <w:p>
      <w:pPr>
        <w:pStyle w:val="BodyText"/>
      </w:pPr>
      <w:r>
        <w:t xml:space="preserve">The urgency is acute. As of the date of this memorandum, approximately 34 days remain until the July 31, 2025 drop-dead date, and the existing credit facility being refinanced matures on August 15, 2025 — only 15 days after the drop-dead date. There is no realistic prospect of an extension of the existing facility. The compromise package set forth below is designed to be credible, closeable, and supportable by both lender groups without requiring re-syndication or re-pricing.</w:t>
      </w:r>
    </w:p>
    <w:p>
      <w:r>
        <w:pict>
          <v:rect style="width:0;height:1.5pt" o:hralign="center" o:hrstd="t" o:hr="t"/>
        </w:pict>
      </w:r>
    </w:p>
    <w:bookmarkEnd w:id="23"/>
    <w:bookmarkStart w:id="24" w:name="Xd18e7abeface1ed6f195f7acb5293f9ed49fc90"/>
    <w:p>
      <w:pPr>
        <w:pStyle w:val="Heading2"/>
      </w:pPr>
      <w:r>
        <w:t xml:space="preserve">II. THE INDIVISIBLE PACKAGE — EXECUTIVE SUMMARY</w:t>
      </w:r>
    </w:p>
    <w:p>
      <w:pPr>
        <w:pStyle w:val="FirstParagraph"/>
      </w:pPr>
      <w:r>
        <w:t xml:space="preserve">The table below summarizes the four compromise proposals and the principal concession made by each side on each provision. The detailed contractual language and rationale follow in Part IV.</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ICA Provision</w:t>
            </w:r>
          </w:p>
        </w:tc>
        <w:tc>
          <w:tcPr/>
          <w:p>
            <w:pPr>
              <w:pStyle w:val="Compact"/>
              <w:jc w:val="left"/>
            </w:pPr>
            <w:r>
              <w:t xml:space="preserve">1L Agent Opening Position</w:t>
            </w:r>
          </w:p>
        </w:tc>
        <w:tc>
          <w:tcPr/>
          <w:p>
            <w:pPr>
              <w:pStyle w:val="Compact"/>
              <w:jc w:val="left"/>
            </w:pPr>
            <w:r>
              <w:t xml:space="preserve">2L Agent Opening Position</w:t>
            </w:r>
          </w:p>
        </w:tc>
        <w:tc>
          <w:tcPr/>
          <w:p>
            <w:pPr>
              <w:pStyle w:val="Compact"/>
              <w:jc w:val="left"/>
            </w:pPr>
            <w:r>
              <w:rPr>
                <w:b/>
                <w:bCs/>
              </w:rPr>
              <w:t xml:space="preserve">Proposed Compromise</w:t>
            </w:r>
          </w:p>
        </w:tc>
        <w:tc>
          <w:tcPr/>
          <w:p>
            <w:pPr>
              <w:pStyle w:val="Compact"/>
              <w:jc w:val="left"/>
            </w:pPr>
            <w:r>
              <w:t xml:space="preserve">1L Concession</w:t>
            </w:r>
          </w:p>
        </w:tc>
        <w:tc>
          <w:tcPr/>
          <w:p>
            <w:pPr>
              <w:pStyle w:val="Compact"/>
              <w:jc w:val="left"/>
            </w:pPr>
            <w:r>
              <w:t xml:space="preserve">2L Concession</w:t>
            </w:r>
          </w:p>
        </w:tc>
      </w:tr>
      <w:tr>
        <w:tc>
          <w:tcPr/>
          <w:p>
            <w:pPr>
              <w:pStyle w:val="Compact"/>
              <w:jc w:val="left"/>
            </w:pPr>
            <w:r>
              <w:rPr>
                <w:b/>
                <w:bCs/>
              </w:rPr>
              <w:t xml:space="preserve">§ 3.01(b) Standstill Period</w:t>
            </w:r>
          </w:p>
        </w:tc>
        <w:tc>
          <w:tcPr/>
          <w:p>
            <w:pPr>
              <w:pStyle w:val="Compact"/>
              <w:jc w:val="left"/>
            </w:pPr>
            <w:r>
              <w:t xml:space="preserve">270 days; no early termination</w:t>
            </w:r>
          </w:p>
        </w:tc>
        <w:tc>
          <w:tcPr/>
          <w:p>
            <w:pPr>
              <w:pStyle w:val="Compact"/>
              <w:jc w:val="left"/>
            </w:pPr>
            <w:r>
              <w:t xml:space="preserve">90 days; with early termination triggers</w:t>
            </w:r>
          </w:p>
        </w:tc>
        <w:tc>
          <w:tcPr/>
          <w:p>
            <w:pPr>
              <w:pStyle w:val="Compact"/>
              <w:jc w:val="left"/>
            </w:pPr>
            <w:r>
              <w:rPr>
                <w:b/>
                <w:bCs/>
              </w:rPr>
              <w:t xml:space="preserve">180 days</w:t>
            </w:r>
            <w:r>
              <w:t xml:space="preserve"> </w:t>
            </w:r>
            <w:r>
              <w:t xml:space="preserve">with four objectively verifiable early termination triggers; Blockage Notice cap of 2 per rolling 365-day period</w:t>
            </w:r>
          </w:p>
        </w:tc>
        <w:tc>
          <w:tcPr/>
          <w:p>
            <w:pPr>
              <w:pStyle w:val="Compact"/>
              <w:jc w:val="left"/>
            </w:pPr>
            <w:r>
              <w:t xml:space="preserve">Accepts early termination triggers and a Blockage Notice cap (vs. absolute standstill)</w:t>
            </w:r>
          </w:p>
        </w:tc>
        <w:tc>
          <w:tcPr/>
          <w:p>
            <w:pPr>
              <w:pStyle w:val="Compact"/>
              <w:jc w:val="left"/>
            </w:pPr>
            <w:r>
              <w:t xml:space="preserve">Accepts 180 days (vs. 90 days)</w:t>
            </w:r>
          </w:p>
        </w:tc>
      </w:tr>
      <w:tr>
        <w:tc>
          <w:tcPr/>
          <w:p>
            <w:pPr>
              <w:pStyle w:val="Compact"/>
              <w:jc w:val="left"/>
            </w:pPr>
            <w:r>
              <w:rPr>
                <w:b/>
                <w:bCs/>
              </w:rPr>
              <w:t xml:space="preserve">§ 5.01 Purchase Right — Price</w:t>
            </w:r>
          </w:p>
        </w:tc>
        <w:tc>
          <w:tcPr/>
          <w:p>
            <w:pPr>
              <w:pStyle w:val="Compact"/>
              <w:jc w:val="left"/>
            </w:pPr>
            <w:r>
              <w:t xml:space="preserve">Par + default-rate interest + mandatory revolver assumption</w:t>
            </w:r>
          </w:p>
        </w:tc>
        <w:tc>
          <w:tcPr/>
          <w:p>
            <w:pPr>
              <w:pStyle w:val="Compact"/>
              <w:jc w:val="left"/>
            </w:pPr>
            <w:r>
              <w:t xml:space="preserve">Lesser of par (non-default rate) or FMV; no revolver assumption</w:t>
            </w:r>
          </w:p>
        </w:tc>
        <w:tc>
          <w:tcPr/>
          <w:p>
            <w:pPr>
              <w:pStyle w:val="Compact"/>
              <w:jc w:val="left"/>
            </w:pPr>
            <w:r>
              <w:rPr>
                <w:b/>
                <w:bCs/>
              </w:rPr>
              <w:t xml:space="preserve">Par</w:t>
            </w:r>
            <w:r>
              <w:t xml:space="preserve"> </w:t>
            </w:r>
            <w:r>
              <w:t xml:space="preserve">for funded debt at</w:t>
            </w:r>
            <w:r>
              <w:t xml:space="preserve"> </w:t>
            </w:r>
            <w:r>
              <w:rPr>
                <w:b/>
                <w:bCs/>
              </w:rPr>
              <w:t xml:space="preserve">non-default contract rate</w:t>
            </w:r>
            <w:r>
              <w:t xml:space="preserve">;</w:t>
            </w:r>
            <w:r>
              <w:t xml:space="preserve"> </w:t>
            </w:r>
            <w:r>
              <w:rPr>
                <w:b/>
                <w:bCs/>
              </w:rPr>
              <w:t xml:space="preserve">optional</w:t>
            </w:r>
            <w:r>
              <w:t xml:space="preserve"> </w:t>
            </w:r>
            <w:r>
              <w:t xml:space="preserve">revolver assumption; LC cash collateralization at 103%</w:t>
            </w:r>
          </w:p>
        </w:tc>
        <w:tc>
          <w:tcPr/>
          <w:p>
            <w:pPr>
              <w:pStyle w:val="Compact"/>
              <w:jc w:val="left"/>
            </w:pPr>
            <w:r>
              <w:t xml:space="preserve">Accepts non-default rate and optional (vs. mandatory) revolver assumption</w:t>
            </w:r>
          </w:p>
        </w:tc>
        <w:tc>
          <w:tcPr/>
          <w:p>
            <w:pPr>
              <w:pStyle w:val="Compact"/>
              <w:jc w:val="left"/>
            </w:pPr>
            <w:r>
              <w:t xml:space="preserve">Accepts par (vs. lesser of par/FMV) and 1L-EOD-only trigger (vs. broader triggers)</w:t>
            </w:r>
          </w:p>
        </w:tc>
      </w:tr>
      <w:tr>
        <w:tc>
          <w:tcPr/>
          <w:p>
            <w:pPr>
              <w:pStyle w:val="Compact"/>
              <w:jc w:val="left"/>
            </w:pPr>
            <w:r>
              <w:rPr>
                <w:b/>
                <w:bCs/>
              </w:rPr>
              <w:t xml:space="preserve">§ 2.03(c) Permitted 2L Refinancing</w:t>
            </w:r>
          </w:p>
        </w:tc>
        <w:tc>
          <w:tcPr/>
          <w:p>
            <w:pPr>
              <w:pStyle w:val="Compact"/>
              <w:jc w:val="left"/>
            </w:pPr>
            <w:r>
              <w:t xml:space="preserve">0% principal increase; 91-day post-1L maturity floor; blanket</w:t>
            </w:r>
            <w:r>
              <w:t xml:space="preserve"> </w:t>
            </w:r>
            <w:r>
              <w:t xml:space="preserve">“</w:t>
            </w:r>
            <w:r>
              <w:t xml:space="preserve">no more restrictive</w:t>
            </w:r>
            <w:r>
              <w:t xml:space="preserve">”</w:t>
            </w:r>
            <w:r>
              <w:t xml:space="preserve"> </w:t>
            </w:r>
            <w:r>
              <w:t xml:space="preserve">test</w:t>
            </w:r>
          </w:p>
        </w:tc>
        <w:tc>
          <w:tcPr/>
          <w:p>
            <w:pPr>
              <w:pStyle w:val="Compact"/>
              <w:jc w:val="left"/>
            </w:pPr>
            <w:r>
              <w:t xml:space="preserve">20% increase; original 2L maturity floor; no restrictiveness test</w:t>
            </w:r>
          </w:p>
        </w:tc>
        <w:tc>
          <w:tcPr/>
          <w:p>
            <w:pPr>
              <w:pStyle w:val="Compact"/>
              <w:jc w:val="left"/>
            </w:pPr>
            <w:r>
              <w:rPr>
                <w:b/>
                <w:bCs/>
              </w:rPr>
              <w:t xml:space="preserve">10% increase</w:t>
            </w:r>
            <w:r>
              <w:t xml:space="preserve"> </w:t>
            </w:r>
            <w:r>
              <w:t xml:space="preserve">limited to fees/costs; maturity floor =</w:t>
            </w:r>
            <w:r>
              <w:t xml:space="preserve"> </w:t>
            </w:r>
            <w:r>
              <w:rPr>
                <w:b/>
                <w:bCs/>
              </w:rPr>
              <w:t xml:space="preserve">greater of 91-day post-1L and original 2L maturity</w:t>
            </w:r>
            <w:r>
              <w:t xml:space="preserve">;</w:t>
            </w:r>
            <w:r>
              <w:t xml:space="preserve"> </w:t>
            </w:r>
            <w:r>
              <w:rPr>
                <w:b/>
                <w:bCs/>
              </w:rPr>
              <w:t xml:space="preserve">narrowed</w:t>
            </w:r>
            <w:r>
              <w:t xml:space="preserve"> </w:t>
            </w:r>
            <w:r>
              <w:t xml:space="preserve">restrictiveness test (financial covenants only)</w:t>
            </w:r>
            <w:r>
              <w:t xml:space="preserve"> </w:t>
            </w:r>
            <w:r>
              <w:rPr>
                <w:b/>
                <w:bCs/>
              </w:rPr>
              <w:t xml:space="preserve">paired with MFN right</w:t>
            </w:r>
          </w:p>
        </w:tc>
        <w:tc>
          <w:tcPr/>
          <w:p>
            <w:pPr>
              <w:pStyle w:val="Compact"/>
              <w:jc w:val="left"/>
            </w:pPr>
            <w:r>
              <w:t xml:space="preserve">Accepts 10% principal increase and narrowed (vs. blanket) restrictiveness test</w:t>
            </w:r>
          </w:p>
        </w:tc>
        <w:tc>
          <w:tcPr/>
          <w:p>
            <w:pPr>
              <w:pStyle w:val="Compact"/>
              <w:jc w:val="left"/>
            </w:pPr>
            <w:r>
              <w:t xml:space="preserve">Accepts 10% (vs. 20%) increase and a restrictiveness test + MFN (vs. no test)</w:t>
            </w:r>
          </w:p>
        </w:tc>
      </w:tr>
      <w:tr>
        <w:tc>
          <w:tcPr/>
          <w:p>
            <w:pPr>
              <w:pStyle w:val="Compact"/>
              <w:jc w:val="left"/>
            </w:pPr>
            <w:r>
              <w:rPr>
                <w:b/>
                <w:bCs/>
              </w:rPr>
              <w:t xml:space="preserve">§ 4.02 Asset Sale / Casualty Proceeds</w:t>
            </w:r>
          </w:p>
        </w:tc>
        <w:tc>
          <w:tcPr/>
          <w:p>
            <w:pPr>
              <w:pStyle w:val="Compact"/>
              <w:jc w:val="left"/>
            </w:pPr>
            <w:r>
              <w:t xml:space="preserve">100% hard sweep overriding all reinvestment rights; no 2L residual</w:t>
            </w:r>
          </w:p>
        </w:tc>
        <w:tc>
          <w:tcPr/>
          <w:p>
            <w:pPr>
              <w:pStyle w:val="Compact"/>
              <w:jc w:val="left"/>
            </w:pPr>
            <w:r>
              <w:t xml:space="preserve">Follow 1L Credit Agreement reinvestment mechanics; residual to 2L</w:t>
            </w:r>
          </w:p>
        </w:tc>
        <w:tc>
          <w:tcPr/>
          <w:p>
            <w:pPr>
              <w:pStyle w:val="Compact"/>
              <w:jc w:val="left"/>
            </w:pPr>
            <w:r>
              <w:rPr>
                <w:b/>
                <w:bCs/>
              </w:rPr>
              <w:t xml:space="preserve">Bifurcated</w:t>
            </w:r>
            <w:r>
              <w:t xml:space="preserve">: ordinary-course sales ≤ $20M follow 1L Credit Agreement reinvestment mechanics; extraordinary sales &gt; $20M get</w:t>
            </w:r>
            <w:r>
              <w:t xml:space="preserve"> </w:t>
            </w:r>
            <w:r>
              <w:rPr>
                <w:b/>
                <w:bCs/>
              </w:rPr>
              <w:t xml:space="preserve">100% hard sweep</w:t>
            </w:r>
            <w:r>
              <w:t xml:space="preserve">;</w:t>
            </w:r>
            <w:r>
              <w:t xml:space="preserve"> </w:t>
            </w:r>
            <w:r>
              <w:rPr>
                <w:b/>
                <w:bCs/>
              </w:rPr>
              <w:t xml:space="preserve">anti-evasion</w:t>
            </w:r>
            <w:r>
              <w:t xml:space="preserve"> </w:t>
            </w:r>
            <w:r>
              <w:t xml:space="preserve">at $20M;</w:t>
            </w:r>
            <w:r>
              <w:t xml:space="preserve"> </w:t>
            </w:r>
            <w:r>
              <w:rPr>
                <w:b/>
                <w:bCs/>
              </w:rPr>
              <w:t xml:space="preserve">2L receives residual</w:t>
            </w:r>
            <w:r>
              <w:t xml:space="preserve"> </w:t>
            </w:r>
            <w:r>
              <w:t xml:space="preserve">after 1L paid in full; quarterly + event-driven reporting</w:t>
            </w:r>
          </w:p>
        </w:tc>
        <w:tc>
          <w:tcPr/>
          <w:p>
            <w:pPr>
              <w:pStyle w:val="Compact"/>
              <w:jc w:val="left"/>
            </w:pPr>
            <w:r>
              <w:t xml:space="preserve">Accepts ordinary-course reinvestment carve-out and 2L residual access (vs. blanket sweep)</w:t>
            </w:r>
          </w:p>
        </w:tc>
        <w:tc>
          <w:tcPr/>
          <w:p>
            <w:pPr>
              <w:pStyle w:val="Compact"/>
              <w:jc w:val="left"/>
            </w:pPr>
            <w:r>
              <w:t xml:space="preserve">Accepts hard sweep for extraordinary sales and anti-evasion (vs. full reinvestment preservation)</w:t>
            </w:r>
          </w:p>
        </w:tc>
      </w:tr>
    </w:tbl>
    <w:p>
      <w:pPr>
        <w:pStyle w:val="BodyText"/>
      </w:pPr>
      <w:r>
        <w:rPr>
          <w:b/>
          <w:bCs/>
        </w:rPr>
        <w:t xml:space="preserve">Package balance.</w:t>
      </w:r>
      <w:r>
        <w:t xml:space="preserve"> </w:t>
      </w:r>
      <w:r>
        <w:t xml:space="preserve">Each side obtains its non-negotiable core requirement: the 1L Agent obtains a par purchase price, a hard sweep for extraordinary asset sales, and an MFN right; the 2L Agent obtains early termination triggers, optional revolver assumption, a 10% refinancing headroom, and residual proceeds access. Each side also makes meaningful concessions calibrated to the other’s expressed flexibility. The package is designed so that neither agent can obtain a materially better outcome by holding out, and so that both agents can defend the package to their respective credit committees as consistent with market precedent for transactions of comparable leverage and structure.</w:t>
      </w:r>
    </w:p>
    <w:p>
      <w:r>
        <w:pict>
          <v:rect style="width:0;height:1.5pt" o:hralign="center" o:hrstd="t" o:hr="t"/>
        </w:pict>
      </w:r>
    </w:p>
    <w:bookmarkEnd w:id="24"/>
    <w:bookmarkStart w:id="25" w:name="iii.-capital-structure-context"/>
    <w:p>
      <w:pPr>
        <w:pStyle w:val="Heading2"/>
      </w:pPr>
      <w:r>
        <w:t xml:space="preserve">III. CAPITAL STRUCTURE CONTEXT</w:t>
      </w:r>
    </w:p>
    <w:p>
      <w:pPr>
        <w:pStyle w:val="FirstParagraph"/>
      </w:pPr>
      <w:r>
        <w:t xml:space="preserve">Every provision of this package is informed by the leverage profile of the Meridian capital structure, which both agents have acknowledged in their position letters and which the lender appraisal (dated May 15, 2025) confirms. The key metrics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First Lien Facility</w:t>
            </w:r>
          </w:p>
        </w:tc>
        <w:tc>
          <w:tcPr/>
          <w:p>
            <w:pPr>
              <w:pStyle w:val="Compact"/>
              <w:jc w:val="left"/>
            </w:pPr>
            <w:r>
              <w:t xml:space="preserve">$475,000,000 ($125M Revolver + $350M Term Loan A)</w:t>
            </w:r>
          </w:p>
        </w:tc>
        <w:tc>
          <w:tcPr/>
          <w:p>
            <w:pPr>
              <w:pStyle w:val="Compact"/>
              <w:jc w:val="left"/>
            </w:pPr>
            <w:r>
              <w:t xml:space="preserve">Capital Structure Summary</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Capital Structure Summary</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Capital Structure Summary</w:t>
            </w:r>
          </w:p>
        </w:tc>
      </w:tr>
      <w:tr>
        <w:tc>
          <w:tcPr/>
          <w:p>
            <w:pPr>
              <w:pStyle w:val="Compact"/>
              <w:jc w:val="left"/>
            </w:pPr>
            <w:r>
              <w:t xml:space="preserve">Total Enterprise Value (TEV)</w:t>
            </w:r>
          </w:p>
        </w:tc>
        <w:tc>
          <w:tcPr/>
          <w:p>
            <w:pPr>
              <w:pStyle w:val="Compact"/>
              <w:jc w:val="left"/>
            </w:pPr>
            <w:r>
              <w:t xml:space="preserve">~$640,000,000</w:t>
            </w:r>
          </w:p>
        </w:tc>
        <w:tc>
          <w:tcPr/>
          <w:p>
            <w:pPr>
              <w:pStyle w:val="Compact"/>
              <w:jc w:val="left"/>
            </w:pPr>
            <w:r>
              <w:t xml:space="preserve">Lender Appraisal (midpoint of $620M–$660M range)</w:t>
            </w:r>
          </w:p>
        </w:tc>
      </w:tr>
      <w:tr>
        <w:tc>
          <w:tcPr/>
          <w:p>
            <w:pPr>
              <w:pStyle w:val="Compact"/>
              <w:jc w:val="left"/>
            </w:pPr>
            <w:r>
              <w:t xml:space="preserve">First Lien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t xml:space="preserve">Total LTV</w:t>
            </w:r>
          </w:p>
        </w:tc>
        <w:tc>
          <w:tcPr/>
          <w:p>
            <w:pPr>
              <w:pStyle w:val="Compact"/>
              <w:jc w:val="left"/>
            </w:pPr>
            <w:r>
              <w:t xml:space="preserve">97.66%</w:t>
            </w:r>
          </w:p>
        </w:tc>
        <w:tc>
          <w:tcPr/>
          <w:p>
            <w:pPr>
              <w:pStyle w:val="Compact"/>
              <w:jc w:val="left"/>
            </w:pPr>
            <w:r>
              <w:t xml:space="preserve">$625M ÷ $640M</w:t>
            </w:r>
          </w:p>
        </w:tc>
      </w:tr>
      <w:tr>
        <w:tc>
          <w:tcPr/>
          <w:p>
            <w:pPr>
              <w:pStyle w:val="Compact"/>
              <w:jc w:val="left"/>
            </w:pPr>
            <w:r>
              <w:t xml:space="preserve">Second Lien Equity Cushion</w:t>
            </w:r>
          </w:p>
        </w:tc>
        <w:tc>
          <w:tcPr/>
          <w:p>
            <w:pPr>
              <w:pStyle w:val="Compact"/>
              <w:jc w:val="left"/>
            </w:pPr>
            <w:r>
              <w:t xml:space="preserve">25.78% (~$165M absolute)</w:t>
            </w:r>
          </w:p>
        </w:tc>
        <w:tc>
          <w:tcPr/>
          <w:p>
            <w:pPr>
              <w:pStyle w:val="Compact"/>
              <w:jc w:val="left"/>
            </w:pPr>
            <w:r>
              <w:t xml:space="preserve">($640M − $475M) ÷ $640M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Borrower-reported; Lender Appraisal</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t xml:space="preserve">Total Leverage</w:t>
            </w:r>
          </w:p>
        </w:tc>
        <w:tc>
          <w:tcPr/>
          <w:p>
            <w:pPr>
              <w:pStyle w:val="Compact"/>
              <w:jc w:val="left"/>
            </w:pPr>
            <w:r>
              <w:t xml:space="preserve">6.99x</w:t>
            </w:r>
          </w:p>
        </w:tc>
        <w:tc>
          <w:tcPr/>
          <w:p>
            <w:pPr>
              <w:pStyle w:val="Compact"/>
              <w:jc w:val="left"/>
            </w:pPr>
            <w:r>
              <w:t xml:space="preserve">$625M ÷ $89.4M</w:t>
            </w:r>
          </w:p>
        </w:tc>
      </w:tr>
      <w:tr>
        <w:tc>
          <w:tcPr/>
          <w:p>
            <w:pPr>
              <w:pStyle w:val="Compact"/>
              <w:jc w:val="left"/>
            </w:pPr>
            <w:r>
              <w:t xml:space="preserve">1L Interest Rate (non-default)</w:t>
            </w:r>
          </w:p>
        </w:tc>
        <w:tc>
          <w:tcPr/>
          <w:p>
            <w:pPr>
              <w:pStyle w:val="Compact"/>
              <w:jc w:val="left"/>
            </w:pPr>
            <w:r>
              <w:t xml:space="preserve">SOFR + 250 bps (~7.83% at SOFR 5.33%)</w:t>
            </w:r>
          </w:p>
        </w:tc>
        <w:tc>
          <w:tcPr/>
          <w:p>
            <w:pPr>
              <w:pStyle w:val="Compact"/>
              <w:jc w:val="left"/>
            </w:pPr>
            <w:r>
              <w:t xml:space="preserve">1L Credit Agreement § 2.08(a)</w:t>
            </w:r>
          </w:p>
        </w:tc>
      </w:tr>
      <w:tr>
        <w:tc>
          <w:tcPr/>
          <w:p>
            <w:pPr>
              <w:pStyle w:val="Compact"/>
              <w:jc w:val="left"/>
            </w:pPr>
            <w:r>
              <w:t xml:space="preserve">1L Default Rate</w:t>
            </w:r>
          </w:p>
        </w:tc>
        <w:tc>
          <w:tcPr/>
          <w:p>
            <w:pPr>
              <w:pStyle w:val="Compact"/>
              <w:jc w:val="left"/>
            </w:pPr>
            <w:r>
              <w:t xml:space="preserve">SOFR + 450 bps (~9.83%; +200 bps)</w:t>
            </w:r>
          </w:p>
        </w:tc>
        <w:tc>
          <w:tcPr/>
          <w:p>
            <w:pPr>
              <w:pStyle w:val="Compact"/>
              <w:jc w:val="left"/>
            </w:pPr>
            <w:r>
              <w:t xml:space="preserve">1L Credit Agreement § 2.08(b)</w:t>
            </w:r>
          </w:p>
        </w:tc>
      </w:tr>
      <w:tr>
        <w:tc>
          <w:tcPr/>
          <w:p>
            <w:pPr>
              <w:pStyle w:val="Compact"/>
              <w:jc w:val="left"/>
            </w:pPr>
            <w:r>
              <w:t xml:space="preserve">2L Interest Rate (non-default)</w:t>
            </w:r>
          </w:p>
        </w:tc>
        <w:tc>
          <w:tcPr/>
          <w:p>
            <w:pPr>
              <w:pStyle w:val="Compact"/>
              <w:jc w:val="left"/>
            </w:pPr>
            <w:r>
              <w:t xml:space="preserve">SOFR + 625 bps (~11.58%)</w:t>
            </w:r>
          </w:p>
        </w:tc>
        <w:tc>
          <w:tcPr/>
          <w:p>
            <w:pPr>
              <w:pStyle w:val="Compact"/>
              <w:jc w:val="left"/>
            </w:pPr>
            <w:r>
              <w:t xml:space="preserve">2L Credit Agreement § 2.03(a)</w:t>
            </w:r>
          </w:p>
        </w:tc>
      </w:tr>
      <w:tr>
        <w:tc>
          <w:tcPr/>
          <w:p>
            <w:pPr>
              <w:pStyle w:val="Compact"/>
              <w:jc w:val="left"/>
            </w:pPr>
            <w:r>
              <w:t xml:space="preserve">1L Maturity</w:t>
            </w:r>
          </w:p>
        </w:tc>
        <w:tc>
          <w:tcPr/>
          <w:p>
            <w:pPr>
              <w:pStyle w:val="Compact"/>
              <w:jc w:val="left"/>
            </w:pPr>
            <w:r>
              <w:t xml:space="preserve">June 15, 2030</w:t>
            </w:r>
          </w:p>
        </w:tc>
        <w:tc>
          <w:tcPr/>
          <w:p>
            <w:pPr>
              <w:pStyle w:val="Compact"/>
              <w:jc w:val="left"/>
            </w:pPr>
            <w:r>
              <w:t xml:space="preserve">1L Credit Agreement</w:t>
            </w:r>
          </w:p>
        </w:tc>
      </w:tr>
      <w:tr>
        <w:tc>
          <w:tcPr/>
          <w:p>
            <w:pPr>
              <w:pStyle w:val="Compact"/>
              <w:jc w:val="left"/>
            </w:pPr>
            <w:r>
              <w:t xml:space="preserve">2L Maturity</w:t>
            </w:r>
          </w:p>
        </w:tc>
        <w:tc>
          <w:tcPr/>
          <w:p>
            <w:pPr>
              <w:pStyle w:val="Compact"/>
              <w:jc w:val="left"/>
            </w:pPr>
            <w:r>
              <w:t xml:space="preserve">June 15, 2031</w:t>
            </w:r>
          </w:p>
        </w:tc>
        <w:tc>
          <w:tcPr/>
          <w:p>
            <w:pPr>
              <w:pStyle w:val="Compact"/>
              <w:jc w:val="left"/>
            </w:pPr>
            <w:r>
              <w:t xml:space="preserve">2L Credit Agreement</w:t>
            </w:r>
          </w:p>
        </w:tc>
      </w:tr>
      <w:tr>
        <w:tc>
          <w:tcPr/>
          <w:p>
            <w:pPr>
              <w:pStyle w:val="Compact"/>
              <w:jc w:val="left"/>
            </w:pPr>
            <w:r>
              <w:t xml:space="preserve">91 days post-1L maturity</w:t>
            </w:r>
          </w:p>
        </w:tc>
        <w:tc>
          <w:tcPr/>
          <w:p>
            <w:pPr>
              <w:pStyle w:val="Compact"/>
              <w:jc w:val="left"/>
            </w:pPr>
            <w:r>
              <w:t xml:space="preserve">September 14, 2030</w:t>
            </w:r>
          </w:p>
        </w:tc>
        <w:tc>
          <w:tcPr/>
          <w:p>
            <w:pPr>
              <w:pStyle w:val="Compact"/>
              <w:jc w:val="left"/>
            </w:pPr>
            <w:r>
              <w:t xml:space="preserve">Computed</w:t>
            </w:r>
          </w:p>
        </w:tc>
      </w:tr>
      <w:tr>
        <w:tc>
          <w:tcPr/>
          <w:p>
            <w:pPr>
              <w:pStyle w:val="Compact"/>
              <w:jc w:val="left"/>
            </w:pPr>
            <w:r>
              <w:t xml:space="preserve">1L Financial Covenant</w:t>
            </w:r>
          </w:p>
        </w:tc>
        <w:tc>
          <w:tcPr/>
          <w:p>
            <w:pPr>
              <w:pStyle w:val="Compact"/>
              <w:jc w:val="left"/>
            </w:pPr>
            <w:r>
              <w:t xml:space="preserve">Total First Lien Net Leverage ≤ 5.50x; Interest Coverage ≥ 2.00x</w:t>
            </w:r>
          </w:p>
        </w:tc>
        <w:tc>
          <w:tcPr/>
          <w:p>
            <w:pPr>
              <w:pStyle w:val="Compact"/>
              <w:jc w:val="left"/>
            </w:pPr>
            <w:r>
              <w:t xml:space="preserve">1L Credit Agreement § 6.10</w:t>
            </w:r>
          </w:p>
        </w:tc>
      </w:tr>
      <w:tr>
        <w:tc>
          <w:tcPr/>
          <w:p>
            <w:pPr>
              <w:pStyle w:val="Compact"/>
              <w:jc w:val="left"/>
            </w:pPr>
            <w:r>
              <w:t xml:space="preserve">2L Financial Covenant</w:t>
            </w:r>
          </w:p>
        </w:tc>
        <w:tc>
          <w:tcPr/>
          <w:p>
            <w:pPr>
              <w:pStyle w:val="Compact"/>
              <w:jc w:val="left"/>
            </w:pPr>
            <w:r>
              <w:t xml:space="preserve">Total Leverage ≤ 6.50x (Maximum Total Leverage Ratio)</w:t>
            </w:r>
          </w:p>
        </w:tc>
        <w:tc>
          <w:tcPr/>
          <w:p>
            <w:pPr>
              <w:pStyle w:val="Compact"/>
              <w:jc w:val="left"/>
            </w:pPr>
            <w:r>
              <w:t xml:space="preserve">2L Credit Agreement § 7.08</w:t>
            </w:r>
          </w:p>
        </w:tc>
      </w:tr>
    </w:tbl>
    <w:p>
      <w:pPr>
        <w:pStyle w:val="BodyText"/>
      </w:pPr>
      <w:r>
        <w:t xml:space="preserve">The Total LTV of 97.66% means that aggregate secured indebtedness very nearly equals enterprise value. The second lien equity cushion of 25.78% is thin. These metrics simultaneously (a) justify the 1L Agent’s insistence on structural protections against value leakage and premature junior enforcement, and (b) justify the 2L Agent’s insistence on protections against indefinite standstill and value erosion during a prolonged enforcement freeze. The compromise package calibrates each provision to this shared reality.</w:t>
      </w:r>
    </w:p>
    <w:p>
      <w:r>
        <w:pict>
          <v:rect style="width:0;height:1.5pt" o:hralign="center" o:hrstd="t" o:hr="t"/>
        </w:pict>
      </w:r>
    </w:p>
    <w:bookmarkEnd w:id="25"/>
    <w:bookmarkStart w:id="46" w:name="iv.-compromise-proposals"/>
    <w:p>
      <w:pPr>
        <w:pStyle w:val="Heading2"/>
      </w:pPr>
      <w:r>
        <w:t xml:space="preserve">IV. COMPROMISE PROPOSALS</w:t>
      </w:r>
    </w:p>
    <w:bookmarkStart w:id="30" w:name="a.-section-3.01b-standstill-period"/>
    <w:p>
      <w:pPr>
        <w:pStyle w:val="Heading3"/>
      </w:pPr>
      <w:r>
        <w:t xml:space="preserve">A. Section 3.01(b) — Standstill Period</w:t>
      </w:r>
    </w:p>
    <w:bookmarkStart w:id="26" w:name="the-dispute"/>
    <w:p>
      <w:pPr>
        <w:pStyle w:val="Heading4"/>
      </w:pPr>
      <w:r>
        <w:t xml:space="preserve">1. The Dispute</w:t>
      </w:r>
    </w:p>
    <w:p>
      <w:pPr>
        <w:pStyle w:val="FirstParagraph"/>
      </w:pPr>
      <w:r>
        <w:t xml:space="preserve">The 1L Agent’s opening position is a 270-day standstill with no early termination events under any circumstances — an</w:t>
      </w:r>
      <w:r>
        <w:t xml:space="preserve"> </w:t>
      </w:r>
      <w:r>
        <w:t xml:space="preserve">“</w:t>
      </w:r>
      <w:r>
        <w:t xml:space="preserve">absolute and unconditional</w:t>
      </w:r>
      <w:r>
        <w:t xml:space="preserve">”</w:t>
      </w:r>
      <w:r>
        <w:t xml:space="preserve"> </w:t>
      </w:r>
      <w:r>
        <w:t xml:space="preserve">standstill. The 1L Agent’s position letter cites three precedent transactions (Hartsfield/Consolidated Metals at 270 days; Briarcliff/Weston Energy at 240 days with a single narrow carve-out; Kingsbridge/Atlas Materials at 300 days) and states that Cartwright’s credit committee has established a minimum acceptable standstill of 150 days, below which re-syndication would be required.</w:t>
      </w:r>
    </w:p>
    <w:p>
      <w:pPr>
        <w:pStyle w:val="BodyText"/>
      </w:pPr>
      <w:r>
        <w:t xml:space="preserve">The 2L Agent’s opening position is a 90-day standstill measured from delivery of a Second Lien Enforcement Notice, with early termination upon (A) commencement of enforcement by the 1L Agent against material Collateral or (B) filing of an Insolvency Proceeding. The 2L Agent’s position letter cites its own market survey of 37 transactions and argues that a 270-day standstill would expose the Second Lien Lenders to material and potentially irrecoverable collateral value erosion given the thin 25.78% equity cushion.</w:t>
      </w:r>
    </w:p>
    <w:bookmarkEnd w:id="26"/>
    <w:bookmarkStart w:id="27" w:name="Xbeaa1fc402c9c4f8f16d1f5f9afb3e2b8b05319"/>
    <w:p>
      <w:pPr>
        <w:pStyle w:val="Heading4"/>
      </w:pPr>
      <w:r>
        <w:t xml:space="preserve">2. Market Data (KTM Market Survey — 42 deals, 2022–2024)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Median standstill period</w:t>
            </w:r>
          </w:p>
        </w:tc>
        <w:tc>
          <w:tcPr/>
          <w:p>
            <w:pPr>
              <w:pStyle w:val="Compact"/>
              <w:jc w:val="left"/>
            </w:pPr>
            <w:r>
              <w:rPr>
                <w:b/>
                <w:bCs/>
              </w:rPr>
              <w:t xml:space="preserve">180 days</w:t>
            </w:r>
          </w:p>
        </w:tc>
      </w:tr>
      <w:tr>
        <w:tc>
          <w:tcPr/>
          <w:p>
            <w:pPr>
              <w:pStyle w:val="Compact"/>
              <w:jc w:val="left"/>
            </w:pPr>
            <w:r>
              <w:t xml:space="preserve">Mean standstill period</w:t>
            </w:r>
          </w:p>
        </w:tc>
        <w:tc>
          <w:tcPr/>
          <w:p>
            <w:pPr>
              <w:pStyle w:val="Compact"/>
              <w:jc w:val="left"/>
            </w:pPr>
            <w:r>
              <w:t xml:space="preserve">172.9 days</w:t>
            </w:r>
          </w:p>
        </w:tc>
      </w:tr>
      <w:tr>
        <w:tc>
          <w:tcPr/>
          <w:p>
            <w:pPr>
              <w:pStyle w:val="Compact"/>
              <w:jc w:val="left"/>
            </w:pPr>
            <w:r>
              <w:t xml:space="preserve">Range</w:t>
            </w:r>
          </w:p>
        </w:tc>
        <w:tc>
          <w:tcPr/>
          <w:p>
            <w:pPr>
              <w:pStyle w:val="Compact"/>
              <w:jc w:val="left"/>
            </w:pPr>
            <w:r>
              <w:t xml:space="preserve">90–270 days</w:t>
            </w:r>
          </w:p>
        </w:tc>
      </w:tr>
      <w:tr>
        <w:tc>
          <w:tcPr/>
          <w:p>
            <w:pPr>
              <w:pStyle w:val="Compact"/>
              <w:jc w:val="left"/>
            </w:pPr>
            <w:r>
              <w:t xml:space="preserve">25th / 75th percentile</w:t>
            </w:r>
          </w:p>
        </w:tc>
        <w:tc>
          <w:tcPr/>
          <w:p>
            <w:pPr>
              <w:pStyle w:val="Compact"/>
              <w:jc w:val="left"/>
            </w:pPr>
            <w:r>
              <w:t xml:space="preserve">150 / 202.5 days</w:t>
            </w:r>
          </w:p>
        </w:tc>
      </w:tr>
      <w:tr>
        <w:tc>
          <w:tcPr/>
          <w:p>
            <w:pPr>
              <w:pStyle w:val="Compact"/>
              <w:jc w:val="left"/>
            </w:pPr>
            <w:r>
              <w:t xml:space="preserve">Sponsor-backed median</w:t>
            </w:r>
          </w:p>
        </w:tc>
        <w:tc>
          <w:tcPr/>
          <w:p>
            <w:pPr>
              <w:pStyle w:val="Compact"/>
              <w:jc w:val="left"/>
            </w:pPr>
            <w:r>
              <w:t xml:space="preserve">180 days (25 deals)</w:t>
            </w:r>
          </w:p>
        </w:tc>
      </w:tr>
      <w:tr>
        <w:tc>
          <w:tcPr/>
          <w:p>
            <w:pPr>
              <w:pStyle w:val="Compact"/>
              <w:jc w:val="left"/>
            </w:pPr>
            <w:r>
              <w:t xml:space="preserve">Non-sponsor median</w:t>
            </w:r>
          </w:p>
        </w:tc>
        <w:tc>
          <w:tcPr/>
          <w:p>
            <w:pPr>
              <w:pStyle w:val="Compact"/>
              <w:jc w:val="left"/>
            </w:pPr>
            <w:r>
              <w:t xml:space="preserve">150 days (17 deals)</w:t>
            </w:r>
          </w:p>
        </w:tc>
      </w:tr>
      <w:tr>
        <w:tc>
          <w:tcPr/>
          <w:p>
            <w:pPr>
              <w:pStyle w:val="Compact"/>
              <w:jc w:val="left"/>
            </w:pPr>
            <w:r>
              <w:t xml:space="preserve">Deals with early termination triggers</w:t>
            </w:r>
          </w:p>
        </w:tc>
        <w:tc>
          <w:tcPr/>
          <w:p>
            <w:pPr>
              <w:pStyle w:val="Compact"/>
              <w:jc w:val="left"/>
            </w:pPr>
            <w:r>
              <w:rPr>
                <w:b/>
                <w:bCs/>
              </w:rPr>
              <w:t xml:space="preserve">32 of 42 (76%)</w:t>
            </w:r>
          </w:p>
        </w:tc>
      </w:tr>
      <w:tr>
        <w:tc>
          <w:tcPr/>
          <w:p>
            <w:pPr>
              <w:pStyle w:val="Compact"/>
              <w:jc w:val="left"/>
            </w:pPr>
            <w:r>
              <w:t xml:space="preserve">Deals without early termination triggers</w:t>
            </w:r>
          </w:p>
        </w:tc>
        <w:tc>
          <w:tcPr/>
          <w:p>
            <w:pPr>
              <w:pStyle w:val="Compact"/>
              <w:jc w:val="left"/>
            </w:pPr>
            <w:r>
              <w:t xml:space="preserve">10 of 42 (24%)</w:t>
            </w:r>
          </w:p>
        </w:tc>
      </w:tr>
      <w:tr>
        <w:tc>
          <w:tcPr/>
          <w:p>
            <w:pPr>
              <w:pStyle w:val="Compact"/>
              <w:jc w:val="left"/>
            </w:pPr>
            <w:r>
              <w:t xml:space="preserve">Deals pairing ≥ 180-day standstill WITH early termination triggers</w:t>
            </w:r>
          </w:p>
        </w:tc>
        <w:tc>
          <w:tcPr/>
          <w:p>
            <w:pPr>
              <w:pStyle w:val="Compact"/>
              <w:jc w:val="left"/>
            </w:pPr>
            <w:r>
              <w:rPr>
                <w:b/>
                <w:bCs/>
              </w:rPr>
              <w:t xml:space="preserve">25 of 42 (market standard pairing)</w:t>
            </w:r>
          </w:p>
        </w:tc>
      </w:tr>
      <w:tr>
        <w:tc>
          <w:tcPr/>
          <w:p>
            <w:pPr>
              <w:pStyle w:val="Compact"/>
              <w:jc w:val="left"/>
            </w:pPr>
            <w:r>
              <w:t xml:space="preserve">Most common trigger: liquidation commenced</w:t>
            </w:r>
          </w:p>
        </w:tc>
        <w:tc>
          <w:tcPr/>
          <w:p>
            <w:pPr>
              <w:pStyle w:val="Compact"/>
              <w:jc w:val="left"/>
            </w:pPr>
            <w:r>
              <w:t xml:space="preserve">29 deals</w:t>
            </w:r>
          </w:p>
        </w:tc>
      </w:tr>
      <w:tr>
        <w:tc>
          <w:tcPr/>
          <w:p>
            <w:pPr>
              <w:pStyle w:val="Compact"/>
              <w:jc w:val="left"/>
            </w:pPr>
            <w:r>
              <w:t xml:space="preserve">Most common trigger: credit bid by 1L</w:t>
            </w:r>
          </w:p>
        </w:tc>
        <w:tc>
          <w:tcPr/>
          <w:p>
            <w:pPr>
              <w:pStyle w:val="Compact"/>
              <w:jc w:val="left"/>
            </w:pPr>
            <w:r>
              <w:t xml:space="preserve">22 deals</w:t>
            </w:r>
          </w:p>
        </w:tc>
      </w:tr>
      <w:tr>
        <w:tc>
          <w:tcPr/>
          <w:p>
            <w:pPr>
              <w:pStyle w:val="Compact"/>
              <w:jc w:val="left"/>
            </w:pPr>
            <w:r>
              <w:t xml:space="preserve">Most common trigger: filing of involuntary petition</w:t>
            </w:r>
          </w:p>
        </w:tc>
        <w:tc>
          <w:tcPr/>
          <w:p>
            <w:pPr>
              <w:pStyle w:val="Compact"/>
              <w:jc w:val="left"/>
            </w:pPr>
            <w:r>
              <w:t xml:space="preserve">13 deals</w:t>
            </w:r>
          </w:p>
        </w:tc>
      </w:tr>
      <w:tr>
        <w:tc>
          <w:tcPr/>
          <w:p>
            <w:pPr>
              <w:pStyle w:val="Compact"/>
              <w:jc w:val="left"/>
            </w:pPr>
            <w:r>
              <w:t xml:space="preserve">Most common trigger: DIP financing approved</w:t>
            </w:r>
          </w:p>
        </w:tc>
        <w:tc>
          <w:tcPr/>
          <w:p>
            <w:pPr>
              <w:pStyle w:val="Compact"/>
              <w:jc w:val="left"/>
            </w:pPr>
            <w:r>
              <w:t xml:space="preserve">13 deals</w:t>
            </w:r>
          </w:p>
        </w:tc>
      </w:tr>
      <w:tr>
        <w:tc>
          <w:tcPr/>
          <w:p>
            <w:pPr>
              <w:pStyle w:val="Compact"/>
              <w:jc w:val="left"/>
            </w:pPr>
            <w:r>
              <w:t xml:space="preserve">Most common trigger: sale motion without 2L consent</w:t>
            </w:r>
          </w:p>
        </w:tc>
        <w:tc>
          <w:tcPr/>
          <w:p>
            <w:pPr>
              <w:pStyle w:val="Compact"/>
              <w:jc w:val="left"/>
            </w:pPr>
            <w:r>
              <w:t xml:space="preserve">9 deals</w:t>
            </w:r>
          </w:p>
        </w:tc>
      </w:tr>
    </w:tbl>
    <w:p>
      <w:pPr>
        <w:pStyle w:val="BodyText"/>
      </w:pPr>
      <w:r>
        <w:t xml:space="preserve">The market data establishes that a 180-day standstill paired with early termination triggers is the clear market standard. The median is 180 days; 76% of deals include triggers; and 25 of 42 deals specifically pair a standstill of 180 days or longer with early termination triggers. A 270-day absolute standstill (the 1L Agent’s opening) is an outlier — only one surveyed deal (Deal-015) employed a 270-day standstill, and even that deal included early termination triggers. A 90-day standstill (the 2L Agent’s opening) is likewise an outlier — only one surveyed deal (Deal-022) employed a 90-day standstill.</w:t>
      </w:r>
    </w:p>
    <w:bookmarkEnd w:id="27"/>
    <w:bookmarkStart w:id="28" w:name="proposed-compromise-language"/>
    <w:p>
      <w:pPr>
        <w:pStyle w:val="Heading4"/>
      </w:pPr>
      <w:r>
        <w:t xml:space="preserve">3. Proposed Compromise Language</w:t>
      </w:r>
    </w:p>
    <w:p>
      <w:pPr>
        <w:pStyle w:val="FirstParagraph"/>
      </w:pPr>
      <w:r>
        <w:t xml:space="preserve">The following language is proposed to replace the bracketed text in Section 3.01(b) of the draft ICA:</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 one hundred eighty (180) days following the date of actual receipt by the First Lien Agent of a written notice (a</w:t>
      </w:r>
      <w:r>
        <w:t xml:space="preserve"> </w:t>
      </w:r>
      <w:r>
        <w:t xml:space="preserve">“</w:t>
      </w:r>
      <w:r>
        <w:rPr>
          <w:b/>
          <w:bCs/>
        </w:rPr>
        <w:t xml:space="preserve">Blockage Notice</w:t>
      </w:r>
      <w:r>
        <w:t xml:space="preserve">”</w:t>
      </w:r>
      <w:r>
        <w:t xml:space="preserve">) specifying in reasonable detail the Second Lien Default giving rise thereto (the</w:t>
      </w:r>
      <w:r>
        <w:t xml:space="preserve"> </w:t>
      </w:r>
      <w:r>
        <w:t xml:space="preserve">“</w:t>
      </w:r>
      <w:r>
        <w:rPr>
          <w:b/>
          <w:bCs/>
        </w:rPr>
        <w:t xml:space="preserve">Standstill Period</w:t>
      </w:r>
      <w:r>
        <w:t xml:space="preserve">”</w:t>
      </w:r>
      <w:r>
        <w:t xml:space="preserve">). The Standstill Period shall be measured from the date of actual receipt of the Blockage Notice by the First Lien Agent. The Standstill Period shall be tolled, and shall not run, during the pendency of any Insolvency Proceeding with respect to the Borrower or any loan party.</w:t>
      </w:r>
    </w:p>
    <w:p>
      <w:pPr>
        <w:pStyle w:val="BlockText"/>
      </w:pPr>
      <w:r>
        <w:rPr>
          <w:b/>
          <w:bCs/>
        </w:rPr>
        <w:t xml:space="preserve">Early Termination.</w:t>
      </w:r>
      <w:r>
        <w:t xml:space="preserve"> </w:t>
      </w:r>
      <w:r>
        <w:t xml:space="preserve">Notwithstanding the foregoing, the Standstill Period shall terminate prior to the expiration of such one hundred eighty (180)-day period upon the occurrence of any of the following early termination events (each, an</w:t>
      </w:r>
      <w:r>
        <w:t xml:space="preserve"> </w:t>
      </w:r>
      <w:r>
        <w:t xml:space="preserve">“</w:t>
      </w:r>
      <w:r>
        <w:rPr>
          <w:b/>
          <w:bCs/>
        </w:rPr>
        <w:t xml:space="preserve">Early Termination Event</w:t>
      </w:r>
      <w:r>
        <w:t xml:space="preserve">”</w:t>
      </w:r>
      <w:r>
        <w:t xml:space="preserve">), each of which shall be objectively verifiable:</w:t>
      </w:r>
    </w:p>
    <w:p>
      <w:pPr>
        <w:pStyle w:val="BlockText"/>
        <w:numPr>
          <w:ilvl w:val="0"/>
          <w:numId w:val="1001"/>
        </w:numPr>
      </w:pPr>
      <w:r>
        <w:t xml:space="preserve">the First Lien Agent or any First Lien Secured Party shall have commenced a liquidation of, or the disposition of substantially all of, the Collateral pursuant to an Enforcement Action;</w:t>
      </w:r>
    </w:p>
    <w:p>
      <w:pPr>
        <w:pStyle w:val="BlockText"/>
        <w:numPr>
          <w:ilvl w:val="0"/>
          <w:numId w:val="1001"/>
        </w:numPr>
      </w:pPr>
      <w:r>
        <w:t xml:space="preserve">an involuntary Insolvency Proceeding shall have been commenced against the Borrower or any material loan party and shall have remained undismissed or unstayed for a period of sixty (60) consecutive days, or an order for relief shall have been entered in such Insolvency Proceeding;</w:t>
      </w:r>
    </w:p>
    <w:p>
      <w:pPr>
        <w:pStyle w:val="BlockText"/>
        <w:numPr>
          <w:ilvl w:val="0"/>
          <w:numId w:val="1001"/>
        </w:numPr>
      </w:pPr>
      <w:r>
        <w:t xml:space="preserve">a plan of reorganization shall have been confirmed in any Insolvency Proceeding that impairs the Second Lien Obligations without the consent of the Second Lien Agent; or</w:t>
      </w:r>
    </w:p>
    <w:p>
      <w:pPr>
        <w:pStyle w:val="BlockText"/>
        <w:numPr>
          <w:ilvl w:val="0"/>
          <w:numId w:val="1001"/>
        </w:numPr>
      </w:pPr>
      <w:r>
        <w:t xml:space="preserve">the First Lien Agent shall have failed to commence, or having commenced shall have ceased, any Enforcement Action with respect to the Collateral for a continuous period of one hundred twenty (120) days following the date of actual receipt of the Blockage Notice by the First Lien Agent.</w:t>
      </w:r>
    </w:p>
    <w:p>
      <w:pPr>
        <w:pStyle w:val="BlockText"/>
      </w:pPr>
      <w:r>
        <w:t xml:space="preserve">Upon the occurrence of any Early Termination Event, the Standstill Period shall immediately terminate, and the Second Lien Agent may exercise any and all rights and remedies available to it under the Second Lien Loan Documents and applicable law with respect to the Collateral, subject to Section 3.03 and Section 5.01. The First Lien Agent shall promptly (and in any event within two (2) Business Days) notify the Second Lien Agent upon the occurrence of any Early Termination Event.</w:t>
      </w:r>
    </w:p>
    <w:p>
      <w:pPr>
        <w:pStyle w:val="BlockText"/>
      </w:pPr>
      <w:r>
        <w:rPr>
          <w:b/>
          <w:bCs/>
        </w:rPr>
        <w:t xml:space="preserve">Blockage Notice Cap.</w:t>
      </w:r>
      <w:r>
        <w:t xml:space="preserve"> </w:t>
      </w:r>
      <w:r>
        <w:t xml:space="preserve">The First Lien Agent shall not deliver more than two (2) Blockage Notices during any rolling three hundred sixty-five (365)-day period;</w:t>
      </w:r>
      <w:r>
        <w:t xml:space="preserve"> </w:t>
      </w:r>
      <w:r>
        <w:rPr>
          <w:i/>
          <w:iCs/>
        </w:rPr>
        <w:t xml:space="preserve">provided</w:t>
      </w:r>
      <w:r>
        <w:t xml:space="preserve"> </w:t>
      </w:r>
      <w:r>
        <w:t xml:space="preserve">that a new Blockage Notice may be delivered in respect of a Second Lien Default that is distinct in nature from the Second Lien Default(s) that gave rise to any prior Blockage Notice(s) delivered during such period. For the avoidance of doubt, if the Second Lien Default specified in a Blockage Notice is cured or waived during the Standstill Period, such Standstill Period shall immediately terminate, and any subsequent Enforcement Action by the Second Lien Agent shall require the delivery of a new Blockage Notice and the commencement of a new Standstill Period in accordance with this Section 3.01(b).</w:t>
      </w:r>
    </w:p>
    <w:bookmarkEnd w:id="28"/>
    <w:bookmarkStart w:id="29" w:name="negotiation-rationale"/>
    <w:p>
      <w:pPr>
        <w:pStyle w:val="Heading4"/>
      </w:pPr>
      <w:r>
        <w:t xml:space="preserve">4. Negotiation Rationale</w:t>
      </w:r>
    </w:p>
    <w:p>
      <w:pPr>
        <w:pStyle w:val="FirstParagraph"/>
      </w:pPr>
      <w:r>
        <w:rPr>
          <w:b/>
          <w:bCs/>
        </w:rPr>
        <w:t xml:space="preserve">Why the compromise falls within the 1L Agent’s flexibility.</w:t>
      </w:r>
      <w:r>
        <w:t xml:space="preserve"> </w:t>
      </w:r>
      <w:r>
        <w:t xml:space="preserve">The 1L Agent’s outside counsel has confirmed, on a without-prejudice basis, that (a) Cartwright’s credit committee has approved a minimum standstill of 150 days (the</w:t>
      </w:r>
      <w:r>
        <w:t xml:space="preserve"> </w:t>
      </w:r>
      <w:r>
        <w:t xml:space="preserve">“</w:t>
      </w:r>
      <w:r>
        <w:t xml:space="preserve">hard floor</w:t>
      </w:r>
      <w:r>
        <w:t xml:space="preserve">”</w:t>
      </w:r>
      <w:r>
        <w:t xml:space="preserve">), (b) the syndicate</w:t>
      </w:r>
      <w:r>
        <w:t xml:space="preserve"> </w:t>
      </w:r>
      <w:r>
        <w:t xml:space="preserve">“</w:t>
      </w:r>
      <w:r>
        <w:t xml:space="preserve">could live with something in the 150- to 180-day range,</w:t>
      </w:r>
      <w:r>
        <w:t xml:space="preserve">”</w:t>
      </w:r>
      <w:r>
        <w:t xml:space="preserve"> </w:t>
      </w:r>
      <w:r>
        <w:t xml:space="preserve">and (c)</w:t>
      </w:r>
      <w:r>
        <w:t xml:space="preserve"> </w:t>
      </w:r>
      <w:r>
        <w:t xml:space="preserve">“</w:t>
      </w:r>
      <w:r>
        <w:t xml:space="preserve">if a longer standstill — closer to 180 days — were paired with carefully defined early termination triggers, that is something the committee would be willing to consider,</w:t>
      </w:r>
      <w:r>
        <w:t xml:space="preserve">”</w:t>
      </w:r>
      <w:r>
        <w:t xml:space="preserve"> </w:t>
      </w:r>
      <w:r>
        <w:t xml:space="preserve">provided the triggers are</w:t>
      </w:r>
      <w:r>
        <w:t xml:space="preserve"> </w:t>
      </w:r>
      <w:r>
        <w:t xml:space="preserve">“</w:t>
      </w:r>
      <w:r>
        <w:t xml:space="preserve">narrow and objectively verifiable.</w:t>
      </w:r>
      <w:r>
        <w:t xml:space="preserve">”</w:t>
      </w:r>
      <w:r>
        <w:t xml:space="preserve"> </w:t>
      </w:r>
      <w:r>
        <w:t xml:space="preserve">The proposed 180-day standstill is 30 days above the 1L Agent’s hard floor of 150 days and 90 days below its opening position of 270 days. Each of the four Early Termination Events is objectively verifiable: trigger (A) turns on the commencement of a liquidation or disposition of substantially all Collateral (a public, documented event); trigger (B) turns on the filing and undismissed status of an involuntary petition for 60 days (a matter of court record); trigger (C) turns on the confirmation of a plan (a court order); and trigger (D) turns on the passage of a defined 120-day period. None requires the exercise of subjective judgment by either agent. The 180-day duration provides the 1L Agent with a full six months — squarely within the</w:t>
      </w:r>
      <w:r>
        <w:t xml:space="preserve"> </w:t>
      </w:r>
      <w:r>
        <w:t xml:space="preserve">“</w:t>
      </w:r>
      <w:r>
        <w:t xml:space="preserve">six to nine months</w:t>
      </w:r>
      <w:r>
        <w:t xml:space="preserve">”</w:t>
      </w:r>
      <w:r>
        <w:t xml:space="preserve"> </w:t>
      </w:r>
      <w:r>
        <w:t xml:space="preserve">range that the 1L Agent’s own position letter identifies as the minimum period reasonably necessary to pursue a comprehensive restructuring or orderly asset sale.</w:t>
      </w:r>
    </w:p>
    <w:p>
      <w:pPr>
        <w:pStyle w:val="BodyText"/>
      </w:pPr>
      <w:r>
        <w:rPr>
          <w:b/>
          <w:bCs/>
        </w:rPr>
        <w:t xml:space="preserve">Why the compromise falls within the 2L Agent’s flexibility.</w:t>
      </w:r>
      <w:r>
        <w:t xml:space="preserve"> </w:t>
      </w:r>
      <w:r>
        <w:t xml:space="preserve">The 2L Agent’s outside counsel has confirmed that Ridgeline</w:t>
      </w:r>
      <w:r>
        <w:t xml:space="preserve"> </w:t>
      </w:r>
      <w:r>
        <w:t xml:space="preserve">“</w:t>
      </w:r>
      <w:r>
        <w:t xml:space="preserve">can accept up to a 180-day standstill, but only if the ICA includes meaningful early termination triggers,</w:t>
      </w:r>
      <w:r>
        <w:t xml:space="preserve">”</w:t>
      </w:r>
      <w:r>
        <w:t xml:space="preserve"> </w:t>
      </w:r>
      <w:r>
        <w:t xml:space="preserve">and that</w:t>
      </w:r>
      <w:r>
        <w:t xml:space="preserve"> </w:t>
      </w:r>
      <w:r>
        <w:t xml:space="preserve">“</w:t>
      </w:r>
      <w:r>
        <w:t xml:space="preserve">a bare 180-day standstill without triggers is not something my client can accept — the two components are linked.</w:t>
      </w:r>
      <w:r>
        <w:t xml:space="preserve">”</w:t>
      </w:r>
      <w:r>
        <w:t xml:space="preserve"> </w:t>
      </w:r>
      <w:r>
        <w:t xml:space="preserve">The proposed package delivers both components: a 180-day standstill (at the 2L Agent’s stated ceiling) paired with four early termination triggers that address each of the concerns the 2L Agent identified — collateral value erosion (trigger (A)), involuntary bankruptcy (trigger (B)), impairment of 2L claims without consent (trigger (C)), and the 1L Agent</w:t>
      </w:r>
      <w:r>
        <w:t xml:space="preserve"> </w:t>
      </w:r>
      <w:r>
        <w:t xml:space="preserve">“</w:t>
      </w:r>
      <w:r>
        <w:t xml:space="preserve">running out the clock</w:t>
      </w:r>
      <w:r>
        <w:t xml:space="preserve">”</w:t>
      </w:r>
      <w:r>
        <w:t xml:space="preserve"> </w:t>
      </w:r>
      <w:r>
        <w:t xml:space="preserve">without pursuing enforcement (trigger (D)). The 2L Agent’s specific concern that a prolonged standstill would</w:t>
      </w:r>
      <w:r>
        <w:t xml:space="preserve"> </w:t>
      </w:r>
      <w:r>
        <w:t xml:space="preserve">“</w:t>
      </w:r>
      <w:r>
        <w:t xml:space="preserve">convert the standstill from a temporary pause on 2L enforcement into a de facto preclusion of Second Lien rights</w:t>
      </w:r>
      <w:r>
        <w:t xml:space="preserve">”</w:t>
      </w:r>
      <w:r>
        <w:t xml:space="preserve"> </w:t>
      </w:r>
      <w:r>
        <w:t xml:space="preserve">is directly addressed by trigger (D), which terminates the standstill if the 1L Agent fails to act for 120 days — giving the 1L Agent a full four months to pursue remedies before the 2L Agent’s rights are released.</w:t>
      </w:r>
    </w:p>
    <w:p>
      <w:pPr>
        <w:pStyle w:val="BodyText"/>
      </w:pPr>
      <w:r>
        <w:rPr>
          <w:b/>
          <w:bCs/>
        </w:rPr>
        <w:t xml:space="preserve">Blockage Notice cap.</w:t>
      </w:r>
      <w:r>
        <w:t xml:space="preserve"> </w:t>
      </w:r>
      <w:r>
        <w:t xml:space="preserve">Neither party’s bracketed proposal included a cap on the number of Blockage Notices, but the drafting note in the ICA flags this as an open issue. A cap of two Blockage Notices per rolling 365-day period protects the 2L Agent against the tactical use of repeated standstills to indefinitely block Second Lien enforcement, while preserving the 1L Agent’s ability to invoke a standstill for genuinely distinct defaults. This is a modest protection that does not impair the 1L Agent’s core enforcement rights and is consistent with the 2L Agent’s concern about indefinite blockage.</w:t>
      </w:r>
    </w:p>
    <w:p>
      <w:pPr>
        <w:pStyle w:val="BodyText"/>
      </w:pPr>
      <w:r>
        <w:rPr>
          <w:b/>
          <w:bCs/>
        </w:rPr>
        <w:t xml:space="preserve">Economic impact.</w:t>
      </w:r>
      <w:r>
        <w:t xml:space="preserve"> </w:t>
      </w:r>
      <w:r>
        <w:t xml:space="preserve">The standstill duration directly affects the time-value cost borne by the Second Lien Lenders during a period of distress. The Second Lien Term Loan B bears interest at SOFR + 625 bps (~11.58% at current SOFR). During any standstill, interest continues to accrue on the Second Lien Obligations at the applicable rate (including, to the extent provided in the Second Lien Credit Agreement, at the default rate of ~13.58%). On $150,000,000 of Second Lien Obligations, the time-value cost of a 180-day standstill at the non-default rate is approximately $150,000,000 × 11.58% × 180/360 =</w:t>
      </w:r>
      <w:r>
        <w:t xml:space="preserve"> </w:t>
      </w:r>
      <w:r>
        <w:rPr>
          <w:b/>
          <w:bCs/>
        </w:rPr>
        <w:t xml:space="preserve">$8.69 million</w:t>
      </w:r>
      <w:r>
        <w:t xml:space="preserve"> </w:t>
      </w:r>
      <w:r>
        <w:t xml:space="preserve">in accrued interest, and at the default rate approximately $150,000,000 × 13.58% × 180/360 =</w:t>
      </w:r>
      <w:r>
        <w:t xml:space="preserve"> </w:t>
      </w:r>
      <w:r>
        <w:rPr>
          <w:b/>
          <w:bCs/>
        </w:rPr>
        <w:t xml:space="preserve">$10.19 million</w:t>
      </w:r>
      <w:r>
        <w:t xml:space="preserve">. The 1L Agent’s proposed 270-day standstill would impose a time-value cost of approximately $13.03 million (non-default) to $15.28 million (default) — an incremental $4.3–5.1 million over the proposed 180-day period. The floating-rate structure substantially mitigates this cost, as the 1L Agent’s position letter correctly notes, but the 90-day reduction from 270 to 180 days represents a meaningful reduction in the 2L Agent’s carry burden. Conversely, the 90-day increase from the 2L Agent’s opening of 90 days to 180 days increases the 2L Agent’s carry by approximately $4.3 million (non-default), which is the price of the early termination triggers and the Blockage Notice cap that the 2L Agent has stated are non-negotiable conditions.</w:t>
      </w:r>
    </w:p>
    <w:p>
      <w:r>
        <w:pict>
          <v:rect style="width:0;height:1.5pt" o:hralign="center" o:hrstd="t" o:hr="t"/>
        </w:pict>
      </w:r>
    </w:p>
    <w:bookmarkEnd w:id="29"/>
    <w:bookmarkEnd w:id="30"/>
    <w:bookmarkStart w:id="35" w:name="Xf018d71099889033a9e4aa7b3cb9f37be8a3917"/>
    <w:p>
      <w:pPr>
        <w:pStyle w:val="Heading3"/>
      </w:pPr>
      <w:r>
        <w:t xml:space="preserve">B. Section 5.01 — Second Lien Purchase Right</w:t>
      </w:r>
    </w:p>
    <w:bookmarkStart w:id="31" w:name="the-dispute-1"/>
    <w:p>
      <w:pPr>
        <w:pStyle w:val="Heading4"/>
      </w:pPr>
      <w:r>
        <w:t xml:space="preserve">1. The Dispute</w:t>
      </w:r>
    </w:p>
    <w:p>
      <w:pPr>
        <w:pStyle w:val="FirstParagraph"/>
      </w:pPr>
      <w:r>
        <w:t xml:space="preserve">Four sub-issues are contested:</w:t>
      </w:r>
    </w:p>
    <w:p>
      <w:pPr>
        <w:pStyle w:val="BodyText"/>
      </w:pPr>
      <w:r>
        <w:rPr>
          <w:b/>
          <w:bCs/>
        </w:rPr>
        <w:t xml:space="preserve">(a) Purchase Price.</w:t>
      </w:r>
      <w:r>
        <w:t xml:space="preserve"> </w:t>
      </w:r>
      <w:r>
        <w:t xml:space="preserve">The 1L Agent proposes par — 100% of outstanding principal plus accrued interest at the</w:t>
      </w:r>
      <w:r>
        <w:t xml:space="preserve"> </w:t>
      </w:r>
      <w:r>
        <w:rPr>
          <w:b/>
          <w:bCs/>
        </w:rPr>
        <w:t xml:space="preserve">default rate</w:t>
      </w:r>
      <w:r>
        <w:t xml:space="preserve"> </w:t>
      </w:r>
      <w:r>
        <w:t xml:space="preserve">plus all fees, plus</w:t>
      </w:r>
      <w:r>
        <w:t xml:space="preserve"> </w:t>
      </w:r>
      <w:r>
        <w:rPr>
          <w:b/>
          <w:bCs/>
        </w:rPr>
        <w:t xml:space="preserve">mandatory</w:t>
      </w:r>
      <w:r>
        <w:t xml:space="preserve"> </w:t>
      </w:r>
      <w:r>
        <w:t xml:space="preserve">assumption of unfunded Revolver commitments. The 2L Agent proposes the</w:t>
      </w:r>
      <w:r>
        <w:t xml:space="preserve"> </w:t>
      </w:r>
      <w:r>
        <w:rPr>
          <w:b/>
          <w:bCs/>
        </w:rPr>
        <w:t xml:space="preserve">lesser of par</w:t>
      </w:r>
      <w:r>
        <w:t xml:space="preserve"> </w:t>
      </w:r>
      <w:r>
        <w:t xml:space="preserve">(at the non-default contract rate)</w:t>
      </w:r>
      <w:r>
        <w:t xml:space="preserve"> </w:t>
      </w:r>
      <w:r>
        <w:rPr>
          <w:b/>
          <w:bCs/>
        </w:rPr>
        <w:t xml:space="preserve">or fair market value</w:t>
      </w:r>
      <w:r>
        <w:t xml:space="preserve"> </w:t>
      </w:r>
      <w:r>
        <w:t xml:space="preserve">determined by an independent dealer poll, with no obligation to assume unfunded Revolver commitments.</w:t>
      </w:r>
    </w:p>
    <w:p>
      <w:pPr>
        <w:pStyle w:val="BodyText"/>
      </w:pPr>
      <w:r>
        <w:rPr>
          <w:b/>
          <w:bCs/>
        </w:rPr>
        <w:t xml:space="preserve">(b) Interest Rate for Accrued Interest.</w:t>
      </w:r>
      <w:r>
        <w:t xml:space="preserve"> </w:t>
      </w:r>
      <w:r>
        <w:t xml:space="preserve">The 1L Agent proposes the default rate (SOFR + 450 bps); the 2L Agent proposes the non-default contract rate (SOFR + 250 bps).</w:t>
      </w:r>
    </w:p>
    <w:p>
      <w:pPr>
        <w:pStyle w:val="BodyText"/>
      </w:pPr>
      <w:r>
        <w:rPr>
          <w:b/>
          <w:bCs/>
        </w:rPr>
        <w:t xml:space="preserve">(c) Mandatory vs. Optional Assumption of Unfunded Revolver Commitments.</w:t>
      </w:r>
      <w:r>
        <w:t xml:space="preserve"> </w:t>
      </w:r>
      <w:r>
        <w:t xml:space="preserve">The 1L Agent proposes mandatory assumption of the $125,000,000 unfunded Revolver commitments; the 2L Agent proposes no assumption, with the Revolver commitments terminating upon consummation of the purchase.</w:t>
      </w:r>
    </w:p>
    <w:p>
      <w:pPr>
        <w:pStyle w:val="BodyText"/>
      </w:pPr>
      <w:r>
        <w:rPr>
          <w:b/>
          <w:bCs/>
        </w:rPr>
        <w:t xml:space="preserve">(d) Scope of Exercise Triggers.</w:t>
      </w:r>
      <w:r>
        <w:t xml:space="preserve"> </w:t>
      </w:r>
      <w:r>
        <w:t xml:space="preserve">The 1L Agent proposes that the purchase right may be exercised only upon an Event of Default under the First Lien Credit Agreement; the 2L Agent proposes broader triggers, including an Event of Default under either credit agreement or upon acceleration of the First Lien Obligations.</w:t>
      </w:r>
    </w:p>
    <w:bookmarkEnd w:id="31"/>
    <w:bookmarkStart w:id="32" w:name="market-data-ktm-market-survey-42-deals"/>
    <w:p>
      <w:pPr>
        <w:pStyle w:val="Heading4"/>
      </w:pPr>
      <w:r>
        <w:t xml:space="preserve">2. Market Data (KTM Market Survey — 42 deals)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Purchase price mechanic: par</w:t>
            </w:r>
          </w:p>
        </w:tc>
        <w:tc>
          <w:tcPr/>
          <w:p>
            <w:pPr>
              <w:pStyle w:val="Compact"/>
              <w:jc w:val="left"/>
            </w:pPr>
            <w:r>
              <w:rPr>
                <w:b/>
                <w:bCs/>
              </w:rPr>
              <w:t xml:space="preserve">30 deals (71%)</w:t>
            </w:r>
          </w:p>
        </w:tc>
      </w:tr>
      <w:tr>
        <w:tc>
          <w:tcPr/>
          <w:p>
            <w:pPr>
              <w:pStyle w:val="Compact"/>
              <w:jc w:val="left"/>
            </w:pPr>
            <w:r>
              <w:t xml:space="preserve">Purchase price mechanic: hybrid (lesser of par or FMV)</w:t>
            </w:r>
          </w:p>
        </w:tc>
        <w:tc>
          <w:tcPr/>
          <w:p>
            <w:pPr>
              <w:pStyle w:val="Compact"/>
              <w:jc w:val="left"/>
            </w:pPr>
            <w:r>
              <w:t xml:space="preserve">8 deals (19%)</w:t>
            </w:r>
          </w:p>
        </w:tc>
      </w:tr>
      <w:tr>
        <w:tc>
          <w:tcPr/>
          <w:p>
            <w:pPr>
              <w:pStyle w:val="Compact"/>
              <w:jc w:val="left"/>
            </w:pPr>
            <w:r>
              <w:t xml:space="preserve">Purchase price mechanic: FMV</w:t>
            </w:r>
          </w:p>
        </w:tc>
        <w:tc>
          <w:tcPr/>
          <w:p>
            <w:pPr>
              <w:pStyle w:val="Compact"/>
              <w:jc w:val="left"/>
            </w:pPr>
            <w:r>
              <w:t xml:space="preserve">4 deals (10%)</w:t>
            </w:r>
          </w:p>
        </w:tc>
      </w:tr>
      <w:tr>
        <w:tc>
          <w:tcPr/>
          <w:p>
            <w:pPr>
              <w:pStyle w:val="Compact"/>
              <w:jc w:val="left"/>
            </w:pPr>
            <w:r>
              <w:t xml:space="preserve">Default-rate interest included in par</w:t>
            </w:r>
          </w:p>
        </w:tc>
        <w:tc>
          <w:tcPr/>
          <w:p>
            <w:pPr>
              <w:pStyle w:val="Compact"/>
              <w:jc w:val="left"/>
            </w:pPr>
            <w:r>
              <w:t xml:space="preserve">13 deals (31%) — minority</w:t>
            </w:r>
          </w:p>
        </w:tc>
      </w:tr>
      <w:tr>
        <w:tc>
          <w:tcPr/>
          <w:p>
            <w:pPr>
              <w:pStyle w:val="Compact"/>
              <w:jc w:val="left"/>
            </w:pPr>
            <w:r>
              <w:t xml:space="preserve">Non-default contract rate used for accrued interest</w:t>
            </w:r>
          </w:p>
        </w:tc>
        <w:tc>
          <w:tcPr/>
          <w:p>
            <w:pPr>
              <w:pStyle w:val="Compact"/>
              <w:jc w:val="left"/>
            </w:pPr>
            <w:r>
              <w:rPr>
                <w:b/>
                <w:bCs/>
              </w:rPr>
              <w:t xml:space="preserve">29 deals (69%) — majority</w:t>
            </w:r>
          </w:p>
        </w:tc>
      </w:tr>
      <w:tr>
        <w:tc>
          <w:tcPr/>
          <w:p>
            <w:pPr>
              <w:pStyle w:val="Compact"/>
              <w:jc w:val="left"/>
            </w:pPr>
            <w:r>
              <w:t xml:space="preserve">Non-default contract rate used (excl. FMV deals)</w:t>
            </w:r>
          </w:p>
        </w:tc>
        <w:tc>
          <w:tcPr/>
          <w:p>
            <w:pPr>
              <w:pStyle w:val="Compact"/>
              <w:jc w:val="left"/>
            </w:pPr>
            <w:r>
              <w:t xml:space="preserve">38 deals (90%) — near-universal</w:t>
            </w:r>
          </w:p>
        </w:tc>
      </w:tr>
      <w:tr>
        <w:tc>
          <w:tcPr/>
          <w:p>
            <w:pPr>
              <w:pStyle w:val="Compact"/>
              <w:jc w:val="left"/>
            </w:pPr>
            <w:r>
              <w:t xml:space="preserve">Unfunded revolver: mandatory assumption</w:t>
            </w:r>
          </w:p>
        </w:tc>
        <w:tc>
          <w:tcPr/>
          <w:p>
            <w:pPr>
              <w:pStyle w:val="Compact"/>
              <w:jc w:val="left"/>
            </w:pPr>
            <w:r>
              <w:t xml:space="preserve">10 deals (24%)</w:t>
            </w:r>
          </w:p>
        </w:tc>
      </w:tr>
      <w:tr>
        <w:tc>
          <w:tcPr/>
          <w:p>
            <w:pPr>
              <w:pStyle w:val="Compact"/>
              <w:jc w:val="left"/>
            </w:pPr>
            <w:r>
              <w:t xml:space="preserve">Unfunded revolver:</w:t>
            </w:r>
            <w:r>
              <w:t xml:space="preserve"> </w:t>
            </w:r>
            <w:r>
              <w:rPr>
                <w:b/>
                <w:bCs/>
              </w:rPr>
              <w:t xml:space="preserve">optional</w:t>
            </w:r>
            <w:r>
              <w:t xml:space="preserve"> </w:t>
            </w:r>
            <w:r>
              <w:t xml:space="preserve">assumption</w:t>
            </w:r>
          </w:p>
        </w:tc>
        <w:tc>
          <w:tcPr/>
          <w:p>
            <w:pPr>
              <w:pStyle w:val="Compact"/>
              <w:jc w:val="left"/>
            </w:pPr>
            <w:r>
              <w:rPr>
                <w:b/>
                <w:bCs/>
              </w:rPr>
              <w:t xml:space="preserve">26 deals (62%)</w:t>
            </w:r>
          </w:p>
        </w:tc>
      </w:tr>
      <w:tr>
        <w:tc>
          <w:tcPr/>
          <w:p>
            <w:pPr>
              <w:pStyle w:val="Compact"/>
              <w:jc w:val="left"/>
            </w:pPr>
            <w:r>
              <w:t xml:space="preserve">Unfunded revolver: silent</w:t>
            </w:r>
          </w:p>
        </w:tc>
        <w:tc>
          <w:tcPr/>
          <w:p>
            <w:pPr>
              <w:pStyle w:val="Compact"/>
              <w:jc w:val="left"/>
            </w:pPr>
            <w:r>
              <w:t xml:space="preserve">6 deals (14%)</w:t>
            </w:r>
          </w:p>
        </w:tc>
      </w:tr>
      <w:tr>
        <w:tc>
          <w:tcPr/>
          <w:p>
            <w:pPr>
              <w:pStyle w:val="Compact"/>
              <w:jc w:val="left"/>
            </w:pPr>
            <w:r>
              <w:t xml:space="preserve">Trend: optional revolver in 2024 deals</w:t>
            </w:r>
          </w:p>
        </w:tc>
        <w:tc>
          <w:tcPr/>
          <w:p>
            <w:pPr>
              <w:pStyle w:val="Compact"/>
              <w:jc w:val="left"/>
            </w:pPr>
            <w:r>
              <w:rPr>
                <w:b/>
                <w:bCs/>
              </w:rPr>
              <w:t xml:space="preserve">77%</w:t>
            </w:r>
            <w:r>
              <w:t xml:space="preserve"> </w:t>
            </w:r>
            <w:r>
              <w:t xml:space="preserve">(vs. 50% in 2022)</w:t>
            </w:r>
          </w:p>
        </w:tc>
      </w:tr>
      <w:tr>
        <w:tc>
          <w:tcPr/>
          <w:p>
            <w:pPr>
              <w:pStyle w:val="Compact"/>
              <w:jc w:val="left"/>
            </w:pPr>
            <w:r>
              <w:t xml:space="preserve">Exercise trigger: acceleration of 1L</w:t>
            </w:r>
          </w:p>
        </w:tc>
        <w:tc>
          <w:tcPr/>
          <w:p>
            <w:pPr>
              <w:pStyle w:val="Compact"/>
              <w:jc w:val="left"/>
            </w:pPr>
            <w:r>
              <w:t xml:space="preserve">42 deals (100%) — universal</w:t>
            </w:r>
          </w:p>
        </w:tc>
      </w:tr>
      <w:tr>
        <w:tc>
          <w:tcPr/>
          <w:p>
            <w:pPr>
              <w:pStyle w:val="Compact"/>
              <w:jc w:val="left"/>
            </w:pPr>
            <w:r>
              <w:t xml:space="preserve">Exercise trigger: commencement of enforcement</w:t>
            </w:r>
          </w:p>
        </w:tc>
        <w:tc>
          <w:tcPr/>
          <w:p>
            <w:pPr>
              <w:pStyle w:val="Compact"/>
              <w:jc w:val="left"/>
            </w:pPr>
            <w:r>
              <w:t xml:space="preserve">31 deals (74%)</w:t>
            </w:r>
          </w:p>
        </w:tc>
      </w:tr>
      <w:tr>
        <w:tc>
          <w:tcPr/>
          <w:p>
            <w:pPr>
              <w:pStyle w:val="Compact"/>
              <w:jc w:val="left"/>
            </w:pPr>
            <w:r>
              <w:t xml:space="preserve">Exercise trigger: payment default beyond cure</w:t>
            </w:r>
          </w:p>
        </w:tc>
        <w:tc>
          <w:tcPr/>
          <w:p>
            <w:pPr>
              <w:pStyle w:val="Compact"/>
              <w:jc w:val="left"/>
            </w:pPr>
            <w:r>
              <w:t xml:space="preserve">19 deals (45%)</w:t>
            </w:r>
          </w:p>
        </w:tc>
      </w:tr>
      <w:tr>
        <w:tc>
          <w:tcPr/>
          <w:p>
            <w:pPr>
              <w:pStyle w:val="Compact"/>
              <w:jc w:val="left"/>
            </w:pPr>
            <w:r>
              <w:t xml:space="preserve">Exercise trigger: bankruptcy filing</w:t>
            </w:r>
          </w:p>
        </w:tc>
        <w:tc>
          <w:tcPr/>
          <w:p>
            <w:pPr>
              <w:pStyle w:val="Compact"/>
              <w:jc w:val="left"/>
            </w:pPr>
            <w:r>
              <w:t xml:space="preserve">16 deals (38%)</w:t>
            </w:r>
          </w:p>
        </w:tc>
      </w:tr>
      <w:tr>
        <w:tc>
          <w:tcPr/>
          <w:p>
            <w:pPr>
              <w:pStyle w:val="Compact"/>
              <w:jc w:val="left"/>
            </w:pPr>
            <w:r>
              <w:t xml:space="preserve">Exercise window: median / mean</w:t>
            </w:r>
          </w:p>
        </w:tc>
        <w:tc>
          <w:tcPr/>
          <w:p>
            <w:pPr>
              <w:pStyle w:val="Compact"/>
              <w:jc w:val="left"/>
            </w:pPr>
            <w:r>
              <w:t xml:space="preserve">30 / 34.8 days (range 10–60)</w:t>
            </w:r>
          </w:p>
        </w:tc>
      </w:tr>
      <w:tr>
        <w:tc>
          <w:tcPr/>
          <w:p>
            <w:pPr>
              <w:pStyle w:val="Compact"/>
              <w:jc w:val="left"/>
            </w:pPr>
            <w:r>
              <w:t xml:space="preserve">Deal-007 (comparable to Meridian: $475M 1L, $150M 2L, $125M revolver)</w:t>
            </w:r>
          </w:p>
        </w:tc>
        <w:tc>
          <w:tcPr/>
          <w:p>
            <w:pPr>
              <w:pStyle w:val="Compact"/>
              <w:jc w:val="left"/>
            </w:pPr>
            <w:r>
              <w:rPr>
                <w:b/>
                <w:bCs/>
              </w:rPr>
              <w:t xml:space="preserve">Par for funded debt at non-default rate; optional revolver assumption; illustrative par price $484.3M</w:t>
            </w:r>
          </w:p>
        </w:tc>
      </w:tr>
    </w:tbl>
    <w:p>
      <w:pPr>
        <w:pStyle w:val="BodyText"/>
      </w:pPr>
      <w:r>
        <w:t xml:space="preserve">The market data establishes that par for funded debt is the majority mechanic (71%), that the non-default contract rate is the majority basis for accrued interest (69%; 90% excluding pure-FMV deals), and that optional revolver assumption is the clear and growing market trend (62% overall; 77% in 2024). Deal-007 — which has a capital structure virtually identical to Meridian’s ($475M 1L facility, $150M 2L facility, $125M revolver component) — employed exactly the compromise proposed below: par for funded debt at the non-default contract rate, with optional revolver assumption.</w:t>
      </w:r>
    </w:p>
    <w:bookmarkEnd w:id="32"/>
    <w:bookmarkStart w:id="33" w:name="proposed-compromise-language-1"/>
    <w:p>
      <w:pPr>
        <w:pStyle w:val="Heading4"/>
      </w:pPr>
      <w:r>
        <w:t xml:space="preserve">3. Proposed Compromise Language</w:t>
      </w:r>
    </w:p>
    <w:p>
      <w:pPr>
        <w:pStyle w:val="FirstParagraph"/>
      </w:pPr>
      <w:r>
        <w:t xml:space="preserve">The following language is proposed to replace the bracketed text in Section 5.01 of the draft ICA:</w:t>
      </w:r>
    </w:p>
    <w:p>
      <w:pPr>
        <w:pStyle w:val="BlockText"/>
      </w:pPr>
      <w:r>
        <w:rPr>
          <w:b/>
          <w:bCs/>
        </w:rPr>
        <w:t xml:space="preserve">Section 5.01 — Second Lien Purchase Right.</w:t>
      </w:r>
      <w:r>
        <w:t xml:space="preserve"> </w:t>
      </w:r>
      <w:r>
        <w:t xml:space="preserve">At any time following the occurrence and during the continuance of an Event of Default under the First Lien Credit Agreement (including upon the acceleration of the First Lien Obligations pursuant to the First Lien Credit Agreement), the Second Lien Agent (on behalf of the Second Lien Lenders, or one or more Second Lien Lenders, or any designee of the foregoing) shall have the right (but not the obligation) to purchase all (but not less than all) of the First Lien Obligations (the</w:t>
      </w:r>
      <w:r>
        <w:t xml:space="preserve"> </w:t>
      </w:r>
      <w:r>
        <w:t xml:space="preserve">“</w:t>
      </w:r>
      <w:r>
        <w:rPr>
          <w:b/>
          <w:bCs/>
        </w:rPr>
        <w:t xml:space="preserve">Second Lien Purchase Right</w:t>
      </w:r>
      <w:r>
        <w:t xml:space="preserve">”</w:t>
      </w:r>
      <w:r>
        <w:t xml:space="preserve">) by paying to the First Lien Agent in immediately available funds a purchase price (the</w:t>
      </w:r>
      <w:r>
        <w:t xml:space="preserve"> </w:t>
      </w:r>
      <w:r>
        <w:t xml:space="preserve">“</w:t>
      </w:r>
      <w:r>
        <w:rPr>
          <w:b/>
          <w:bCs/>
        </w:rPr>
        <w:t xml:space="preserve">Purchase Price</w:t>
      </w:r>
      <w:r>
        <w:t xml:space="preserve">”</w:t>
      </w:r>
      <w:r>
        <w:t xml:space="preserve">) equal to the sum of the following components, each calculated as of the close of business on the Business Day immediately preceding the closing date of the purchase:</w:t>
      </w:r>
    </w:p>
    <w:p>
      <w:pPr>
        <w:pStyle w:val="BlockText"/>
        <w:numPr>
          <w:ilvl w:val="0"/>
          <w:numId w:val="1002"/>
        </w:numPr>
      </w:pPr>
      <w:r>
        <w:rPr>
          <w:b/>
          <w:bCs/>
        </w:rPr>
        <w:t xml:space="preserve">Outstanding Principal.</w:t>
      </w:r>
      <w:r>
        <w:t xml:space="preserve"> </w:t>
      </w: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numPr>
          <w:ilvl w:val="0"/>
          <w:numId w:val="1002"/>
        </w:numPr>
      </w:pPr>
      <w:r>
        <w:rPr>
          <w:b/>
          <w:bCs/>
        </w:rPr>
        <w:t xml:space="preserve">Accrued Interest.</w:t>
      </w:r>
      <w:r>
        <w:t xml:space="preserve"> </w:t>
      </w:r>
      <w:r>
        <w:t xml:space="preserve">All accrued and unpaid interest on the First Lien Obligations, calculated at the</w:t>
      </w:r>
      <w:r>
        <w:t xml:space="preserve"> </w:t>
      </w:r>
      <w:r>
        <w:rPr>
          <w:b/>
          <w:bCs/>
        </w:rPr>
        <w:t xml:space="preserve">non-default contract rate</w:t>
      </w:r>
      <w:r>
        <w:t xml:space="preserve"> </w:t>
      </w:r>
      <w:r>
        <w:t xml:space="preserve">applicable under the First Lien Credit Agreement (i.e., Adjusted Term SOFR plus the Applicable Rate, without giving effect to any default-rate premium or any additional interest accruing pursuant to Section 2.08(b) of the First Lien Credit Agreement), through and including the date of purchase, calculated on the basis of a 360-day year for the actual number of days elapsed;</w:t>
      </w:r>
    </w:p>
    <w:p>
      <w:pPr>
        <w:pStyle w:val="BlockText"/>
        <w:numPr>
          <w:ilvl w:val="0"/>
          <w:numId w:val="1002"/>
        </w:numPr>
      </w:pPr>
      <w:r>
        <w:rPr>
          <w:b/>
          <w:bCs/>
        </w:rPr>
        <w:t xml:space="preserve">Fees, Costs, and Expenses.</w:t>
      </w:r>
      <w:r>
        <w:t xml:space="preserve"> </w:t>
      </w:r>
      <w:r>
        <w:t xml:space="preserve">All fees (including commitment fees, letter of credit fees, and agency fees), costs, expenses (including reasonable and documented fees and disbursements of counsel), indemnification obligations (to the extent then due and payable or asserted in writing), breakage costs (including any swap breakage or early termination costs under any hedging arrangements), yield protection amounts, and all other amounts then due and payable under the First Lien Loan Documents, whether or not invoiced; and</w:t>
      </w:r>
    </w:p>
    <w:p>
      <w:pPr>
        <w:pStyle w:val="BlockText"/>
        <w:numPr>
          <w:ilvl w:val="0"/>
          <w:numId w:val="1002"/>
        </w:numPr>
      </w:pPr>
      <w:r>
        <w:rPr>
          <w:b/>
          <w:bCs/>
        </w:rPr>
        <w:t xml:space="preserve">Letters of Credit.</w:t>
      </w:r>
      <w:r>
        <w:t xml:space="preserve"> </w:t>
      </w:r>
      <w:r>
        <w:t xml:space="preserve">The outstanding LC Exposure, which shall be satisfied by the purchasing Second Lien Secured Parties, simultaneously with the consummation of the purchase, either (x) by depositing cash collateral in an amount equal to one hundred three percent (103%) of the aggregate face amount of all outstanding Letters of Credit in an account with the First Lien Agent (or its successor) for the benefit of the Issuing Bank, or (y) by delivering to the Issuing Bank one or more back-to-back replacement letters of credit, in form and substance satisfactory to the Issuing Bank, in replacement of each outstanding Letter of Credit.</w:t>
      </w:r>
    </w:p>
    <w:p>
      <w:pPr>
        <w:pStyle w:val="BlockText"/>
      </w:pPr>
      <w:r>
        <w:t xml:space="preserve">The purchase shall be on a par, non-recourse, as-is, where-is basis, without representation or warranty of any kind by the First Lien Agent or any First Lien Lender (other than customary representations as to the authority of the assigning lender to assign and the enforceability of the transfer).</w:t>
      </w:r>
    </w:p>
    <w:p>
      <w:pPr>
        <w:pStyle w:val="BlockText"/>
      </w:pPr>
      <w:r>
        <w:rPr>
          <w:b/>
          <w:bCs/>
        </w:rPr>
        <w:t xml:space="preserve">Assumption of Unfunded Revolver Commitments.</w:t>
      </w:r>
      <w:r>
        <w:t xml:space="preserve"> </w:t>
      </w:r>
      <w:r>
        <w:t xml:space="preserve">The purchasing Second Lien Secured Parties may, at their sole election, assume all unfunded commitments under the First Lien Revolver by executing and delivering to the First Lien Agent an assumption agreement in form and substance reasonably satisfactory to the First Lien Agent, pursuant to which the purchasing Second Lien Secured Parties shall be irrevocably obligated to fund any subsequent draws by the Borrower on terms no less favorable to the Borrower than those set forth in the First Lien Credit Agreement. If the purchasing Second Lien Secured Parties do not elect to assume the unfunded Revolver commitments, the unfunded Revolver commitments shall terminate upon consummation of the purchase, and the purchasing Second Lien Secured Parties shall have no obligation to fund any future draws under the First Lien Revolver;</w:t>
      </w:r>
      <w:r>
        <w:t xml:space="preserve"> </w:t>
      </w:r>
      <w:r>
        <w:rPr>
          <w:i/>
          <w:iCs/>
        </w:rPr>
        <w:t xml:space="preserve">provided</w:t>
      </w:r>
      <w:r>
        <w:t xml:space="preserve"> </w:t>
      </w:r>
      <w:r>
        <w:t xml:space="preserve">that the purchasing Second Lien Secured Parties shall, simultaneously with the consummation of the purchase, satisfy the LC Exposure in accordance with clause (iv) above. The election whether to assume the unfunded Revolver commitments shall be made by the Second Lien Agent in the Purchase Notice delivered pursuant to Section 5.02.</w:t>
      </w:r>
    </w:p>
    <w:bookmarkEnd w:id="33"/>
    <w:bookmarkStart w:id="34" w:name="negotiation-rationale-1"/>
    <w:p>
      <w:pPr>
        <w:pStyle w:val="Heading4"/>
      </w:pPr>
      <w:r>
        <w:t xml:space="preserve">4. Negotiation Rationale</w:t>
      </w:r>
    </w:p>
    <w:p>
      <w:pPr>
        <w:pStyle w:val="FirstParagraph"/>
      </w:pPr>
      <w:r>
        <w:rPr>
          <w:b/>
          <w:bCs/>
        </w:rPr>
        <w:t xml:space="preserve">Purchase Price — Par for funded debt (sub-issue (a)).</w:t>
      </w:r>
      <w:r>
        <w:t xml:space="preserve"> </w:t>
      </w:r>
      <w:r>
        <w:t xml:space="preserve">The 1L Agent’s outside counsel has stated that</w:t>
      </w:r>
      <w:r>
        <w:t xml:space="preserve"> </w:t>
      </w:r>
      <w:r>
        <w:t xml:space="preserve">“</w:t>
      </w:r>
      <w:r>
        <w:t xml:space="preserve">par purchase price for funded debt is non-negotiable</w:t>
      </w:r>
      <w:r>
        <w:t xml:space="preserve">”</w:t>
      </w:r>
      <w:r>
        <w:t xml:space="preserve"> </w:t>
      </w:r>
      <w:r>
        <w:t xml:space="preserve">and that</w:t>
      </w:r>
      <w:r>
        <w:t xml:space="preserve"> </w:t>
      </w:r>
      <w:r>
        <w:t xml:space="preserve">“</w:t>
      </w:r>
      <w:r>
        <w:t xml:space="preserve">the syndicate will not accept any formulation that permits purchase below par.</w:t>
      </w:r>
      <w:r>
        <w:t xml:space="preserve">”</w:t>
      </w:r>
      <w:r>
        <w:t xml:space="preserve"> </w:t>
      </w:r>
      <w:r>
        <w:t xml:space="preserve">The 2L Agent’s outside counsel has confirmed that</w:t>
      </w:r>
      <w:r>
        <w:t xml:space="preserve"> </w:t>
      </w:r>
      <w:r>
        <w:t xml:space="preserve">“</w:t>
      </w:r>
      <w:r>
        <w:t xml:space="preserve">Ridgeline acknowledges that par for funded debt may be acceptable as the Purchase Price for the 1L Obligations,</w:t>
      </w:r>
      <w:r>
        <w:t xml:space="preserve">”</w:t>
      </w:r>
      <w:r>
        <w:t xml:space="preserve"> </w:t>
      </w:r>
      <w:r>
        <w:t xml:space="preserve">conditioned on the unfunded revolver assumption being optional. The proposed compromise delivers par for funded debt — the 1L Agent’s non-negotiable requirement — while eliminating the FMV alternative that the 1L Agent objected to. This is consistent with the market majority: 71% of surveyed deals use a par mechanic, and only 10% use pure FMV. The 2L Agent’s concession on par is significant and is the cornerstone of the package; it is paired with the 1L Agent’s concessions on the interest rate and revolver assumption, as described below.</w:t>
      </w:r>
    </w:p>
    <w:p>
      <w:pPr>
        <w:pStyle w:val="BodyText"/>
      </w:pPr>
      <w:r>
        <w:rPr>
          <w:b/>
          <w:bCs/>
        </w:rPr>
        <w:t xml:space="preserve">Interest Rate — Non-default contract rate (sub-issue (b)).</w:t>
      </w:r>
      <w:r>
        <w:t xml:space="preserve"> </w:t>
      </w:r>
      <w:r>
        <w:t xml:space="preserve">The 1L Agent’s outside counsel has indicated that</w:t>
      </w:r>
      <w:r>
        <w:t xml:space="preserve"> </w:t>
      </w:r>
      <w:r>
        <w:t xml:space="preserve">“</w:t>
      </w:r>
      <w:r>
        <w:t xml:space="preserve">there may be room to accept accrued interest calculated at the non-default contract rate — SOFR plus 250 basis points.</w:t>
      </w:r>
      <w:r>
        <w:t xml:space="preserve">”</w:t>
      </w:r>
      <w:r>
        <w:t xml:space="preserve"> </w:t>
      </w:r>
      <w:r>
        <w:t xml:space="preserve">The 2L Agent has indicated willingness to accept par at the non-default contract rate. The market data strongly supports the non-default rate: 69% of surveyed deals exclude default-rate interest from the par calculation, and 90% of non-FMV deals use the non-default contract rate. The 1L Agent’s position letter argues that excluding default-rate interest would permit the purchaser to</w:t>
      </w:r>
      <w:r>
        <w:t xml:space="preserve"> </w:t>
      </w:r>
      <w:r>
        <w:t xml:space="preserve">“</w:t>
      </w:r>
      <w:r>
        <w:t xml:space="preserve">capture the spread</w:t>
      </w:r>
      <w:r>
        <w:t xml:space="preserve">”</w:t>
      </w:r>
      <w:r>
        <w:t xml:space="preserve"> </w:t>
      </w:r>
      <w:r>
        <w:t xml:space="preserve">of 200 basis points — approximately $9.5 million per annum on $475 million. However, the economic significance of this spread is modest relative to the overall purchase price and is dwarfed by the value of the par guarantee itself. On an illustrative 90-day accrual at full draw: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Non-Default Rate (7.83%)</w:t>
            </w:r>
          </w:p>
        </w:tc>
        <w:tc>
          <w:tcPr/>
          <w:p>
            <w:pPr>
              <w:pStyle w:val="Compact"/>
              <w:jc w:val="left"/>
            </w:pPr>
            <w:r>
              <w:t xml:space="preserve">Default Rate (9.83%)</w:t>
            </w:r>
          </w:p>
        </w:tc>
        <w:tc>
          <w:tcPr/>
          <w:p>
            <w:pPr>
              <w:pStyle w:val="Compact"/>
              <w:jc w:val="left"/>
            </w:pPr>
            <w:r>
              <w:t xml:space="preserve">Difference</w:t>
            </w:r>
          </w:p>
        </w:tc>
      </w:tr>
      <w:tr>
        <w:tc>
          <w:tcPr/>
          <w:p>
            <w:pPr>
              <w:pStyle w:val="Compact"/>
              <w:jc w:val="left"/>
            </w:pPr>
            <w:r>
              <w:t xml:space="preserve">Outstanding principal</w:t>
            </w:r>
          </w:p>
        </w:tc>
        <w:tc>
          <w:tcPr/>
          <w:p>
            <w:pPr>
              <w:pStyle w:val="Compact"/>
              <w:jc w:val="left"/>
            </w:pPr>
            <w:r>
              <w:t xml:space="preserve">$475,000,000</w:t>
            </w:r>
          </w:p>
        </w:tc>
        <w:tc>
          <w:tcPr/>
          <w:p>
            <w:pPr>
              <w:pStyle w:val="Compact"/>
              <w:jc w:val="left"/>
            </w:pPr>
            <w:r>
              <w:t xml:space="preserve">$475,000,000</w:t>
            </w:r>
          </w:p>
        </w:tc>
        <w:tc>
          <w:tcPr/>
          <w:p>
            <w:pPr>
              <w:pStyle w:val="Compact"/>
              <w:jc w:val="left"/>
            </w:pPr>
            <w:r>
              <w:t xml:space="preserve">—</w:t>
            </w:r>
          </w:p>
        </w:tc>
      </w:tr>
      <w:tr>
        <w:tc>
          <w:tcPr/>
          <w:p>
            <w:pPr>
              <w:pStyle w:val="Compact"/>
              <w:jc w:val="left"/>
            </w:pPr>
            <w:r>
              <w:t xml:space="preserve">Accrued interest (90 days)</w:t>
            </w:r>
          </w:p>
        </w:tc>
        <w:tc>
          <w:tcPr/>
          <w:p>
            <w:pPr>
              <w:pStyle w:val="Compact"/>
              <w:jc w:val="left"/>
            </w:pPr>
            <w:r>
              <w:t xml:space="preserve">$9,300,000</w:t>
            </w:r>
          </w:p>
        </w:tc>
        <w:tc>
          <w:tcPr/>
          <w:p>
            <w:pPr>
              <w:pStyle w:val="Compact"/>
              <w:jc w:val="left"/>
            </w:pPr>
            <w:r>
              <w:t xml:space="preserve">$11,675,000</w:t>
            </w:r>
          </w:p>
        </w:tc>
        <w:tc>
          <w:tcPr/>
          <w:p>
            <w:pPr>
              <w:pStyle w:val="Compact"/>
              <w:jc w:val="left"/>
            </w:pPr>
            <w:r>
              <w:t xml:space="preserve">$2,375,000</w:t>
            </w:r>
          </w:p>
        </w:tc>
      </w:tr>
      <w:tr>
        <w:tc>
          <w:tcPr/>
          <w:p>
            <w:pPr>
              <w:pStyle w:val="Compact"/>
              <w:jc w:val="left"/>
            </w:pPr>
            <w:r>
              <w:t xml:space="preserve">Estimated fees &amp; expenses</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w:t>
            </w:r>
          </w:p>
        </w:tc>
      </w:tr>
      <w:tr>
        <w:tc>
          <w:tcPr/>
          <w:p>
            <w:pPr>
              <w:pStyle w:val="Compact"/>
              <w:jc w:val="left"/>
            </w:pPr>
            <w:r>
              <w:rPr>
                <w:b/>
                <w:bCs/>
              </w:rPr>
              <w:t xml:space="preserve">Illustrative Purchase Price</w:t>
            </w:r>
          </w:p>
        </w:tc>
        <w:tc>
          <w:tcPr/>
          <w:p>
            <w:pPr>
              <w:pStyle w:val="Compact"/>
              <w:jc w:val="left"/>
            </w:pPr>
            <w:r>
              <w:rPr>
                <w:b/>
                <w:bCs/>
              </w:rPr>
              <w:t xml:space="preserve">~$485,800,000</w:t>
            </w:r>
          </w:p>
        </w:tc>
        <w:tc>
          <w:tcPr/>
          <w:p>
            <w:pPr>
              <w:pStyle w:val="Compact"/>
              <w:jc w:val="left"/>
            </w:pPr>
            <w:r>
              <w:rPr>
                <w:b/>
                <w:bCs/>
              </w:rPr>
              <w:t xml:space="preserve">~$488,175,000</w:t>
            </w:r>
          </w:p>
        </w:tc>
        <w:tc>
          <w:tcPr/>
          <w:p>
            <w:pPr>
              <w:pStyle w:val="Compact"/>
              <w:jc w:val="left"/>
            </w:pPr>
            <w:r>
              <w:rPr>
                <w:b/>
                <w:bCs/>
              </w:rPr>
              <w:t xml:space="preserve">~$2,375,000</w:t>
            </w:r>
          </w:p>
        </w:tc>
      </w:tr>
    </w:tbl>
    <w:p>
      <w:pPr>
        <w:pStyle w:val="BodyText"/>
      </w:pPr>
      <w:r>
        <w:t xml:space="preserve">The difference between the default-rate and non-default-rate formulations on a 90-day accrual is approximately</w:t>
      </w:r>
      <w:r>
        <w:t xml:space="preserve"> </w:t>
      </w:r>
      <w:r>
        <w:rPr>
          <w:b/>
          <w:bCs/>
        </w:rPr>
        <w:t xml:space="preserve">$2.4 million</w:t>
      </w:r>
      <w:r>
        <w:t xml:space="preserve"> </w:t>
      </w:r>
      <w:r>
        <w:t xml:space="preserve">— less than 0.5% of the purchase price. The 1L Agent retains the full par guarantee of $475 million in principal plus ~$9.3 million in accrued interest plus fees. The non-default rate is the market majority and is a concession the 1L Agent’s credit committee has signaled it can accept. For the 2L Agent, the non-default rate avoids the inclusion of a</w:t>
      </w:r>
      <w:r>
        <w:t xml:space="preserve"> </w:t>
      </w:r>
      <w:r>
        <w:t xml:space="preserve">“</w:t>
      </w:r>
      <w:r>
        <w:t xml:space="preserve">punitive</w:t>
      </w:r>
      <w:r>
        <w:t xml:space="preserve">”</w:t>
      </w:r>
      <w:r>
        <w:t xml:space="preserve"> </w:t>
      </w:r>
      <w:r>
        <w:t xml:space="preserve">charge that the 2L Agent’s position letter argues</w:t>
      </w:r>
      <w:r>
        <w:t xml:space="preserve"> </w:t>
      </w:r>
      <w:r>
        <w:t xml:space="preserve">“</w:t>
      </w:r>
      <w:r>
        <w:t xml:space="preserve">may or may not be enforceable or appropriate under the circumstances.</w:t>
      </w:r>
      <w:r>
        <w:t xml:space="preserve">”</w:t>
      </w:r>
    </w:p>
    <w:p>
      <w:pPr>
        <w:pStyle w:val="BodyText"/>
      </w:pPr>
      <w:r>
        <w:rPr>
          <w:b/>
          <w:bCs/>
        </w:rPr>
        <w:t xml:space="preserve">Unfunded Revolver — Optional assumption (sub-issue (c)).</w:t>
      </w:r>
      <w:r>
        <w:t xml:space="preserve"> </w:t>
      </w:r>
      <w:r>
        <w:t xml:space="preserve">This is the 2L Agent’s firm condition. The 2L Agent’s outside counsel has stated that</w:t>
      </w:r>
      <w:r>
        <w:t xml:space="preserve"> </w:t>
      </w:r>
      <w:r>
        <w:t xml:space="preserve">“</w:t>
      </w:r>
      <w:r>
        <w:t xml:space="preserve">mandatory unfunded revolver assumption is a deal-breaker given the LPA constraints,</w:t>
      </w:r>
      <w:r>
        <w:t xml:space="preserve">”</w:t>
      </w:r>
      <w:r>
        <w:t xml:space="preserve"> </w:t>
      </w:r>
      <w:r>
        <w:t xml:space="preserve">explaining that Ridgeline’s fund limited partnership agreement</w:t>
      </w:r>
      <w:r>
        <w:t xml:space="preserve"> </w:t>
      </w:r>
      <w:r>
        <w:t xml:space="preserve">“</w:t>
      </w:r>
      <w:r>
        <w:t xml:space="preserve">contains structural constraints that prevent the fund from taking on open-ended revolving credit commitment obligations.</w:t>
      </w:r>
      <w:r>
        <w:t xml:space="preserve">”</w:t>
      </w:r>
      <w:r>
        <w:t xml:space="preserve"> </w:t>
      </w:r>
      <w:r>
        <w:t xml:space="preserve">The 1L Agent’s outside counsel has acknowledged that</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The market data overwhelmingly supports optional assumption: 62% of all surveyed deals make revolver assumption optional, and the trend is accelerating — 77% of 2024 deals use optional assumption versus 50% of 2022 deals. Deal-007 (the closest comparable) uses optional assumption. The proposed compromise makes assumption optional at the 2L purchaser’s election. If the purchaser elects not to assume, the unfunded commitments terminate and the purchaser must cash-collateralize outstanding Letters of Credit at 103% (or deliver replacement LCs), consistent with Section 2.04(f) of the First Lien Credit Agreement. This protects the Issuing Bank and the revolving lenders while accommodating the 2L Agent’s structural LPA constraint. The 1L Agent’s concern about</w:t>
      </w:r>
      <w:r>
        <w:t xml:space="preserve"> </w:t>
      </w:r>
      <w:r>
        <w:t xml:space="preserve">“</w:t>
      </w:r>
      <w:r>
        <w:t xml:space="preserve">bifurcation of the First Lien syndicate</w:t>
      </w:r>
      <w:r>
        <w:t xml:space="preserve">”</w:t>
      </w:r>
      <w:r>
        <w:t xml:space="preserve"> </w:t>
      </w:r>
      <w:r>
        <w:t xml:space="preserve">is mitigated by the fact that the purchaser takes all funded obligations at par and addresses the LC Exposure; the unfunded commitments terminate cleanly rather than remaining with a non-purchasing revolving lender group.</w:t>
      </w:r>
    </w:p>
    <w:p>
      <w:pPr>
        <w:pStyle w:val="BodyText"/>
      </w:pPr>
      <w:r>
        <w:rPr>
          <w:b/>
          <w:bCs/>
        </w:rPr>
        <w:t xml:space="preserve">Exercise Triggers (sub-issue (d)).</w:t>
      </w:r>
      <w:r>
        <w:t xml:space="preserve"> </w:t>
      </w:r>
      <w:r>
        <w:t xml:space="preserve">The proposed trigger — an Event of Default under the First Lien Credit Agreement, including upon acceleration — is narrower than the 2L Agent’s proposal (which would have added an Event of Default under the Second Lien Credit Agreement) but captures the universal market trigger (acceleration of the 1L appears in 100% of surveyed deals). The 2L-only default trigger is not market-standard and would permit the 2L Agent to acquire the senior position in circumstances where the 1L Obligations are not in default — a result the 1L Agent would not accept and that is not supported by the market data. The inclusion of acceleration as a trigger (which the 1L Agent’s draft did not expressly include) is a modest concession to the 2L Agent that aligns with universal market practice.</w:t>
      </w:r>
    </w:p>
    <w:p>
      <w:pPr>
        <w:pStyle w:val="BodyText"/>
      </w:pPr>
      <w:r>
        <w:rPr>
          <w:b/>
          <w:bCs/>
        </w:rPr>
        <w:t xml:space="preserve">Economic impact.</w:t>
      </w:r>
      <w:r>
        <w:t xml:space="preserve"> </w:t>
      </w:r>
      <w:r>
        <w:t xml:space="preserve">The par purchase price for funded debt at the non-default rate, on an illustrative 90-day accrual at full draw, is approximately</w:t>
      </w:r>
      <w:r>
        <w:t xml:space="preserve"> </w:t>
      </w:r>
      <w:r>
        <w:rPr>
          <w:b/>
          <w:bCs/>
        </w:rPr>
        <w:t xml:space="preserve">$485.8 million</w:t>
      </w:r>
      <w:r>
        <w:t xml:space="preserve"> </w:t>
      </w:r>
      <w:r>
        <w:t xml:space="preserve">($475M principal + $9.3M accrued interest + $1.5M fees), before LC cash collateralization. This is the figure both agents have independently used in their illustrations. The optional revolver assumption relieves the 2L Agent of a contingent obligation of up to</w:t>
      </w:r>
      <w:r>
        <w:t xml:space="preserve"> </w:t>
      </w:r>
      <w:r>
        <w:rPr>
          <w:b/>
          <w:bCs/>
        </w:rPr>
        <w:t xml:space="preserve">$125 million</w:t>
      </w:r>
      <w:r>
        <w:t xml:space="preserve"> </w:t>
      </w:r>
      <w:r>
        <w:t xml:space="preserve">in unfunded commitments — a material structural relief that addresses the 2L Agent’s LPA constraint without imposing any loss on the 1L Lenders, who receive par on all funded amounts. The total capital at risk for the 2L Agent following exercise (funded purchase price plus existing $150M 2L position) would be approximately $635.8 million — slightly below the appraised TEV of $640 million — making the purchase right economically viable in the distressed scenarios in which it would be exercised, which is the fundamental purpose of the right.</w:t>
      </w:r>
    </w:p>
    <w:p>
      <w:r>
        <w:pict>
          <v:rect style="width:0;height:1.5pt" o:hralign="center" o:hrstd="t" o:hr="t"/>
        </w:pict>
      </w:r>
    </w:p>
    <w:bookmarkEnd w:id="34"/>
    <w:bookmarkEnd w:id="35"/>
    <w:bookmarkStart w:id="40" w:name="X1012eb3c9b09e326a3695c9c8fd1c94a3781cd0"/>
    <w:p>
      <w:pPr>
        <w:pStyle w:val="Heading3"/>
      </w:pPr>
      <w:r>
        <w:t xml:space="preserve">C. Section 2.03(c) — Permitted Second Lien Refinancing Indebtedness</w:t>
      </w:r>
    </w:p>
    <w:bookmarkStart w:id="36" w:name="the-dispute-2"/>
    <w:p>
      <w:pPr>
        <w:pStyle w:val="Heading4"/>
      </w:pPr>
      <w:r>
        <w:t xml:space="preserve">1. The Dispute</w:t>
      </w:r>
    </w:p>
    <w:p>
      <w:pPr>
        <w:pStyle w:val="FirstParagraph"/>
      </w:pPr>
      <w:r>
        <w:t xml:space="preserve">Three sub-issues are contested:</w:t>
      </w:r>
    </w:p>
    <w:p>
      <w:pPr>
        <w:pStyle w:val="BodyText"/>
      </w:pPr>
      <w:r>
        <w:rPr>
          <w:b/>
          <w:bCs/>
        </w:rPr>
        <w:t xml:space="preserve">(a) Principal Increase Cap.</w:t>
      </w:r>
      <w:r>
        <w:t xml:space="preserve"> </w:t>
      </w:r>
      <w:r>
        <w:t xml:space="preserve">The 1L Agent proposes 0% (equal or lesser principal only); the 2L Agent proposes 20% ($30 million on $150 million).</w:t>
      </w:r>
    </w:p>
    <w:p>
      <w:pPr>
        <w:pStyle w:val="BodyText"/>
      </w:pPr>
      <w:r>
        <w:rPr>
          <w:b/>
          <w:bCs/>
        </w:rPr>
        <w:t xml:space="preserve">(b) Maturity Floor.</w:t>
      </w:r>
      <w:r>
        <w:t xml:space="preserve"> </w:t>
      </w:r>
      <w:r>
        <w:t xml:space="preserve">The 1L Agent proposes 91 days after the First Lien Maturity Date (September 14, 2030); the 2L Agent proposes the original Second Lien Maturity Date (June 15, 2031).</w:t>
      </w:r>
    </w:p>
    <w:p>
      <w:pPr>
        <w:pStyle w:val="BodyText"/>
      </w:pPr>
      <w:r>
        <w:rPr>
          <w:b/>
          <w:bCs/>
        </w:rPr>
        <w:t xml:space="preserve">(c) Restrictiveness Test.</w:t>
      </w:r>
      <w:r>
        <w:t xml:space="preserve"> </w:t>
      </w:r>
      <w:r>
        <w:t xml:space="preserve">The 1L Agent proposes a blanket</w:t>
      </w:r>
      <w:r>
        <w:t xml:space="preserve"> </w:t>
      </w:r>
      <w:r>
        <w:t xml:space="preserve">“</w:t>
      </w:r>
      <w:r>
        <w:t xml:space="preserve">no more restrictive in any material respect</w:t>
      </w:r>
      <w:r>
        <w:t xml:space="preserve">”</w:t>
      </w:r>
      <w:r>
        <w:t xml:space="preserve"> </w:t>
      </w:r>
      <w:r>
        <w:t xml:space="preserve">test; the 2L Agent proposes no restrictiveness test at all.</w:t>
      </w:r>
    </w:p>
    <w:bookmarkEnd w:id="36"/>
    <w:bookmarkStart w:id="37" w:name="market-data-ktm-market-survey-42-deals-1"/>
    <w:p>
      <w:pPr>
        <w:pStyle w:val="Heading4"/>
      </w:pPr>
      <w:r>
        <w:t xml:space="preserve">2. Market Data (KTM Market Survey — 42 deals)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Principal increase cap: 0%</w:t>
            </w:r>
          </w:p>
        </w:tc>
        <w:tc>
          <w:tcPr/>
          <w:p>
            <w:pPr>
              <w:pStyle w:val="Compact"/>
              <w:jc w:val="left"/>
            </w:pPr>
            <w:r>
              <w:t xml:space="preserve">9 deals (21%)</w:t>
            </w:r>
          </w:p>
        </w:tc>
      </w:tr>
      <w:tr>
        <w:tc>
          <w:tcPr/>
          <w:p>
            <w:pPr>
              <w:pStyle w:val="Compact"/>
              <w:jc w:val="left"/>
            </w:pPr>
            <w:r>
              <w:t xml:space="preserve">Principal increase cap: 1–10%</w:t>
            </w:r>
          </w:p>
        </w:tc>
        <w:tc>
          <w:tcPr/>
          <w:p>
            <w:pPr>
              <w:pStyle w:val="Compact"/>
              <w:jc w:val="left"/>
            </w:pPr>
            <w:r>
              <w:rPr>
                <w:b/>
                <w:bCs/>
              </w:rPr>
              <w:t xml:space="preserve">22 deals (52%)</w:t>
            </w:r>
          </w:p>
        </w:tc>
      </w:tr>
      <w:tr>
        <w:tc>
          <w:tcPr/>
          <w:p>
            <w:pPr>
              <w:pStyle w:val="Compact"/>
              <w:jc w:val="left"/>
            </w:pPr>
            <w:r>
              <w:t xml:space="preserve">Principal increase cap: 11–15%</w:t>
            </w:r>
          </w:p>
        </w:tc>
        <w:tc>
          <w:tcPr/>
          <w:p>
            <w:pPr>
              <w:pStyle w:val="Compact"/>
              <w:jc w:val="left"/>
            </w:pPr>
            <w:r>
              <w:t xml:space="preserve">6 deals (14%)</w:t>
            </w:r>
          </w:p>
        </w:tc>
      </w:tr>
      <w:tr>
        <w:tc>
          <w:tcPr/>
          <w:p>
            <w:pPr>
              <w:pStyle w:val="Compact"/>
              <w:jc w:val="left"/>
            </w:pPr>
            <w:r>
              <w:t xml:space="preserve">Principal increase cap: 16–20%</w:t>
            </w:r>
          </w:p>
        </w:tc>
        <w:tc>
          <w:tcPr/>
          <w:p>
            <w:pPr>
              <w:pStyle w:val="Compact"/>
              <w:jc w:val="left"/>
            </w:pPr>
            <w:r>
              <w:t xml:space="preserve">5 deals (12%)</w:t>
            </w:r>
          </w:p>
        </w:tc>
      </w:tr>
      <w:tr>
        <w:tc>
          <w:tcPr/>
          <w:p>
            <w:pPr>
              <w:pStyle w:val="Compact"/>
              <w:jc w:val="left"/>
            </w:pPr>
            <w:r>
              <w:rPr>
                <w:b/>
                <w:bCs/>
              </w:rPr>
              <w:t xml:space="preserve">Median principal increase cap</w:t>
            </w:r>
          </w:p>
        </w:tc>
        <w:tc>
          <w:tcPr/>
          <w:p>
            <w:pPr>
              <w:pStyle w:val="Compact"/>
              <w:jc w:val="left"/>
            </w:pPr>
            <w:r>
              <w:rPr>
                <w:b/>
                <w:bCs/>
              </w:rPr>
              <w:t xml:space="preserve">10%</w:t>
            </w:r>
          </w:p>
        </w:tc>
      </w:tr>
      <w:tr>
        <w:tc>
          <w:tcPr/>
          <w:p>
            <w:pPr>
              <w:pStyle w:val="Compact"/>
              <w:jc w:val="left"/>
            </w:pPr>
            <w:r>
              <w:t xml:space="preserve">Mean principal increase cap</w:t>
            </w:r>
          </w:p>
        </w:tc>
        <w:tc>
          <w:tcPr/>
          <w:p>
            <w:pPr>
              <w:pStyle w:val="Compact"/>
              <w:jc w:val="left"/>
            </w:pPr>
            <w:r>
              <w:t xml:space="preserve">8.9%</w:t>
            </w:r>
          </w:p>
        </w:tc>
      </w:tr>
      <w:tr>
        <w:tc>
          <w:tcPr/>
          <w:p>
            <w:pPr>
              <w:pStyle w:val="Compact"/>
              <w:jc w:val="left"/>
            </w:pPr>
            <w:r>
              <w:t xml:space="preserve">Cap limited to fees/costs/premiums (excl. 0% deals)</w:t>
            </w:r>
          </w:p>
        </w:tc>
        <w:tc>
          <w:tcPr/>
          <w:p>
            <w:pPr>
              <w:pStyle w:val="Compact"/>
              <w:jc w:val="left"/>
            </w:pPr>
            <w:r>
              <w:rPr>
                <w:b/>
                <w:bCs/>
              </w:rPr>
              <w:t xml:space="preserve">26 of 33 (79%)</w:t>
            </w:r>
          </w:p>
        </w:tc>
      </w:tr>
      <w:tr>
        <w:tc>
          <w:tcPr/>
          <w:p>
            <w:pPr>
              <w:pStyle w:val="Compact"/>
              <w:jc w:val="left"/>
            </w:pPr>
            <w:r>
              <w:t xml:space="preserve">Maturity test: 91 days post-1L maturity</w:t>
            </w:r>
          </w:p>
        </w:tc>
        <w:tc>
          <w:tcPr/>
          <w:p>
            <w:pPr>
              <w:pStyle w:val="Compact"/>
              <w:jc w:val="left"/>
            </w:pPr>
            <w:r>
              <w:t xml:space="preserve">39 of 42 (93%)</w:t>
            </w:r>
          </w:p>
        </w:tc>
      </w:tr>
      <w:tr>
        <w:tc>
          <w:tcPr/>
          <w:p>
            <w:pPr>
              <w:pStyle w:val="Compact"/>
              <w:jc w:val="left"/>
            </w:pPr>
            <w:r>
              <w:t xml:space="preserve">Maturity test: original 2L maturity floor also included</w:t>
            </w:r>
          </w:p>
        </w:tc>
        <w:tc>
          <w:tcPr/>
          <w:p>
            <w:pPr>
              <w:pStyle w:val="Compact"/>
              <w:jc w:val="left"/>
            </w:pPr>
            <w:r>
              <w:t xml:space="preserve">34 of 42 (81%)</w:t>
            </w:r>
          </w:p>
        </w:tc>
      </w:tr>
      <w:tr>
        <w:tc>
          <w:tcPr/>
          <w:p>
            <w:pPr>
              <w:pStyle w:val="Compact"/>
              <w:jc w:val="left"/>
            </w:pPr>
            <w:r>
              <w:t xml:space="preserve">Restrictiveness test: blanket</w:t>
            </w:r>
          </w:p>
        </w:tc>
        <w:tc>
          <w:tcPr/>
          <w:p>
            <w:pPr>
              <w:pStyle w:val="Compact"/>
              <w:jc w:val="left"/>
            </w:pPr>
            <w:r>
              <w:t xml:space="preserve">14 deals (33%)</w:t>
            </w:r>
          </w:p>
        </w:tc>
      </w:tr>
      <w:tr>
        <w:tc>
          <w:tcPr/>
          <w:p>
            <w:pPr>
              <w:pStyle w:val="Compact"/>
              <w:jc w:val="left"/>
            </w:pPr>
            <w:r>
              <w:t xml:space="preserve">Restrictiveness test:</w:t>
            </w:r>
            <w:r>
              <w:t xml:space="preserve"> </w:t>
            </w:r>
            <w:r>
              <w:rPr>
                <w:b/>
                <w:bCs/>
              </w:rPr>
              <w:t xml:space="preserve">narrowed</w:t>
            </w:r>
          </w:p>
        </w:tc>
        <w:tc>
          <w:tcPr/>
          <w:p>
            <w:pPr>
              <w:pStyle w:val="Compact"/>
              <w:jc w:val="left"/>
            </w:pPr>
            <w:r>
              <w:rPr>
                <w:b/>
                <w:bCs/>
              </w:rPr>
              <w:t xml:space="preserve">22 deals (52%)</w:t>
            </w:r>
          </w:p>
        </w:tc>
      </w:tr>
      <w:tr>
        <w:tc>
          <w:tcPr/>
          <w:p>
            <w:pPr>
              <w:pStyle w:val="Compact"/>
              <w:jc w:val="left"/>
            </w:pPr>
            <w:r>
              <w:t xml:space="preserve">Restrictiveness test: none</w:t>
            </w:r>
          </w:p>
        </w:tc>
        <w:tc>
          <w:tcPr/>
          <w:p>
            <w:pPr>
              <w:pStyle w:val="Compact"/>
              <w:jc w:val="left"/>
            </w:pPr>
            <w:r>
              <w:t xml:space="preserve">6 deals (14%)</w:t>
            </w:r>
          </w:p>
        </w:tc>
      </w:tr>
      <w:tr>
        <w:tc>
          <w:tcPr/>
          <w:p>
            <w:pPr>
              <w:pStyle w:val="Compact"/>
              <w:jc w:val="left"/>
            </w:pPr>
            <w:r>
              <w:t xml:space="preserve">MFN provision: yes</w:t>
            </w:r>
          </w:p>
        </w:tc>
        <w:tc>
          <w:tcPr/>
          <w:p>
            <w:pPr>
              <w:pStyle w:val="Compact"/>
              <w:jc w:val="left"/>
            </w:pPr>
            <w:r>
              <w:t xml:space="preserve">22 deals (52%)</w:t>
            </w:r>
          </w:p>
        </w:tc>
      </w:tr>
      <w:tr>
        <w:tc>
          <w:tcPr/>
          <w:p>
            <w:pPr>
              <w:pStyle w:val="Compact"/>
              <w:jc w:val="left"/>
            </w:pPr>
            <w:r>
              <w:t xml:space="preserve">MFN in narrowed-restrictiveness deals</w:t>
            </w:r>
          </w:p>
        </w:tc>
        <w:tc>
          <w:tcPr/>
          <w:p>
            <w:pPr>
              <w:pStyle w:val="Compact"/>
              <w:jc w:val="left"/>
            </w:pPr>
            <w:r>
              <w:rPr>
                <w:b/>
                <w:bCs/>
              </w:rPr>
              <w:t xml:space="preserve">22 of 22 (100%)</w:t>
            </w:r>
          </w:p>
        </w:tc>
      </w:tr>
      <w:tr>
        <w:tc>
          <w:tcPr/>
          <w:p>
            <w:pPr>
              <w:pStyle w:val="Compact"/>
              <w:jc w:val="left"/>
            </w:pPr>
            <w:r>
              <w:t xml:space="preserve">MFN limited to financial covenants only</w:t>
            </w:r>
          </w:p>
        </w:tc>
        <w:tc>
          <w:tcPr/>
          <w:p>
            <w:pPr>
              <w:pStyle w:val="Compact"/>
              <w:jc w:val="left"/>
            </w:pPr>
            <w:r>
              <w:t xml:space="preserve">18 of 22 (82%)</w:t>
            </w:r>
          </w:p>
        </w:tc>
      </w:tr>
      <w:tr>
        <w:tc>
          <w:tcPr/>
          <w:p>
            <w:pPr>
              <w:pStyle w:val="Compact"/>
              <w:jc w:val="left"/>
            </w:pPr>
            <w:r>
              <w:t xml:space="preserve">Trend: narrowed + MFN combination (2022 → 2024)</w:t>
            </w:r>
          </w:p>
        </w:tc>
        <w:tc>
          <w:tcPr/>
          <w:p>
            <w:pPr>
              <w:pStyle w:val="Compact"/>
              <w:jc w:val="left"/>
            </w:pPr>
            <w:r>
              <w:t xml:space="preserve">38% → 65%</w:t>
            </w:r>
          </w:p>
        </w:tc>
      </w:tr>
      <w:tr>
        <w:tc>
          <w:tcPr/>
          <w:p>
            <w:pPr>
              <w:pStyle w:val="Compact"/>
              <w:jc w:val="left"/>
            </w:pPr>
            <w:r>
              <w:t xml:space="preserve">Deal-007 (comparable to Meridian)</w:t>
            </w:r>
          </w:p>
        </w:tc>
        <w:tc>
          <w:tcPr/>
          <w:p>
            <w:pPr>
              <w:pStyle w:val="Compact"/>
              <w:jc w:val="left"/>
            </w:pPr>
            <w:r>
              <w:rPr>
                <w:b/>
                <w:bCs/>
              </w:rPr>
              <w:t xml:space="preserve">10% cap = $15M limited to fees/costs; MFN right on financial covenants</w:t>
            </w:r>
          </w:p>
        </w:tc>
      </w:tr>
    </w:tbl>
    <w:p>
      <w:pPr>
        <w:pStyle w:val="BodyText"/>
      </w:pPr>
      <w:r>
        <w:t xml:space="preserve">The market data establishes that a 10% principal increase cap limited to fees/costs is the median and modal outcome (52% of deals; 79% of deals with caps limit the increase to fees/costs). A narrowed restrictiveness test paired with an MFN right is the majority approach (52% narrowed; 100% of narrowed-test deals include an MFN; 82% of MFN provisions are limited to financial covenants), and this combination is the growing trend (38% in 2022 to 65% in 2024). Deal-007 — the closest comparable to Meridian — employed exactly this combination: 10% cap limited to fees/costs, with an MFN right on financial covenants.</w:t>
      </w:r>
    </w:p>
    <w:bookmarkEnd w:id="37"/>
    <w:bookmarkStart w:id="38" w:name="proposed-compromise-language-2"/>
    <w:p>
      <w:pPr>
        <w:pStyle w:val="Heading4"/>
      </w:pPr>
      <w:r>
        <w:t xml:space="preserve">3. Proposed Compromise Language</w:t>
      </w:r>
    </w:p>
    <w:p>
      <w:pPr>
        <w:pStyle w:val="FirstParagraph"/>
      </w:pPr>
      <w:r>
        <w:t xml:space="preserve">The following language is proposed to replace the bracketed text in Section 2.03(c) of the draft ICA:</w:t>
      </w:r>
    </w:p>
    <w:p>
      <w:pPr>
        <w:pStyle w:val="BlockText"/>
      </w:pPr>
      <w:r>
        <w:rPr>
          <w:b/>
          <w:bCs/>
        </w:rPr>
        <w:t xml:space="preserve">Section 2.03(c) — Permitted Second Lien Refinancing Indebtedness.</w:t>
      </w:r>
      <w:r>
        <w:t xml:space="preserve"> </w:t>
      </w:r>
      <w:r>
        <w:t xml:space="preserve">“</w:t>
      </w:r>
      <w:r>
        <w:rPr>
          <w:b/>
          <w:bCs/>
        </w:rPr>
        <w:t xml:space="preserve">Permitted Second Lien Refinancing Indebtedness</w:t>
      </w:r>
      <w:r>
        <w:t xml:space="preserve">”</w:t>
      </w:r>
      <w:r>
        <w:t xml:space="preserve"> </w:t>
      </w:r>
      <w:r>
        <w:t xml:space="preserve">means indebtedness incurred to refinance, replace, or substitute the Second Lien Obligations,</w:t>
      </w:r>
      <w:r>
        <w:t xml:space="preserve"> </w:t>
      </w:r>
      <w:r>
        <w:rPr>
          <w:i/>
          <w:iCs/>
        </w:rPr>
        <w:t xml:space="preserve">provided</w:t>
      </w:r>
      <w:r>
        <w:t xml:space="preserve"> </w:t>
      </w:r>
      <w:r>
        <w:t xml:space="preserve">that:</w:t>
      </w:r>
    </w:p>
    <w:p>
      <w:pPr>
        <w:pStyle w:val="BlockText"/>
        <w:numPr>
          <w:ilvl w:val="0"/>
          <w:numId w:val="1003"/>
        </w:numPr>
      </w:pPr>
      <w:r>
        <w:rPr>
          <w:b/>
          <w:bCs/>
        </w:rPr>
        <w:t xml:space="preserve">Principal Amount.</w:t>
      </w:r>
      <w:r>
        <w:t xml:space="preserve"> </w:t>
      </w:r>
      <w:r>
        <w:t xml:space="preserve">The aggregate principal amount of such refinancing indebtedness shall not exceed one hundred ten percent (110%) of the aggregate principal amount of the Second Lien Obligations being refinanced (i.e., based on the current $150,000,000 Second Lien Term Loan B, a maximum of $165,000,000, representing a maximum incremental increase of $15,000,000). The portion of such refinancing indebtedness exceeding the aggregate principal amount of the Second Lien Obligations being refinanced (i.e., up to $15,000,000) shall be limited to the payment of (A) accrued and unpaid interest, (B) premiums (including call premiums or make-whole amounts payable under the Second Lien Credit Agreement), (C) fees (including arrangement, underwriting, and placement fees), (D) original issue discount, and (E) reasonable and documented transaction costs (including legal, advisory, rating agency, and filing costs) incurred in connection with such refinancing;</w:t>
      </w:r>
    </w:p>
    <w:p>
      <w:pPr>
        <w:pStyle w:val="BlockText"/>
        <w:numPr>
          <w:ilvl w:val="0"/>
          <w:numId w:val="1003"/>
        </w:numPr>
      </w:pPr>
      <w:r>
        <w:rPr>
          <w:b/>
          <w:bCs/>
        </w:rPr>
        <w:t xml:space="preserve">Maturity.</w:t>
      </w:r>
      <w:r>
        <w:t xml:space="preserve"> </w:t>
      </w:r>
      <w:r>
        <w:t xml:space="preserve">The stated final maturity date of such refinancing indebtedness shall be no earlier than the later of (A) the date that is ninety-one (91) days after the First Lien Maturity Date (i.e., no earlier than September 14, 2030) and (B) the Second Lien Maturity Date (i.e., no earlier than June 15, 2031);</w:t>
      </w:r>
    </w:p>
    <w:p>
      <w:pPr>
        <w:pStyle w:val="BlockText"/>
        <w:numPr>
          <w:ilvl w:val="0"/>
          <w:numId w:val="1003"/>
        </w:numPr>
      </w:pPr>
      <w:r>
        <w:rPr>
          <w:b/>
          <w:bCs/>
        </w:rPr>
        <w:t xml:space="preserve">Restrictiveness of Financial Covenants.</w:t>
      </w:r>
      <w:r>
        <w:t xml:space="preserve"> </w:t>
      </w:r>
      <w:r>
        <w:t xml:space="preserve">The financial maintenance covenants contained in the documentation governing such refinancing indebtedness shall not be more restrictive to the Borrower than the financial maintenance covenants contained in the Second Lien Credit Agreement as in effect on the Closing Date (including, for the avoidance of doubt, the Maximum Total Leverage Ratio of 6.50 to 1.00 set forth in Section 7.08 of the Second Lien Credit Agreement); and</w:t>
      </w:r>
    </w:p>
    <w:p>
      <w:pPr>
        <w:pStyle w:val="BlockText"/>
        <w:numPr>
          <w:ilvl w:val="0"/>
          <w:numId w:val="1003"/>
        </w:numPr>
      </w:pPr>
      <w:r>
        <w:rPr>
          <w:b/>
          <w:bCs/>
        </w:rPr>
        <w:t xml:space="preserve">Joinder.</w:t>
      </w:r>
      <w:r>
        <w:t xml:space="preserve"> </w:t>
      </w:r>
      <w:r>
        <w:t xml:space="preserve">The holders of such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p>
      <w:pPr>
        <w:pStyle w:val="BlockText"/>
      </w:pPr>
      <w:r>
        <w:rPr>
          <w:b/>
          <w:bCs/>
        </w:rPr>
        <w:t xml:space="preserve">Most-Favored-Nation Right.</w:t>
      </w:r>
      <w:r>
        <w:t xml:space="preserve"> </w:t>
      </w:r>
      <w:r>
        <w:t xml:space="preserve">If the documentation governing any Permitted Second Lien Refinancing Indebtedness contains any financial maintenance covenant that is more favorable to the lenders thereunder than the corresponding financial maintenance covenant contained in the First Lien Credit Agreement as in effect on the date of such refinancing, then, upon written notice from the First Lien Agent to the Borrower, the First Lien Credit Agreement shall be deemed automatically amended to incorporate such more favorable financial maintenance covenant for the benefit of the First Lien Lenders, in each case without the need for any further consent or action by the Borrower or any First Lien Lender;</w:t>
      </w:r>
      <w:r>
        <w:t xml:space="preserve"> </w:t>
      </w:r>
      <w:r>
        <w:rPr>
          <w:i/>
          <w:iCs/>
        </w:rPr>
        <w:t xml:space="preserve">provided</w:t>
      </w:r>
      <w:r>
        <w:t xml:space="preserve"> </w:t>
      </w:r>
      <w:r>
        <w:t xml:space="preserve">that the First Lien Agent shall deliver written notice of any such deemed amendment to the Borrower within ten (10) Business Days after the First Lien Agent’s receipt of the documentation governing such refinancing indebtedness. For the avoidance of doubt, this Most-Favored-Nation Right is limited to financial maintenance covenants and does not extend to pricing, fees, events of default, negative covenants, or other non-financial-maintenance provisions.</w:t>
      </w:r>
    </w:p>
    <w:bookmarkEnd w:id="38"/>
    <w:bookmarkStart w:id="39" w:name="negotiation-rationale-2"/>
    <w:p>
      <w:pPr>
        <w:pStyle w:val="Heading4"/>
      </w:pPr>
      <w:r>
        <w:t xml:space="preserve">4. Negotiation Rationale</w:t>
      </w:r>
    </w:p>
    <w:p>
      <w:pPr>
        <w:pStyle w:val="FirstParagraph"/>
      </w:pPr>
      <w:r>
        <w:rPr>
          <w:b/>
          <w:bCs/>
        </w:rPr>
        <w:t xml:space="preserve">Principal Increase Cap — 10% limited to fees/costs (sub-issue (a)).</w:t>
      </w:r>
      <w:r>
        <w:t xml:space="preserve"> </w:t>
      </w:r>
      <w:r>
        <w:t xml:space="preserve">The 2L Agent’s outside counsel has confirmed that</w:t>
      </w:r>
      <w:r>
        <w:t xml:space="preserve"> </w:t>
      </w:r>
      <w:r>
        <w:t xml:space="preserve">“</w:t>
      </w:r>
      <w:r>
        <w:t xml:space="preserve">Ridgeline can accept a 10% principal increase cap — that is, $15M — provided the increase is limited to refinancing-related fees and costs (e.g., OID, arrangement fees, and transaction expenses).</w:t>
      </w:r>
      <w:r>
        <w:t xml:space="preserve">”</w:t>
      </w:r>
      <w:r>
        <w:t xml:space="preserve"> </w:t>
      </w:r>
      <w:r>
        <w:t xml:space="preserve">The 1L Agent’s outside counsel has not signaled a specific number but has stated a willingness to</w:t>
      </w:r>
      <w:r>
        <w:t xml:space="preserve"> </w:t>
      </w:r>
      <w:r>
        <w:t xml:space="preserve">“</w:t>
      </w:r>
      <w:r>
        <w:t xml:space="preserve">discuss it further in the context of the overall package.</w:t>
      </w:r>
      <w:r>
        <w:t xml:space="preserve">”</w:t>
      </w:r>
      <w:r>
        <w:t xml:space="preserve"> </w:t>
      </w:r>
      <w:r>
        <w:t xml:space="preserve">The market data strongly supports 10%: it is both the median (10%) and the modal category (52% of deals fall in the 1–10% range), and 79% of deals with caps limit the increase to fees/costs/premiums. The 1L Agent’s concern — that any increase compresses the already-thin equity cushion — is addressed by the limitation of the increase to refinancing costs rather than incremental borrowing capacity. The $15 million of headroom is calibrated to cover the customary costs of a second lien refinancing: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Refinancing Cost Component</w:t>
            </w:r>
          </w:p>
        </w:tc>
        <w:tc>
          <w:tcPr/>
          <w:p>
            <w:pPr>
              <w:pStyle w:val="Compact"/>
              <w:jc w:val="left"/>
            </w:pPr>
            <w:r>
              <w:t xml:space="preserve">Estimated Amount (on $150M–$165M)</w:t>
            </w:r>
          </w:p>
        </w:tc>
      </w:tr>
      <w:tr>
        <w:tc>
          <w:tcPr/>
          <w:p>
            <w:pPr>
              <w:pStyle w:val="Compact"/>
              <w:jc w:val="left"/>
            </w:pPr>
            <w:r>
              <w:t xml:space="preserve">Call premium (2% in year 1, 1% in year 2, per 2L Credit Agreement § 2.04(b))</w:t>
            </w:r>
          </w:p>
        </w:tc>
        <w:tc>
          <w:tcPr/>
          <w:p>
            <w:pPr>
              <w:pStyle w:val="Compact"/>
              <w:jc w:val="left"/>
            </w:pPr>
            <w:r>
              <w:t xml:space="preserve">$3.0M (year 1) / $1.5M (year 2)</w:t>
            </w:r>
          </w:p>
        </w:tc>
      </w:tr>
      <w:tr>
        <w:tc>
          <w:tcPr/>
          <w:p>
            <w:pPr>
              <w:pStyle w:val="Compact"/>
              <w:jc w:val="left"/>
            </w:pPr>
            <w:r>
              <w:t xml:space="preserve">Arranger / placement fees (200–350 bps)</w:t>
            </w:r>
          </w:p>
        </w:tc>
        <w:tc>
          <w:tcPr/>
          <w:p>
            <w:pPr>
              <w:pStyle w:val="Compact"/>
              <w:jc w:val="left"/>
            </w:pPr>
            <w:r>
              <w:t xml:space="preserve">$3.0M–$5.8M</w:t>
            </w:r>
          </w:p>
        </w:tc>
      </w:tr>
      <w:tr>
        <w:tc>
          <w:tcPr/>
          <w:p>
            <w:pPr>
              <w:pStyle w:val="Compact"/>
              <w:jc w:val="left"/>
            </w:pPr>
            <w:r>
              <w:t xml:space="preserve">Original issue discount (1–3%)</w:t>
            </w:r>
          </w:p>
        </w:tc>
        <w:tc>
          <w:tcPr/>
          <w:p>
            <w:pPr>
              <w:pStyle w:val="Compact"/>
              <w:jc w:val="left"/>
            </w:pPr>
            <w:r>
              <w:t xml:space="preserve">$1.5M–$5.0M</w:t>
            </w:r>
          </w:p>
        </w:tc>
      </w:tr>
      <w:tr>
        <w:tc>
          <w:tcPr/>
          <w:p>
            <w:pPr>
              <w:pStyle w:val="Compact"/>
              <w:jc w:val="left"/>
            </w:pPr>
            <w:r>
              <w:t xml:space="preserve">Legal, advisory, rating agency, and filing costs</w:t>
            </w:r>
          </w:p>
        </w:tc>
        <w:tc>
          <w:tcPr/>
          <w:p>
            <w:pPr>
              <w:pStyle w:val="Compact"/>
              <w:jc w:val="left"/>
            </w:pPr>
            <w:r>
              <w:t xml:space="preserve">$1.0M–$2.0M</w:t>
            </w:r>
          </w:p>
        </w:tc>
      </w:tr>
      <w:tr>
        <w:tc>
          <w:tcPr/>
          <w:p>
            <w:pPr>
              <w:pStyle w:val="Compact"/>
              <w:jc w:val="left"/>
            </w:pPr>
            <w:r>
              <w:rPr>
                <w:b/>
                <w:bCs/>
              </w:rPr>
              <w:t xml:space="preserve">Total estimated refinancing costs</w:t>
            </w:r>
          </w:p>
        </w:tc>
        <w:tc>
          <w:tcPr/>
          <w:p>
            <w:pPr>
              <w:pStyle w:val="Compact"/>
              <w:jc w:val="left"/>
            </w:pPr>
            <w:r>
              <w:rPr>
                <w:b/>
                <w:bCs/>
              </w:rPr>
              <w:t xml:space="preserve">~$8.5M–$15.8M</w:t>
            </w:r>
          </w:p>
        </w:tc>
      </w:tr>
    </w:tbl>
    <w:p>
      <w:pPr>
        <w:pStyle w:val="BodyText"/>
      </w:pPr>
      <w:r>
        <w:t xml:space="preserve">The $15 million cap accommodates the full range of customary refinancing costs while preventing the use of the refinancing mechanism to layer incremental secured debt beyond what is necessary to effect the refinancing. Critically, the 10% cap is</w:t>
      </w:r>
      <w:r>
        <w:t xml:space="preserve"> </w:t>
      </w:r>
      <w:r>
        <w:rPr>
          <w:b/>
          <w:bCs/>
        </w:rPr>
        <w:t xml:space="preserve">below</w:t>
      </w:r>
      <w:r>
        <w:t xml:space="preserve"> </w:t>
      </w:r>
      <w:r>
        <w:t xml:space="preserve">the 20% increase already permitted under Section 7.01(d) of the Second Lien Credit Agreement itself — meaning the ICA compromise is more restrictive than the 2L’s own credit agreement, a meaningful 2L concession. A 20% increase ($30 million) would push total secured debt to $655 million and Total LTV to 102.3%, eliminating the equity cushion and directly impairing the 1L position; the 10% cap avoids this outcome. A 0% cap (the 1L Agent’s opening) would, as the 2L Agent’s position letter correctly notes,</w:t>
      </w:r>
      <w:r>
        <w:t xml:space="preserve"> </w:t>
      </w:r>
      <w:r>
        <w:t xml:space="preserve">“</w:t>
      </w:r>
      <w:r>
        <w:t xml:space="preserve">prohibit any refinancing that involves non-trivial transaction costs, which is to say, virtually every refinancing transaction in the market</w:t>
      </w:r>
      <w:r>
        <w:t xml:space="preserve">”</w:t>
      </w:r>
      <w:r>
        <w:t xml:space="preserve"> </w:t>
      </w:r>
      <w:r>
        <w:t xml:space="preserve">— an outcome that would lock the 2L into the existing facility regardless of changed market conditions and that is not supported by the market (only 21% of deals use a 0% cap).</w:t>
      </w:r>
    </w:p>
    <w:p>
      <w:pPr>
        <w:pStyle w:val="BodyText"/>
      </w:pPr>
      <w:r>
        <w:rPr>
          <w:b/>
          <w:bCs/>
        </w:rPr>
        <w:t xml:space="preserve">Maturity Floor — Greater of 91-day post-1L and original 2L maturity (sub-issue (b)).</w:t>
      </w:r>
      <w:r>
        <w:t xml:space="preserve"> </w:t>
      </w:r>
      <w:r>
        <w:t xml:space="preserve">This sub-issue is, in practical terms, already resolved. The 1L Agent proposes a floor of September 14, 2030 (91 days after the June 15, 2030 1L maturity). The 2L Agent proposes a floor of June 15, 2031 (the original 2L maturity). Because June 15, 2031 is approximately nine months later than September 14, 2030, the 2L Agent’s proposed floor is</w:t>
      </w:r>
      <w:r>
        <w:t xml:space="preserve"> </w:t>
      </w:r>
      <w:r>
        <w:rPr>
          <w:b/>
          <w:bCs/>
        </w:rPr>
        <w:t xml:space="preserve">more restrictive</w:t>
      </w:r>
      <w:r>
        <w:t xml:space="preserve"> </w:t>
      </w:r>
      <w:r>
        <w:t xml:space="preserve">than the 1L Agent’s — it requires a later maturity, not an earlier one. The proposed compromise adopts the greater of the two floors, which in practice means June 15, 2031. This satisfies both tests: 93% of surveyed deals use the 91-day post-1L test, and 81% also include the original 2L maturity floor. There is no scenario in which the 2L Agent’s position disadvantages the 1L Agent; if anything, it provides the 1L Agent with a larger temporal cushion than its own proposal. We recommend framing this to the 1L Agent as an acceptance of its 91-day test (which is satisfied) coupled with the 2L Agent’s agreement not to shorten the maturity below the original 2L maturity — a result that is unambiguously 1L-protective.</w:t>
      </w:r>
    </w:p>
    <w:p>
      <w:pPr>
        <w:pStyle w:val="BodyText"/>
      </w:pPr>
      <w:r>
        <w:rPr>
          <w:b/>
          <w:bCs/>
        </w:rPr>
        <w:t xml:space="preserve">Restrictiveness Test — Narrowed test paired with MFN (sub-issue (c)).</w:t>
      </w:r>
      <w:r>
        <w:t xml:space="preserve"> </w:t>
      </w:r>
      <w:r>
        <w:t xml:space="preserve">The 1L Agent’s outside counsel has stated that</w:t>
      </w:r>
      <w:r>
        <w:t xml:space="preserve"> </w:t>
      </w:r>
      <w:r>
        <w:t xml:space="preserve">“</w:t>
      </w:r>
      <w:r>
        <w:t xml:space="preserve">Cartwright is open to a narrowed restrictiveness test — one that would not require a blanket comparison but would instead focus on specifically enumerated provisions — provided it is combined with a most-favored-nation right for the benefit of the 1L lenders.</w:t>
      </w:r>
      <w:r>
        <w:t xml:space="preserve">”</w:t>
      </w:r>
      <w:r>
        <w:t xml:space="preserve"> </w:t>
      </w:r>
      <w:r>
        <w:t xml:space="preserve">The 2L Agent’s outside counsel has stated that Ridgeline is</w:t>
      </w:r>
      <w:r>
        <w:t xml:space="preserve"> </w:t>
      </w:r>
      <w:r>
        <w:t xml:space="preserve">“</w:t>
      </w:r>
      <w:r>
        <w:t xml:space="preserve">open to discussing whether a narrowed restrictiveness test paired with an MFN right could work.</w:t>
      </w:r>
      <w:r>
        <w:t xml:space="preserve">”</w:t>
      </w:r>
      <w:r>
        <w:t xml:space="preserve"> </w:t>
      </w:r>
      <w:r>
        <w:t xml:space="preserve">The market data confirms that this is the majority and growing approach: 52% of deals use a narrowed test; 100% of narrowed-test deals pair with an MFN; 82% of MFN provisions are limited to financial covenants; and the combination grew from 38% of deals in 2022 to 65% in 2024.</w:t>
      </w:r>
    </w:p>
    <w:p>
      <w:pPr>
        <w:pStyle w:val="BodyText"/>
      </w:pPr>
      <w:r>
        <w:t xml:space="preserve">The proposed compromise narrows the restrictiveness test to</w:t>
      </w:r>
      <w:r>
        <w:t xml:space="preserve"> </w:t>
      </w:r>
      <w:r>
        <w:rPr>
          <w:b/>
          <w:bCs/>
        </w:rPr>
        <w:t xml:space="preserve">financial maintenance covenants only</w:t>
      </w:r>
      <w:r>
        <w:t xml:space="preserve"> </w:t>
      </w:r>
      <w:r>
        <w:t xml:space="preserve">— not the blanket</w:t>
      </w:r>
      <w:r>
        <w:t xml:space="preserve"> </w:t>
      </w:r>
      <w:r>
        <w:t xml:space="preserve">“</w:t>
      </w:r>
      <w:r>
        <w:t xml:space="preserve">no more restrictive in any material respect</w:t>
      </w:r>
      <w:r>
        <w:t xml:space="preserve">”</w:t>
      </w:r>
      <w:r>
        <w:t xml:space="preserve"> </w:t>
      </w:r>
      <w:r>
        <w:t xml:space="preserve">test across all terms that the 1L Agent originally proposed. This addresses the 2L Agent’s objection that a blanket test would</w:t>
      </w:r>
      <w:r>
        <w:t xml:space="preserve"> </w:t>
      </w:r>
      <w:r>
        <w:t xml:space="preserve">“</w:t>
      </w:r>
      <w:r>
        <w:t xml:space="preserve">give the 1L Agent an effective veto over the commercial terms of the Second Lien facility</w:t>
      </w:r>
      <w:r>
        <w:t xml:space="preserve">”</w:t>
      </w:r>
      <w:r>
        <w:t xml:space="preserve"> </w:t>
      </w:r>
      <w:r>
        <w:t xml:space="preserve">and would inject subjective uncertainty into the refinancing process. The narrowed test is objectively administrable: it compares the financial maintenance covenants in the refinancing documentation against the existing 2L financial maintenance covenants (principally the Maximum Total Leverage Ratio of 6.50x under Section 7.08 of the Second Lien Credit Agreement). This is consistent with Section 7.08(d) of the Second Lien Credit Agreement, which already provides that any refinancing with a total leverage maintenance covenant set below 6.50x</w:t>
      </w:r>
      <w:r>
        <w:t xml:space="preserve"> </w:t>
      </w:r>
      <w:r>
        <w:t xml:space="preserve">“</w:t>
      </w:r>
      <w:r>
        <w:t xml:space="preserve">shall be deemed to impose a more restrictive covenant.</w:t>
      </w:r>
      <w:r>
        <w:t xml:space="preserve">”</w:t>
      </w:r>
    </w:p>
    <w:p>
      <w:pPr>
        <w:pStyle w:val="BodyText"/>
      </w:pPr>
      <w:r>
        <w:t xml:space="preserve">The MFN right is the 1L Agent’s compensation for accepting a narrowed test. It provides that if the refinancing documentation contains a financial maintenance covenant more favorable to the refinancing lenders than the corresponding covenant in the First Lien Credit Agreement (e.g., a tighter leverage covenant, or a new financial maintenance covenant not present in the 1L Credit Agreement), the 1L Lenders automatically receive the benefit of that covenant. The MFN is limited to financial maintenance covenants — consistent with 82% of market MFN provisions — and does not extend to pricing, fees, events of default, or negative covenants, which preserves the 2L Agent’s ability to negotiate commercial terms with the Borrower in the refinancing. The existing 1L financial covenants are a Total First Lien Net Leverage Ratio of 5.50x and an Interest Coverage Ratio of 2.00x (Section 6.10 of the First Lien Credit Agreement); the MFN ensures that if the refinancing 2L obtains better covenant protection than these, the 1L Lenders are elevated to that level.</w:t>
      </w:r>
    </w:p>
    <w:p>
      <w:pPr>
        <w:pStyle w:val="BodyText"/>
      </w:pPr>
      <w:r>
        <w:rPr>
          <w:b/>
          <w:bCs/>
        </w:rPr>
        <w:t xml:space="preserve">Economic impact.</w:t>
      </w:r>
      <w:r>
        <w:t xml:space="preserve"> </w:t>
      </w:r>
      <w:r>
        <w:t xml:space="preserve">The 10% principal cap permits up to $15 million of additional secured indebtedness, but only to cover refinancing costs — not incremental borrowing. The borrower’s economic leverage does not increase; the additional principal is consumed by call premiums, arranger fees, OID, and transaction costs. The Total LTV on a refinanced basis would be ($625M + $15M) / $640M = 100.0% on a gross-principal basis, but the economic debt-to-TEV remains at 97.66% because the $15 million is paid out to service providers and existing lenders, not retained by the borrower. The MFN right has no direct economic cost to the 2L Agent but provides meaningful protection to the 1L Lenders: if the refinancing tightens the total leverage covenant below 6.50x (which the restrictiveness test already prohibits) or introduces a new financial maintenance covenant more favorable than the 1L’s existing covenants, the 1L Lenders capture that benefit automatically.</w:t>
      </w:r>
    </w:p>
    <w:p>
      <w:r>
        <w:pict>
          <v:rect style="width:0;height:1.5pt" o:hralign="center" o:hrstd="t" o:hr="t"/>
        </w:pict>
      </w:r>
    </w:p>
    <w:bookmarkEnd w:id="39"/>
    <w:bookmarkEnd w:id="40"/>
    <w:bookmarkStart w:id="45" w:name="X724ff17a9a6848af06243d44c74530450fdd203"/>
    <w:p>
      <w:pPr>
        <w:pStyle w:val="Heading3"/>
      </w:pPr>
      <w:r>
        <w:t xml:space="preserve">D. Section 4.02 — Application of Asset Disposition and Casualty Proceeds</w:t>
      </w:r>
    </w:p>
    <w:bookmarkStart w:id="41" w:name="the-dispute-3"/>
    <w:p>
      <w:pPr>
        <w:pStyle w:val="Heading4"/>
      </w:pPr>
      <w:r>
        <w:t xml:space="preserve">1. The Dispute</w:t>
      </w:r>
    </w:p>
    <w:p>
      <w:pPr>
        <w:pStyle w:val="FirstParagraph"/>
      </w:pPr>
      <w:r>
        <w:t xml:space="preserve">The 1L Agent proposes a 100% hard sweep of all Net Cash Proceeds from Asset Dispositions and Casualty Events to the First Lien Obligations, expressly overriding the reinvestment rights in the First Lien Credit Agreement (including the 365-day reinvestment period and the $5 million individual / $15 million annual aggregate thresholds), with no portion available to the Second Lien Obligations until the First Lien Obligations are paid in full. The 2L Agent proposes that the ICA follow the reinvestment and mandatory prepayment mechanics in the First Lien Credit Agreement, with residual proceeds (after 1L application) flowing to the Second Lien Obligations. The drafting note also identifies two open issues that neither party’s proposal addresses: anti-evasion language and a reporting mechanism.</w:t>
      </w:r>
    </w:p>
    <w:bookmarkEnd w:id="41"/>
    <w:bookmarkStart w:id="42" w:name="market-data-ktm-market-survey-42-deals-2"/>
    <w:p>
      <w:pPr>
        <w:pStyle w:val="Heading4"/>
      </w:pPr>
      <w:r>
        <w:t xml:space="preserve">2. Market Data (KTM Market Survey — 42 deals)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1L sweep percentage</w:t>
            </w:r>
          </w:p>
        </w:tc>
        <w:tc>
          <w:tcPr/>
          <w:p>
            <w:pPr>
              <w:pStyle w:val="Compact"/>
              <w:jc w:val="left"/>
            </w:pPr>
            <w:r>
              <w:rPr>
                <w:b/>
                <w:bCs/>
              </w:rPr>
              <w:t xml:space="preserve">100% in all 42 deals (universal)</w:t>
            </w:r>
          </w:p>
        </w:tc>
      </w:tr>
      <w:tr>
        <w:tc>
          <w:tcPr/>
          <w:p>
            <w:pPr>
              <w:pStyle w:val="Compact"/>
              <w:jc w:val="left"/>
            </w:pPr>
            <w:r>
              <w:t xml:space="preserve">2L access to residual proceeds</w:t>
            </w:r>
          </w:p>
        </w:tc>
        <w:tc>
          <w:tcPr/>
          <w:p>
            <w:pPr>
              <w:pStyle w:val="Compact"/>
              <w:jc w:val="left"/>
            </w:pPr>
            <w:r>
              <w:rPr>
                <w:b/>
                <w:bCs/>
              </w:rPr>
              <w:t xml:space="preserve">33 deals (79%) — majority</w:t>
            </w:r>
          </w:p>
        </w:tc>
      </w:tr>
      <w:tr>
        <w:tc>
          <w:tcPr/>
          <w:p>
            <w:pPr>
              <w:pStyle w:val="Compact"/>
              <w:jc w:val="left"/>
            </w:pPr>
            <w:r>
              <w:t xml:space="preserve">Reinvestment right preserved</w:t>
            </w:r>
          </w:p>
        </w:tc>
        <w:tc>
          <w:tcPr/>
          <w:p>
            <w:pPr>
              <w:pStyle w:val="Compact"/>
              <w:jc w:val="left"/>
            </w:pPr>
            <w:r>
              <w:rPr>
                <w:b/>
                <w:bCs/>
              </w:rPr>
              <w:t xml:space="preserve">34 deals (81%) — majority</w:t>
            </w:r>
          </w:p>
        </w:tc>
      </w:tr>
      <w:tr>
        <w:tc>
          <w:tcPr/>
          <w:p>
            <w:pPr>
              <w:pStyle w:val="Compact"/>
              <w:jc w:val="left"/>
            </w:pPr>
            <w:r>
              <w:t xml:space="preserve">Reinvestment period: 365 days</w:t>
            </w:r>
          </w:p>
        </w:tc>
        <w:tc>
          <w:tcPr/>
          <w:p>
            <w:pPr>
              <w:pStyle w:val="Compact"/>
              <w:jc w:val="left"/>
            </w:pPr>
            <w:r>
              <w:t xml:space="preserve">31 of 34 deals (91%)</w:t>
            </w:r>
          </w:p>
        </w:tc>
      </w:tr>
      <w:tr>
        <w:tc>
          <w:tcPr/>
          <w:p>
            <w:pPr>
              <w:pStyle w:val="Compact"/>
              <w:jc w:val="left"/>
            </w:pPr>
            <w:r>
              <w:t xml:space="preserve">Ordinary-course sales excluded from hard sweep</w:t>
            </w:r>
          </w:p>
        </w:tc>
        <w:tc>
          <w:tcPr/>
          <w:p>
            <w:pPr>
              <w:pStyle w:val="Compact"/>
              <w:jc w:val="left"/>
            </w:pPr>
            <w:r>
              <w:rPr>
                <w:b/>
                <w:bCs/>
              </w:rPr>
              <w:t xml:space="preserve">34 deals (81%) — majority</w:t>
            </w:r>
          </w:p>
        </w:tc>
      </w:tr>
      <w:tr>
        <w:tc>
          <w:tcPr/>
          <w:p>
            <w:pPr>
              <w:pStyle w:val="Compact"/>
              <w:jc w:val="left"/>
            </w:pPr>
            <w:r>
              <w:t xml:space="preserve">Ordinary-course threshold: median / mean</w:t>
            </w:r>
          </w:p>
        </w:tc>
        <w:tc>
          <w:tcPr/>
          <w:p>
            <w:pPr>
              <w:pStyle w:val="Compact"/>
              <w:jc w:val="left"/>
            </w:pPr>
            <w:r>
              <w:rPr>
                <w:b/>
                <w:bCs/>
              </w:rPr>
              <w:t xml:space="preserve">$20M / $19.7M</w:t>
            </w:r>
            <w:r>
              <w:t xml:space="preserve"> </w:t>
            </w:r>
            <w:r>
              <w:t xml:space="preserve">(range $10M–$30M)</w:t>
            </w:r>
          </w:p>
        </w:tc>
      </w:tr>
      <w:tr>
        <w:tc>
          <w:tcPr/>
          <w:p>
            <w:pPr>
              <w:pStyle w:val="Compact"/>
              <w:jc w:val="left"/>
            </w:pPr>
            <w:r>
              <w:t xml:space="preserve">Anti-evasion clause (in ordinary-course deals)</w:t>
            </w:r>
          </w:p>
        </w:tc>
        <w:tc>
          <w:tcPr/>
          <w:p>
            <w:pPr>
              <w:pStyle w:val="Compact"/>
              <w:jc w:val="left"/>
            </w:pPr>
            <w:r>
              <w:rPr>
                <w:b/>
                <w:bCs/>
              </w:rPr>
              <w:t xml:space="preserve">33 of 34 (97%)</w:t>
            </w:r>
            <w:r>
              <w:t xml:space="preserve"> </w:t>
            </w:r>
            <w:r>
              <w:t xml:space="preserve">— typically at same threshold</w:t>
            </w:r>
          </w:p>
        </w:tc>
      </w:tr>
      <w:tr>
        <w:tc>
          <w:tcPr/>
          <w:p>
            <w:pPr>
              <w:pStyle w:val="Compact"/>
              <w:jc w:val="left"/>
            </w:pPr>
            <w:r>
              <w:t xml:space="preserve">Large/extraordinary sale hard sweep</w:t>
            </w:r>
          </w:p>
        </w:tc>
        <w:tc>
          <w:tcPr/>
          <w:p>
            <w:pPr>
              <w:pStyle w:val="Compact"/>
              <w:jc w:val="left"/>
            </w:pPr>
            <w:r>
              <w:rPr>
                <w:b/>
                <w:bCs/>
              </w:rPr>
              <w:t xml:space="preserve">38 deals (90%) — majority</w:t>
            </w:r>
          </w:p>
        </w:tc>
      </w:tr>
      <w:tr>
        <w:tc>
          <w:tcPr/>
          <w:p>
            <w:pPr>
              <w:pStyle w:val="Compact"/>
              <w:jc w:val="left"/>
            </w:pPr>
            <w:r>
              <w:t xml:space="preserve">2L receives residual after 1L paydown</w:t>
            </w:r>
          </w:p>
        </w:tc>
        <w:tc>
          <w:tcPr/>
          <w:p>
            <w:pPr>
              <w:pStyle w:val="Compact"/>
              <w:jc w:val="left"/>
            </w:pPr>
            <w:r>
              <w:rPr>
                <w:b/>
                <w:bCs/>
              </w:rPr>
              <w:t xml:space="preserve">33 deals (79%) — majority</w:t>
            </w:r>
          </w:p>
        </w:tc>
      </w:tr>
      <w:tr>
        <w:tc>
          <w:tcPr/>
          <w:p>
            <w:pPr>
              <w:pStyle w:val="Compact"/>
              <w:jc w:val="left"/>
            </w:pPr>
            <w:r>
              <w:t xml:space="preserve">Reporting: quarterly certificate</w:t>
            </w:r>
          </w:p>
        </w:tc>
        <w:tc>
          <w:tcPr/>
          <w:p>
            <w:pPr>
              <w:pStyle w:val="Compact"/>
              <w:jc w:val="left"/>
            </w:pPr>
            <w:r>
              <w:t xml:space="preserve">38 deals (90%)</w:t>
            </w:r>
          </w:p>
        </w:tc>
      </w:tr>
      <w:tr>
        <w:tc>
          <w:tcPr/>
          <w:p>
            <w:pPr>
              <w:pStyle w:val="Compact"/>
              <w:jc w:val="left"/>
            </w:pPr>
            <w:r>
              <w:t xml:space="preserve">Reporting: prompt notice above trigger</w:t>
            </w:r>
          </w:p>
        </w:tc>
        <w:tc>
          <w:tcPr/>
          <w:p>
            <w:pPr>
              <w:pStyle w:val="Compact"/>
              <w:jc w:val="left"/>
            </w:pPr>
            <w:r>
              <w:t xml:space="preserve">33 deals (79%)</w:t>
            </w:r>
          </w:p>
        </w:tc>
      </w:tr>
      <w:tr>
        <w:tc>
          <w:tcPr/>
          <w:p>
            <w:pPr>
              <w:pStyle w:val="Compact"/>
              <w:jc w:val="left"/>
            </w:pPr>
            <w:r>
              <w:t xml:space="preserve">Reporting: annual aggregate report</w:t>
            </w:r>
          </w:p>
        </w:tc>
        <w:tc>
          <w:tcPr/>
          <w:p>
            <w:pPr>
              <w:pStyle w:val="Compact"/>
              <w:jc w:val="left"/>
            </w:pPr>
            <w:r>
              <w:t xml:space="preserve">16 deals (38%)</w:t>
            </w:r>
          </w:p>
        </w:tc>
      </w:tr>
      <w:tr>
        <w:tc>
          <w:tcPr/>
          <w:p>
            <w:pPr>
              <w:pStyle w:val="Compact"/>
              <w:jc w:val="left"/>
            </w:pPr>
            <w:r>
              <w:t xml:space="preserve">Deal-007 (comparable to Meridian)</w:t>
            </w:r>
          </w:p>
        </w:tc>
        <w:tc>
          <w:tcPr/>
          <w:p>
            <w:pPr>
              <w:pStyle w:val="Compact"/>
              <w:jc w:val="left"/>
            </w:pPr>
            <w:r>
              <w:rPr>
                <w:b/>
                <w:bCs/>
              </w:rPr>
              <w:t xml:space="preserve">Ordinary-course threshold $20M with anti-evasion at $20M; reinvestment 365 days; hard sweep for extraordinary; 2L residual after full 1L paydown</w:t>
            </w:r>
          </w:p>
        </w:tc>
      </w:tr>
    </w:tbl>
    <w:p>
      <w:pPr>
        <w:pStyle w:val="BodyText"/>
      </w:pPr>
      <w:r>
        <w:t xml:space="preserve">The market data establishes a clear, dominant compromise framework: a 100% sweep to the 1L (universal), with a reinvestment carve-out for ordinary-course sales below a defined threshold (81% of deals; median threshold $20M), a hard sweep for large or extraordinary sales (90% of deals), anti-evasion language at the ordinary-course threshold (97% of deals with carve-outs), and 2L access to residual proceeds after full 1L satisfaction (79% of deals). Deal-007 — the closest comparable to Meridian — employs exactly this framework, with a $20M ordinary-course threshold, anti-evasion at $20M, a 365-day reinvestment period, a hard sweep for extraordinary sales, and 2L residual access after full 1L paydown.</w:t>
      </w:r>
    </w:p>
    <w:bookmarkEnd w:id="42"/>
    <w:bookmarkStart w:id="43" w:name="proposed-compromise-language-3"/>
    <w:p>
      <w:pPr>
        <w:pStyle w:val="Heading4"/>
      </w:pPr>
      <w:r>
        <w:t xml:space="preserve">3. Proposed Compromise Language</w:t>
      </w:r>
    </w:p>
    <w:p>
      <w:pPr>
        <w:pStyle w:val="FirstParagraph"/>
      </w:pPr>
      <w:r>
        <w:t xml:space="preserve">The following language is proposed to replace the bracketed text in Section 4.02 of the draft ICA:</w:t>
      </w:r>
    </w:p>
    <w:p>
      <w:pPr>
        <w:pStyle w:val="BlockText"/>
      </w:pPr>
      <w:r>
        <w:rPr>
          <w:b/>
          <w:bCs/>
        </w:rPr>
        <w:t xml:space="preserve">Section 4.02 — Application of Asset Disposition and Casualty Proceeds.</w:t>
      </w:r>
    </w:p>
    <w:p>
      <w:pPr>
        <w:pStyle w:val="BlockText"/>
      </w:pPr>
      <w:r>
        <w:rPr>
          <w:b/>
          <w:bCs/>
        </w:rPr>
        <w:t xml:space="preserve">(a) Bifurcated Application.</w:t>
      </w:r>
      <w:r>
        <w:t xml:space="preserve"> </w:t>
      </w:r>
      <w:r>
        <w:t xml:space="preserve">All Net Cash Proceeds received by the Borrower or any other loan party in respect of any Asset Disposition or Casualty Event shall be applied as follows:</w:t>
      </w:r>
    </w:p>
    <w:p>
      <w:pPr>
        <w:pStyle w:val="BlockText"/>
      </w:pPr>
      <w:r>
        <w:rPr>
          <w:b/>
          <w:bCs/>
        </w:rPr>
        <w:t xml:space="preserve">(i) Ordinary-Course Dispositions.</w:t>
      </w:r>
      <w:r>
        <w:t xml:space="preserve"> </w:t>
      </w:r>
      <w:r>
        <w:t xml:space="preserve">With respect to any Asset Disposition or Casualty Event yielding Net Cash Proceeds of $20,000,000 or less individually (an</w:t>
      </w:r>
      <w:r>
        <w:t xml:space="preserve"> </w:t>
      </w:r>
      <w:r>
        <w:t xml:space="preserve">“</w:t>
      </w:r>
      <w:r>
        <w:rPr>
          <w:b/>
          <w:bCs/>
        </w:rPr>
        <w:t xml:space="preserve">Ordinary-Course Disposition</w:t>
      </w:r>
      <w:r>
        <w:t xml:space="preserve">”</w:t>
      </w:r>
      <w:r>
        <w:t xml:space="preserve">), the Net Cash Proceeds shall be applied in accordance with the reinvestment and mandatory prepayment mechanics set forth in the First Lien Credit Agreement, including (A) the Borrower’s right to reinvest such Net Cash Proceeds in Permitted Reinvestment Assets during the 365-day Reinvestment Period, (B) the $5,000,000 individual and $15,000,000 annual aggregate mandatory prepayment triggers set forth in Section 2.05(b) of the First Lien Credit Agreement, and (C) the 100% sweep of non-reinvested Net Cash Proceeds upon expiration of the Reinvestment Period. For the avoidance of doubt, the reinvestment rights granted to the Borrower under the First Lien Credit Agreement shall apply to Ordinary-Course Dispositions notwithstanding anything to the contrary in this Agreement, and the ICA shall not override or supersede such reinvestment rights with respect to Ordinary-Course Dispositions.</w:t>
      </w:r>
    </w:p>
    <w:p>
      <w:pPr>
        <w:pStyle w:val="BlockText"/>
      </w:pPr>
      <w:r>
        <w:rPr>
          <w:b/>
          <w:bCs/>
        </w:rPr>
        <w:t xml:space="preserve">(ii) Extraordinary Dispositions.</w:t>
      </w:r>
      <w:r>
        <w:t xml:space="preserve"> </w:t>
      </w:r>
      <w:r>
        <w:t xml:space="preserve">With respect to any Asset Disposition or Casualty Event yielding Net Cash Proceeds in excess of $20,000,000 individually, or any Asset Disposition or Casualty Event that is not in the ordinary course of business (in each case, an</w:t>
      </w:r>
      <w:r>
        <w:t xml:space="preserve"> </w:t>
      </w:r>
      <w:r>
        <w:t xml:space="preserve">“</w:t>
      </w:r>
      <w:r>
        <w:rPr>
          <w:b/>
          <w:bCs/>
        </w:rPr>
        <w:t xml:space="preserve">Extraordinary Disposition</w:t>
      </w:r>
      <w:r>
        <w:t xml:space="preserve">”</w:t>
      </w:r>
      <w:r>
        <w:t xml:space="preserve">), one hundred percent (100%) of the Net Cash Proceeds shall be applied to prepay the First Lien Obligations in accordance with the mandatory prepayment provisions of the First Lien Credit Agreement, and the reinvestment rights granted to the Borrower under the First Lien Credit Agreement shall be superseded by this Section 4.02(a)(ii) with respect to such Extraordinary Disposition. No portion of such Net Cash Proceeds shall be available for reinvestment by the Borrower, application to the Second Lien Obligations, or distribution to the Borrower, its equity holders, or any other person, in each case until all First Lien Obligations have been Paid in Full.</w:t>
      </w:r>
    </w:p>
    <w:p>
      <w:pPr>
        <w:pStyle w:val="BlockText"/>
      </w:pPr>
      <w:r>
        <w:rPr>
          <w:b/>
          <w:bCs/>
        </w:rPr>
        <w:t xml:space="preserve">(b) Anti-Evasion.</w:t>
      </w:r>
      <w:r>
        <w:t xml:space="preserve"> </w:t>
      </w:r>
      <w:r>
        <w:t xml:space="preserve">No Asset Disposition (and no series of related Asset Dispositions) shall be structured, timed, or otherwise arranged in a manner designed to avoid the $20,000,000 Ordinary-Course Disposition threshold set forth in Section 4.02(a). The First Lien Agent may, in its reasonable discretion, aggregate any Asset Dispositions occurring within a ninety (90)-day period if the First Lien Agent reasonably determines that such Asset Dispositions constitute a single plan or related series of transactions, and, in such event, the Net Cash Proceeds from all such aggregated Asset Dispositions shall be treated as Net Cash Proceeds from a single Asset Disposition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 For the avoidance of doubt, the anti-evasion provisions of Section 2.05(b)(iii) of the First Lien Credit Agreement are hereby incorporated by reference into this Section 4.02(b) and shall apply mutatis mutandis to the $20,000,000 threshold set forth herein.</w:t>
      </w:r>
    </w:p>
    <w:p>
      <w:pPr>
        <w:pStyle w:val="BlockText"/>
      </w:pPr>
      <w:r>
        <w:rPr>
          <w:b/>
          <w:bCs/>
        </w:rPr>
        <w:t xml:space="preserve">(c) Residual Proceeds.</w:t>
      </w:r>
      <w:r>
        <w:t xml:space="preserve"> </w:t>
      </w:r>
      <w:r>
        <w:t xml:space="preserve">After the full application of Net Cash Proceeds to the First Lien Obligations in accordance with Section 4.02(a) (including, in the case of Ordinary-Course Dispositions, after the expiration of the Reinvestment Period and the 100% sweep of non-reinvested Net Cash Proceeds, and, in the case of Extraordinary Dispositions, after the 100% hard sweep), and after the First Lien Obligations have been Paid in Full, any residual Net Cash Proceeds remaining shall be applied to the Second Lien Obligations in accordance with the mandatory prepayment provisions of the Second Lien Credit Agreement. No residual Net Cash Proceeds shall be distributed to the Borrower or any other person until all Second Lien Obligations have been Paid in Full.</w:t>
      </w:r>
    </w:p>
    <w:p>
      <w:pPr>
        <w:pStyle w:val="BlockText"/>
      </w:pPr>
      <w:r>
        <w:rPr>
          <w:b/>
          <w:bCs/>
        </w:rPr>
        <w:t xml:space="preserve">(d) Reporting.</w:t>
      </w:r>
      <w:r>
        <w:t xml:space="preserve"> </w:t>
      </w:r>
      <w:r>
        <w:t xml:space="preserve">The Borrower shall deliver to the First Lien Agent and the Second Lien Agent: (i) a quarterly certificate of compliance identifying all Asset Dispositions and Casualty Events during the applicable fiscal quarter and the application of Net Cash Proceeds therefrom; (ii) prompt written notice (and in any event within five (5) Business Days) of any Asset Disposition or Casualty Event yielding Net Cash Proceeds in excess of $5,000,000, which notice shall describe in reasonable detail the assets involved, the estimated Net Cash Proceeds, and whether the Borrower intends to reinvest such proceeds; and (iii) an annual aggregate disposition report setting forth an itemized list of all Asset Dispositions and Casualty Events during the applicable fiscal year, the Net Cash Proceeds therefrom, and the application of such proceeds. The First Lien Agent shall promptly distribute copies of all such reports to the First Lien Lenders, and the Second Lien Agent shall promptly distribute copies to the Second Lien Lenders.</w:t>
      </w:r>
    </w:p>
    <w:bookmarkEnd w:id="43"/>
    <w:bookmarkStart w:id="44" w:name="negotiation-rationale-3"/>
    <w:p>
      <w:pPr>
        <w:pStyle w:val="Heading4"/>
      </w:pPr>
      <w:r>
        <w:t xml:space="preserve">4. Negotiation Rationale</w:t>
      </w:r>
    </w:p>
    <w:p>
      <w:pPr>
        <w:pStyle w:val="FirstParagraph"/>
      </w:pPr>
      <w:r>
        <w:rPr>
          <w:b/>
          <w:bCs/>
        </w:rPr>
        <w:t xml:space="preserve">Bifurcated application — the core compromise.</w:t>
      </w:r>
      <w:r>
        <w:t xml:space="preserve"> </w:t>
      </w:r>
      <w:r>
        <w:t xml:space="preserve">The 1L Agent’s outside counsel has stated that</w:t>
      </w:r>
      <w:r>
        <w:t xml:space="preserve"> </w:t>
      </w:r>
      <w:r>
        <w:t xml:space="preserve">“</w:t>
      </w:r>
      <w:r>
        <w:t xml:space="preserve">a hard sweep of proceeds from large and/or extraordinary asset sales is essential to the syndicate and is not subject to significant compromise,</w:t>
      </w:r>
      <w:r>
        <w:t xml:space="preserve">”</w:t>
      </w:r>
      <w:r>
        <w:t xml:space="preserve"> </w:t>
      </w:r>
      <w:r>
        <w:t xml:space="preserve">but has acknowledged that</w:t>
      </w:r>
      <w:r>
        <w:t xml:space="preserve"> </w:t>
      </w:r>
      <w:r>
        <w:t xml:space="preserve">“</w:t>
      </w:r>
      <w:r>
        <w:t xml:space="preserve">reinvestment rights for smaller, ordinary-course asset sales may be acceptable</w:t>
      </w:r>
      <w:r>
        <w:t xml:space="preserve">”</w:t>
      </w:r>
      <w:r>
        <w:t xml:space="preserve"> </w:t>
      </w:r>
      <w:r>
        <w:t xml:space="preserve">and has suggested that</w:t>
      </w:r>
      <w:r>
        <w:t xml:space="preserve"> </w:t>
      </w:r>
      <w:r>
        <w:t xml:space="preserve">“</w:t>
      </w:r>
      <w:r>
        <w:t xml:space="preserve">a workable approach might be for the ICA to defer to the 1L Credit Agreement’s existing reinvestment mechanics for ordinary-course sales below a defined threshold, while imposing a hard 100% sweep to 1L obligations for larger or extraordinary dispositions.</w:t>
      </w:r>
      <w:r>
        <w:t xml:space="preserve">”</w:t>
      </w:r>
      <w:r>
        <w:t xml:space="preserve"> </w:t>
      </w:r>
      <w:r>
        <w:t xml:space="preserve">The 2L Agent’s outside counsel has stated that</w:t>
      </w:r>
      <w:r>
        <w:t xml:space="preserve"> </w:t>
      </w:r>
      <w:r>
        <w:t xml:space="preserve">“</w:t>
      </w:r>
      <w:r>
        <w:t xml:space="preserve">Ridgeline understands that hard sweeps on large or extraordinary asset sales may be necessary to protect the 1L group’s position</w:t>
      </w:r>
      <w:r>
        <w:t xml:space="preserve">”</w:t>
      </w:r>
      <w:r>
        <w:t xml:space="preserve"> </w:t>
      </w:r>
      <w:r>
        <w:t xml:space="preserve">and that its</w:t>
      </w:r>
      <w:r>
        <w:t xml:space="preserve"> </w:t>
      </w:r>
      <w:r>
        <w:t xml:space="preserve">“</w:t>
      </w:r>
      <w:r>
        <w:t xml:space="preserve">primary concern is that some form of 2L access to residual asset sale proceeds be preserved in the ICA,</w:t>
      </w:r>
      <w:r>
        <w:t xml:space="preserve">”</w:t>
      </w:r>
      <w:r>
        <w:t xml:space="preserve"> </w:t>
      </w:r>
      <w:r>
        <w:t xml:space="preserve">which it characterizes as</w:t>
      </w:r>
      <w:r>
        <w:t xml:space="preserve"> </w:t>
      </w:r>
      <w:r>
        <w:t xml:space="preserve">“</w:t>
      </w:r>
      <w:r>
        <w:t xml:space="preserve">symbolically important even if economically limited.</w:t>
      </w:r>
      <w:r>
        <w:t xml:space="preserve">”</w:t>
      </w:r>
      <w:r>
        <w:t xml:space="preserve"> </w:t>
      </w:r>
      <w:r>
        <w:t xml:space="preserve">The proposed bifurcated approach delivers exactly what both sides have signaled: a hard 100% sweep for extraordinary sales (the 1L Agent’s firm requirement) and a reinvestment carve-out for ordinary-course sales (the 2L Agent’s and the Borrower’s concern), with 2L residual access after full 1L satisfaction (the 2L Agent’s minimum position).</w:t>
      </w:r>
    </w:p>
    <w:p>
      <w:pPr>
        <w:pStyle w:val="BodyText"/>
      </w:pPr>
      <w:r>
        <w:rPr>
          <w:b/>
          <w:bCs/>
        </w:rPr>
        <w:t xml:space="preserve">The $20 million threshold.</w:t>
      </w:r>
      <w:r>
        <w:t xml:space="preserve"> </w:t>
      </w:r>
      <w:r>
        <w:t xml:space="preserve">The $20 million ordinary-course threshold is the market median ($20M; mean $19.7M) and is the threshold used in Deal-007, the closest comparable transaction. It represents approximately 22.4% of LTM EBITDA ($89.4 million), a proportion consistent with the surveyed comparables. The threshold is set above the First Lien Credit Agreement’s own $5 million individual and $15 million annual aggregate mandatory prepayment triggers, so the ICA carve-out does not override those triggers — it simply preserves the Borrower’s reinvestment right for ordinary-course sales while imposing the hard sweep above $20 million. This means that for ordinary-course sales, the First Lien Credit Agreement’s existing mechanics operate unchanged: sales below $5 million are excluded from mandatory prepayment, sales above $5 million (and the annual aggregate above $15 million) trigger mandatory prepayment subject to the 365-day reinvestment right, and non-reinvested proceeds are swept at 100%. The ICA’s only intervention in the ordinary-course bucket is to confirm that these mechanics govern as between the lien groups — it does not strip the Borrower of reinvestment rights that the First Lien Credit Agreement itself grants.</w:t>
      </w:r>
    </w:p>
    <w:p>
      <w:pPr>
        <w:pStyle w:val="BodyText"/>
      </w:pPr>
      <w:r>
        <w:rPr>
          <w:b/>
          <w:bCs/>
        </w:rPr>
        <w:t xml:space="preserve">Anti-evasion language.</w:t>
      </w:r>
      <w:r>
        <w:t xml:space="preserve"> </w:t>
      </w:r>
      <w:r>
        <w:t xml:space="preserve">Both agents have independently flagged the need for anti-evasion protection. The 1L Agent’s outside counsel has stated that</w:t>
      </w:r>
      <w:r>
        <w:t xml:space="preserve"> </w:t>
      </w:r>
      <w:r>
        <w:t xml:space="preserve">“</w:t>
      </w:r>
      <w:r>
        <w:t xml:space="preserve">any threshold distinguishing ordinary-course from extraordinary sales must be carefully drafted to prevent evasion — specifically, to guard against a large disposition being structured as a series of smaller transactions.</w:t>
      </w:r>
      <w:r>
        <w:t xml:space="preserve">”</w:t>
      </w:r>
      <w:r>
        <w:t xml:space="preserve"> </w:t>
      </w:r>
      <w:r>
        <w:t xml:space="preserve">The 2L Agent’s outside counsel has stated that</w:t>
      </w:r>
      <w:r>
        <w:t xml:space="preserve"> </w:t>
      </w:r>
      <w:r>
        <w:t xml:space="preserve">“</w:t>
      </w:r>
      <w:r>
        <w:t xml:space="preserve">we would need anti-evasion language to protect against asset-stripping through a series of sub-threshold sales structured to stay below the $20M ordinary-course threshold.</w:t>
      </w:r>
      <w:r>
        <w:t xml:space="preserve">”</w:t>
      </w:r>
      <w:r>
        <w:t xml:space="preserve"> </w:t>
      </w:r>
      <w:r>
        <w:t xml:space="preserve">The proposed anti-evasion language — which permits the First Lien Agent to aggregate dispositions within a 90-day period that constitute a single plan or related series, considering the identity of the acquirer, the nature and location of the assets, and the timing and sequencing — mirrors the anti-evasion provision already in Section 2.05(b)(iii) of the First Lien Credit Agreement and is consistent with 97% of surveyed deals that include an ordinary-course carve-out. This is a provision both sides want and that the market uniformly supports.</w:t>
      </w:r>
    </w:p>
    <w:p>
      <w:pPr>
        <w:pStyle w:val="BodyText"/>
      </w:pPr>
      <w:r>
        <w:rPr>
          <w:b/>
          <w:bCs/>
        </w:rPr>
        <w:t xml:space="preserve">2L residual access.</w:t>
      </w:r>
      <w:r>
        <w:t xml:space="preserve"> </w:t>
      </w:r>
      <w:r>
        <w:t xml:space="preserve">The 1L Agent’s outside counsel has stated that</w:t>
      </w:r>
      <w:r>
        <w:t xml:space="preserve"> </w:t>
      </w:r>
      <w:r>
        <w:t xml:space="preserve">“</w:t>
      </w:r>
      <w:r>
        <w:t xml:space="preserve">the question of residual proceeds flowing to 2L after full 1L satisfaction is something the syndicate would need to evaluate in context, but candidly it is less of a concern if the hard sweep for significant sales is preserved.</w:t>
      </w:r>
      <w:r>
        <w:t xml:space="preserve">”</w:t>
      </w:r>
      <w:r>
        <w:t xml:space="preserve"> </w:t>
      </w:r>
      <w:r>
        <w:t xml:space="preserve">The proposed compromise delivers the hard sweep for extraordinary sales (the 1L Agent’s firm requirement) and provides 2L residual access only after the First Lien Obligations have been Paid in Full — a condition that, given the 97.66% Total LTV, will rarely be satisfied in a distressed scenario but that preserves the 2L Agent’s</w:t>
      </w:r>
      <w:r>
        <w:t xml:space="preserve"> </w:t>
      </w:r>
      <w:r>
        <w:t xml:space="preserve">“</w:t>
      </w:r>
      <w:r>
        <w:t xml:space="preserve">symbolically important</w:t>
      </w:r>
      <w:r>
        <w:t xml:space="preserve">”</w:t>
      </w:r>
      <w:r>
        <w:t xml:space="preserve"> </w:t>
      </w:r>
      <w:r>
        <w:t xml:space="preserve">waterfall right. This is the market majority position (79% of deals provide 2L residual access) and is consistent with the general proceeds waterfall in Section 4.01 of the draft ICA, which already provides for application to the Second Lien Obligations after the Discharge of First Lien Obligations. The residual access does not impair the 1L Agent’s priority in any scenario in which the First Lien Obligations are not fully satisfied.</w:t>
      </w:r>
    </w:p>
    <w:p>
      <w:pPr>
        <w:pStyle w:val="BodyText"/>
      </w:pPr>
      <w:r>
        <w:rPr>
          <w:b/>
          <w:bCs/>
        </w:rPr>
        <w:t xml:space="preserve">Reporting mechanism.</w:t>
      </w:r>
      <w:r>
        <w:t xml:space="preserve"> </w:t>
      </w:r>
      <w:r>
        <w:t xml:space="preserve">Neither party’s bracketed proposal included a reporting mechanism, but the drafting note identifies this as an open issue. The proposed reporting package — a quarterly compliance certificate (90% of deals), prompt event-driven notice for sales above $5 million (79% of deals), and an annual aggregate disposition report (38% of deals) — is drawn directly from the market data and provides both agents with visibility into asset disposition activity sufficient to monitor compliance with the bifurcated waterfall and the anti-evasion provisions. The $5 million event-driven notice threshold aligns with the First Lien Credit Agreement’s own $5 million individual prepayment trigger and $3 million reporting threshold, providing the agents with early visibility without imposing an undue administrative burden on the Borrower.</w:t>
      </w:r>
    </w:p>
    <w:p>
      <w:pPr>
        <w:pStyle w:val="BodyText"/>
      </w:pPr>
      <w:r>
        <w:rPr>
          <w:b/>
          <w:bCs/>
        </w:rPr>
        <w:t xml:space="preserve">Economic impact.</w:t>
      </w:r>
      <w:r>
        <w:t xml:space="preserve"> </w:t>
      </w:r>
      <w:r>
        <w:t xml:space="preserve">The bifurcated approach preserves the Borrower’s operational flexibility for routine asset turnover — essential for a manufacturing business that must replace aging equipment, upgrade production lines, and respond to shifts in customer demand, as Ms. Koh-Wexler has emphasized. The $20 million threshold means that the hard sweep is triggered only by genuinely extraordinary dispositions (e.g., a sale of a major facility or business unit), not by the routine asset turnover that characterizes Meridian’s operations. For the 1L Lenders, the hard sweep for extraordinary sales ensures that the proceeds of any material asset sale or casualty event are captured for First Lien debt reduction — protecting the 1L recovery in the scenarios that matter most. Given the 97.66% Total LTV, the 1L Agent’s concern about</w:t>
      </w:r>
      <w:r>
        <w:t xml:space="preserve"> </w:t>
      </w:r>
      <w:r>
        <w:t xml:space="preserve">“</w:t>
      </w:r>
      <w:r>
        <w:t xml:space="preserve">leakage</w:t>
      </w:r>
      <w:r>
        <w:t xml:space="preserve">”</w:t>
      </w:r>
      <w:r>
        <w:t xml:space="preserve"> </w:t>
      </w:r>
      <w:r>
        <w:t xml:space="preserve">is most acute for large, one-time proceeds (e.g., a $50 million facility sale), which the hard sweep captures in full; the ordinary-course reinvestment carve-out affects only smaller, routine sales that the First Lien Credit Agreement itself already permits the Borrower to reinvest. The 2L residual access is economically limited — in a distressed scenario with Total LTV near 100%, there will typically be no residual after full 1L satisfaction — but it preserves the intercreditor waterfall’s integrity and the 2L Agent’s ability to demonstrate to its investors that the structure preserves a theoretical waterfall right.</w:t>
      </w:r>
    </w:p>
    <w:p>
      <w:r>
        <w:pict>
          <v:rect style="width:0;height:1.5pt" o:hralign="center" o:hrstd="t" o:hr="t"/>
        </w:pict>
      </w:r>
    </w:p>
    <w:bookmarkEnd w:id="44"/>
    <w:bookmarkEnd w:id="45"/>
    <w:bookmarkEnd w:id="46"/>
    <w:bookmarkStart w:id="47" w:name="v.-package-balance-and-interdependence"/>
    <w:p>
      <w:pPr>
        <w:pStyle w:val="Heading2"/>
      </w:pPr>
      <w:r>
        <w:t xml:space="preserve">V. PACKAGE BALANCE AND INTERDEPENDENCE</w:t>
      </w:r>
    </w:p>
    <w:p>
      <w:pPr>
        <w:pStyle w:val="FirstParagraph"/>
      </w:pPr>
      <w:r>
        <w:t xml:space="preserve">The four compromise proposals are designed to be accepted or rejected as a single, indivisible package. The interdependencies among the provisions are deliberate and are the reason the package must not be unbundled:</w:t>
      </w:r>
    </w:p>
    <w:p>
      <w:pPr>
        <w:numPr>
          <w:ilvl w:val="0"/>
          <w:numId w:val="1004"/>
        </w:numPr>
      </w:pPr>
      <w:r>
        <w:rPr>
          <w:b/>
          <w:bCs/>
        </w:rPr>
        <w:t xml:space="preserve">The standstill and the purchase right are linked.</w:t>
      </w:r>
      <w:r>
        <w:t xml:space="preserve"> </w:t>
      </w:r>
      <w:r>
        <w:t xml:space="preserve">The 2L Agent has stated that early termination triggers in the standstill are a</w:t>
      </w:r>
      <w:r>
        <w:t xml:space="preserve"> </w:t>
      </w:r>
      <w:r>
        <w:t xml:space="preserve">“</w:t>
      </w:r>
      <w:r>
        <w:t xml:space="preserve">firm condition</w:t>
      </w:r>
      <w:r>
        <w:t xml:space="preserve">”</w:t>
      </w:r>
      <w:r>
        <w:t xml:space="preserve"> </w:t>
      </w:r>
      <w:r>
        <w:t xml:space="preserve">that is</w:t>
      </w:r>
      <w:r>
        <w:t xml:space="preserve"> </w:t>
      </w:r>
      <w:r>
        <w:t xml:space="preserve">“</w:t>
      </w:r>
      <w:r>
        <w:t xml:space="preserve">not something we can decouple from the duration.</w:t>
      </w:r>
      <w:r>
        <w:t xml:space="preserve">”</w:t>
      </w:r>
      <w:r>
        <w:t xml:space="preserve"> </w:t>
      </w:r>
      <w:r>
        <w:t xml:space="preserve">The 180-day standstill with triggers gives the 2L Agent a defined enforcement horizon; the par purchase right gives the 2L Agent a protective mechanism during that horizon. If the standstill were stripped of triggers, the 2L Agent’s willingness to accept par (rather than lesser of par/FMV) on the purchase right would be undermined, because the 2L Agent’s ability to exercise remedies — and therefore the value of the purchase right as a protective tool — would be materially diminished.</w:t>
      </w:r>
    </w:p>
    <w:p>
      <w:pPr>
        <w:numPr>
          <w:ilvl w:val="0"/>
          <w:numId w:val="1004"/>
        </w:numPr>
      </w:pPr>
      <w:r>
        <w:rPr>
          <w:b/>
          <w:bCs/>
        </w:rPr>
        <w:t xml:space="preserve">The purchase right concessions are linked.</w:t>
      </w:r>
      <w:r>
        <w:t xml:space="preserve"> </w:t>
      </w:r>
      <w:r>
        <w:t xml:space="preserve">The 1L Agent’s acceptance of the non-default contract rate and optional revolver assumption is the price of the 2L Agent’s acceptance of par (rather than lesser of par/FMV) and a 1L-EOD-only trigger. If the 1L Agent were to insist on the default rate or mandatory revolver assumption, the 2L Agent’s acceptance of par — which the 1L Agent has correctly identified as</w:t>
      </w:r>
      <w:r>
        <w:t xml:space="preserve"> </w:t>
      </w:r>
      <w:r>
        <w:t xml:space="preserve">“</w:t>
      </w:r>
      <w:r>
        <w:t xml:space="preserve">non-negotiable</w:t>
      </w:r>
      <w:r>
        <w:t xml:space="preserve">”</w:t>
      </w:r>
      <w:r>
        <w:t xml:space="preserve"> </w:t>
      </w:r>
      <w:r>
        <w:t xml:space="preserve">— would be at risk, because the 2L Agent has expressly conditioned its par acceptance on optional revolver assumption.</w:t>
      </w:r>
    </w:p>
    <w:p>
      <w:pPr>
        <w:numPr>
          <w:ilvl w:val="0"/>
          <w:numId w:val="1004"/>
        </w:numPr>
      </w:pPr>
      <w:r>
        <w:rPr>
          <w:b/>
          <w:bCs/>
        </w:rPr>
        <w:t xml:space="preserve">The refinancing concessions are linked.</w:t>
      </w:r>
      <w:r>
        <w:t xml:space="preserve"> </w:t>
      </w:r>
      <w:r>
        <w:t xml:space="preserve">The 1L Agent’s acceptance of a 10% principal increase and a narrowed restrictiveness test is the price of the MFN right. If the 1L Agent were to insist on a 0% cap or a blanket restrictiveness test, the 2L Agent’s willingness to accept the MFN — which provides the 1L Lenders with automatic benefit of any more favorable financial covenant in the refinancing — would be withdrawn, because the 2L Agent has stated that it will accept a restrictiveness test only if paired with an MFN and only if narrowed to financial covenants.</w:t>
      </w:r>
    </w:p>
    <w:p>
      <w:pPr>
        <w:numPr>
          <w:ilvl w:val="0"/>
          <w:numId w:val="1004"/>
        </w:numPr>
      </w:pPr>
      <w:r>
        <w:rPr>
          <w:b/>
          <w:bCs/>
        </w:rPr>
        <w:t xml:space="preserve">The proceeds waterfall concessions are linked.</w:t>
      </w:r>
      <w:r>
        <w:t xml:space="preserve"> </w:t>
      </w:r>
      <w:r>
        <w:t xml:space="preserve">The 1L Agent’s acceptance of an ordinary-course reinvestment carve-out and 2L residual access is the price of the 2L Agent’s acceptance of a hard sweep for extraordinary sales and robust anti-evasion language. If the 2L Agent were to insist on full reinvestment preservation (no hard sweep), the 1L Agent’s willingness to permit any 2L residual access or any ordinary-course carve-out would be withdrawn, because the 1L Agent has stated that the hard sweep for extraordinary sales is</w:t>
      </w:r>
      <w:r>
        <w:t xml:space="preserve"> </w:t>
      </w:r>
      <w:r>
        <w:t xml:space="preserve">“</w:t>
      </w:r>
      <w:r>
        <w:t xml:space="preserve">essential</w:t>
      </w:r>
      <w:r>
        <w:t xml:space="preserve">”</w:t>
      </w:r>
      <w:r>
        <w:t xml:space="preserve"> </w:t>
      </w:r>
      <w:r>
        <w:t xml:space="preserve">and</w:t>
      </w:r>
      <w:r>
        <w:t xml:space="preserve"> </w:t>
      </w:r>
      <w:r>
        <w:t xml:space="preserve">“</w:t>
      </w:r>
      <w:r>
        <w:t xml:space="preserve">not subject to significant compromise.</w:t>
      </w:r>
      <w:r>
        <w:t xml:space="preserve">”</w:t>
      </w:r>
    </w:p>
    <w:p>
      <w:pPr>
        <w:numPr>
          <w:ilvl w:val="0"/>
          <w:numId w:val="1004"/>
        </w:numPr>
      </w:pPr>
      <w:r>
        <w:rPr>
          <w:b/>
          <w:bCs/>
        </w:rPr>
        <w:t xml:space="preserve">Cross-provision balance.</w:t>
      </w:r>
      <w:r>
        <w:t xml:space="preserve"> </w:t>
      </w:r>
      <w:r>
        <w:t xml:space="preserve">The 2L Agent’s significant concession on the purchase price (accepting par rather than lesser of par/FMV) is balanced by the 1L Agent’s significant concession on the standstill (accepting early termination triggers rather than an absolute standstill). The 2L Agent’s concession on the refinancing principal cap (10% rather than 20%) is balanced by the 1L Agent’s concession on the restrictiveness test (narrowed rather than blanket). The 2L Agent’s concession on the proceeds waterfall (accepting a hard sweep for extraordinary sales) is balanced by the 1L Agent’s concession on the proceeds waterfall (accepting an ordinary-course carve-out and 2L residual access). The package is internally balanced so that neither side can identify a provision on which it has conceded disproportionately.</w:t>
      </w:r>
    </w:p>
    <w:p>
      <w:pPr>
        <w:pStyle w:val="FirstParagraph"/>
      </w:pPr>
      <w:r>
        <w:rPr>
          <w:b/>
          <w:bCs/>
        </w:rPr>
        <w:t xml:space="preserve">Recommendation on presentation.</w:t>
      </w:r>
      <w:r>
        <w:t xml:space="preserve"> </w:t>
      </w:r>
      <w:r>
        <w:t xml:space="preserve">We recommend that Meridian present this package to both agents simultaneously, with Meridian’s express endorsement, as a single integrated proposal. Meridian should communicate to both agents that (a) the package has been calibrated against the KTM Market Survey of 42 comparable transactions and reflects market-median or market-majority outcomes on each provision; (b) the package is designed to be closeable on or before the July 31, 2025 drop-dead date without requiring re-syndication or re-pricing by either lender group; (c) Meridian is willing to actively advocate for the package with both agents and their respective credit committees; and (d) the package is indivisible and must be accepted or rejected as a whole. Given the 34 days remaining until the drop-dead date and the August 15, 2025 maturity of the existing facility, Meridian should request responses from both agents no later than July 7, 2025, to allow sufficient time for credit committee approvals, definitive documentation, and closing.</w:t>
      </w:r>
    </w:p>
    <w:p>
      <w:r>
        <w:pict>
          <v:rect style="width:0;height:1.5pt" o:hralign="center" o:hrstd="t" o:hr="t"/>
        </w:pict>
      </w:r>
    </w:p>
    <w:bookmarkEnd w:id="47"/>
    <w:bookmarkStart w:id="48" w:name="vi.-next-steps-and-recommendation"/>
    <w:p>
      <w:pPr>
        <w:pStyle w:val="Heading2"/>
      </w:pPr>
      <w:r>
        <w:t xml:space="preserve">VI. NEXT STEPS AND RECOMMENDATION</w:t>
      </w:r>
    </w:p>
    <w:p>
      <w:pPr>
        <w:numPr>
          <w:ilvl w:val="0"/>
          <w:numId w:val="1005"/>
        </w:numPr>
      </w:pPr>
      <w:r>
        <w:rPr>
          <w:b/>
          <w:bCs/>
        </w:rPr>
        <w:t xml:space="preserve">Review and approval.</w:t>
      </w:r>
      <w:r>
        <w:t xml:space="preserve"> </w:t>
      </w:r>
      <w:r>
        <w:t xml:space="preserve">We recommend that you and Rachel Fong review this memorandum and the proposed compromise language at your earliest convenience. We are available to discuss any aspect of the package, to adjust the calibration of any provision, or to prepare alternative formulations.</w:t>
      </w:r>
    </w:p>
    <w:p>
      <w:pPr>
        <w:numPr>
          <w:ilvl w:val="0"/>
          <w:numId w:val="1005"/>
        </w:numPr>
      </w:pPr>
      <w:r>
        <w:rPr>
          <w:b/>
          <w:bCs/>
        </w:rPr>
        <w:t xml:space="preserve">Presentation to the agents.</w:t>
      </w:r>
      <w:r>
        <w:t xml:space="preserve"> </w:t>
      </w:r>
      <w:r>
        <w:t xml:space="preserve">Upon your approval, we recommend that KTM circulate the package to Thomas Buchanan III at Aldgate &amp; Pryor LLP (1L Agent’s counsel) and Naomi Oduya at Sternfeld Yates &amp; Carroll LLP (2L Agent’s counsel) under cover of a joint communication from Meridian, with a request for responses by July 7, 2025. We recommend that the communication emphasize the indivisibility of the package, the market support for each provision, and the urgency of the closing timeline.</w:t>
      </w:r>
    </w:p>
    <w:p>
      <w:pPr>
        <w:numPr>
          <w:ilvl w:val="0"/>
          <w:numId w:val="1005"/>
        </w:numPr>
      </w:pPr>
      <w:r>
        <w:rPr>
          <w:b/>
          <w:bCs/>
        </w:rPr>
        <w:t xml:space="preserve">Meridian’s endorsement.</w:t>
      </w:r>
      <w:r>
        <w:t xml:space="preserve"> </w:t>
      </w:r>
      <w:r>
        <w:t xml:space="preserve">We recommend that you personally communicate Meridian’s support for the package to Margaret Liu at Cartwright and Marcus Ridley at Ridgeline, to reinforce that Meridian is prepared to advocate for the compromise with both lender groups and that Meridian views the package as a fair and closeable resolution.</w:t>
      </w:r>
    </w:p>
    <w:p>
      <w:pPr>
        <w:numPr>
          <w:ilvl w:val="0"/>
          <w:numId w:val="1005"/>
        </w:numPr>
      </w:pPr>
      <w:r>
        <w:rPr>
          <w:b/>
          <w:bCs/>
        </w:rPr>
        <w:t xml:space="preserve">Documentation.</w:t>
      </w:r>
      <w:r>
        <w:t xml:space="preserve"> </w:t>
      </w:r>
      <w:r>
        <w:t xml:space="preserve">Upon acceptance of the package in principle, KTM will prepare a clean marked version of the ICA incorporating the compromise language into Sections 2.03(c), 3.01(b), 4.02, and 5.01, together with conforming amendments to the First Lien Credit Agreement (to reflect the MFN right and the ICA waterfall provisions) and the Second Lien Credit Agreement (to reflect the 10% refinancing cap and the narrowed restrictiveness test), for circulation to both agents’ counsel.</w:t>
      </w:r>
    </w:p>
    <w:p>
      <w:pPr>
        <w:numPr>
          <w:ilvl w:val="0"/>
          <w:numId w:val="1005"/>
        </w:numPr>
      </w:pPr>
      <w:r>
        <w:rPr>
          <w:b/>
          <w:bCs/>
        </w:rPr>
        <w:t xml:space="preserve">Closing timeline.</w:t>
      </w:r>
      <w:r>
        <w:t xml:space="preserve"> </w:t>
      </w:r>
      <w:r>
        <w:t xml:space="preserve">Assuming responses by July 7, 2025, and one round of clarifying negotiations, we estimate that definitive documentation can be circulated by July 14, 2025, credit committee approvals obtained by July 24, 2025, and closing effected on or before July 31, 2025. Any slippage beyond this timeline places the August 15, 2025 existing facility maturity at risk.</w:t>
      </w:r>
    </w:p>
    <w:p>
      <w:r>
        <w:pict>
          <v:rect style="width:0;height:1.5pt" o:hralign="center" o:hrstd="t" o:hr="t"/>
        </w:pict>
      </w:r>
    </w:p>
    <w:bookmarkEnd w:id="48"/>
    <w:bookmarkStart w:id="49" w:name="vii.-reservation-of-rights"/>
    <w:p>
      <w:pPr>
        <w:pStyle w:val="Heading2"/>
      </w:pPr>
      <w:r>
        <w:t xml:space="preserve">VII. RESERVATION OF RIGHTS</w:t>
      </w:r>
    </w:p>
    <w:p>
      <w:pPr>
        <w:pStyle w:val="FirstParagraph"/>
      </w:pPr>
      <w:r>
        <w:t xml:space="preserve">This memorandum is prepared at the request of and for the benefit of Meridian Industrial Holdings, Inc. and constitutes attorney-client privileged communication and attorney work product. Nothing in this memorandum constitutes legal advice to any party other than Meridian Industrial Holdings, Inc., and nothing herein may be relied upon by the 1L Agent, the 2L Agent, or any lender without the express written consent of Kesswick, Tanaka &amp; Moreau LLP. The proposed compromise language is draft negotiating text only, does not constitute a binding offer or commitment by Meridian or any other party, and is subject to further negotiation, mutual agreement, and the execution and delivery of definitive documentation in form and substance satisfactory to all parties and their respective counsel. All positions set forth herein remain subject to the negotiation and execution of a mutually acceptable ICA in definitive form. This memorandum is submitted without prejudice and for settlement discussion purposes only pursuant to Federal Rule of Evidence 408 and applicable New York law.</w:t>
      </w:r>
    </w:p>
    <w:p>
      <w:r>
        <w:pict>
          <v:rect style="width:0;height:1.5pt" o:hralign="center" o:hrstd="t" o:hr="t"/>
        </w:pict>
      </w:r>
    </w:p>
    <w:p>
      <w:pPr>
        <w:pStyle w:val="FirstParagraph"/>
      </w:pPr>
      <w:r>
        <w:rPr>
          <w:i/>
          <w:iCs/>
        </w:rPr>
        <w:t xml:space="preserve">Prepared by:</w:t>
      </w:r>
    </w:p>
    <w:p>
      <w:pPr>
        <w:pStyle w:val="BodyText"/>
      </w:pPr>
      <w:r>
        <w:rPr>
          <w:b/>
          <w:bCs/>
        </w:rPr>
        <w:t xml:space="preserve">David Tanaka</w:t>
      </w:r>
      <w:r>
        <w:t xml:space="preserve"> </w:t>
      </w:r>
      <w:r>
        <w:t xml:space="preserve">Partner</w:t>
      </w:r>
      <w:r>
        <w:t xml:space="preserve"> </w:t>
      </w:r>
      <w:r>
        <w:t xml:space="preserve">Kesswick, Tanaka &amp; Moreau LLP</w:t>
      </w:r>
      <w:r>
        <w:t xml:space="preserve"> </w:t>
      </w:r>
      <w:r>
        <w:t xml:space="preserve">51 West 52nd Street, 34th Floor</w:t>
      </w:r>
      <w:r>
        <w:t xml:space="preserve"> </w:t>
      </w:r>
      <w:r>
        <w:t xml:space="preserve">New York, NY 10019</w:t>
      </w:r>
      <w:r>
        <w:t xml:space="preserve"> </w:t>
      </w:r>
      <w:r>
        <w:t xml:space="preserve">dtanaka@ktmlaw.com</w:t>
      </w:r>
    </w:p>
    <w:p>
      <w:r>
        <w:pict>
          <v:rect style="width:0;height:1.5pt" o:hralign="center" o:hrstd="t" o:hr="t"/>
        </w:pict>
      </w:r>
    </w:p>
    <w:p>
      <w:pPr>
        <w:pStyle w:val="FirstParagraph"/>
      </w:pPr>
      <w:r>
        <w:rPr>
          <w:b/>
          <w:bCs/>
        </w:rPr>
        <w:t xml:space="preserve">PRIVILEGED &amp; CONFIDENTIAL — ATTORNEY-CLIENT COMMUNICATION / ATTORNEY WORK PRODUCT</w:t>
      </w:r>
      <w:r>
        <w:t xml:space="preserve"> </w:t>
      </w:r>
      <w:r>
        <w:rPr>
          <w:b/>
          <w:bCs/>
        </w:rPr>
        <w:t xml:space="preserve">WITHOUT PREJUDICE — FOR SETTLEMENT DISCUSSION PURPOSES ONLY — FRE 408</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2026-06-27T20:33:50Z</dcterms:created>
  <dcterms:modified xsi:type="dcterms:W3CDTF">2026-06-27T20:33:50Z</dcterms:modified>
</cp:coreProperties>
</file>

<file path=docProps/custom.xml><?xml version="1.0" encoding="utf-8"?>
<Properties xmlns="http://schemas.openxmlformats.org/officeDocument/2006/custom-properties" xmlns:vt="http://schemas.openxmlformats.org/officeDocument/2006/docPropsVTypes"/>
</file>