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5" w:name="compromise-proposals-contested-terms"/>
    <w:p>
      <w:pPr>
        <w:pStyle w:val="Heading1"/>
      </w:pPr>
      <w:r>
        <w:t xml:space="preserve">COMPROMISE PROPOSALS — CONTESTED TERMS</w:t>
      </w:r>
    </w:p>
    <w:bookmarkStart w:id="20" w:name="X7d3e5aa10d92b8580718bad7a7425db14c42bab"/>
    <w:p>
      <w:pPr>
        <w:pStyle w:val="Heading2"/>
      </w:pPr>
      <w:r>
        <w:t xml:space="preserve">Meridian Health Systems, Inc. / Cognitive Foundry, Inc. — ClinIQ™ Platform Agreement (v4.2)</w:t>
      </w:r>
    </w:p>
    <w:p>
      <w:pPr>
        <w:pStyle w:val="FirstParagraph"/>
      </w:pPr>
      <w:r>
        <w:rPr>
          <w:b/>
          <w:bCs/>
        </w:rPr>
        <w:t xml:space="preserve">Prepared by:</w:t>
      </w:r>
      <w:r>
        <w:t xml:space="preserve"> </w:t>
      </w:r>
      <w:r>
        <w:t xml:space="preserve">Whitfield Ames LLP (Elaine Sutter, Partner; Jessica Fong; David Ouellette)</w:t>
      </w:r>
    </w:p>
    <w:p>
      <w:pPr>
        <w:pStyle w:val="BodyText"/>
      </w:pPr>
      <w:r>
        <w:rPr>
          <w:b/>
          <w:bCs/>
        </w:rPr>
        <w:t xml:space="preserve">Prepared for:</w:t>
      </w:r>
      <w:r>
        <w:t xml:space="preserve"> </w:t>
      </w:r>
      <w:r>
        <w:t xml:space="preserve">Meridian Health Systems, Inc. — Dr. Priya Narayanan, SVP &amp; General Counsel; Marcus Delgado, VP, Digital Health &amp; Technology Transactions</w:t>
      </w:r>
    </w:p>
    <w:p>
      <w:pPr>
        <w:pStyle w:val="BodyText"/>
      </w:pPr>
      <w:r>
        <w:rPr>
          <w:b/>
          <w:bCs/>
        </w:rPr>
        <w:t xml:space="preserve">Re:</w:t>
      </w:r>
      <w:r>
        <w:t xml:space="preserve"> </w:t>
      </w:r>
      <w:r>
        <w:t xml:space="preserve">Compromise Proposals for the Seven Contested Terms — July 18, 2025 Joint Negotiation Session</w:t>
      </w:r>
    </w:p>
    <w:p>
      <w:pPr>
        <w:pStyle w:val="BodyText"/>
      </w:pPr>
      <w:r>
        <w:rPr>
          <w:b/>
          <w:bCs/>
        </w:rPr>
        <w:t xml:space="preserve">Date:</w:t>
      </w:r>
      <w:r>
        <w:t xml:space="preserve"> </w:t>
      </w:r>
      <w:r>
        <w:t xml:space="preserve">July 14, 2025</w:t>
      </w:r>
    </w:p>
    <w:p>
      <w:r>
        <w:pict>
          <v:rect style="width:0;height:1.5pt" o:hralign="center" o:hrstd="t" o:hr="t"/>
        </w:pict>
      </w:r>
    </w:p>
    <w:p>
      <w:pPr>
        <w:pStyle w:val="BlockText"/>
      </w:pPr>
      <w:r>
        <w:rPr>
          <w:b/>
          <w:bCs/>
        </w:rPr>
        <w:t xml:space="preserve">PRIVILEGED &amp; CONFIDENTIAL — ATTORNEY-CLIENT COMMUNICATION / ATTORNEY WORK PRODUCT.</w:t>
      </w:r>
      <w:r>
        <w:t xml:space="preserve"> </w:t>
      </w:r>
      <w:r>
        <w:t xml:space="preserve">This memorandum constitutes a privileged and confidential communication containing attorney-client strategy analysis and attorney work product prepared in anticipation of negotiation sessions with Cognitive Foundry, Inc. It is protected by the attorney-client privilege and the work-product doctrine and is intended exclusively for the named recipients and authorized members of the Meridian negotiation team. Do not forward, copy, distribute, or disclose to any person or entity beyond the individuals addressed above — and in no event to Cognitive Foundry, Inc., Sandra Hu, Rafael Bowen, or Kessler Pratt &amp; Lowe LLP — without the prior written consent of Dr. Priya Narayanan or Elaine Sutter. The clause language set forth herein is draft negotiating language for internal use; it is not an offer and does not bind Meridian.</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sets forth compromise proposals for each of the seven contested terms remaining in the Master AI Services Agreement (the</w:t>
      </w:r>
      <w:r>
        <w:t xml:space="preserve"> </w:t>
      </w:r>
      <w:r>
        <w:t xml:space="preserve">“</w:t>
      </w:r>
      <w:r>
        <w:t xml:space="preserve">Agreement</w:t>
      </w:r>
      <w:r>
        <w:t xml:space="preserve">”</w:t>
      </w:r>
      <w:r>
        <w:t xml:space="preserve">) between Meridian Health Systems, Inc. (</w:t>
      </w:r>
      <w:r>
        <w:t xml:space="preserve">“</w:t>
      </w:r>
      <w:r>
        <w:t xml:space="preserve">Meridian</w:t>
      </w:r>
      <w:r>
        <w:t xml:space="preserve">”</w:t>
      </w:r>
      <w:r>
        <w:t xml:space="preserve"> </w:t>
      </w:r>
      <w:r>
        <w:t xml:space="preserve">or</w:t>
      </w:r>
      <w:r>
        <w:t xml:space="preserve"> </w:t>
      </w:r>
      <w:r>
        <w:t xml:space="preserve">“</w:t>
      </w:r>
      <w:r>
        <w:t xml:space="preserve">Customer</w:t>
      </w:r>
      <w:r>
        <w:t xml:space="preserve">”</w:t>
      </w:r>
      <w:r>
        <w:t xml:space="preserve">) and Cognitive Foundry, Inc. (</w:t>
      </w:r>
      <w:r>
        <w:t xml:space="preserve">“</w:t>
      </w:r>
      <w:r>
        <w:t xml:space="preserve">Cognitive Foundry</w:t>
      </w:r>
      <w:r>
        <w:t xml:space="preserve">”</w:t>
      </w:r>
      <w:r>
        <w:t xml:space="preserve"> </w:t>
      </w:r>
      <w:r>
        <w:t xml:space="preserve">or</w:t>
      </w:r>
      <w:r>
        <w:t xml:space="preserve"> </w:t>
      </w:r>
      <w:r>
        <w:t xml:space="preserve">“</w:t>
      </w:r>
      <w:r>
        <w:t xml:space="preserve">Vendor</w:t>
      </w:r>
      <w:r>
        <w:t xml:space="preserve">”</w:t>
      </w:r>
      <w:r>
        <w:t xml:space="preserve">) for the ClinIQ™ Platform (v4.2). The proposals are prepared for delivery to the Meridian deal team in advance of the July 18, 2025 joint negotiation session with Cognitive Foundry’s team — Sandra Hu (VP, Commercial Legal) and Rafael Bowen (Partner, Kessler Pratt &amp; Lowe LLP).</w:t>
      </w:r>
    </w:p>
    <w:p>
      <w:pPr>
        <w:pStyle w:val="BodyText"/>
      </w:pPr>
      <w:r>
        <w:t xml:space="preserve">Each proposal follows the four-component format directed by Elaine Sutter on July 3, 2025:</w:t>
      </w:r>
    </w:p>
    <w:p>
      <w:pPr>
        <w:pStyle w:val="Compact"/>
        <w:numPr>
          <w:ilvl w:val="0"/>
          <w:numId w:val="1001"/>
        </w:numPr>
      </w:pPr>
      <w:r>
        <w:rPr>
          <w:b/>
          <w:bCs/>
        </w:rPr>
        <w:t xml:space="preserve">Proposed Contract Clause Language</w:t>
      </w:r>
      <w:r>
        <w:t xml:space="preserve"> </w:t>
      </w:r>
      <w:r>
        <w:t xml:space="preserve">— fully drafted, redline-ready language for insertion into the Agreement;</w:t>
      </w:r>
    </w:p>
    <w:p>
      <w:pPr>
        <w:pStyle w:val="Compact"/>
        <w:numPr>
          <w:ilvl w:val="0"/>
          <w:numId w:val="1001"/>
        </w:numPr>
      </w:pPr>
      <w:r>
        <w:rPr>
          <w:b/>
          <w:bCs/>
        </w:rPr>
        <w:t xml:space="preserve">Negotiation Rationale and Fallback Ladder</w:t>
      </w:r>
      <w:r>
        <w:t xml:space="preserve"> </w:t>
      </w:r>
      <w:r>
        <w:t xml:space="preserve">— mapping of both parties’ positions and red lines, the recommended landing zone, and the documented fallback ladder for real-time adjustment at the table;</w:t>
      </w:r>
    </w:p>
    <w:p>
      <w:pPr>
        <w:pStyle w:val="Compact"/>
        <w:numPr>
          <w:ilvl w:val="0"/>
          <w:numId w:val="1001"/>
        </w:numPr>
      </w:pPr>
      <w:r>
        <w:rPr>
          <w:b/>
          <w:bCs/>
        </w:rPr>
        <w:t xml:space="preserve">Acceptability Analysis for the Vendor Team</w:t>
      </w:r>
      <w:r>
        <w:t xml:space="preserve"> </w:t>
      </w:r>
      <w:r>
        <w:t xml:space="preserve">— anticipated objections from Sandra Hu (commercial flexibility and precedent) and Rafael Bowen (liability exposure and IP protection), and how each proposal accommodates or neutralizes them; and</w:t>
      </w:r>
    </w:p>
    <w:p>
      <w:pPr>
        <w:pStyle w:val="Compact"/>
        <w:numPr>
          <w:ilvl w:val="0"/>
          <w:numId w:val="1001"/>
        </w:numPr>
      </w:pPr>
      <w:r>
        <w:rPr>
          <w:b/>
          <w:bCs/>
        </w:rPr>
        <w:t xml:space="preserve">Regulatory and Compliance Constraints</w:t>
      </w:r>
      <w:r>
        <w:t xml:space="preserve"> </w:t>
      </w:r>
      <w:r>
        <w:t xml:space="preserve">— HIPAA, the New Jersey AI in Healthcare Transparency Act (effective March 1, 2025) (the</w:t>
      </w:r>
      <w:r>
        <w:t xml:space="preserve"> </w:t>
      </w:r>
      <w:r>
        <w:t xml:space="preserve">“</w:t>
      </w:r>
      <w:r>
        <w:t xml:space="preserve">NJ Act</w:t>
      </w:r>
      <w:r>
        <w:t xml:space="preserve">”</w:t>
      </w:r>
      <w:r>
        <w:t xml:space="preserve">), and FDA clinical decision-support guidance.</w:t>
      </w:r>
    </w:p>
    <w:p>
      <w:pPr>
        <w:pStyle w:val="FirstParagraph"/>
      </w:pPr>
      <w:r>
        <w:t xml:space="preserve">The proposals are calibrated to Meridian’s board-approved priority ranking and the strategic guidance set forth in the Meridian AI/Technology Vendor Negotiation Playbook (the</w:t>
      </w:r>
      <w:r>
        <w:t xml:space="preserve"> </w:t>
      </w:r>
      <w:r>
        <w:t xml:space="preserve">“</w:t>
      </w:r>
      <w:r>
        <w:t xml:space="preserve">Playbook</w:t>
      </w:r>
      <w:r>
        <w:t xml:space="preserve">”</w:t>
      </w:r>
      <w:r>
        <w:t xml:space="preserve">), the July 1 Contested Terms Matrix, and the intelligence memoranda of July 3, 2025.</w:t>
      </w:r>
    </w:p>
    <w:bookmarkEnd w:id="21"/>
    <w:bookmarkStart w:id="25" w:name="ii.-negotiation-strategy-framework"/>
    <w:p>
      <w:pPr>
        <w:pStyle w:val="Heading2"/>
      </w:pPr>
      <w:r>
        <w:t xml:space="preserve">II. NEGOTIATION STRATEGY FRAMEWORK</w:t>
      </w:r>
    </w:p>
    <w:bookmarkStart w:id="22" w:name="Xd70ee159925319c7a5544e36439810da8a660b4"/>
    <w:p>
      <w:pPr>
        <w:pStyle w:val="Heading3"/>
      </w:pPr>
      <w:r>
        <w:t xml:space="preserve">A. Priority Ranking and the Critical Rule</w:t>
      </w:r>
    </w:p>
    <w:p>
      <w:pPr>
        <w:pStyle w:val="FirstParagraph"/>
      </w:pPr>
      <w:r>
        <w:t xml:space="preserve">Meridian’s priority ranking for the seven contested terms, approved by the Office of General Counsel and the Board Risk Committee, governs the allocation of negotiating capital:</w:t>
      </w:r>
    </w:p>
    <w:p>
      <w:pPr>
        <w:pStyle w:val="Compact"/>
        <w:numPr>
          <w:ilvl w:val="0"/>
          <w:numId w:val="1002"/>
        </w:numPr>
      </w:pPr>
      <w:r>
        <w:rPr>
          <w:b/>
          <w:bCs/>
        </w:rPr>
        <w:t xml:space="preserve">Patient-safety liability</w:t>
      </w:r>
      <w:r>
        <w:t xml:space="preserve"> </w:t>
      </w:r>
      <w:r>
        <w:t xml:space="preserve">(super-cap structure)</w:t>
      </w:r>
    </w:p>
    <w:p>
      <w:pPr>
        <w:pStyle w:val="Compact"/>
        <w:numPr>
          <w:ilvl w:val="0"/>
          <w:numId w:val="1002"/>
        </w:numPr>
      </w:pPr>
      <w:r>
        <w:rPr>
          <w:b/>
          <w:bCs/>
        </w:rPr>
        <w:t xml:space="preserve">Audit rights</w:t>
      </w:r>
      <w:r>
        <w:t xml:space="preserve"> </w:t>
      </w:r>
      <w:r>
        <w:t xml:space="preserve">(AI model transparency)</w:t>
      </w:r>
    </w:p>
    <w:p>
      <w:pPr>
        <w:pStyle w:val="Compact"/>
        <w:numPr>
          <w:ilvl w:val="0"/>
          <w:numId w:val="1002"/>
        </w:numPr>
      </w:pPr>
      <w:r>
        <w:rPr>
          <w:b/>
          <w:bCs/>
        </w:rPr>
        <w:t xml:space="preserve">Termination flexibility</w:t>
      </w:r>
      <w:r>
        <w:t xml:space="preserve"> </w:t>
      </w:r>
      <w:r>
        <w:t xml:space="preserve">(ETF and transition)</w:t>
      </w:r>
    </w:p>
    <w:p>
      <w:pPr>
        <w:pStyle w:val="Compact"/>
        <w:numPr>
          <w:ilvl w:val="0"/>
          <w:numId w:val="1002"/>
        </w:numPr>
      </w:pPr>
      <w:r>
        <w:rPr>
          <w:b/>
          <w:bCs/>
        </w:rPr>
        <w:t xml:space="preserve">Data usage</w:t>
      </w:r>
      <w:r>
        <w:t xml:space="preserve"> </w:t>
      </w:r>
      <w:r>
        <w:t xml:space="preserve">(aggregated/de-identified data)</w:t>
      </w:r>
    </w:p>
    <w:p>
      <w:pPr>
        <w:pStyle w:val="Compact"/>
        <w:numPr>
          <w:ilvl w:val="0"/>
          <w:numId w:val="1002"/>
        </w:numPr>
      </w:pPr>
      <w:r>
        <w:rPr>
          <w:b/>
          <w:bCs/>
        </w:rPr>
        <w:t xml:space="preserve">SLA accuracy</w:t>
      </w:r>
      <w:r>
        <w:t xml:space="preserve"> </w:t>
      </w:r>
      <w:r>
        <w:t xml:space="preserve">(binding benchmarks)</w:t>
      </w:r>
    </w:p>
    <w:p>
      <w:pPr>
        <w:pStyle w:val="Compact"/>
        <w:numPr>
          <w:ilvl w:val="0"/>
          <w:numId w:val="1002"/>
        </w:numPr>
      </w:pPr>
      <w:r>
        <w:rPr>
          <w:b/>
          <w:bCs/>
        </w:rPr>
        <w:t xml:space="preserve">IP ownership</w:t>
      </w:r>
      <w:r>
        <w:t xml:space="preserve"> </w:t>
      </w:r>
      <w:r>
        <w:t xml:space="preserve">(model weights and fine-tuned adaptations)</w:t>
      </w:r>
    </w:p>
    <w:p>
      <w:pPr>
        <w:pStyle w:val="Compact"/>
        <w:numPr>
          <w:ilvl w:val="0"/>
          <w:numId w:val="1002"/>
        </w:numPr>
      </w:pPr>
      <w:r>
        <w:rPr>
          <w:b/>
          <w:bCs/>
        </w:rPr>
        <w:t xml:space="preserve">Indemnification scope</w:t>
      </w:r>
    </w:p>
    <w:p>
      <w:pPr>
        <w:pStyle w:val="FirstParagraph"/>
      </w:pPr>
      <w:r>
        <w:rPr>
          <w:b/>
          <w:bCs/>
        </w:rPr>
        <w:t xml:space="preserve">Critical Rule.</w:t>
      </w:r>
      <w:r>
        <w:t xml:space="preserve"> </w:t>
      </w:r>
      <w:r>
        <w:t xml:space="preserve">No concession on a higher-priority item may be made to gain advantage on a lower-priority item without the express approval of the General Counsel. The proposals below hold firm on Priorities 1 and 2 (where Meridian’s red lines and the NJ Act are non-negotiable), accept the Playbook fallback on Priorities 5, 6, and 7 (where the practical value to Meridian is captured without expending capital), and deploy calibrated concessions on Priorities 3 and 4 (where the strategic guidance identifies both flexibility and bargaining value).</w:t>
      </w:r>
    </w:p>
    <w:bookmarkEnd w:id="22"/>
    <w:bookmarkStart w:id="23" w:name="Xc67f77157750680b45e310a70fccec4dbd228e6"/>
    <w:p>
      <w:pPr>
        <w:pStyle w:val="Heading3"/>
      </w:pPr>
      <w:r>
        <w:t xml:space="preserve">B. The Package Approach and Concession Currency</w:t>
      </w:r>
    </w:p>
    <w:p>
      <w:pPr>
        <w:pStyle w:val="FirstParagraph"/>
      </w:pPr>
      <w:r>
        <w:t xml:space="preserve">Two asymmetries drive the concession strategy:</w:t>
      </w:r>
    </w:p>
    <w:p>
      <w:pPr>
        <w:pStyle w:val="Compact"/>
        <w:numPr>
          <w:ilvl w:val="0"/>
          <w:numId w:val="1003"/>
        </w:numPr>
      </w:pPr>
      <w:r>
        <w:rPr>
          <w:b/>
          <w:bCs/>
        </w:rPr>
        <w:t xml:space="preserve">Data usage (Priority 4) is Cognitive Foundry’s highest-priority commercial term.</w:t>
      </w:r>
      <w:r>
        <w:t xml:space="preserve"> </w:t>
      </w:r>
      <w:r>
        <w:t xml:space="preserve">The aggregated, de-identified data flowing from Meridian’s 14-hospital network (~2.1 million annual patient encounters) is highly valuable to Cognitive Foundry’s model-training pipeline. This gives Meridian a natural bargaining chip: calibrated flexibility on data usage can be exchanged for movement on Priorities 1–3.</w:t>
      </w:r>
    </w:p>
    <w:p>
      <w:pPr>
        <w:pStyle w:val="Compact"/>
        <w:numPr>
          <w:ilvl w:val="0"/>
          <w:numId w:val="1003"/>
        </w:numPr>
      </w:pPr>
      <w:r>
        <w:rPr>
          <w:b/>
          <w:bCs/>
        </w:rPr>
        <w:t xml:space="preserve">Cognitive Foundry has already agreed to more protective terms in a comparable deal.</w:t>
      </w:r>
      <w:r>
        <w:t xml:space="preserve"> </w:t>
      </w:r>
      <w:r>
        <w:t xml:space="preserve">Market intelligence confirms that Cognitive Foundry recently closed a comparable multi-hospital deal with a general liability cap of 1.5× ACV and a super-cap of 3× ACV covering IP infringement and data breach. This directly undermines Cognitive Foundry’s posture that 1× ACV is its</w:t>
      </w:r>
      <w:r>
        <w:t xml:space="preserve"> </w:t>
      </w:r>
      <w:r>
        <w:t xml:space="preserve">“</w:t>
      </w:r>
      <w:r>
        <w:t xml:space="preserve">standard</w:t>
      </w:r>
      <w:r>
        <w:t xml:space="preserve">”</w:t>
      </w:r>
      <w:r>
        <w:t xml:space="preserve"> </w:t>
      </w:r>
      <w:r>
        <w:t xml:space="preserve">cap and that 3× ACV super-caps are unavailable, and it anchors our positions on Terms 1 and 7.</w:t>
      </w:r>
    </w:p>
    <w:p>
      <w:pPr>
        <w:pStyle w:val="FirstParagraph"/>
      </w:pPr>
      <w:r>
        <w:t xml:space="preserve">Accordingly, the proposals are designed to move as a coherent package: Meridian concedes on data usage (Priority 4) and accepts the Playbook fallback on IP (Priority 6), and in exchange secures (i) a patient-safety-inclusive super-cap at 3× ACV (Priority 1), (ii) the Langford tiered audit framework at Tier 2 with Tier 3 for cause (Priority 2), and (iii) a graduated ETF that declines to zero by Year 3 paired with robust transition and data-export obligations (Priority 3).</w:t>
      </w:r>
    </w:p>
    <w:bookmarkEnd w:id="23"/>
    <w:bookmarkStart w:id="24" w:name="Xb7e8d9cd14f8a80d5ec2e25997cb320f5a48c98"/>
    <w:p>
      <w:pPr>
        <w:pStyle w:val="Heading3"/>
      </w:pPr>
      <w:r>
        <w:t xml:space="preserve">C. Comparable-Deal Intelligence — Tactical Use</w:t>
      </w:r>
    </w:p>
    <w:p>
      <w:pPr>
        <w:pStyle w:val="FirstParagraph"/>
      </w:pPr>
      <w:r>
        <w:t xml:space="preserve">The comparable-deal intelligence should be used</w:t>
      </w:r>
      <w:r>
        <w:t xml:space="preserve"> </w:t>
      </w:r>
      <w:r>
        <w:rPr>
          <w:b/>
          <w:bCs/>
        </w:rPr>
        <w:t xml:space="preserve">indirectly</w:t>
      </w:r>
      <w:r>
        <w:t xml:space="preserve"> </w:t>
      </w:r>
      <w:r>
        <w:t xml:space="preserve">at the table. Rather than disclosing the source, Meridian should anchor positions on</w:t>
      </w:r>
      <w:r>
        <w:t xml:space="preserve"> </w:t>
      </w:r>
      <w:r>
        <w:t xml:space="preserve">“</w:t>
      </w:r>
      <w:r>
        <w:t xml:space="preserve">market practice for enterprise healthcare AI deployments of comparable scope,</w:t>
      </w:r>
      <w:r>
        <w:t xml:space="preserve">”</w:t>
      </w:r>
      <w:r>
        <w:t xml:space="preserve"> </w:t>
      </w:r>
      <w:r>
        <w:t xml:space="preserve">noting that caps in the 1.5×–2× ACV range and super-caps at 3× ACV (including data-breach coverage) are consistent with deals Cognitive Foundry has concluded for similarly situated health systems. If Cognitive Foundry holds at 1× ACV or resists a 3× super-cap including patient-safety, the team may escalate to a more direct reference. Elaine Sutter will make the tactical call on timing.</w:t>
      </w:r>
    </w:p>
    <w:bookmarkEnd w:id="24"/>
    <w:bookmarkEnd w:id="25"/>
    <w:bookmarkStart w:id="26" w:name="Xd5ddd670c14964c14a97503483d2e4b2d87ae84"/>
    <w:p>
      <w:pPr>
        <w:pStyle w:val="Heading2"/>
      </w:pPr>
      <w:r>
        <w:t xml:space="preserve">III. CROSS-CUTTING ISSUE — INSURANCE COVERAGE GAP</w:t>
      </w:r>
    </w:p>
    <w:p>
      <w:pPr>
        <w:pStyle w:val="FirstParagraph"/>
      </w:pPr>
      <w:r>
        <w:t xml:space="preserve">A single issue cuts across the liability (Term 1) and indemnification (Term 7) proposals and must be resolved as part of the liability package:</w:t>
      </w:r>
      <w:r>
        <w:t xml:space="preserve"> </w:t>
      </w:r>
      <w:r>
        <w:rPr>
          <w:b/>
          <w:bCs/>
        </w:rPr>
        <w:t xml:space="preserve">the insurance collectability gap.</w:t>
      </w:r>
    </w:p>
    <w:p>
      <w:pPr>
        <w:pStyle w:val="Compact"/>
        <w:numPr>
          <w:ilvl w:val="0"/>
          <w:numId w:val="1004"/>
        </w:numPr>
      </w:pPr>
      <w:r>
        <w:rPr>
          <w:b/>
          <w:bCs/>
        </w:rPr>
        <w:t xml:space="preserve">Vendor’s current cyber/E&amp;O coverage:</w:t>
      </w:r>
      <w:r>
        <w:t xml:space="preserve"> </w:t>
      </w:r>
      <w:r>
        <w:t xml:space="preserve">Northfield Mutual Insurance Co., Policy NM-CY-2025-04417 — $25M per occurrence / $50M aggregate.</w:t>
      </w:r>
    </w:p>
    <w:p>
      <w:pPr>
        <w:pStyle w:val="Compact"/>
        <w:numPr>
          <w:ilvl w:val="0"/>
          <w:numId w:val="1004"/>
        </w:numPr>
      </w:pPr>
      <w:r>
        <w:rPr>
          <w:b/>
          <w:bCs/>
        </w:rPr>
        <w:t xml:space="preserve">Meridian’s requested minimum:</w:t>
      </w:r>
      <w:r>
        <w:t xml:space="preserve"> </w:t>
      </w:r>
      <w:r>
        <w:t xml:space="preserve">$30M per occurrence / $60M aggregate.</w:t>
      </w:r>
    </w:p>
    <w:p>
      <w:pPr>
        <w:pStyle w:val="Compact"/>
        <w:numPr>
          <w:ilvl w:val="0"/>
          <w:numId w:val="1004"/>
        </w:numPr>
      </w:pPr>
      <w:r>
        <w:rPr>
          <w:b/>
          <w:bCs/>
        </w:rPr>
        <w:t xml:space="preserve">Delta:</w:t>
      </w:r>
      <w:r>
        <w:t xml:space="preserve"> </w:t>
      </w:r>
      <w:r>
        <w:t xml:space="preserve">+$5M per occurrence / +$10M aggregate.</w:t>
      </w:r>
    </w:p>
    <w:p>
      <w:pPr>
        <w:pStyle w:val="Compact"/>
        <w:numPr>
          <w:ilvl w:val="0"/>
          <w:numId w:val="1004"/>
        </w:numPr>
      </w:pPr>
      <w:r>
        <w:rPr>
          <w:b/>
          <w:bCs/>
        </w:rPr>
        <w:t xml:space="preserve">Vendor posture:</w:t>
      </w:r>
      <w:r>
        <w:t xml:space="preserve"> </w:t>
      </w:r>
      <w:r>
        <w:t xml:space="preserve">evaluating a coverage increase in the 2026 renewal cycle; resists a binding contractual floor.</w:t>
      </w:r>
    </w:p>
    <w:p>
      <w:pPr>
        <w:pStyle w:val="FirstParagraph"/>
      </w:pPr>
      <w:r>
        <w:rPr>
          <w:b/>
          <w:bCs/>
        </w:rPr>
        <w:t xml:space="preserve">Why it matters.</w:t>
      </w:r>
      <w:r>
        <w:t xml:space="preserve"> </w:t>
      </w:r>
      <w:r>
        <w:t xml:space="preserve">The compromise super-cap proposed in Term 1 is 3× ACV (~$28.8M). The Vendor’s current per-occurrence limit is $25M. If a patient-safety or data-breach claim approaches the super-cap, the excess over $25M per occurrence is, at present, unbacked by insurance — a collectability problem that undermines the entire liability structure and will not satisfy the Board Risk Committee. The liability package is therefore incomplete without a binding insurance commitment.</w:t>
      </w:r>
    </w:p>
    <w:p>
      <w:pPr>
        <w:pStyle w:val="BodyText"/>
      </w:pPr>
      <w:r>
        <w:rPr>
          <w:b/>
          <w:bCs/>
        </w:rPr>
        <w:t xml:space="preserve">Recommended resolution (reflected in Term 1, Component (iv), and Term 7):</w:t>
      </w:r>
      <w:r>
        <w:t xml:space="preserve"> </w:t>
      </w:r>
      <w:r>
        <w:t xml:space="preserve">Vendor covenants to increase cyber/E&amp;O coverage to $30M per occurrence / $60M aggregate no later than the earlier of (a) the next policy renewal date or (b) March 31, 2026; provides broker written confirmation during the gap period that the increase has been requested and is reasonably expected to be obtained; and grants Meridian step-in rights (supplemental coverage at Vendor’s expense, fee escrow, or termination without penalty) if the increase is not achieved by the deadline. This is the Playbook’s approved approach to a vendor coverage shortfall and converts the Vendor’s</w:t>
      </w:r>
      <w:r>
        <w:t xml:space="preserve"> </w:t>
      </w:r>
      <w:r>
        <w:t xml:space="preserve">“</w:t>
      </w:r>
      <w:r>
        <w:t xml:space="preserve">commercially reasonable efforts</w:t>
      </w:r>
      <w:r>
        <w:t xml:space="preserve">”</w:t>
      </w:r>
      <w:r>
        <w:t xml:space="preserve"> </w:t>
      </w:r>
      <w:r>
        <w:t xml:space="preserve">posture into a binding commitment with a date-certain and remedies.</w:t>
      </w:r>
    </w:p>
    <w:p>
      <w:r>
        <w:pict>
          <v:rect style="width:0;height:1.5pt" o:hralign="center" o:hrstd="t" o:hr="t"/>
        </w:pict>
      </w:r>
    </w:p>
    <w:bookmarkEnd w:id="26"/>
    <w:bookmarkStart w:id="27" w:name="iv.-the-seven-compromise-proposals"/>
    <w:p>
      <w:pPr>
        <w:pStyle w:val="Heading2"/>
      </w:pPr>
      <w:r>
        <w:t xml:space="preserve">IV. THE SEVEN COMPROMISE PROPOSALS</w:t>
      </w:r>
    </w:p>
    <w:p>
      <w:pPr>
        <w:pStyle w:val="FirstParagraph"/>
      </w:pPr>
      <w:r>
        <w:t xml:space="preserve">The proposals are presented in Meridian’s priority order. Each is self-contained and may be advanced independently, but they are designed to function as a coherent package.</w:t>
      </w:r>
    </w:p>
    <w:p>
      <w:r>
        <w:pict>
          <v:rect style="width:0;height:1.5pt" o:hralign="center" o:hrstd="t" o:hr="t"/>
        </w:pict>
      </w:r>
    </w:p>
    <w:bookmarkEnd w:id="27"/>
    <w:bookmarkStart w:id="32" w:name="X97ca14bea2f8d3ea981d32fdbee5f23dd24a710"/>
    <w:p>
      <w:pPr>
        <w:pStyle w:val="Heading2"/>
      </w:pPr>
      <w:r>
        <w:t xml:space="preserve">TERM 1 — PATIENT-SAFETY LIABILITY / SUPER-CAP STRUCTURE</w:t>
      </w:r>
    </w:p>
    <w:p>
      <w:pPr>
        <w:pStyle w:val="FirstParagraph"/>
      </w:pPr>
      <w:r>
        <w:rPr>
          <w:b/>
          <w:bCs/>
        </w:rPr>
        <w:t xml:space="preserve">Priority: 1 (highest). Agreement Sections: §12.1–12.4; §15.1 (insurance). Related: Term 7 (Indemnification).</w:t>
      </w:r>
    </w:p>
    <w:p>
      <w:pPr>
        <w:pStyle w:val="BodyText"/>
      </w:pPr>
      <w:r>
        <w:t xml:space="preserve">This is the single most important term in the deal. The Board Risk Committee has classified AI-related liability as a Tier 1 enterprise risk; the final liability structure must be defensible in that context. Patient-safety liability must have a separate, higher cap or remain uncapped, and may never be capped below 3× ACV (~$28.8M).</w:t>
      </w:r>
    </w:p>
    <w:bookmarkStart w:id="28" w:name="i-proposed-contract-clause-language"/>
    <w:p>
      <w:pPr>
        <w:pStyle w:val="Heading3"/>
      </w:pPr>
      <w:r>
        <w:t xml:space="preserve">(i) Proposed Contract Clause Language</w:t>
      </w:r>
    </w:p>
    <w:p>
      <w:pPr>
        <w:pStyle w:val="FirstParagraph"/>
      </w:pPr>
      <w:r>
        <w:rPr>
          <w:b/>
          <w:bCs/>
        </w:rPr>
        <w:t xml:space="preserve">§12.2 General Liability Cap.</w:t>
      </w:r>
      <w:r>
        <w:t xml:space="preserve"> </w:t>
      </w:r>
      <w:r>
        <w:t xml:space="preserve">EXCEPT AS SET FORTH IN SECTION 12.3, EACH PARTY’S TOTAL CUMULATIVE LIABILITY ARISING OUT OF OR RELATED TO THIS AGREEMENT, WHETHER IN CONTRACT, TORT (INCLUDING NEGLIGENCE), STRICT LIABILITY, OR OTHERWISE, SHALL NOT EXCEED AN AMOUNT EQUAL TO ONE AND ONE-HALF TIMES (1.5×) THE TRAILING TWELVE (12)-MONTH FEES PAID OR PAYABLE BY CUSTOMER UNDER THIS AGREEMENT (THE</w:t>
      </w:r>
      <w:r>
        <w:t xml:space="preserve"> </w:t>
      </w:r>
      <w:r>
        <w:t xml:space="preserve">“</w:t>
      </w:r>
      <w:r>
        <w:t xml:space="preserve">GENERAL CAP</w:t>
      </w:r>
      <w:r>
        <w:t xml:space="preserve">”</w:t>
      </w:r>
      <w:r>
        <w:t xml:space="preserve">). AS OF THE FIRST CONTRACT YEAR, THE GENERAL CAP IS FOURTEEN MILLION FOUR HUNDRED THOUSAND DOLLARS ($14,400,000).</w:t>
      </w:r>
    </w:p>
    <w:p>
      <w:pPr>
        <w:pStyle w:val="BodyText"/>
      </w:pPr>
      <w:r>
        <w:rPr>
          <w:b/>
          <w:bCs/>
        </w:rPr>
        <w:t xml:space="preserve">§12.3 Super-Cap / Carve-Out Liability.</w:t>
      </w:r>
      <w:r>
        <w:t xml:space="preserve"> </w:t>
      </w:r>
      <w:r>
        <w:t xml:space="preserve">THE FOLLOWING CATEGORIES OF LIABILITY SHALL NOT BE SUBJECT TO THE GENERAL CAP AND SHALL INSTEAD BE SUBJECT TO A SEPARATE AGGREGATE LIABILITY CAP EQUAL TO THREE TIMES (3×) THE TRAILING TWELVE (12)-MONTH FEES PAID OR PAYABLE BY CUSTOMER (THE</w:t>
      </w:r>
      <w:r>
        <w:t xml:space="preserve"> </w:t>
      </w:r>
      <w:r>
        <w:t xml:space="preserve">“</w:t>
      </w:r>
      <w:r>
        <w:t xml:space="preserve">SUPER-CAP</w:t>
      </w:r>
      <w:r>
        <w:t xml:space="preserve">”</w:t>
      </w:r>
      <w:r>
        <w:t xml:space="preserve">). AS OF THE FIRST CONTRACT YEAR, THE SUPER-CAP IS TWENTY-EIGHT MILLION EIGHT HUNDRED THOUSAND DOLLARS ($28,800,000):</w:t>
      </w:r>
    </w:p>
    <w:p>
      <w:pPr>
        <w:pStyle w:val="BlockText"/>
        <w:numPr>
          <w:ilvl w:val="0"/>
          <w:numId w:val="1005"/>
        </w:numPr>
      </w:pPr>
      <w:r>
        <w:rPr>
          <w:b/>
          <w:bCs/>
        </w:rPr>
        <w:t xml:space="preserve">Patient-Safety Liability</w:t>
      </w:r>
      <w:r>
        <w:t xml:space="preserve"> </w:t>
      </w:r>
      <w:r>
        <w:t xml:space="preserve">(as defined in Section 1.22) — any liability arising from bodily injury, clinical misdiagnosis, treatment error, or other patient harm attributable to Outputs, recommendations, alerts, or clinical decision-support results generated by the Platform;</w:t>
      </w:r>
    </w:p>
    <w:p>
      <w:pPr>
        <w:pStyle w:val="BlockText"/>
        <w:numPr>
          <w:ilvl w:val="0"/>
          <w:numId w:val="1005"/>
        </w:numPr>
      </w:pPr>
      <w:r>
        <w:rPr>
          <w:b/>
          <w:bCs/>
        </w:rPr>
        <w:t xml:space="preserve">PHI / Data-Breach Liability</w:t>
      </w:r>
      <w:r>
        <w:t xml:space="preserve"> </w:t>
      </w:r>
      <w:r>
        <w:t xml:space="preserve">— any liability arising from a breach of either Party’s obligations under the Business Associate Agreement (Exhibit F), including any unauthorized access to, use of, or disclosure of Protected Health Information;</w:t>
      </w:r>
    </w:p>
    <w:p>
      <w:pPr>
        <w:pStyle w:val="BlockText"/>
        <w:numPr>
          <w:ilvl w:val="0"/>
          <w:numId w:val="1005"/>
        </w:numPr>
      </w:pPr>
      <w:r>
        <w:rPr>
          <w:b/>
          <w:bCs/>
        </w:rPr>
        <w:t xml:space="preserve">Vendor’s IP Indemnification Obligations</w:t>
      </w:r>
      <w:r>
        <w:t xml:space="preserve"> </w:t>
      </w:r>
      <w:r>
        <w:t xml:space="preserve">under Section 13.1(a); and</w:t>
      </w:r>
    </w:p>
    <w:p>
      <w:pPr>
        <w:pStyle w:val="BlockText"/>
        <w:numPr>
          <w:ilvl w:val="0"/>
          <w:numId w:val="1005"/>
        </w:numPr>
      </w:pPr>
      <w:r>
        <w:rPr>
          <w:b/>
          <w:bCs/>
        </w:rPr>
        <w:t xml:space="preserve">Regulatory-Penalty Liability</w:t>
      </w:r>
      <w:r>
        <w:t xml:space="preserve"> </w:t>
      </w:r>
      <w:r>
        <w:t xml:space="preserve">— any liability for civil penalties, fines, or enforcement costs arising from Vendor’s breach of its documentation, audit, or regulatory-cooperation obligations under Article 10 or Section 5.7, including penalties assessed under the New Jersey AI in Healthcare Transparency Act.</w:t>
      </w:r>
    </w:p>
    <w:p>
      <w:pPr>
        <w:pStyle w:val="FirstParagraph"/>
      </w:pPr>
      <w:r>
        <w:rPr>
          <w:b/>
          <w:bCs/>
        </w:rPr>
        <w:t xml:space="preserve">§12.4 Uncapped Liabilities.</w:t>
      </w:r>
      <w:r>
        <w:t xml:space="preserve"> </w:t>
      </w:r>
      <w:r>
        <w:t xml:space="preserve">THE FOLLOWING SHALL NOT BE SUBJECT TO THE GENERAL CAP, THE SUPER-CAP, OR ANY OTHER CAP OR LIMITATION:</w:t>
      </w:r>
    </w:p>
    <w:p>
      <w:pPr>
        <w:pStyle w:val="BlockText"/>
        <w:numPr>
          <w:ilvl w:val="0"/>
          <w:numId w:val="1006"/>
        </w:numPr>
      </w:pPr>
      <w:r>
        <w:t xml:space="preserve">Either Party’s liability arising from willful misconduct, gross negligence, or fraud;</w:t>
      </w:r>
    </w:p>
    <w:p>
      <w:pPr>
        <w:pStyle w:val="BlockText"/>
        <w:numPr>
          <w:ilvl w:val="0"/>
          <w:numId w:val="1006"/>
        </w:numPr>
      </w:pPr>
      <w:r>
        <w:t xml:space="preserve">Either Party’s breach of Article 11 (Confidentiality); and</w:t>
      </w:r>
    </w:p>
    <w:p>
      <w:pPr>
        <w:pStyle w:val="BlockText"/>
        <w:numPr>
          <w:ilvl w:val="0"/>
          <w:numId w:val="1006"/>
        </w:numPr>
      </w:pPr>
      <w:r>
        <w:t xml:space="preserve">Customer’s obligation to pay all Fees due under this Agreement.</w:t>
      </w:r>
    </w:p>
    <w:p>
      <w:pPr>
        <w:pStyle w:val="FirstParagraph"/>
      </w:pPr>
      <w:r>
        <w:rPr>
          <w:b/>
          <w:bCs/>
        </w:rPr>
        <w:t xml:space="preserve">§15.1(c) Cyber/E&amp;O Insurance (binding increase).</w:t>
      </w:r>
      <w:r>
        <w:t xml:space="preserve"> </w:t>
      </w:r>
      <w:r>
        <w:t xml:space="preserve">Cyber Liability and Technology Errors &amp; Omissions Insurance in an amount not less than Thirty Million Dollars ($30,000,000) per occurrence and Sixty Million Dollars ($60,000,000) in the aggregate (current policy: Northfield Mutual Insurance Co., Policy No. NM-CY-2025-04417, $25M/$50M). Vendor covenants to increase such coverage to the foregoing minimums no later than the earlier of (i) the next renewal date of such policy or (ii) March 31, 2026. During the period prior to such increase, Vendor shall provide Customer with written confirmation from its broker that the coverage increase has been requested and is reasonably expected to be obtained. If Vendor has not obtained the required coverage by such date, Customer may, at its election and upon written notice, (x) procure supplemental coverage at Vendor’s expense, (y) withhold up to ten percent (10%) of each quarterly invoice in escrow until the coverage requirement is met, or (z) terminate this Agreement for convenience without payment of any early termination fee.</w:t>
      </w:r>
    </w:p>
    <w:bookmarkEnd w:id="28"/>
    <w:bookmarkStart w:id="29" w:name="X564b454f2d54d5a1f277582dde4a9f4f486d2b8"/>
    <w:p>
      <w:pPr>
        <w:pStyle w:val="Heading3"/>
      </w:pPr>
      <w:r>
        <w:t xml:space="preserve">(ii) Negotiation Rationale and Fallback Ladder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General Cap</w:t>
            </w:r>
          </w:p>
        </w:tc>
        <w:tc>
          <w:tcPr/>
          <w:p>
            <w:pPr>
              <w:pStyle w:val="Compact"/>
              <w:jc w:val="left"/>
            </w:pPr>
            <w:r>
              <w:t xml:space="preserve">Patient-Safety Super-Cap</w:t>
            </w:r>
          </w:p>
        </w:tc>
        <w:tc>
          <w:tcPr/>
          <w:p>
            <w:pPr>
              <w:pStyle w:val="Compact"/>
              <w:jc w:val="left"/>
            </w:pPr>
            <w:r>
              <w:t xml:space="preserve">Other Carve-Outs</w:t>
            </w:r>
          </w:p>
        </w:tc>
        <w:tc>
          <w:tcPr/>
          <w:p>
            <w:pPr>
              <w:pStyle w:val="Compact"/>
              <w:jc w:val="left"/>
            </w:pPr>
            <w:r>
              <w:t xml:space="preserve">Status</w:t>
            </w:r>
          </w:p>
        </w:tc>
      </w:tr>
      <w:tr>
        <w:tc>
          <w:tcPr/>
          <w:p>
            <w:pPr>
              <w:pStyle w:val="Compact"/>
              <w:jc w:val="left"/>
            </w:pPr>
            <w:r>
              <w:t xml:space="preserve">Vendor opening (June 6)</w:t>
            </w:r>
          </w:p>
        </w:tc>
        <w:tc>
          <w:tcPr/>
          <w:p>
            <w:pPr>
              <w:pStyle w:val="Compact"/>
              <w:jc w:val="left"/>
            </w:pPr>
            <w:r>
              <w:t xml:space="preserve">1× ACV (~$9.6M)</w:t>
            </w:r>
          </w:p>
        </w:tc>
        <w:tc>
          <w:tcPr/>
          <w:p>
            <w:pPr>
              <w:pStyle w:val="Compact"/>
              <w:jc w:val="left"/>
            </w:pPr>
            <w:r>
              <w:t xml:space="preserve">2× ACV (~$19.2M); IP + willful misconduct only</w:t>
            </w:r>
          </w:p>
        </w:tc>
        <w:tc>
          <w:tcPr/>
          <w:p>
            <w:pPr>
              <w:pStyle w:val="Compact"/>
              <w:jc w:val="left"/>
            </w:pPr>
            <w:r>
              <w:t xml:space="preserve">Patient-safety &amp; HIPAA excluded</w:t>
            </w:r>
          </w:p>
        </w:tc>
        <w:tc>
          <w:tcPr/>
          <w:p>
            <w:pPr>
              <w:pStyle w:val="Compact"/>
              <w:jc w:val="left"/>
            </w:pPr>
            <w:r>
              <w:t xml:space="preserve">Rejected</w:t>
            </w:r>
          </w:p>
        </w:tc>
      </w:tr>
      <w:tr>
        <w:tc>
          <w:tcPr/>
          <w:p>
            <w:pPr>
              <w:pStyle w:val="Compact"/>
              <w:jc w:val="left"/>
            </w:pPr>
            <w:r>
              <w:t xml:space="preserve">Customer opening (June 20)</w:t>
            </w:r>
          </w:p>
        </w:tc>
        <w:tc>
          <w:tcPr/>
          <w:p>
            <w:pPr>
              <w:pStyle w:val="Compact"/>
              <w:jc w:val="left"/>
            </w:pPr>
            <w:r>
              <w:t xml:space="preserve">2× ACV (~$19.2M)</w:t>
            </w:r>
          </w:p>
        </w:tc>
        <w:tc>
          <w:tcPr/>
          <w:p>
            <w:pPr>
              <w:pStyle w:val="Compact"/>
              <w:jc w:val="left"/>
            </w:pPr>
            <w:r>
              <w:t xml:space="preserve">Uncapped</w:t>
            </w:r>
          </w:p>
        </w:tc>
        <w:tc>
          <w:tcPr/>
          <w:p>
            <w:pPr>
              <w:pStyle w:val="Compact"/>
              <w:jc w:val="left"/>
            </w:pPr>
            <w:r>
              <w:t xml:space="preserve">Uncapped</w:t>
            </w:r>
          </w:p>
        </w:tc>
        <w:tc>
          <w:tcPr/>
          <w:p>
            <w:pPr>
              <w:pStyle w:val="Compact"/>
              <w:jc w:val="left"/>
            </w:pPr>
            <w:r>
              <w:t xml:space="preserve">Opening</w:t>
            </w:r>
          </w:p>
        </w:tc>
      </w:tr>
      <w:tr>
        <w:tc>
          <w:tcPr/>
          <w:p>
            <w:pPr>
              <w:pStyle w:val="Compact"/>
              <w:jc w:val="left"/>
            </w:pPr>
            <w:r>
              <w:t xml:space="preserve">Vendor counter (June 30)</w:t>
            </w:r>
          </w:p>
        </w:tc>
        <w:tc>
          <w:tcPr/>
          <w:p>
            <w:pPr>
              <w:pStyle w:val="Compact"/>
              <w:jc w:val="left"/>
            </w:pPr>
            <w:r>
              <w:t xml:space="preserve">1.5× ACV (~$14.4M)</w:t>
            </w:r>
          </w:p>
        </w:tc>
        <w:tc>
          <w:tcPr/>
          <w:p>
            <w:pPr>
              <w:pStyle w:val="Compact"/>
              <w:jc w:val="left"/>
            </w:pPr>
            <w:r>
              <w:t xml:space="preserve">3× ACV (~$28.8M); IP + willful misconduct only</w:t>
            </w:r>
          </w:p>
        </w:tc>
        <w:tc>
          <w:tcPr/>
          <w:p>
            <w:pPr>
              <w:pStyle w:val="Compact"/>
              <w:jc w:val="left"/>
            </w:pPr>
            <w:r>
              <w:t xml:space="preserve">Patient-safety &amp; HIPAA excluded</w:t>
            </w:r>
          </w:p>
        </w:tc>
        <w:tc>
          <w:tcPr/>
          <w:p>
            <w:pPr>
              <w:pStyle w:val="Compact"/>
              <w:jc w:val="left"/>
            </w:pPr>
            <w:r>
              <w:t xml:space="preserve">Non-starter on scope</w:t>
            </w:r>
          </w:p>
        </w:tc>
      </w:tr>
      <w:tr>
        <w:tc>
          <w:tcPr/>
          <w:p>
            <w:pPr>
              <w:pStyle w:val="Compact"/>
              <w:jc w:val="left"/>
            </w:pPr>
            <w:r>
              <w:rPr>
                <w:b/>
                <w:bCs/>
              </w:rPr>
              <w:t xml:space="preserve">Compromise proposal</w:t>
            </w:r>
          </w:p>
        </w:tc>
        <w:tc>
          <w:tcPr/>
          <w:p>
            <w:pPr>
              <w:pStyle w:val="Compact"/>
              <w:jc w:val="left"/>
            </w:pPr>
            <w:r>
              <w:rPr>
                <w:b/>
                <w:bCs/>
              </w:rPr>
              <w:t xml:space="preserve">1.5× ACV (~$14.4M)</w:t>
            </w:r>
          </w:p>
        </w:tc>
        <w:tc>
          <w:tcPr/>
          <w:p>
            <w:pPr>
              <w:pStyle w:val="Compact"/>
              <w:jc w:val="left"/>
            </w:pPr>
            <w:r>
              <w:rPr>
                <w:b/>
                <w:bCs/>
              </w:rPr>
              <w:t xml:space="preserve">3× ACV (~$28.8M), included</w:t>
            </w:r>
          </w:p>
        </w:tc>
        <w:tc>
          <w:tcPr/>
          <w:p>
            <w:pPr>
              <w:pStyle w:val="Compact"/>
              <w:jc w:val="left"/>
            </w:pPr>
            <w:r>
              <w:rPr>
                <w:b/>
                <w:bCs/>
              </w:rPr>
              <w:t xml:space="preserve">3× ACV super-cap (PHI, IP, regulatory); willful misconduct uncapped</w:t>
            </w:r>
          </w:p>
        </w:tc>
        <w:tc>
          <w:tcPr/>
          <w:p>
            <w:pPr>
              <w:pStyle w:val="Compact"/>
              <w:jc w:val="left"/>
            </w:pPr>
            <w:r>
              <w:rPr>
                <w:b/>
                <w:bCs/>
              </w:rPr>
              <w:t xml:space="preserve">Recommended landing zone</w:t>
            </w:r>
          </w:p>
        </w:tc>
      </w:tr>
      <w:tr>
        <w:tc>
          <w:tcPr/>
          <w:p>
            <w:pPr>
              <w:pStyle w:val="Compact"/>
              <w:jc w:val="left"/>
            </w:pPr>
            <w:r>
              <w:t xml:space="preserve">Fallback (if Vendor refuses patient-safety at 3×)</w:t>
            </w:r>
          </w:p>
        </w:tc>
        <w:tc>
          <w:tcPr/>
          <w:p>
            <w:pPr>
              <w:pStyle w:val="Compact"/>
              <w:jc w:val="left"/>
            </w:pPr>
            <w:r>
              <w:t xml:space="preserve">1.5× ACV (~$14.4M)</w:t>
            </w:r>
          </w:p>
        </w:tc>
        <w:tc>
          <w:tcPr/>
          <w:p>
            <w:pPr>
              <w:pStyle w:val="Compact"/>
              <w:jc w:val="left"/>
            </w:pPr>
            <w:r>
              <w:t xml:space="preserve">4× ACV (~$38.4M), all carve-outs</w:t>
            </w:r>
          </w:p>
        </w:tc>
        <w:tc>
          <w:tcPr/>
          <w:p>
            <w:pPr>
              <w:pStyle w:val="Compact"/>
              <w:jc w:val="left"/>
            </w:pPr>
            <w:r>
              <w:t xml:space="preserve">4× ACV super-cap</w:t>
            </w:r>
          </w:p>
        </w:tc>
        <w:tc>
          <w:tcPr/>
          <w:p>
            <w:pPr>
              <w:pStyle w:val="Compact"/>
              <w:jc w:val="left"/>
            </w:pPr>
            <w:r>
              <w:t xml:space="preserve">Playbook second fallback</w:t>
            </w:r>
          </w:p>
        </w:tc>
      </w:tr>
      <w:tr>
        <w:tc>
          <w:tcPr/>
          <w:p>
            <w:pPr>
              <w:pStyle w:val="Compact"/>
              <w:jc w:val="left"/>
            </w:pPr>
            <w:r>
              <w:t xml:space="preserve">Absolute floor</w:t>
            </w:r>
          </w:p>
        </w:tc>
        <w:tc>
          <w:tcPr/>
          <w:p>
            <w:pPr>
              <w:pStyle w:val="Compact"/>
              <w:jc w:val="left"/>
            </w:pPr>
            <w:r>
              <w:t xml:space="preserve">Never below 1.5× ACV</w:t>
            </w:r>
          </w:p>
        </w:tc>
        <w:tc>
          <w:tcPr/>
          <w:p>
            <w:pPr>
              <w:pStyle w:val="Compact"/>
              <w:jc w:val="left"/>
            </w:pPr>
            <w:r>
              <w:t xml:space="preserve">Never below 3× ACV</w:t>
            </w:r>
          </w:p>
        </w:tc>
        <w:tc>
          <w:tcPr/>
          <w:p>
            <w:pPr>
              <w:pStyle w:val="Compact"/>
              <w:jc w:val="left"/>
            </w:pPr>
            <w:r>
              <w:t xml:space="preserve">Escalate to GC + Board</w:t>
            </w:r>
          </w:p>
        </w:tc>
        <w:tc>
          <w:tcPr/>
          <w:p>
            <w:pPr>
              <w:pStyle w:val="Compact"/>
              <w:jc w:val="left"/>
            </w:pPr>
            <w:r>
              <w:t xml:space="preserve">Non-negotiable</w:t>
            </w:r>
          </w:p>
        </w:tc>
      </w:tr>
    </w:tbl>
    <w:p>
      <w:pPr>
        <w:pStyle w:val="BodyText"/>
      </w:pPr>
      <w:r>
        <w:rPr>
          <w:b/>
          <w:bCs/>
        </w:rPr>
        <w:t xml:space="preserve">Rationale.</w:t>
      </w:r>
      <w:r>
        <w:t xml:space="preserve"> </w:t>
      </w:r>
      <w:r>
        <w:t xml:space="preserve">The compromise accepts the Vendor’s counter on the</w:t>
      </w:r>
      <w:r>
        <w:t xml:space="preserve"> </w:t>
      </w:r>
      <w:r>
        <w:rPr>
          <w:b/>
          <w:bCs/>
        </w:rPr>
        <w:t xml:space="preserve">dollar amounts</w:t>
      </w:r>
      <w:r>
        <w:t xml:space="preserve"> </w:t>
      </w:r>
      <w:r>
        <w:t xml:space="preserve">(1.5× general cap; 3× super-cap) — both of which the comparable-deal intelligence confirms Cognitive Foundry has agreed to elsewhere — while holding firm on</w:t>
      </w:r>
      <w:r>
        <w:t xml:space="preserve"> </w:t>
      </w:r>
      <w:r>
        <w:rPr>
          <w:b/>
          <w:bCs/>
        </w:rPr>
        <w:t xml:space="preserve">scope</w:t>
      </w:r>
      <w:r>
        <w:t xml:space="preserve">: patient-safety and PHI/data-breach liability must be inside the super-cap, not left at the general cap. The Vendor’s June 30 counter is a non-starter precisely because it excludes patient-safety and HIPAA from the super-cap, which would leave patient-safety liability capped at the general cap of 1.5× ACV (~$14.4M) — below Meridian’s absolute floor of 3× ACV. The compromise cures that defect by moving patient-safety and PHI into the 3× super-cap at the same dollar figure the Vendor already proposed.</w:t>
      </w:r>
    </w:p>
    <w:p>
      <w:pPr>
        <w:pStyle w:val="BodyText"/>
      </w:pPr>
      <w:r>
        <w:t xml:space="preserve">The structure is deliberately clean: a single 3× super-cap covering the four highest-severity categories, with willful misconduct/gross negligence and confidentiality breaches remaining uncapped (industry-standard positions the Vendor is unlikely to contest). This gives the Board Risk Committee a defensible, easily explained liability architecture and gives the Vendor a single, familiar super-cap number it has already accepted in a comparable deal.</w:t>
      </w:r>
    </w:p>
    <w:p>
      <w:pPr>
        <w:pStyle w:val="BodyText"/>
      </w:pPr>
      <w:r>
        <w:rPr>
          <w:b/>
          <w:bCs/>
        </w:rPr>
        <w:t xml:space="preserve">Why concede the general cap to 1.5× ACV.</w:t>
      </w:r>
      <w:r>
        <w:t xml:space="preserve"> </w:t>
      </w:r>
      <w:r>
        <w:t xml:space="preserve">The Vendor’s 1.5× counter lands exactly at Meridian’s Playbook floor, and the comparable-deal intelligence confirms it is achievable. Accepting it here converts the general cap into a bargaining chip: Meridian concedes on the general cap (a commercial-claims bucket) in exchange for the Vendor’s agreement to include patient-safety and PHI in the 3× super-cap (the Tier 1 risk bucket). This is the correct trade under the priority ranking — we give on a lower-severity dollar figure to hold the line on the highest-severity scope.</w:t>
      </w:r>
    </w:p>
    <w:p>
      <w:pPr>
        <w:pStyle w:val="BodyText"/>
      </w:pPr>
      <w:r>
        <w:rPr>
          <w:b/>
          <w:bCs/>
        </w:rPr>
        <w:t xml:space="preserve">Fallback if the Vendor refuses to include patient-safety at 3× ACV.</w:t>
      </w:r>
      <w:r>
        <w:t xml:space="preserve"> </w:t>
      </w:r>
      <w:r>
        <w:t xml:space="preserve">Move to the Playbook second fallback: 1.5× general cap with a 4× ACV super-cap (~$38.4M) across all carve-out categories. This preserves the absolute floor (patient-safety never below 3× ACV) while giving the Vendor a higher aggregate ceiling in exchange for scope inclusion. If the Vendor refuses both, the matter must be escalated to Dr. Narayanan and, if unresolved, to the Board Risk Committee before Meridian may proceed — patient-safety below 3× ACV is not within the deal team’s authority to accept.</w:t>
      </w:r>
    </w:p>
    <w:bookmarkEnd w:id="29"/>
    <w:bookmarkStart w:id="30" w:name="X66d9188594eb70e6247baf273a3c505cc7228b9"/>
    <w:p>
      <w:pPr>
        <w:pStyle w:val="Heading3"/>
      </w:pPr>
      <w:r>
        <w:t xml:space="preserve">(iii) Acceptability Analysis for the Vendor Team</w:t>
      </w:r>
    </w:p>
    <w:p>
      <w:pPr>
        <w:pStyle w:val="FirstParagraph"/>
      </w:pPr>
      <w:r>
        <w:rPr>
          <w:b/>
          <w:bCs/>
        </w:rPr>
        <w:t xml:space="preserve">Sandra Hu (commercial flexibility / precedent).</w:t>
      </w:r>
      <w:r>
        <w:t xml:space="preserve"> </w:t>
      </w:r>
      <w:r>
        <w:t xml:space="preserve">Hu’s likely objection is that a patient-safety-inclusive super-cap exceeds Cognitive Foundry’s</w:t>
      </w:r>
      <w:r>
        <w:t xml:space="preserve"> </w:t>
      </w:r>
      <w:r>
        <w:t xml:space="preserve">“</w:t>
      </w:r>
      <w:r>
        <w:t xml:space="preserve">standard</w:t>
      </w:r>
      <w:r>
        <w:t xml:space="preserve">”</w:t>
      </w:r>
      <w:r>
        <w:t xml:space="preserve"> </w:t>
      </w:r>
      <w:r>
        <w:t xml:space="preserve">and creates precedent risk across its 40+ enterprise deployments. The response: (a) the dollar figures (1.5× general; 3× super-cap) are exactly what Cognitive Foundry proposed on June 30 and what it accepted in a comparable deal — there is no dollar precedent break; (b) the only change is</w:t>
      </w:r>
      <w:r>
        <w:t xml:space="preserve"> </w:t>
      </w:r>
      <w:r>
        <w:rPr>
          <w:b/>
          <w:bCs/>
        </w:rPr>
        <w:t xml:space="preserve">scope</w:t>
      </w:r>
      <w:r>
        <w:t xml:space="preserve"> </w:t>
      </w:r>
      <w:r>
        <w:t xml:space="preserve">(adding patient-safety and PHI to a 3× super-cap the Vendor already offered for IP and willful misconduct), which is a modest, defensible expansion, not a new dollar exposure; (c) the super-cap remains capped (not uncapped), preserving the Vendor’s board- and insurer-mandated prohibition on uncapped liability; and (d) Meridian is simultaneously conceding the general cap to the Vendor’s own counter and offering meaningful data-usage flexibility (Term 4) — this is a package, not an a la carte demand. Framing the patient-safety inclusion as a scope adjustment to the Vendor’s own 3× number, rather than a new ask, is the key to neutralizing the precedent objection.</w:t>
      </w:r>
    </w:p>
    <w:p>
      <w:pPr>
        <w:pStyle w:val="BodyText"/>
      </w:pPr>
      <w:r>
        <w:rPr>
          <w:b/>
          <w:bCs/>
        </w:rPr>
        <w:t xml:space="preserve">Rafael Bowen (liability exposure / IP).</w:t>
      </w:r>
      <w:r>
        <w:t xml:space="preserve"> </w:t>
      </w:r>
      <w:r>
        <w:t xml:space="preserve">Bowen’s likely objection is that patient-safety and PHI exposure at 3× ACV (~$28.8M) is unquantifiable and threatens collectability and insurability. The response: (a) the 3× figure is capped and finite, consistent with the Vendor’s own insurers’ requirements; (b) the binding insurance increase to $30M/$60M (Term 1, §15.1(c)) directly addresses collectability — the super-cap will be backed by adequate per-occurrence and aggregate coverage; (c) willful misconduct and gross negligence remain the only uncapped categories, which is standard; and (d) the indemnification proposal (Term 7) pairs this cap with a shared-defense structure that allocates AI-output claims to the Vendor and clinician-override claims to Meridian, so the Vendor is not absorbing all patient-harm exposure unallocated. The insurance commitment is the linchpin: it converts Bowen’s collectability concern into a solvable, date-certain obligation.</w:t>
      </w:r>
    </w:p>
    <w:bookmarkEnd w:id="30"/>
    <w:bookmarkStart w:id="31" w:name="iv-regulatory-and-compliance-constraints"/>
    <w:p>
      <w:pPr>
        <w:pStyle w:val="Heading3"/>
      </w:pPr>
      <w:r>
        <w:t xml:space="preserve">(iv) Regulatory and Compliance Constraints</w:t>
      </w:r>
    </w:p>
    <w:p>
      <w:pPr>
        <w:pStyle w:val="Compact"/>
        <w:numPr>
          <w:ilvl w:val="0"/>
          <w:numId w:val="1007"/>
        </w:numPr>
      </w:pPr>
      <w:r>
        <w:rPr>
          <w:b/>
          <w:bCs/>
        </w:rPr>
        <w:t xml:space="preserve">HIPAA / HITECH.</w:t>
      </w:r>
      <w:r>
        <w:t xml:space="preserve"> </w:t>
      </w:r>
      <w:r>
        <w:t xml:space="preserve">The BAA (Exhibit F, executed June 2, 2025) governs PHI obligations. Carving PHI/data-breach liability into the super-cap (rather than the general cap) is consistent with the BAA’s breach-notification and safeguarding framework and with the Playbook’s treatment of PHI breaches as a highest-severity category. The 24-hour breach-notification standard (Meridian’s BAA position) is unaffected.</w:t>
      </w:r>
    </w:p>
    <w:p>
      <w:pPr>
        <w:pStyle w:val="Compact"/>
        <w:numPr>
          <w:ilvl w:val="0"/>
          <w:numId w:val="1007"/>
        </w:numPr>
      </w:pPr>
      <w:r>
        <w:rPr>
          <w:b/>
          <w:bCs/>
        </w:rPr>
        <w:t xml:space="preserve">NJ AI in Healthcare Transparency Act.</w:t>
      </w:r>
      <w:r>
        <w:t xml:space="preserve"> </w:t>
      </w:r>
      <w:r>
        <w:t xml:space="preserve">Civil penalties up to $50,000 per violation, with each day of a continuing violation constituting a separate violation, are assessed against Meridian as the covered entity — not against Cognitive Foundry. Where penalties arise from the Vendor’s breach of its documentation, audit, or cooperation obligations, Meridian’s only recourse is contractual. The compromise therefore places regulatory-penalty liability (to the extent attributable to Vendor non-compliance) inside the 3× super-cap, consistent with the Whitfield Ames compliance brief’s recommendation that regulatory-penalty indemnification be carved out from the general cap or subject to a separate, higher cap.</w:t>
      </w:r>
    </w:p>
    <w:p>
      <w:pPr>
        <w:pStyle w:val="Compact"/>
        <w:numPr>
          <w:ilvl w:val="0"/>
          <w:numId w:val="1007"/>
        </w:numPr>
      </w:pPr>
      <w:r>
        <w:rPr>
          <w:b/>
          <w:bCs/>
        </w:rPr>
        <w:t xml:space="preserve">FDA clinical decision-support guidance.</w:t>
      </w:r>
      <w:r>
        <w:t xml:space="preserve"> </w:t>
      </w:r>
      <w:r>
        <w:t xml:space="preserve">The ClinIQ™ modules (sepsis, radiology triage, medication interaction) may be subject to FDA oversight depending on the 21st Century Cures Act § 3060 four-part exemption analysis. The radiology module’s interaction with medical imaging raises a particular question under the first exemption criterion. Patient-safety liability flowing from AI outputs is the precise risk the FDA framework is designed to address; a patient-safety super-cap at 3× ACV is the minimum structure consistent with responsible deployment of a clinical decision-support tool that directly influences ~2.1 million annual encounters.</w:t>
      </w:r>
    </w:p>
    <w:p>
      <w:pPr>
        <w:pStyle w:val="Compact"/>
        <w:numPr>
          <w:ilvl w:val="0"/>
          <w:numId w:val="1007"/>
        </w:numPr>
      </w:pPr>
      <w:r>
        <w:rPr>
          <w:b/>
          <w:bCs/>
        </w:rPr>
        <w:t xml:space="preserve">Board Risk Committee (Tier 1).</w:t>
      </w:r>
      <w:r>
        <w:t xml:space="preserve"> </w:t>
      </w:r>
      <w:r>
        <w:t xml:space="preserve">The Tier 1 enterprise-risk designation requires a pre-execution briefing on the liability structure. The compromise (1.5× general / 3× super-cap including patient-safety / uncapped willful misconduct / binding insurance increase) is designed to be defensible to the Board: it meets every absolute floor in the Playbook, is backed by adequate insurance, and is consistent with market practice the Vendor has accepted elsewhere.</w:t>
      </w:r>
    </w:p>
    <w:p>
      <w:r>
        <w:pict>
          <v:rect style="width:0;height:1.5pt" o:hralign="center" o:hrstd="t" o:hr="t"/>
        </w:pict>
      </w:r>
    </w:p>
    <w:bookmarkEnd w:id="31"/>
    <w:bookmarkEnd w:id="32"/>
    <w:bookmarkStart w:id="37" w:name="Xb0a4f8c5a3bdb9d7f191d9d93d6435483286cc3"/>
    <w:p>
      <w:pPr>
        <w:pStyle w:val="Heading2"/>
      </w:pPr>
      <w:r>
        <w:t xml:space="preserve">TERM 2 — AUDIT RIGHTS / AI MODEL TRANSPARENCY</w:t>
      </w:r>
    </w:p>
    <w:p>
      <w:pPr>
        <w:pStyle w:val="FirstParagraph"/>
      </w:pPr>
      <w:r>
        <w:rPr>
          <w:b/>
          <w:bCs/>
        </w:rPr>
        <w:t xml:space="preserve">Priority: 2. Agreement Sections: §10.1–10.4; Exhibit H (Independent Auditor Engagement Terms). Related: NJ Act.</w:t>
      </w:r>
    </w:p>
    <w:p>
      <w:pPr>
        <w:pStyle w:val="BodyText"/>
      </w:pPr>
      <w:r>
        <w:t xml:space="preserve">Meaningful audit rights over AI model behavior are both a regulatory mandate (the NJ Act requires an independent annual audit for Meridian’s three New Jersey facilities) and a core risk-management function. Summary reports alone are insufficient. The Langford AI Assurance Group tiered framework is the compromise architecture.</w:t>
      </w:r>
    </w:p>
    <w:bookmarkStart w:id="33" w:name="i-proposed-contract-clause-language-1"/>
    <w:p>
      <w:pPr>
        <w:pStyle w:val="Heading3"/>
      </w:pPr>
      <w:r>
        <w:t xml:space="preserve">(i) Proposed Contract Clause Language</w:t>
      </w:r>
    </w:p>
    <w:p>
      <w:pPr>
        <w:pStyle w:val="FirstParagraph"/>
      </w:pPr>
      <w:r>
        <w:rPr>
          <w:b/>
          <w:bCs/>
        </w:rPr>
        <w:t xml:space="preserve">§10.1 Transparency Documentation (affirmative, non-discretionary).</w:t>
      </w:r>
      <w:r>
        <w:t xml:space="preserve"> </w:t>
      </w:r>
      <w:r>
        <w:t xml:space="preserve">Vendor shall provide Customer, on an initial basis (within thirty (30) days following the Go-Live Date) and on an ongoing basis (updated within thirty (30) days following any material change to the Platform, including model updates, retraining, or changes to training data), with the following transparency documentation for each ClinIQ™ module: (a) training data sources, provenance, demographic composition, and representativeness analysis; (b) validation methodology, including validation datasets, performance metrics, and statistical methods; (c) known limitations, failure modes, edge cases, and population subgroups for which performance may be degraded; and (d) bias-testing results across race, ethnicity, sex, age, socioeconomic status, language, and disability status. This right is affirmative and non-discretionary and is necessary for Customer’s compliance with the NJ Act and applicable FDA guidance.</w:t>
      </w:r>
    </w:p>
    <w:p>
      <w:pPr>
        <w:pStyle w:val="BodyText"/>
      </w:pPr>
      <w:r>
        <w:rPr>
          <w:b/>
          <w:bCs/>
        </w:rPr>
        <w:t xml:space="preserve">§10.3 Independent Audit Rights (tiered).</w:t>
      </w:r>
    </w:p>
    <w:p>
      <w:pPr>
        <w:pStyle w:val="BlockText"/>
        <w:numPr>
          <w:ilvl w:val="0"/>
          <w:numId w:val="1008"/>
        </w:numPr>
      </w:pPr>
      <w:r>
        <w:rPr>
          <w:b/>
          <w:bCs/>
        </w:rPr>
        <w:t xml:space="preserve">Annual Audit (Tier 2).</w:t>
      </w:r>
      <w:r>
        <w:t xml:space="preserve"> </w:t>
      </w:r>
      <w:r>
        <w:t xml:space="preserve">Customer shall have the right, at Customer’s expense, to engage the Independent Auditor — initially Langford AI Assurance Group, LLC, under the direction of Dr. Anil Cherian — to conduct one (1) annual audit of the Platform’s AI/ML models. Vendor shall cooperate with each such audit and shall provide the Independent Auditor with Tier 2 access within twenty (20) business days of Customer’s written audit request, consisting of: (i) model architecture documentation (network topology, layer specifications, activation functions); (ii) training data provenance records; (iii) validation and test datasets and results, including performance metrics by subpopulation; (iv) the ability to submit test queries to the Platform in a controlled, sandboxed environment; (v) bias and fairness testing results and methodologies; and (vi) change logs and version history for model updates deployed during the audit period. Tier 2 access does not require disclosure of raw model weights or proprietary source code.</w:t>
      </w:r>
    </w:p>
    <w:p>
      <w:pPr>
        <w:pStyle w:val="BlockText"/>
        <w:numPr>
          <w:ilvl w:val="0"/>
          <w:numId w:val="1008"/>
        </w:numPr>
      </w:pPr>
      <w:r>
        <w:rPr>
          <w:b/>
          <w:bCs/>
        </w:rPr>
        <w:t xml:space="preserve">For-Cause Audit (Tier 3).</w:t>
      </w:r>
      <w:r>
        <w:t xml:space="preserve"> </w:t>
      </w:r>
      <w:r>
        <w:t xml:space="preserve">Notwithstanding the annual cadence, Customer may request an additional audit at any time upon the occurrence of any of the following triggers: (i) a documented patient-safety event at any Covered Facility potentially attributable, in whole or in part, to a Platform Output; (ii) a formal regulatory inquiry or investigation by the New Jersey Department of Health, the FDA, or other governmental authority concerning the Platform; (iii) two (2) or more consecutive quarterly misses of a Performance Benchmark under Section 9.3; or (iv) mutual written agreement of the Parties. A for-cause audit shall be conducted at Tier 3 access: model weights and embeddings shall be made available for review solely within a Vendor-controlled secure enclave environment, with no data extraction, copying, photographing, or removal of model weights, embeddings, or source code from the secure environment permitted.</w:t>
      </w:r>
    </w:p>
    <w:p>
      <w:pPr>
        <w:pStyle w:val="BlockText"/>
        <w:numPr>
          <w:ilvl w:val="0"/>
          <w:numId w:val="1008"/>
        </w:numPr>
      </w:pPr>
      <w:r>
        <w:rPr>
          <w:b/>
          <w:bCs/>
        </w:rPr>
        <w:t xml:space="preserve">Auditor Qualifications and Confidentiality.</w:t>
      </w:r>
      <w:r>
        <w:t xml:space="preserve"> </w:t>
      </w:r>
      <w:r>
        <w:t xml:space="preserve">The Independent Auditor shall (i) possess recognized expertise in healthcare AI/ML auditing; (ii) execute a confidentiality agreement with Vendor, in a form reasonably acceptable to Vendor, prior to commencing any audit; (iii) conduct all Tier 3 reviews solely within Vendor’s designated secure enclave; (iv) not extract, copy, or remove any Vendor Confidential Information from the secure environment; and (v) destroy all working papers containing Vendor Confidential Information within thirty (30) days of delivering the audit report and certify such destruction in writing to Vendor within five (5) business days.</w:t>
      </w:r>
    </w:p>
    <w:p>
      <w:pPr>
        <w:pStyle w:val="BlockText"/>
        <w:numPr>
          <w:ilvl w:val="0"/>
          <w:numId w:val="1008"/>
        </w:numPr>
      </w:pPr>
      <w:r>
        <w:rPr>
          <w:b/>
          <w:bCs/>
        </w:rPr>
        <w:t xml:space="preserve">Audit Reports.</w:t>
      </w:r>
      <w:r>
        <w:t xml:space="preserve"> </w:t>
      </w:r>
      <w:r>
        <w:t xml:space="preserve">The Independent Auditor shall deliver a written audit report to both Parties. Vendor shall provide a written response and remediation plan within thirty (30) days of receipt of any audit report identifying material findings. Audit reports shall be maintained by Customer in a form suitable for production to the New Jersey Department of Health upon request.</w:t>
      </w:r>
    </w:p>
    <w:p>
      <w:pPr>
        <w:pStyle w:val="BlockText"/>
        <w:numPr>
          <w:ilvl w:val="0"/>
          <w:numId w:val="1008"/>
        </w:numPr>
      </w:pPr>
      <w:r>
        <w:rPr>
          <w:b/>
          <w:bCs/>
        </w:rPr>
        <w:t xml:space="preserve">Regulatory Cooperation.</w:t>
      </w:r>
      <w:r>
        <w:t xml:space="preserve"> </w:t>
      </w:r>
      <w:r>
        <w:t xml:space="preserve">Vendor shall cooperate fully with Customer and the Independent Auditor in responding to any inquiry or investigation by the New Jersey Department of Health or other governmental authority under the NJ Act or comparable law, including making personnel available, producing documentation within statutory timeframes (not to exceed fifteen (15) business days), and providing technical assistance. Vendor shall not seek protective orders or confidential treatment that would prevent Customer from satisfying its regulatory obligations, except with Customer’s prior written consent.</w:t>
      </w:r>
    </w:p>
    <w:p>
      <w:pPr>
        <w:pStyle w:val="BlockText"/>
        <w:numPr>
          <w:ilvl w:val="0"/>
          <w:numId w:val="1008"/>
        </w:numPr>
      </w:pPr>
      <w:r>
        <w:rPr>
          <w:b/>
          <w:bCs/>
        </w:rPr>
        <w:t xml:space="preserve">Substitute Auditors.</w:t>
      </w:r>
      <w:r>
        <w:t xml:space="preserve"> </w:t>
      </w:r>
      <w:r>
        <w:t xml:space="preserve">If Langford is unable or unwilling to serve, Customer may propose an alternative Independent Auditor, subject to Vendor’s reasonable approval (not to be unreasonably withheld, conditioned, or delayed), to be agreed within thirty (30) days.</w:t>
      </w:r>
    </w:p>
    <w:p>
      <w:pPr>
        <w:pStyle w:val="FirstParagraph"/>
      </w:pPr>
      <w:r>
        <w:rPr>
          <w:b/>
          <w:bCs/>
        </w:rPr>
        <w:t xml:space="preserve">§10.4 No Discretionary Limitation.</w:t>
      </w:r>
      <w:r>
        <w:t xml:space="preserve"> </w:t>
      </w:r>
      <w:r>
        <w:t xml:space="preserve">Nothing in this Article 10 shall be construed to limit Customer’s statutory rights under the NJ Act, and no term of this Agreement shall waive, limit, or condition Customer’s ability to satisfy its obligations under the NJ Act.</w:t>
      </w:r>
    </w:p>
    <w:bookmarkEnd w:id="33"/>
    <w:bookmarkStart w:id="34" w:name="X77270b1bf8f6a6f46ce436976e631c2e2c39049"/>
    <w:p>
      <w:pPr>
        <w:pStyle w:val="Heading3"/>
      </w:pPr>
      <w:r>
        <w:t xml:space="preserve">(ii) Negotiation Rationale and Fallback Ladder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Frequency</w:t>
            </w:r>
          </w:p>
        </w:tc>
        <w:tc>
          <w:tcPr/>
          <w:p>
            <w:pPr>
              <w:pStyle w:val="Compact"/>
              <w:jc w:val="left"/>
            </w:pPr>
            <w:r>
              <w:t xml:space="preserve">Access Level</w:t>
            </w:r>
          </w:p>
        </w:tc>
        <w:tc>
          <w:tcPr/>
          <w:p>
            <w:pPr>
              <w:pStyle w:val="Compact"/>
              <w:jc w:val="left"/>
            </w:pPr>
            <w:r>
              <w:t xml:space="preserve">Auditor</w:t>
            </w:r>
          </w:p>
        </w:tc>
        <w:tc>
          <w:tcPr/>
          <w:p>
            <w:pPr>
              <w:pStyle w:val="Compact"/>
              <w:jc w:val="left"/>
            </w:pPr>
            <w:r>
              <w:t xml:space="preserve">Status</w:t>
            </w:r>
          </w:p>
        </w:tc>
      </w:tr>
      <w:tr>
        <w:tc>
          <w:tcPr/>
          <w:p>
            <w:pPr>
              <w:pStyle w:val="Compact"/>
              <w:jc w:val="left"/>
            </w:pPr>
            <w:r>
              <w:t xml:space="preserve">Vendor opening (June 6)</w:t>
            </w:r>
          </w:p>
        </w:tc>
        <w:tc>
          <w:tcPr/>
          <w:p>
            <w:pPr>
              <w:pStyle w:val="Compact"/>
              <w:jc w:val="left"/>
            </w:pPr>
            <w:r>
              <w:t xml:space="preserve">Annual summary report only</w:t>
            </w:r>
          </w:p>
        </w:tc>
        <w:tc>
          <w:tcPr/>
          <w:p>
            <w:pPr>
              <w:pStyle w:val="Compact"/>
              <w:jc w:val="left"/>
            </w:pPr>
            <w:r>
              <w:t xml:space="preserve">No model internals</w:t>
            </w:r>
          </w:p>
        </w:tc>
        <w:tc>
          <w:tcPr/>
          <w:p>
            <w:pPr>
              <w:pStyle w:val="Compact"/>
              <w:jc w:val="left"/>
            </w:pPr>
            <w:r>
              <w:t xml:space="preserve">Vendor-selected</w:t>
            </w:r>
          </w:p>
        </w:tc>
        <w:tc>
          <w:tcPr/>
          <w:p>
            <w:pPr>
              <w:pStyle w:val="Compact"/>
              <w:jc w:val="left"/>
            </w:pPr>
            <w:r>
              <w:t xml:space="preserve">Rejected</w:t>
            </w:r>
          </w:p>
        </w:tc>
      </w:tr>
      <w:tr>
        <w:tc>
          <w:tcPr/>
          <w:p>
            <w:pPr>
              <w:pStyle w:val="Compact"/>
              <w:jc w:val="left"/>
            </w:pPr>
            <w:r>
              <w:t xml:space="preserve">Customer opening (June 20)</w:t>
            </w:r>
          </w:p>
        </w:tc>
        <w:tc>
          <w:tcPr/>
          <w:p>
            <w:pPr>
              <w:pStyle w:val="Compact"/>
              <w:jc w:val="left"/>
            </w:pPr>
            <w:r>
              <w:t xml:space="preserve">Quarterly</w:t>
            </w:r>
          </w:p>
        </w:tc>
        <w:tc>
          <w:tcPr/>
          <w:p>
            <w:pPr>
              <w:pStyle w:val="Compact"/>
              <w:jc w:val="left"/>
            </w:pPr>
            <w:r>
              <w:t xml:space="preserve">Full model internals + weights</w:t>
            </w:r>
          </w:p>
        </w:tc>
        <w:tc>
          <w:tcPr/>
          <w:p>
            <w:pPr>
              <w:pStyle w:val="Compact"/>
              <w:jc w:val="left"/>
            </w:pPr>
            <w:r>
              <w:t xml:space="preserve">Customer’s chosen auditor</w:t>
            </w:r>
          </w:p>
        </w:tc>
        <w:tc>
          <w:tcPr/>
          <w:p>
            <w:pPr>
              <w:pStyle w:val="Compact"/>
              <w:jc w:val="left"/>
            </w:pPr>
            <w:r>
              <w:t xml:space="preserve">Opening</w:t>
            </w:r>
          </w:p>
        </w:tc>
      </w:tr>
      <w:tr>
        <w:tc>
          <w:tcPr/>
          <w:p>
            <w:pPr>
              <w:pStyle w:val="Compact"/>
              <w:jc w:val="left"/>
            </w:pPr>
            <w:r>
              <w:t xml:space="preserve">Vendor counter (June 30)</w:t>
            </w:r>
          </w:p>
        </w:tc>
        <w:tc>
          <w:tcPr/>
          <w:p>
            <w:pPr>
              <w:pStyle w:val="Compact"/>
              <w:jc w:val="left"/>
            </w:pPr>
            <w:r>
              <w:t xml:space="preserve">Annual</w:t>
            </w:r>
          </w:p>
        </w:tc>
        <w:tc>
          <w:tcPr/>
          <w:p>
            <w:pPr>
              <w:pStyle w:val="Compact"/>
              <w:jc w:val="left"/>
            </w:pPr>
            <w:r>
              <w:t xml:space="preserve">Severely limited (no architecture, no provenance, no SHAP, no weights); Vendor may redact</w:t>
            </w:r>
          </w:p>
        </w:tc>
        <w:tc>
          <w:tcPr/>
          <w:p>
            <w:pPr>
              <w:pStyle w:val="Compact"/>
              <w:jc w:val="left"/>
            </w:pPr>
            <w:r>
              <w:t xml:space="preserve">Vendor-approved</w:t>
            </w:r>
          </w:p>
        </w:tc>
        <w:tc>
          <w:tcPr/>
          <w:p>
            <w:pPr>
              <w:pStyle w:val="Compact"/>
              <w:jc w:val="left"/>
            </w:pPr>
            <w:r>
              <w:t xml:space="preserve">Insufficient for NJ Act</w:t>
            </w:r>
          </w:p>
        </w:tc>
      </w:tr>
      <w:tr>
        <w:tc>
          <w:tcPr/>
          <w:p>
            <w:pPr>
              <w:pStyle w:val="Compact"/>
              <w:jc w:val="left"/>
            </w:pPr>
            <w:r>
              <w:rPr>
                <w:b/>
                <w:bCs/>
              </w:rPr>
              <w:t xml:space="preserve">Compromise proposal</w:t>
            </w:r>
          </w:p>
        </w:tc>
        <w:tc>
          <w:tcPr/>
          <w:p>
            <w:pPr>
              <w:pStyle w:val="Compact"/>
              <w:jc w:val="left"/>
            </w:pPr>
            <w:r>
              <w:rPr>
                <w:b/>
                <w:bCs/>
              </w:rPr>
              <w:t xml:space="preserve">Annual (Tier 2) + for-cause (Tier 3)</w:t>
            </w:r>
          </w:p>
        </w:tc>
        <w:tc>
          <w:tcPr/>
          <w:p>
            <w:pPr>
              <w:pStyle w:val="Compact"/>
              <w:jc w:val="left"/>
            </w:pPr>
            <w:r>
              <w:rPr>
                <w:b/>
                <w:bCs/>
              </w:rPr>
              <w:t xml:space="preserve">Tier 2 baseline; Tier 3 enclave for cause</w:t>
            </w:r>
          </w:p>
        </w:tc>
        <w:tc>
          <w:tcPr/>
          <w:p>
            <w:pPr>
              <w:pStyle w:val="Compact"/>
              <w:jc w:val="left"/>
            </w:pPr>
            <w:r>
              <w:rPr>
                <w:b/>
                <w:bCs/>
              </w:rPr>
              <w:t xml:space="preserve">Langford (pre-approved by both)</w:t>
            </w:r>
          </w:p>
        </w:tc>
        <w:tc>
          <w:tcPr/>
          <w:p>
            <w:pPr>
              <w:pStyle w:val="Compact"/>
              <w:jc w:val="left"/>
            </w:pPr>
            <w:r>
              <w:rPr>
                <w:b/>
                <w:bCs/>
              </w:rPr>
              <w:t xml:space="preserve">Recommended landing zone</w:t>
            </w:r>
          </w:p>
        </w:tc>
      </w:tr>
      <w:tr>
        <w:tc>
          <w:tcPr/>
          <w:p>
            <w:pPr>
              <w:pStyle w:val="Compact"/>
              <w:jc w:val="left"/>
            </w:pPr>
            <w:r>
              <w:t xml:space="preserve">Fallback</w:t>
            </w:r>
          </w:p>
        </w:tc>
        <w:tc>
          <w:tcPr/>
          <w:p>
            <w:pPr>
              <w:pStyle w:val="Compact"/>
              <w:jc w:val="left"/>
            </w:pPr>
            <w:r>
              <w:t xml:space="preserve">Annual, Tier 2 only (no Tier 3)</w:t>
            </w:r>
          </w:p>
        </w:tc>
        <w:tc>
          <w:tcPr/>
          <w:p>
            <w:pPr>
              <w:pStyle w:val="Compact"/>
              <w:jc w:val="left"/>
            </w:pPr>
            <w:r>
              <w:t xml:space="preserve">Tier 2; cause-based escalation to Governance Committee</w:t>
            </w:r>
          </w:p>
        </w:tc>
        <w:tc>
          <w:tcPr/>
          <w:p>
            <w:pPr>
              <w:pStyle w:val="Compact"/>
              <w:jc w:val="left"/>
            </w:pPr>
            <w:r>
              <w:t xml:space="preserve">Langford</w:t>
            </w:r>
          </w:p>
        </w:tc>
        <w:tc>
          <w:tcPr/>
          <w:p>
            <w:pPr>
              <w:pStyle w:val="Compact"/>
              <w:jc w:val="left"/>
            </w:pPr>
            <w:r>
              <w:t xml:space="preserve">If Vendor refuses Tier 3</w:t>
            </w:r>
          </w:p>
        </w:tc>
      </w:tr>
      <w:tr>
        <w:tc>
          <w:tcPr/>
          <w:p>
            <w:pPr>
              <w:pStyle w:val="Compact"/>
              <w:jc w:val="left"/>
            </w:pPr>
            <w:r>
              <w:t xml:space="preserve">Floor</w:t>
            </w:r>
          </w:p>
        </w:tc>
        <w:tc>
          <w:tcPr/>
          <w:p>
            <w:pPr>
              <w:pStyle w:val="Compact"/>
              <w:jc w:val="left"/>
            </w:pPr>
            <w:r>
              <w:t xml:space="preserve">Annual minimum (NJ Act)</w:t>
            </w:r>
          </w:p>
        </w:tc>
        <w:tc>
          <w:tcPr/>
          <w:p>
            <w:pPr>
              <w:pStyle w:val="Compact"/>
              <w:jc w:val="left"/>
            </w:pPr>
            <w:r>
              <w:t xml:space="preserve">Must include Tier 2 at minimum</w:t>
            </w:r>
          </w:p>
        </w:tc>
        <w:tc>
          <w:tcPr/>
          <w:p>
            <w:pPr>
              <w:pStyle w:val="Compact"/>
              <w:jc w:val="left"/>
            </w:pPr>
            <w:r>
              <w:t xml:space="preserve">Must be independent</w:t>
            </w:r>
          </w:p>
        </w:tc>
        <w:tc>
          <w:tcPr/>
          <w:p>
            <w:pPr>
              <w:pStyle w:val="Compact"/>
              <w:jc w:val="left"/>
            </w:pPr>
            <w:r>
              <w:t xml:space="preserve">Non-negotiable (statutory)</w:t>
            </w:r>
          </w:p>
        </w:tc>
      </w:tr>
    </w:tbl>
    <w:p>
      <w:pPr>
        <w:pStyle w:val="BodyText"/>
      </w:pPr>
      <w:r>
        <w:rPr>
          <w:b/>
          <w:bCs/>
        </w:rPr>
        <w:t xml:space="preserve">Rationale.</w:t>
      </w:r>
      <w:r>
        <w:t xml:space="preserve"> </w:t>
      </w:r>
      <w:r>
        <w:t xml:space="preserve">The compromise is the Playbook’s second-fallback position, selected deliberately because (a) it satisfies the NJ Act’s mandatory independent annual audit at the scope Langford has confirmed is sufficient (Tier 2), and (b) the Vendor has already signaled — through Sandra Hu’s private acknowledgment — that a qualified third-party audit is acceptable. Spending negotiating capital to push for quarterly or semi-annual audits would be inefficient when annual Tier 2 access satisfies the regulatory mandate and Meridian’s risk-management needs, and when concessions on audit frequency can be preserved for higher-priority terms.</w:t>
      </w:r>
    </w:p>
    <w:p>
      <w:pPr>
        <w:pStyle w:val="BodyText"/>
      </w:pPr>
      <w:r>
        <w:t xml:space="preserve">The Tier 3 for-cause mechanism is the critical addition over the Vendor’s June 30 counter, which stripped out architecture, provenance, and any weight access. Tier 3 is structured to neutralize the CTO’s</w:t>
      </w:r>
      <w:r>
        <w:t xml:space="preserve"> </w:t>
      </w:r>
      <w:r>
        <w:t xml:space="preserve">“</w:t>
      </w:r>
      <w:r>
        <w:t xml:space="preserve">hard no</w:t>
      </w:r>
      <w:r>
        <w:t xml:space="preserve">”</w:t>
      </w:r>
      <w:r>
        <w:t xml:space="preserve"> </w:t>
      </w:r>
      <w:r>
        <w:t xml:space="preserve">on raw model weights: it is (i) triggered only by defined cause events (patient-safety incident, regulatory inquiry, persistent benchmark failure, or mutual agreement), not routine; and (ii) enclave-only with no extraction — the Vendor’s model IP never leaves its controlled environment. This distinction (extractable access = hard no; enclave review for cause = acceptable) is the bridge that makes meaningful audit rights compatible with the Vendor’s IP concerns.</w:t>
      </w:r>
    </w:p>
    <w:p>
      <w:pPr>
        <w:pStyle w:val="BodyText"/>
      </w:pPr>
      <w:r>
        <w:rPr>
          <w:b/>
          <w:bCs/>
        </w:rPr>
        <w:t xml:space="preserve">Fallback if the Vendor refuses Tier 3.</w:t>
      </w:r>
      <w:r>
        <w:t xml:space="preserve"> </w:t>
      </w:r>
      <w:r>
        <w:t xml:space="preserve">Hold at annual Tier 2 (which still satisfies the NJ Act) and route cause-based escalations through the SLA Governance Committee with a right to escalate to Tier 3 by mutual agreement or upon a formal NJ DOH investigation. Do not surrender Tier 2 scope (architecture, provenance, validation, test queries) under any circumstances — Tier 2 is the statutory minimum and Langford’s confirmed floor for NJ Act compliance.</w:t>
      </w:r>
    </w:p>
    <w:bookmarkEnd w:id="34"/>
    <w:bookmarkStart w:id="35" w:name="X8e142e86e8108ea8afb47a9395685ae5b01aa51"/>
    <w:p>
      <w:pPr>
        <w:pStyle w:val="Heading3"/>
      </w:pPr>
      <w:r>
        <w:t xml:space="preserve">(iii) Acceptability Analysis for the Vendor Team</w:t>
      </w:r>
    </w:p>
    <w:p>
      <w:pPr>
        <w:pStyle w:val="FirstParagraph"/>
      </w:pPr>
      <w:r>
        <w:rPr>
          <w:b/>
          <w:bCs/>
        </w:rPr>
        <w:t xml:space="preserve">Sandra Hu (commercial flexibility / precedent).</w:t>
      </w:r>
      <w:r>
        <w:t xml:space="preserve"> </w:t>
      </w:r>
      <w:r>
        <w:t xml:space="preserve">Hu has already privately acknowledged that a qualified third-party audit is acceptable, conditioned on defined scope and a mutually agreed auditor. The compromise delivers both: Langford is pre-approved by both sides, the scope is defined by tier, and the annual cadence (not quarterly) minimizes operational burden. The objection to anticipate is the breadth of Tier 2 scope (architecture, provenance, test queries). The response: Tier 2 is the minimum scope Langford has identified as sufficient for NJ Act compliance, it does not require raw weight disclosure, and it is conducted under NDA with secure-environment protocols and mandatory work-product destruction. Meridian is not asking for anything the Vendor’s own comparable-deal customers have not received in substance.</w:t>
      </w:r>
    </w:p>
    <w:p>
      <w:pPr>
        <w:pStyle w:val="BodyText"/>
      </w:pPr>
      <w:r>
        <w:rPr>
          <w:b/>
          <w:bCs/>
        </w:rPr>
        <w:t xml:space="preserve">Rafael Bowen / CTO (IP protection).</w:t>
      </w:r>
      <w:r>
        <w:t xml:space="preserve"> </w:t>
      </w:r>
      <w:r>
        <w:t xml:space="preserve">The CTO’s</w:t>
      </w:r>
      <w:r>
        <w:t xml:space="preserve"> </w:t>
      </w:r>
      <w:r>
        <w:t xml:space="preserve">“</w:t>
      </w:r>
      <w:r>
        <w:t xml:space="preserve">hard no</w:t>
      </w:r>
      <w:r>
        <w:t xml:space="preserve">”</w:t>
      </w:r>
      <w:r>
        <w:t xml:space="preserve"> </w:t>
      </w:r>
      <w:r>
        <w:t xml:space="preserve">is on</w:t>
      </w:r>
      <w:r>
        <w:t xml:space="preserve"> </w:t>
      </w:r>
      <w:r>
        <w:rPr>
          <w:b/>
          <w:bCs/>
        </w:rPr>
        <w:t xml:space="preserve">extractable</w:t>
      </w:r>
      <w:r>
        <w:t xml:space="preserve"> </w:t>
      </w:r>
      <w:r>
        <w:t xml:space="preserve">access to raw model weights. The compromise honors that: Tier 2 (routine) requires no weight access at all; Tier 3 (cause-based) permits weight review only inside a Vendor-controlled secure enclave with no extraction, no copying, no network egress, and cryptographic destruction of all enclave data after the audit, with destruction certified in writing. The Vendor retains the right to monitor and log all enclave access. This is the architecture Langford designed specifically to permit the technical review a regulatory investigation may require without creating model-replication or reverse-engineering risk. Bowen should be shown the enclave protocol in detail; it is the single most important document for resolving the audit impasse.</w:t>
      </w:r>
    </w:p>
    <w:bookmarkEnd w:id="35"/>
    <w:bookmarkStart w:id="36" w:name="X8efd96b41f269817bd44c3ba6306a79c76112b5"/>
    <w:p>
      <w:pPr>
        <w:pStyle w:val="Heading3"/>
      </w:pPr>
      <w:r>
        <w:t xml:space="preserve">(iv) Regulatory and Compliance Constraints</w:t>
      </w:r>
    </w:p>
    <w:p>
      <w:pPr>
        <w:pStyle w:val="Compact"/>
        <w:numPr>
          <w:ilvl w:val="0"/>
          <w:numId w:val="1009"/>
        </w:numPr>
      </w:pPr>
      <w:r>
        <w:rPr>
          <w:b/>
          <w:bCs/>
        </w:rPr>
        <w:t xml:space="preserve">NJ AI in Healthcare Transparency Act (statutory mandate).</w:t>
      </w:r>
      <w:r>
        <w:t xml:space="preserve"> </w:t>
      </w:r>
      <w:r>
        <w:t xml:space="preserve">The Act requires an independent annual audit of each covered AI system deployed in clinical decision-making at Meridian’s three New Jersey facilities (Meridian Atlantic Medical Center, Meridian South Jersey Regional Hospital, Meridian Princeton Medical Center), with audit reports available to the NJ DOH upon request (production within 15 business days) and civil penalties up to $50,000 per violation per day. The Act’s anti-waiver provision (§ 7(b)) prohibits contractual terms that restrict Meridian’s audit or documentation access below the level required for compliance. The Vendor’s June 30 counter — which conditions model-level audit access on Vendor consent and excludes architecture, provenance, and test queries — is, as a matter of New Jersey law, insufficient to enable Meridian’s compliance and is unenforceable to the extent it conflicts with the Act. The compromise must be presented to the Vendor as a</w:t>
      </w:r>
      <w:r>
        <w:t xml:space="preserve"> </w:t>
      </w:r>
      <w:r>
        <w:rPr>
          <w:b/>
          <w:bCs/>
        </w:rPr>
        <w:t xml:space="preserve">legal compliance baseline</w:t>
      </w:r>
      <w:r>
        <w:t xml:space="preserve">, not a preferred commercial position. The first mandatory audit must be completed by January 6, 2027 (12 months after go-live); audit fieldwork should commence no later than Q4 2026.</w:t>
      </w:r>
    </w:p>
    <w:p>
      <w:pPr>
        <w:pStyle w:val="Compact"/>
        <w:numPr>
          <w:ilvl w:val="0"/>
          <w:numId w:val="1009"/>
        </w:numPr>
      </w:pPr>
      <w:r>
        <w:rPr>
          <w:b/>
          <w:bCs/>
        </w:rPr>
        <w:t xml:space="preserve">HIPAA.</w:t>
      </w:r>
      <w:r>
        <w:t xml:space="preserve"> </w:t>
      </w:r>
      <w:r>
        <w:t xml:space="preserve">Audit access must be conducted in a manner consistent with the BAA; the Langford NDA and secure-environment protocols satisfy PHI-protection requirements. De-identified validation datasets used in testing must meet Safe Harbor or Expert Determination standards (45 C.F.R. § 164.514(b)).</w:t>
      </w:r>
    </w:p>
    <w:p>
      <w:pPr>
        <w:pStyle w:val="Compact"/>
        <w:numPr>
          <w:ilvl w:val="0"/>
          <w:numId w:val="1009"/>
        </w:numPr>
      </w:pPr>
      <w:r>
        <w:rPr>
          <w:b/>
          <w:bCs/>
        </w:rPr>
        <w:t xml:space="preserve">FDA clinical decision-support guidance.</w:t>
      </w:r>
      <w:r>
        <w:t xml:space="preserve"> </w:t>
      </w:r>
      <w:r>
        <w:t xml:space="preserve">The audit framework must accommodate evolving FDA requirements. The radiology module’s potential device-status question (Cures Act § 3060, first criterion) makes independent validation of imaging-module performance especially important. The change-of-law provision (Playbook § 10.4) should be incorporated so that audit scope can expand to meet new FDA requirements without amendment.</w:t>
      </w:r>
    </w:p>
    <w:p>
      <w:pPr>
        <w:pStyle w:val="Compact"/>
        <w:numPr>
          <w:ilvl w:val="0"/>
          <w:numId w:val="1009"/>
        </w:numPr>
      </w:pPr>
      <w:r>
        <w:rPr>
          <w:b/>
          <w:bCs/>
        </w:rPr>
        <w:t xml:space="preserve">Enterprise-wide application.</w:t>
      </w:r>
      <w:r>
        <w:t xml:space="preserve"> </w:t>
      </w:r>
      <w:r>
        <w:t xml:space="preserve">While the NJ Act applies to three facilities, Whitfield Ames recommends applying the audit framework uniformly across all 14 Covered Facilities to avoid dual-framework operational complexity and to position Meridian for anticipated comparable legislation in Delaware (H.B. 412) and Pennsylvania. The clause language is drafted to apply enterprise-wide.</w:t>
      </w:r>
    </w:p>
    <w:p>
      <w:r>
        <w:pict>
          <v:rect style="width:0;height:1.5pt" o:hralign="center" o:hrstd="t" o:hr="t"/>
        </w:pict>
      </w:r>
    </w:p>
    <w:bookmarkEnd w:id="36"/>
    <w:bookmarkEnd w:id="37"/>
    <w:bookmarkStart w:id="42" w:name="X5d318744aeb5da4d78522317c75fbdb48fe8412"/>
    <w:p>
      <w:pPr>
        <w:pStyle w:val="Heading2"/>
      </w:pPr>
      <w:r>
        <w:t xml:space="preserve">TERM 3 — TERMINATION FOR CONVENIENCE / ETF / TRANSITION</w:t>
      </w:r>
    </w:p>
    <w:p>
      <w:pPr>
        <w:pStyle w:val="FirstParagraph"/>
      </w:pPr>
      <w:r>
        <w:rPr>
          <w:b/>
          <w:bCs/>
        </w:rPr>
        <w:t xml:space="preserve">Priority: 3. Agreement Sections: §14.3–14.6; §2.5 (portability). Related: Term 6 (IP portability).</w:t>
      </w:r>
    </w:p>
    <w:p>
      <w:pPr>
        <w:pStyle w:val="BodyText"/>
      </w:pPr>
      <w:r>
        <w:t xml:space="preserve">Meridian must retain the right to terminate for convenience without an early termination fee that makes exit economically prohibitive. The graduated ETF structure identified through CFO intelligence is the compromise architecture, paired with robust transition and data-export obligations.</w:t>
      </w:r>
    </w:p>
    <w:bookmarkStart w:id="38" w:name="i-proposed-contract-clause-language-2"/>
    <w:p>
      <w:pPr>
        <w:pStyle w:val="Heading3"/>
      </w:pPr>
      <w:r>
        <w:t xml:space="preserve">(i) Proposed Contract Clause Language</w:t>
      </w:r>
    </w:p>
    <w:p>
      <w:pPr>
        <w:pStyle w:val="FirstParagraph"/>
      </w:pPr>
      <w:r>
        <w:rPr>
          <w:b/>
          <w:bCs/>
        </w:rPr>
        <w:t xml:space="preserve">§14.3 Termination for Convenience.</w:t>
      </w:r>
    </w:p>
    <w:p>
      <w:pPr>
        <w:pStyle w:val="BlockText"/>
        <w:numPr>
          <w:ilvl w:val="0"/>
          <w:numId w:val="1010"/>
        </w:numPr>
      </w:pPr>
      <w:r>
        <w:rPr>
          <w:b/>
          <w:bCs/>
        </w:rPr>
        <w:t xml:space="preserve">Customer Termination for Convenience.</w:t>
      </w:r>
      <w:r>
        <w:t xml:space="preserve"> </w:t>
      </w:r>
      <w:r>
        <w:t xml:space="preserve">Customer may terminate this Agreement for convenience at any time upon one hundred fifty (150) days’ prior written notice to Vendor, subject to the graduated Early Termination Fee set forth in subsection (b).</w:t>
      </w:r>
    </w:p>
    <w:p>
      <w:pPr>
        <w:pStyle w:val="BlockText"/>
        <w:numPr>
          <w:ilvl w:val="0"/>
          <w:numId w:val="1010"/>
        </w:numPr>
      </w:pPr>
      <w:r>
        <w:rPr>
          <w:b/>
          <w:bCs/>
        </w:rPr>
        <w:t xml:space="preserve">Graduated Early Termination Fee.</w:t>
      </w:r>
      <w:r>
        <w:t xml:space="preserve"> </w:t>
      </w:r>
      <w:r>
        <w:t xml:space="preserve">If Customer terminates for convenience during the Initial Term, Customer shall pay an Early Termination Fee (</w:t>
      </w:r>
      <w:r>
        <w:t xml:space="preserve">“</w:t>
      </w:r>
      <w:r>
        <w:t xml:space="preserve">ETF</w:t>
      </w:r>
      <w:r>
        <w:t xml:space="preserve">”</w:t>
      </w:r>
      <w:r>
        <w:t xml:space="preserve">) calculated as a percentage of the remaining unpaid Annual Recurring Fees that would have been payable over the balance of the then-current Initial Term, as follows: (i)</w:t>
      </w:r>
      <w:r>
        <w:t xml:space="preserve"> </w:t>
      </w:r>
      <w:r>
        <w:rPr>
          <w:b/>
          <w:bCs/>
        </w:rPr>
        <w:t xml:space="preserve">50%</w:t>
      </w:r>
      <w:r>
        <w:t xml:space="preserve"> </w:t>
      </w:r>
      <w:r>
        <w:t xml:space="preserve">if the effective date of termination occurs during Contract Year 1; (ii)</w:t>
      </w:r>
      <w:r>
        <w:t xml:space="preserve"> </w:t>
      </w:r>
      <w:r>
        <w:rPr>
          <w:b/>
          <w:bCs/>
        </w:rPr>
        <w:t xml:space="preserve">25%</w:t>
      </w:r>
      <w:r>
        <w:t xml:space="preserve"> </w:t>
      </w:r>
      <w:r>
        <w:t xml:space="preserve">if the effective date of termination occurs during Contract Year 2; and (iii)</w:t>
      </w:r>
      <w:r>
        <w:t xml:space="preserve"> </w:t>
      </w:r>
      <w:r>
        <w:rPr>
          <w:b/>
          <w:bCs/>
        </w:rPr>
        <w:t xml:space="preserve">0%</w:t>
      </w:r>
      <w:r>
        <w:t xml:space="preserve"> </w:t>
      </w:r>
      <w:r>
        <w:t xml:space="preserve">(no ETF) if the effective date of termination occurs during Contract Year 3 or Contract Year 4. The ETF is payable within thirty (30) days of the effective date of termination. For the avoidance of doubt, no ETF is payable upon termination for cause under Section 14.1, termination for Vendor breach, or expiration of the Initial Term.</w:t>
      </w:r>
    </w:p>
    <w:p>
      <w:pPr>
        <w:pStyle w:val="BlockText"/>
        <w:numPr>
          <w:ilvl w:val="0"/>
          <w:numId w:val="1010"/>
        </w:numPr>
      </w:pPr>
      <w:r>
        <w:rPr>
          <w:b/>
          <w:bCs/>
        </w:rPr>
        <w:t xml:space="preserve">No Vendor Termination for Convenience.</w:t>
      </w:r>
      <w:r>
        <w:t xml:space="preserve"> </w:t>
      </w:r>
      <w:r>
        <w:t xml:space="preserve">Vendor shall not have the right to terminate this Agreement for convenience during the Initial Term or any Renewal Term.</w:t>
      </w:r>
    </w:p>
    <w:p>
      <w:pPr>
        <w:pStyle w:val="FirstParagraph"/>
      </w:pPr>
      <w:r>
        <w:rPr>
          <w:b/>
          <w:bCs/>
        </w:rPr>
        <w:t xml:space="preserve">§14.5 Transition Assistance.</w:t>
      </w:r>
      <w:r>
        <w:t xml:space="preserve"> </w:t>
      </w:r>
      <w:r>
        <w:t xml:space="preserve">Upon expiration or termination of this Agreement for any reason, Vendor shall provide transition assistance services for a period of up to eighteen (18) months (the</w:t>
      </w:r>
      <w:r>
        <w:t xml:space="preserve"> </w:t>
      </w:r>
      <w:r>
        <w:t xml:space="preserve">“</w:t>
      </w:r>
      <w:r>
        <w:t xml:space="preserve">Transition Period</w:t>
      </w:r>
      <w:r>
        <w:t xml:space="preserve">”</w:t>
      </w:r>
      <w:r>
        <w:t xml:space="preserve">), at Vendor’s verified direct costs plus a five percent (5%) administrative markup (excluding overhead allocations, profit margins beyond the 5% markup, and costs Vendor would incur regardless of the transition). Customer shall not be required to pay the Annual Recurring Fee during any portion of the Transition Period following the effective date of termination. Transition assistance shall include: (i) continued operation of the Platform during the Transition Period; (ii) full cooperation in migrating Customer Data to a successor platform; (iii) export of all Customer Data in FHIR R4 and HL7 v2 interoperable formats; (iv) maintained API access for Customer’s integration systems (MeridianConnect, Philips PACS, BD Pyxis) throughout the Transition Period; (v) knowledge transfer sessions (minimum eight (8) sessions of four (4) hours each); and (vi) reasonable assistance validating the successor platform’s integration. During the Transition Period, Vendor’s obligations under Articles 5, 9, 10, 12, and 13 remain in full force and effect.</w:t>
      </w:r>
    </w:p>
    <w:p>
      <w:pPr>
        <w:pStyle w:val="BodyText"/>
      </w:pPr>
      <w:r>
        <w:rPr>
          <w:b/>
          <w:bCs/>
        </w:rPr>
        <w:t xml:space="preserve">§14.6 Data Return and Destruction.</w:t>
      </w:r>
      <w:r>
        <w:t xml:space="preserve"> </w:t>
      </w:r>
      <w:r>
        <w:t xml:space="preserve">Within forty-five (45) calendar days following the effective date of termination or expiration (or the end of the Transition Period, if applicable), Vendor shall, at Customer’s written election: (a)</w:t>
      </w:r>
      <w:r>
        <w:t xml:space="preserve"> </w:t>
      </w:r>
      <w:r>
        <w:rPr>
          <w:b/>
          <w:bCs/>
        </w:rPr>
        <w:t xml:space="preserve">Return</w:t>
      </w:r>
      <w:r>
        <w:t xml:space="preserve"> </w:t>
      </w:r>
      <w:r>
        <w:t xml:space="preserve">all Customer Data in FHIR R4, HL7 v2, and such other interoperable formats as Customer may reasonably specify; or (b)</w:t>
      </w:r>
      <w:r>
        <w:t xml:space="preserve"> </w:t>
      </w:r>
      <w:r>
        <w:rPr>
          <w:b/>
          <w:bCs/>
        </w:rPr>
        <w:t xml:space="preserve">Destroy</w:t>
      </w:r>
      <w:r>
        <w:t xml:space="preserve"> </w:t>
      </w:r>
      <w:r>
        <w:t xml:space="preserve">all Customer Data and certify destruction in writing, executed by an officer of Vendor, in accordance with NIST SP 800-88. During the period between the effective date of termination and completion of data return, all Customer Data shall remain encrypted and access-restricted, with no Vendor personnel access except as necessary to complete the data return process. Vendor shall not withhold, degrade, or condition data return or API access on payment of any disputed fee; provided that Customer has paid all undisputed amounts then due.</w:t>
      </w:r>
    </w:p>
    <w:bookmarkEnd w:id="38"/>
    <w:bookmarkStart w:id="39" w:name="X612ded793f4c8a0bc8ff4c634abc7df9aef00d5"/>
    <w:p>
      <w:pPr>
        <w:pStyle w:val="Heading3"/>
      </w:pPr>
      <w:r>
        <w:t xml:space="preserve">(ii) Negotiation Rationale and Fallback Ladder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Step</w:t>
            </w:r>
          </w:p>
        </w:tc>
        <w:tc>
          <w:tcPr/>
          <w:p>
            <w:pPr>
              <w:pStyle w:val="Compact"/>
              <w:jc w:val="left"/>
            </w:pPr>
            <w:r>
              <w:t xml:space="preserve">Notice</w:t>
            </w:r>
          </w:p>
        </w:tc>
        <w:tc>
          <w:tcPr/>
          <w:p>
            <w:pPr>
              <w:pStyle w:val="Compact"/>
              <w:jc w:val="left"/>
            </w:pPr>
            <w:r>
              <w:t xml:space="preserve">ETF</w:t>
            </w:r>
          </w:p>
        </w:tc>
        <w:tc>
          <w:tcPr/>
          <w:p>
            <w:pPr>
              <w:pStyle w:val="Compact"/>
              <w:jc w:val="left"/>
            </w:pPr>
            <w:r>
              <w:t xml:space="preserve">Transition</w:t>
            </w:r>
          </w:p>
        </w:tc>
        <w:tc>
          <w:tcPr/>
          <w:p>
            <w:pPr>
              <w:pStyle w:val="Compact"/>
              <w:jc w:val="left"/>
            </w:pPr>
            <w:r>
              <w:t xml:space="preserve">Data Return</w:t>
            </w:r>
          </w:p>
        </w:tc>
        <w:tc>
          <w:tcPr/>
          <w:p>
            <w:pPr>
              <w:pStyle w:val="Compact"/>
              <w:jc w:val="left"/>
            </w:pPr>
            <w:r>
              <w:t xml:space="preserve">Status</w:t>
            </w:r>
          </w:p>
        </w:tc>
      </w:tr>
      <w:tr>
        <w:tc>
          <w:tcPr/>
          <w:p>
            <w:pPr>
              <w:pStyle w:val="Compact"/>
              <w:jc w:val="left"/>
            </w:pPr>
            <w:r>
              <w:t xml:space="preserve">Vendor opening (June 6)</w:t>
            </w:r>
          </w:p>
        </w:tc>
        <w:tc>
          <w:tcPr/>
          <w:p>
            <w:pPr>
              <w:pStyle w:val="Compact"/>
              <w:jc w:val="left"/>
            </w:pPr>
            <w:r>
              <w:t xml:space="preserve">No convenience term</w:t>
            </w:r>
          </w:p>
        </w:tc>
        <w:tc>
          <w:tcPr/>
          <w:p>
            <w:pPr>
              <w:pStyle w:val="Compact"/>
              <w:jc w:val="left"/>
            </w:pPr>
            <w:r>
              <w:t xml:space="preserve">75% of remaining (standard)</w:t>
            </w:r>
          </w:p>
        </w:tc>
        <w:tc>
          <w:tcPr/>
          <w:p>
            <w:pPr>
              <w:pStyle w:val="Compact"/>
              <w:jc w:val="left"/>
            </w:pPr>
            <w:r>
              <w:t xml:space="preserve">12 months, standard rates + 15%</w:t>
            </w:r>
          </w:p>
        </w:tc>
        <w:tc>
          <w:tcPr/>
          <w:p>
            <w:pPr>
              <w:pStyle w:val="Compact"/>
              <w:jc w:val="left"/>
            </w:pPr>
            <w:r>
              <w:t xml:space="preserve">60 days</w:t>
            </w:r>
          </w:p>
        </w:tc>
        <w:tc>
          <w:tcPr/>
          <w:p>
            <w:pPr>
              <w:pStyle w:val="Compact"/>
              <w:jc w:val="left"/>
            </w:pPr>
            <w:r>
              <w:t xml:space="preserve">Rejected</w:t>
            </w:r>
          </w:p>
        </w:tc>
      </w:tr>
      <w:tr>
        <w:tc>
          <w:tcPr/>
          <w:p>
            <w:pPr>
              <w:pStyle w:val="Compact"/>
              <w:jc w:val="left"/>
            </w:pPr>
            <w:r>
              <w:t xml:space="preserve">Customer opening (June 20)</w:t>
            </w:r>
          </w:p>
        </w:tc>
        <w:tc>
          <w:tcPr/>
          <w:p>
            <w:pPr>
              <w:pStyle w:val="Compact"/>
              <w:jc w:val="left"/>
            </w:pPr>
            <w:r>
              <w:t xml:space="preserve">120 days</w:t>
            </w:r>
          </w:p>
        </w:tc>
        <w:tc>
          <w:tcPr/>
          <w:p>
            <w:pPr>
              <w:pStyle w:val="Compact"/>
              <w:jc w:val="left"/>
            </w:pPr>
            <w:r>
              <w:t xml:space="preserve">None</w:t>
            </w:r>
          </w:p>
        </w:tc>
        <w:tc>
          <w:tcPr/>
          <w:p>
            <w:pPr>
              <w:pStyle w:val="Compact"/>
              <w:jc w:val="left"/>
            </w:pPr>
            <w:r>
              <w:t xml:space="preserve">18 months, at-cost</w:t>
            </w:r>
          </w:p>
        </w:tc>
        <w:tc>
          <w:tcPr/>
          <w:p>
            <w:pPr>
              <w:pStyle w:val="Compact"/>
              <w:jc w:val="left"/>
            </w:pPr>
            <w:r>
              <w:t xml:space="preserve">30 days, FHIR R4 + HL7 v2</w:t>
            </w:r>
          </w:p>
        </w:tc>
        <w:tc>
          <w:tcPr/>
          <w:p>
            <w:pPr>
              <w:pStyle w:val="Compact"/>
              <w:jc w:val="left"/>
            </w:pPr>
            <w:r>
              <w:t xml:space="preserve">Opening</w:t>
            </w:r>
          </w:p>
        </w:tc>
      </w:tr>
      <w:tr>
        <w:tc>
          <w:tcPr/>
          <w:p>
            <w:pPr>
              <w:pStyle w:val="Compact"/>
              <w:jc w:val="left"/>
            </w:pPr>
            <w:r>
              <w:t xml:space="preserve">Vendor counter (June 30)</w:t>
            </w:r>
          </w:p>
        </w:tc>
        <w:tc>
          <w:tcPr/>
          <w:p>
            <w:pPr>
              <w:pStyle w:val="Compact"/>
              <w:jc w:val="left"/>
            </w:pPr>
            <w:r>
              <w:t xml:space="preserve">180 days</w:t>
            </w:r>
          </w:p>
        </w:tc>
        <w:tc>
          <w:tcPr/>
          <w:p>
            <w:pPr>
              <w:pStyle w:val="Compact"/>
              <w:jc w:val="left"/>
            </w:pPr>
            <w:r>
              <w:t xml:space="preserve">50% flat</w:t>
            </w:r>
          </w:p>
        </w:tc>
        <w:tc>
          <w:tcPr/>
          <w:p>
            <w:pPr>
              <w:pStyle w:val="Compact"/>
              <w:jc w:val="left"/>
            </w:pPr>
            <w:r>
              <w:t xml:space="preserve">12 months, standard + 10%</w:t>
            </w:r>
          </w:p>
        </w:tc>
        <w:tc>
          <w:tcPr/>
          <w:p>
            <w:pPr>
              <w:pStyle w:val="Compact"/>
              <w:jc w:val="left"/>
            </w:pPr>
            <w:r>
              <w:t xml:space="preserve">60 days</w:t>
            </w:r>
          </w:p>
        </w:tc>
        <w:tc>
          <w:tcPr/>
          <w:p>
            <w:pPr>
              <w:pStyle w:val="Compact"/>
              <w:jc w:val="left"/>
            </w:pPr>
            <w:r>
              <w:t xml:space="preserve">Opening</w:t>
            </w:r>
          </w:p>
        </w:tc>
      </w:tr>
      <w:tr>
        <w:tc>
          <w:tcPr/>
          <w:p>
            <w:pPr>
              <w:pStyle w:val="Compact"/>
              <w:jc w:val="left"/>
            </w:pPr>
            <w:r>
              <w:rPr>
                <w:b/>
                <w:bCs/>
              </w:rPr>
              <w:t xml:space="preserve">Compromise proposal</w:t>
            </w:r>
          </w:p>
        </w:tc>
        <w:tc>
          <w:tcPr/>
          <w:p>
            <w:pPr>
              <w:pStyle w:val="Compact"/>
              <w:jc w:val="left"/>
            </w:pPr>
            <w:r>
              <w:rPr>
                <w:b/>
                <w:bCs/>
              </w:rPr>
              <w:t xml:space="preserve">150 days</w:t>
            </w:r>
          </w:p>
        </w:tc>
        <w:tc>
          <w:tcPr/>
          <w:p>
            <w:pPr>
              <w:pStyle w:val="Compact"/>
              <w:jc w:val="left"/>
            </w:pPr>
            <w:r>
              <w:rPr>
                <w:b/>
                <w:bCs/>
              </w:rPr>
              <w:t xml:space="preserve">Graduated 50% / 25% / 0%</w:t>
            </w:r>
          </w:p>
        </w:tc>
        <w:tc>
          <w:tcPr/>
          <w:p>
            <w:pPr>
              <w:pStyle w:val="Compact"/>
              <w:jc w:val="left"/>
            </w:pPr>
            <w:r>
              <w:rPr>
                <w:b/>
                <w:bCs/>
              </w:rPr>
              <w:t xml:space="preserve">18 months, cost + 5%</w:t>
            </w:r>
          </w:p>
        </w:tc>
        <w:tc>
          <w:tcPr/>
          <w:p>
            <w:pPr>
              <w:pStyle w:val="Compact"/>
              <w:jc w:val="left"/>
            </w:pPr>
            <w:r>
              <w:rPr>
                <w:b/>
                <w:bCs/>
              </w:rPr>
              <w:t xml:space="preserve">45 days, FHIR R4 + HL7 v2</w:t>
            </w:r>
          </w:p>
        </w:tc>
        <w:tc>
          <w:tcPr/>
          <w:p>
            <w:pPr>
              <w:pStyle w:val="Compact"/>
              <w:jc w:val="left"/>
            </w:pPr>
            <w:r>
              <w:rPr>
                <w:b/>
                <w:bCs/>
              </w:rPr>
              <w:t xml:space="preserve">Recommended landing zone</w:t>
            </w:r>
          </w:p>
        </w:tc>
      </w:tr>
      <w:tr>
        <w:tc>
          <w:tcPr/>
          <w:p>
            <w:pPr>
              <w:pStyle w:val="Compact"/>
              <w:jc w:val="left"/>
            </w:pPr>
            <w:r>
              <w:t xml:space="preserve">Fallback (no ETF)</w:t>
            </w:r>
          </w:p>
        </w:tc>
        <w:tc>
          <w:tcPr/>
          <w:p>
            <w:pPr>
              <w:pStyle w:val="Compact"/>
              <w:jc w:val="left"/>
            </w:pPr>
            <w:r>
              <w:t xml:space="preserve">150 days</w:t>
            </w:r>
          </w:p>
        </w:tc>
        <w:tc>
          <w:tcPr/>
          <w:p>
            <w:pPr>
              <w:pStyle w:val="Compact"/>
              <w:jc w:val="left"/>
            </w:pPr>
            <w:r>
              <w:t xml:space="preserve">None</w:t>
            </w:r>
          </w:p>
        </w:tc>
        <w:tc>
          <w:tcPr/>
          <w:p>
            <w:pPr>
              <w:pStyle w:val="Compact"/>
              <w:jc w:val="left"/>
            </w:pPr>
            <w:r>
              <w:t xml:space="preserve">18 months, cost + 5%</w:t>
            </w:r>
          </w:p>
        </w:tc>
        <w:tc>
          <w:tcPr/>
          <w:p>
            <w:pPr>
              <w:pStyle w:val="Compact"/>
              <w:jc w:val="left"/>
            </w:pPr>
            <w:r>
              <w:t xml:space="preserve">30–45 days, FHIR + HL7</w:t>
            </w:r>
          </w:p>
        </w:tc>
        <w:tc>
          <w:tcPr/>
          <w:p>
            <w:pPr>
              <w:pStyle w:val="Compact"/>
              <w:jc w:val="left"/>
            </w:pPr>
            <w:r>
              <w:t xml:space="preserve">Playbook fallback (requires GC)</w:t>
            </w:r>
          </w:p>
        </w:tc>
      </w:tr>
      <w:tr>
        <w:tc>
          <w:tcPr/>
          <w:p>
            <w:pPr>
              <w:pStyle w:val="Compact"/>
              <w:jc w:val="left"/>
            </w:pPr>
            <w:r>
              <w:t xml:space="preserve">Floor</w:t>
            </w:r>
          </w:p>
        </w:tc>
        <w:tc>
          <w:tcPr/>
          <w:p>
            <w:pPr>
              <w:pStyle w:val="Compact"/>
              <w:jc w:val="left"/>
            </w:pPr>
            <w:r>
              <w:t xml:space="preserve">—</w:t>
            </w:r>
          </w:p>
        </w:tc>
        <w:tc>
          <w:tcPr/>
          <w:p>
            <w:pPr>
              <w:pStyle w:val="Compact"/>
              <w:jc w:val="left"/>
            </w:pPr>
            <w:r>
              <w:t xml:space="preserve">Not economically prohibitive</w:t>
            </w:r>
          </w:p>
        </w:tc>
        <w:tc>
          <w:tcPr/>
          <w:p>
            <w:pPr>
              <w:pStyle w:val="Compact"/>
              <w:jc w:val="left"/>
            </w:pPr>
            <w:r>
              <w:t xml:space="preserve">Minimum 12 months</w:t>
            </w:r>
          </w:p>
        </w:tc>
        <w:tc>
          <w:tcPr/>
          <w:p>
            <w:pPr>
              <w:pStyle w:val="Compact"/>
              <w:jc w:val="left"/>
            </w:pPr>
            <w:r>
              <w:t xml:space="preserve">FHIR R4 + HL7 v2 mandatory</w:t>
            </w:r>
          </w:p>
        </w:tc>
        <w:tc>
          <w:tcPr/>
          <w:p>
            <w:pPr>
              <w:pStyle w:val="Compact"/>
              <w:jc w:val="left"/>
            </w:pPr>
            <w:r>
              <w:t xml:space="preserve">Non-negotiable</w:t>
            </w:r>
          </w:p>
        </w:tc>
      </w:tr>
    </w:tbl>
    <w:p>
      <w:pPr>
        <w:pStyle w:val="BodyText"/>
      </w:pPr>
      <w:r>
        <w:rPr>
          <w:b/>
          <w:bCs/>
        </w:rPr>
        <w:t xml:space="preserve">Rationale.</w:t>
      </w:r>
      <w:r>
        <w:t xml:space="preserve"> </w:t>
      </w:r>
      <w:r>
        <w:t xml:space="preserve">The compromise bridges the parties on every dimension while honoring the red line that the ETF must not make exit economically prohibitive. The graduated ETF (50% / 25% / 0%) is the structure the Vendor’s CFO has signaled is acceptable; it declines to</w:t>
      </w:r>
      <w:r>
        <w:t xml:space="preserve"> </w:t>
      </w:r>
      <w:r>
        <w:rPr>
          <w:b/>
          <w:bCs/>
        </w:rPr>
        <w:t xml:space="preserve">zero by Year 3</w:t>
      </w:r>
      <w:r>
        <w:t xml:space="preserve">, meaning Meridian faces no exit barrier in the back half of the term — the period in which lock-in risk is greatest and a non-performing vendor is most costly. The Year 1 ETF (~$12.83M on ~$25.65M remaining recurring value) is a real but declining cost, not a prohibitive one, and it is payable only on a convenience termination (not on termination for cause or Vendor breach).</w:t>
      </w:r>
    </w:p>
    <w:p>
      <w:pPr>
        <w:pStyle w:val="BodyText"/>
      </w:pPr>
      <w:r>
        <w:t xml:space="preserve">The 150-day notice period (Playbook fallback) bridges Customer’s 120 days and Vendor’s 180 days and gives the Vendor adequate runway to plan for revenue reduction — which is the legitimate interest an ETF is meant to protect. The 18-month transition at cost + 5% (Playbook fallback) bridges at-cost (Customer) and standard-rates-plus-10% (Vendor) and ensures Meridian is not economically locked in by transition costs. The 45-day data return bridges 30 (Customer) and 60 (Vendor, which stated 45 is its operational minimum), with FHIR R4 + HL7 v2 export — a non-negotiable technical requirement for MeridianConnect (Epic) interoperability.</w:t>
      </w:r>
    </w:p>
    <w:p>
      <w:pPr>
        <w:pStyle w:val="BodyText"/>
      </w:pPr>
      <w:r>
        <w:rPr>
          <w:b/>
          <w:bCs/>
        </w:rPr>
        <w:t xml:space="preserve">GC approval required.</w:t>
      </w:r>
      <w:r>
        <w:t xml:space="preserve"> </w:t>
      </w:r>
      <w:r>
        <w:t xml:space="preserve">The Playbook provides that any ETF — regardless of structure — must be escalated to the General Counsel. The graduated ETF is advanced here on the express authority of the strategic guidance (Sutter/Delgado), which identifies the graduated structure as workable provided it is not economically prohibitive, and on the understanding that Dr. Narayanan will sign off as part of the July 15–17 review. The deal team does not have authority to accept an ETF without GC approval.</w:t>
      </w:r>
    </w:p>
    <w:p>
      <w:pPr>
        <w:pStyle w:val="BodyText"/>
      </w:pPr>
      <w:r>
        <w:rPr>
          <w:b/>
          <w:bCs/>
        </w:rPr>
        <w:t xml:space="preserve">Fallback if the Vendor refuses the graduated structure.</w:t>
      </w:r>
      <w:r>
        <w:t xml:space="preserve"> </w:t>
      </w:r>
      <w:r>
        <w:t xml:space="preserve">Hold at 150 days’ notice with</w:t>
      </w:r>
      <w:r>
        <w:t xml:space="preserve"> </w:t>
      </w:r>
      <w:r>
        <w:rPr>
          <w:b/>
          <w:bCs/>
        </w:rPr>
        <w:t xml:space="preserve">no ETF</w:t>
      </w:r>
      <w:r>
        <w:t xml:space="preserve"> </w:t>
      </w:r>
      <w:r>
        <w:t xml:space="preserve">and transition at cost + 5% (Playbook fallback). The graduated structure is a concession Meridian is willing to make on a Priority 3 item to close the gap; it is not a floor. The floors are: no ETF that is economically prohibitive at any point; transition of at least 12 months; and FHIR R4 + HL7 v2 data export.</w:t>
      </w:r>
    </w:p>
    <w:bookmarkEnd w:id="39"/>
    <w:bookmarkStart w:id="40" w:name="X2b14d9e1f459e665c7af24bb20f1bb076ecb345"/>
    <w:p>
      <w:pPr>
        <w:pStyle w:val="Heading3"/>
      </w:pPr>
      <w:r>
        <w:t xml:space="preserve">(iii) Acceptability Analysis for the Vendor Team</w:t>
      </w:r>
    </w:p>
    <w:p>
      <w:pPr>
        <w:pStyle w:val="FirstParagraph"/>
      </w:pPr>
      <w:r>
        <w:rPr>
          <w:b/>
          <w:bCs/>
        </w:rPr>
        <w:t xml:space="preserve">Sandra Hu (commercial flexibility).</w:t>
      </w:r>
      <w:r>
        <w:t xml:space="preserve"> </w:t>
      </w:r>
      <w:r>
        <w:t xml:space="preserve">Hu’s concern is revenue-recognition impact and precedent. The graduated ETF directly addresses revenue protection in the early years (50% Year 1, 25% Year 2) when the Vendor’s unrecovered implementation investment is greatest, while conceding zero ETF in Years 3–4 when the investment is fully recovered and continued lock-in would be punitive. This is a more rational structure than the Vendor’s own flat 50% counter, which overcharges in the back half. The 150-day notice gives the Vendor planning runway. Framed as</w:t>
      </w:r>
      <w:r>
        <w:t xml:space="preserve"> </w:t>
      </w:r>
      <w:r>
        <w:t xml:space="preserve">“</w:t>
      </w:r>
      <w:r>
        <w:t xml:space="preserve">we will protect your early-term revenue recovery and give you 150 days’ notice, in exchange for a declining structure that reflects your actual investment-recovery curve,</w:t>
      </w:r>
      <w:r>
        <w:t xml:space="preserve">”</w:t>
      </w:r>
      <w:r>
        <w:t xml:space="preserve"> </w:t>
      </w:r>
      <w:r>
        <w:t xml:space="preserve">this should appeal to Hu’s commercial sensibility.</w:t>
      </w:r>
    </w:p>
    <w:p>
      <w:pPr>
        <w:pStyle w:val="BodyText"/>
      </w:pPr>
      <w:r>
        <w:rPr>
          <w:b/>
          <w:bCs/>
        </w:rPr>
        <w:t xml:space="preserve">Rafael Bowen (liability / lock-in).</w:t>
      </w:r>
      <w:r>
        <w:t xml:space="preserve"> </w:t>
      </w:r>
      <w:r>
        <w:t xml:space="preserve">Bowen may object that the 18-month transition at cost + 5% is below margin. The response: cost + 5% is the Playbook fallback and is a verified-cost standard (excluding overhead and profit beyond 5%), not a below-cost giveaway; the Vendor is made whole for actual transition costs plus a modest administrative margin. The data-return and API-access obligations are standard wind-down provisions and do not require disclosure of Model IP (data export is limited to Customer Data in interoperable formats). The no-data-hostage provision protects Meridian without imposing IP risk on the Vendor.</w:t>
      </w:r>
    </w:p>
    <w:bookmarkEnd w:id="40"/>
    <w:bookmarkStart w:id="41" w:name="X69e89c9eefad22a46f9a54f9c837468552a4e10"/>
    <w:p>
      <w:pPr>
        <w:pStyle w:val="Heading3"/>
      </w:pPr>
      <w:r>
        <w:t xml:space="preserve">(iv) Regulatory and Compliance Constraints</w:t>
      </w:r>
    </w:p>
    <w:p>
      <w:pPr>
        <w:pStyle w:val="Compact"/>
        <w:numPr>
          <w:ilvl w:val="0"/>
          <w:numId w:val="1011"/>
        </w:numPr>
      </w:pPr>
      <w:r>
        <w:rPr>
          <w:b/>
          <w:bCs/>
        </w:rPr>
        <w:t xml:space="preserve">HIPAA / BAA.</w:t>
      </w:r>
      <w:r>
        <w:t xml:space="preserve"> </w:t>
      </w:r>
      <w:r>
        <w:t xml:space="preserve">Data return and destruction obligations must be coordinated with the BAA (Exhibit F), which governs PHI return/destruction upon termination. The 45-day timeline and NIST SP 800-88 destruction standard are consistent with BAA requirements; the BAA controls on any PHI-specific conflict.</w:t>
      </w:r>
    </w:p>
    <w:p>
      <w:pPr>
        <w:pStyle w:val="Compact"/>
        <w:numPr>
          <w:ilvl w:val="0"/>
          <w:numId w:val="1011"/>
        </w:numPr>
      </w:pPr>
      <w:r>
        <w:rPr>
          <w:b/>
          <w:bCs/>
        </w:rPr>
        <w:t xml:space="preserve">NJ Act.</w:t>
      </w:r>
      <w:r>
        <w:t xml:space="preserve"> </w:t>
      </w:r>
      <w:r>
        <w:t xml:space="preserve">Termination and transition must preserve Meridian’s ability to maintain audit reports and transparency documentation for the three New Jersey facilities through the Transition Period (the NJ Act requires ongoing documentation retention). The clause preserves Vendor’s Article 10 obligations during transition.</w:t>
      </w:r>
    </w:p>
    <w:p>
      <w:pPr>
        <w:pStyle w:val="Compact"/>
        <w:numPr>
          <w:ilvl w:val="0"/>
          <w:numId w:val="1011"/>
        </w:numPr>
      </w:pPr>
      <w:r>
        <w:rPr>
          <w:b/>
          <w:bCs/>
        </w:rPr>
        <w:t xml:space="preserve">FDA.</w:t>
      </w:r>
      <w:r>
        <w:t xml:space="preserve"> </w:t>
      </w:r>
      <w:r>
        <w:t xml:space="preserve">If the Platform is subject to FDA regulation at termination, transition assistance must support Meridian’s continued regulatory reporting obligations; the continued-obligations clause (§14.5) preserves this.</w:t>
      </w:r>
    </w:p>
    <w:p>
      <w:pPr>
        <w:pStyle w:val="Compact"/>
        <w:numPr>
          <w:ilvl w:val="0"/>
          <w:numId w:val="1011"/>
        </w:numPr>
      </w:pPr>
      <w:r>
        <w:rPr>
          <w:b/>
          <w:bCs/>
        </w:rPr>
        <w:t xml:space="preserve">Operational continuity.</w:t>
      </w:r>
      <w:r>
        <w:t xml:space="preserve"> </w:t>
      </w:r>
      <w:r>
        <w:t xml:space="preserve">The 18-month transition and maintained API access protect patient care across 14 facilities and 6,200 users during migration; abrupt termination would create clinical-safety risk that implicates the Tier 1 enterprise-risk designation.</w:t>
      </w:r>
    </w:p>
    <w:p>
      <w:r>
        <w:pict>
          <v:rect style="width:0;height:1.5pt" o:hralign="center" o:hrstd="t" o:hr="t"/>
        </w:pict>
      </w:r>
    </w:p>
    <w:bookmarkEnd w:id="41"/>
    <w:bookmarkEnd w:id="42"/>
    <w:bookmarkStart w:id="47" w:name="Xd040bc4583388196a0706defe42c0f0f488ac02"/>
    <w:p>
      <w:pPr>
        <w:pStyle w:val="Heading2"/>
      </w:pPr>
      <w:r>
        <w:t xml:space="preserve">TERM 4 — AGGREGATED / DE-IDENTIFIED DATA USAGE RIGHTS</w:t>
      </w:r>
    </w:p>
    <w:p>
      <w:pPr>
        <w:pStyle w:val="FirstParagraph"/>
      </w:pPr>
      <w:r>
        <w:rPr>
          <w:b/>
          <w:bCs/>
        </w:rPr>
        <w:t xml:space="preserve">Priority: 4. Agreement Sections: §5.4; Exhibit D (Data Governance). Related: Term 6 (IP).</w:t>
      </w:r>
    </w:p>
    <w:p>
      <w:pPr>
        <w:pStyle w:val="BodyText"/>
      </w:pPr>
      <w:r>
        <w:t xml:space="preserve">This is Cognitive Foundry’s highest-priority commercial term and Meridian’s Priority 4. Per the strategic guidance, Meridian should deploy calibrated flexibility here as concession currency in exchange for movement on Priorities 1–3, while observing the Playbook red lines (no unrestricted use; no opt-out exceeding 30 days without GC review; no purely prospective-only deletion without an alternative mechanism).</w:t>
      </w:r>
    </w:p>
    <w:bookmarkStart w:id="43" w:name="i-proposed-contract-clause-language-3"/>
    <w:p>
      <w:pPr>
        <w:pStyle w:val="Heading3"/>
      </w:pPr>
      <w:r>
        <w:t xml:space="preserve">(i) Proposed Contract Clause Language</w:t>
      </w:r>
    </w:p>
    <w:p>
      <w:pPr>
        <w:pStyle w:val="FirstParagraph"/>
      </w:pPr>
      <w:r>
        <w:rPr>
          <w:b/>
          <w:bCs/>
        </w:rPr>
        <w:t xml:space="preserve">§5.4 Aggregated and De-Identified Data Usage.</w:t>
      </w:r>
    </w:p>
    <w:p>
      <w:pPr>
        <w:pStyle w:val="BlockText"/>
        <w:numPr>
          <w:ilvl w:val="0"/>
          <w:numId w:val="1012"/>
        </w:numPr>
      </w:pPr>
      <w:r>
        <w:rPr>
          <w:b/>
          <w:bCs/>
        </w:rPr>
        <w:t xml:space="preserve">Permitted Use (Limited).</w:t>
      </w:r>
      <w:r>
        <w:t xml:space="preserve"> </w:t>
      </w:r>
      <w:r>
        <w:t xml:space="preserve">Subject to Vendor’s compliance with the de-identification standards in Section 5.3, Vendor may use, process, and incorporate Aggregated Data and De-Identified Data (collectively,</w:t>
      </w:r>
      <w:r>
        <w:t xml:space="preserve"> </w:t>
      </w:r>
      <w:r>
        <w:t xml:space="preserve">“</w:t>
      </w:r>
      <w:r>
        <w:t xml:space="preserve">Derived Data</w:t>
      </w:r>
      <w:r>
        <w:t xml:space="preserve">”</w:t>
      </w:r>
      <w:r>
        <w:t xml:space="preserve">) derived from Customer’s use of the Platform solely for the following purposes: (i) improving, training, fine-tuning, and enhancing the Platform and Vendor’s AI/ML models; and (ii) internal benchmarking of model performance. For the avoidance of doubt, Derived Data has been de-identified in compliance with 45 C.F.R. § 164.514(a)–(c) (Safe Harbor or Expert Determination) and aggregated with data from at least two (2) other unaffiliated sources such that the Meridian-specific contribution is not separately extractable.</w:t>
      </w:r>
    </w:p>
    <w:p>
      <w:pPr>
        <w:pStyle w:val="BlockText"/>
        <w:numPr>
          <w:ilvl w:val="0"/>
          <w:numId w:val="1012"/>
        </w:numPr>
      </w:pPr>
      <w:r>
        <w:rPr>
          <w:b/>
          <w:bCs/>
        </w:rPr>
        <w:t xml:space="preserve">Prohibited Uses.</w:t>
      </w:r>
      <w:r>
        <w:t xml:space="preserve"> </w:t>
      </w:r>
      <w:r>
        <w:t xml:space="preserve">Vendor shall not (i) sell, license, or distribute Derived Data to any third party (other than approved subprocessors bound by equivalent obligations); (ii) use Derived Data for marketing, advertising, or competitive analysis; (iii) use Derived Data to develop products for any competitor of Customer within Customer’s service area (Delaware, Pennsylvania, and New Jersey); or (iv) use any Customer Data in identified or identifiable form for any purpose.</w:t>
      </w:r>
    </w:p>
    <w:p>
      <w:pPr>
        <w:pStyle w:val="BlockText"/>
        <w:numPr>
          <w:ilvl w:val="0"/>
          <w:numId w:val="1012"/>
        </w:numPr>
      </w:pPr>
      <w:r>
        <w:rPr>
          <w:b/>
          <w:bCs/>
        </w:rPr>
        <w:t xml:space="preserve">Opt-Out Right.</w:t>
      </w:r>
      <w:r>
        <w:t xml:space="preserve"> </w:t>
      </w:r>
      <w:r>
        <w:t xml:space="preserve">Customer may elect to opt out of Vendor’s use of Derived Data under subsection (a) at any time by providing written notice to Vendor. Any opt-out notice shall be effective forty-five (45) days following Vendor’s receipt thereof.</w:t>
      </w:r>
    </w:p>
    <w:p>
      <w:pPr>
        <w:pStyle w:val="BlockText"/>
        <w:numPr>
          <w:ilvl w:val="0"/>
          <w:numId w:val="1012"/>
        </w:numPr>
      </w:pPr>
      <w:r>
        <w:rPr>
          <w:b/>
          <w:bCs/>
        </w:rPr>
        <w:t xml:space="preserve">Deletion Upon Opt-Out.</w:t>
      </w:r>
      <w:r>
        <w:t xml:space="preserve"> </w:t>
      </w:r>
      <w:r>
        <w:t xml:space="preserve">Upon the effective date of an opt-out notice, Vendor shall: (i) cease all new use of Meridian-derived Derived Data; (ii) perform verified deletion of all Meridian-derived Derived Data that has</w:t>
      </w:r>
      <w:r>
        <w:t xml:space="preserve"> </w:t>
      </w:r>
      <w:r>
        <w:rPr>
          <w:b/>
          <w:bCs/>
        </w:rPr>
        <w:t xml:space="preserve">not</w:t>
      </w:r>
      <w:r>
        <w:t xml:space="preserve"> </w:t>
      </w:r>
      <w:r>
        <w:t xml:space="preserve">been incorporated into trained models or derivative works, and certify such deletion in writing within sixty (60) days; and (iii) with respect to Meridian-derived Derived Data that</w:t>
      </w:r>
      <w:r>
        <w:t xml:space="preserve"> </w:t>
      </w:r>
      <w:r>
        <w:rPr>
          <w:b/>
          <w:bCs/>
        </w:rPr>
        <w:t xml:space="preserve">has</w:t>
      </w:r>
      <w:r>
        <w:t xml:space="preserve"> </w:t>
      </w:r>
      <w:r>
        <w:t xml:space="preserve">been incorporated into trained models or derivative works, either (A) retrain the affected model(s) without Meridian-derived data within one hundred eighty (180) days, or (B) if Vendor demonstrates to Customer’s reasonable satisfaction that such retraining is technically infeasible, implement an alternative protection mechanism (such as differential-privacy techniques, model isolation, or contractual use restrictions on Meridian-influenced model artifacts) that achieves equivalent protection, subject to Customer’s written approval (not to be unreasonably withheld). Vendor shall certify completion of subsection (iii) in writing, signed by an officer of Vendor.</w:t>
      </w:r>
    </w:p>
    <w:p>
      <w:pPr>
        <w:pStyle w:val="BlockText"/>
        <w:numPr>
          <w:ilvl w:val="0"/>
          <w:numId w:val="1012"/>
        </w:numPr>
      </w:pPr>
      <w:r>
        <w:rPr>
          <w:b/>
          <w:bCs/>
        </w:rPr>
        <w:t xml:space="preserve">No Pricing Penalty.</w:t>
      </w:r>
      <w:r>
        <w:t xml:space="preserve"> </w:t>
      </w:r>
      <w:r>
        <w:t xml:space="preserve">Vendor shall not impose any price increase, surcharge, or fee adjustment on Customer as a result of Customer’s exercise of the opt-out right.</w:t>
      </w:r>
    </w:p>
    <w:p>
      <w:pPr>
        <w:pStyle w:val="BlockText"/>
        <w:numPr>
          <w:ilvl w:val="0"/>
          <w:numId w:val="1012"/>
        </w:numPr>
      </w:pPr>
      <w:r>
        <w:rPr>
          <w:b/>
          <w:bCs/>
        </w:rPr>
        <w:t xml:space="preserve">Transparency and Record-Keeping.</w:t>
      </w:r>
      <w:r>
        <w:t xml:space="preserve"> </w:t>
      </w:r>
      <w:r>
        <w:t xml:space="preserve">Vendor shall maintain records identifying the sources and categories of Derived Data used for model improvement and shall provide Customer with an annual summary report (by March 31 of each year) describing the categories of use to which Meridian-derived Derived Data has been applied. Vendor shall update training-data provenance documentation to reflect any retraining incorporating Meridian-derived data, consistent with the transparency obligations of Section 10.1 and the NJ Act.</w:t>
      </w:r>
    </w:p>
    <w:bookmarkEnd w:id="43"/>
    <w:bookmarkStart w:id="44" w:name="X45d54cbf4c1ee78c42a977a14784dc9397bb46a"/>
    <w:p>
      <w:pPr>
        <w:pStyle w:val="Heading3"/>
      </w:pPr>
      <w:r>
        <w:t xml:space="preserve">(ii) Negotiation Rationale and Fallback Ladder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Vendor Right</w:t>
            </w:r>
          </w:p>
        </w:tc>
        <w:tc>
          <w:tcPr/>
          <w:p>
            <w:pPr>
              <w:pStyle w:val="Compact"/>
              <w:jc w:val="left"/>
            </w:pPr>
            <w:r>
              <w:t xml:space="preserve">Opt-Out</w:t>
            </w:r>
          </w:p>
        </w:tc>
        <w:tc>
          <w:tcPr/>
          <w:p>
            <w:pPr>
              <w:pStyle w:val="Compact"/>
              <w:jc w:val="left"/>
            </w:pPr>
            <w:r>
              <w:t xml:space="preserve">Deletion</w:t>
            </w:r>
          </w:p>
        </w:tc>
        <w:tc>
          <w:tcPr/>
          <w:p>
            <w:pPr>
              <w:pStyle w:val="Compact"/>
              <w:jc w:val="left"/>
            </w:pPr>
            <w:r>
              <w:t xml:space="preserve">Status</w:t>
            </w:r>
          </w:p>
        </w:tc>
      </w:tr>
      <w:tr>
        <w:tc>
          <w:tcPr/>
          <w:p>
            <w:pPr>
              <w:pStyle w:val="Compact"/>
              <w:jc w:val="left"/>
            </w:pPr>
            <w:r>
              <w:t xml:space="preserve">Vendor opening (June 6)</w:t>
            </w:r>
          </w:p>
        </w:tc>
        <w:tc>
          <w:tcPr/>
          <w:p>
            <w:pPr>
              <w:pStyle w:val="Compact"/>
              <w:jc w:val="left"/>
            </w:pPr>
            <w:r>
              <w:t xml:space="preserve">Unrestricted use</w:t>
            </w:r>
          </w:p>
        </w:tc>
        <w:tc>
          <w:tcPr/>
          <w:p>
            <w:pPr>
              <w:pStyle w:val="Compact"/>
              <w:jc w:val="left"/>
            </w:pPr>
            <w:r>
              <w:t xml:space="preserve">None</w:t>
            </w:r>
          </w:p>
        </w:tc>
        <w:tc>
          <w:tcPr/>
          <w:p>
            <w:pPr>
              <w:pStyle w:val="Compact"/>
              <w:jc w:val="left"/>
            </w:pPr>
            <w:r>
              <w:t xml:space="preserve">N/A</w:t>
            </w:r>
          </w:p>
        </w:tc>
        <w:tc>
          <w:tcPr/>
          <w:p>
            <w:pPr>
              <w:pStyle w:val="Compact"/>
              <w:jc w:val="left"/>
            </w:pPr>
            <w:r>
              <w:t xml:space="preserve">Rejected</w:t>
            </w:r>
          </w:p>
        </w:tc>
      </w:tr>
      <w:tr>
        <w:tc>
          <w:tcPr/>
          <w:p>
            <w:pPr>
              <w:pStyle w:val="Compact"/>
              <w:jc w:val="left"/>
            </w:pPr>
            <w:r>
              <w:t xml:space="preserve">Customer opening (June 20)</w:t>
            </w:r>
          </w:p>
        </w:tc>
        <w:tc>
          <w:tcPr/>
          <w:p>
            <w:pPr>
              <w:pStyle w:val="Compact"/>
              <w:jc w:val="left"/>
            </w:pPr>
            <w:r>
              <w:t xml:space="preserve">None without per-use-case consent</w:t>
            </w:r>
          </w:p>
        </w:tc>
        <w:tc>
          <w:tcPr/>
          <w:p>
            <w:pPr>
              <w:pStyle w:val="Compact"/>
              <w:jc w:val="left"/>
            </w:pPr>
            <w:r>
              <w:t xml:space="preserve">N/A (consent required)</w:t>
            </w:r>
          </w:p>
        </w:tc>
        <w:tc>
          <w:tcPr/>
          <w:p>
            <w:pPr>
              <w:pStyle w:val="Compact"/>
              <w:jc w:val="left"/>
            </w:pPr>
            <w:r>
              <w:t xml:space="preserve">N/A</w:t>
            </w:r>
          </w:p>
        </w:tc>
        <w:tc>
          <w:tcPr/>
          <w:p>
            <w:pPr>
              <w:pStyle w:val="Compact"/>
              <w:jc w:val="left"/>
            </w:pPr>
            <w:r>
              <w:t xml:space="preserve">Opening</w:t>
            </w:r>
          </w:p>
        </w:tc>
      </w:tr>
      <w:tr>
        <w:tc>
          <w:tcPr/>
          <w:p>
            <w:pPr>
              <w:pStyle w:val="Compact"/>
              <w:jc w:val="left"/>
            </w:pPr>
            <w:r>
              <w:t xml:space="preserve">Vendor counter (June 30)</w:t>
            </w:r>
          </w:p>
        </w:tc>
        <w:tc>
          <w:tcPr/>
          <w:p>
            <w:pPr>
              <w:pStyle w:val="Compact"/>
              <w:jc w:val="left"/>
            </w:pPr>
            <w:r>
              <w:t xml:space="preserve">Broad use (model, product dev, research, publications)</w:t>
            </w:r>
          </w:p>
        </w:tc>
        <w:tc>
          <w:tcPr/>
          <w:p>
            <w:pPr>
              <w:pStyle w:val="Compact"/>
              <w:jc w:val="left"/>
            </w:pPr>
            <w:r>
              <w:t xml:space="preserve">60-day, prospective only</w:t>
            </w:r>
          </w:p>
        </w:tc>
        <w:tc>
          <w:tcPr/>
          <w:p>
            <w:pPr>
              <w:pStyle w:val="Compact"/>
              <w:jc w:val="left"/>
            </w:pPr>
            <w:r>
              <w:t xml:space="preserve">Unincorporated only</w:t>
            </w:r>
          </w:p>
        </w:tc>
        <w:tc>
          <w:tcPr/>
          <w:p>
            <w:pPr>
              <w:pStyle w:val="Compact"/>
              <w:jc w:val="left"/>
            </w:pPr>
            <w:r>
              <w:t xml:space="preserve">Opening</w:t>
            </w:r>
          </w:p>
        </w:tc>
      </w:tr>
      <w:tr>
        <w:tc>
          <w:tcPr/>
          <w:p>
            <w:pPr>
              <w:pStyle w:val="Compact"/>
              <w:jc w:val="left"/>
            </w:pPr>
            <w:r>
              <w:rPr>
                <w:b/>
                <w:bCs/>
              </w:rPr>
              <w:t xml:space="preserve">Compromise proposal</w:t>
            </w:r>
          </w:p>
        </w:tc>
        <w:tc>
          <w:tcPr/>
          <w:p>
            <w:pPr>
              <w:pStyle w:val="Compact"/>
              <w:jc w:val="left"/>
            </w:pPr>
            <w:r>
              <w:rPr>
                <w:b/>
                <w:bCs/>
              </w:rPr>
              <w:t xml:space="preserve">Model improvement + benchmarking only</w:t>
            </w:r>
          </w:p>
        </w:tc>
        <w:tc>
          <w:tcPr/>
          <w:p>
            <w:pPr>
              <w:pStyle w:val="Compact"/>
              <w:jc w:val="left"/>
            </w:pPr>
            <w:r>
              <w:rPr>
                <w:b/>
                <w:bCs/>
              </w:rPr>
              <w:t xml:space="preserve">45-day</w:t>
            </w:r>
          </w:p>
        </w:tc>
        <w:tc>
          <w:tcPr/>
          <w:p>
            <w:pPr>
              <w:pStyle w:val="Compact"/>
              <w:jc w:val="left"/>
            </w:pPr>
            <w:r>
              <w:rPr>
                <w:b/>
                <w:bCs/>
              </w:rPr>
              <w:t xml:space="preserve">Unincorporated: verified deletion; Incorporated: retrain within 180 days or alternative mechanism</w:t>
            </w:r>
          </w:p>
        </w:tc>
        <w:tc>
          <w:tcPr/>
          <w:p>
            <w:pPr>
              <w:pStyle w:val="Compact"/>
              <w:jc w:val="left"/>
            </w:pPr>
            <w:r>
              <w:rPr>
                <w:b/>
                <w:bCs/>
              </w:rPr>
              <w:t xml:space="preserve">Recommended landing zone</w:t>
            </w:r>
          </w:p>
        </w:tc>
      </w:tr>
      <w:tr>
        <w:tc>
          <w:tcPr/>
          <w:p>
            <w:pPr>
              <w:pStyle w:val="Compact"/>
              <w:jc w:val="left"/>
            </w:pPr>
            <w:r>
              <w:t xml:space="preserve">Fallback (Playbook)</w:t>
            </w:r>
          </w:p>
        </w:tc>
        <w:tc>
          <w:tcPr/>
          <w:p>
            <w:pPr>
              <w:pStyle w:val="Compact"/>
              <w:jc w:val="left"/>
            </w:pPr>
            <w:r>
              <w:t xml:space="preserve">Model improvement + benchmarking only</w:t>
            </w:r>
          </w:p>
        </w:tc>
        <w:tc>
          <w:tcPr/>
          <w:p>
            <w:pPr>
              <w:pStyle w:val="Compact"/>
              <w:jc w:val="left"/>
            </w:pPr>
            <w:r>
              <w:t xml:space="preserve">30-day</w:t>
            </w:r>
          </w:p>
        </w:tc>
        <w:tc>
          <w:tcPr/>
          <w:p>
            <w:pPr>
              <w:pStyle w:val="Compact"/>
              <w:jc w:val="left"/>
            </w:pPr>
            <w:r>
              <w:t xml:space="preserve">Verified deletion including incorporated (within 60 days)</w:t>
            </w:r>
          </w:p>
        </w:tc>
        <w:tc>
          <w:tcPr/>
          <w:p>
            <w:pPr>
              <w:pStyle w:val="Compact"/>
              <w:jc w:val="left"/>
            </w:pPr>
            <w:r>
              <w:t xml:space="preserve">If Vendor resists 45-day/retrain</w:t>
            </w:r>
          </w:p>
        </w:tc>
      </w:tr>
      <w:tr>
        <w:tc>
          <w:tcPr/>
          <w:p>
            <w:pPr>
              <w:pStyle w:val="Compact"/>
              <w:jc w:val="left"/>
            </w:pPr>
            <w:r>
              <w:t xml:space="preserve">Floor</w:t>
            </w:r>
          </w:p>
        </w:tc>
        <w:tc>
          <w:tcPr/>
          <w:p>
            <w:pPr>
              <w:pStyle w:val="Compact"/>
              <w:jc w:val="left"/>
            </w:pPr>
            <w:r>
              <w:t xml:space="preserve">No unrestricted use; no sale</w:t>
            </w:r>
          </w:p>
        </w:tc>
        <w:tc>
          <w:tcPr/>
          <w:p>
            <w:pPr>
              <w:pStyle w:val="Compact"/>
              <w:jc w:val="left"/>
            </w:pPr>
            <w:r>
              <w:t xml:space="preserve">No opt-out exceeding 30 days without GC review</w:t>
            </w:r>
          </w:p>
        </w:tc>
        <w:tc>
          <w:tcPr/>
          <w:p>
            <w:pPr>
              <w:pStyle w:val="Compact"/>
              <w:jc w:val="left"/>
            </w:pPr>
            <w:r>
              <w:t xml:space="preserve">No purely prospective-only deletion without alternative mechanism</w:t>
            </w:r>
          </w:p>
        </w:tc>
        <w:tc>
          <w:tcPr/>
          <w:p>
            <w:pPr>
              <w:pStyle w:val="Compact"/>
              <w:jc w:val="left"/>
            </w:pPr>
            <w:r>
              <w:t xml:space="preserve">Non-negotiable</w:t>
            </w:r>
          </w:p>
        </w:tc>
      </w:tr>
    </w:tbl>
    <w:p>
      <w:pPr>
        <w:pStyle w:val="BodyText"/>
      </w:pPr>
      <w:r>
        <w:rPr>
          <w:b/>
          <w:bCs/>
        </w:rPr>
        <w:t xml:space="preserve">Rationale.</w:t>
      </w:r>
      <w:r>
        <w:t xml:space="preserve"> </w:t>
      </w:r>
      <w:r>
        <w:t xml:space="preserve">This is the term where Meridian concedes to create bargaining value. The compromise gives the Vendor its core commercial need — an ongoing, default right to use aggregated/de-identified data for model improvement — which is what the Vendor values most, while imposing guardrails that keep Meridian within its red lines:</w:t>
      </w:r>
    </w:p>
    <w:p>
      <w:pPr>
        <w:pStyle w:val="Compact"/>
        <w:numPr>
          <w:ilvl w:val="0"/>
          <w:numId w:val="1013"/>
        </w:numPr>
      </w:pPr>
      <w:r>
        <w:rPr>
          <w:b/>
          <w:bCs/>
        </w:rPr>
        <w:t xml:space="preserve">Scope is limited</w:t>
      </w:r>
      <w:r>
        <w:t xml:space="preserve"> </w:t>
      </w:r>
      <w:r>
        <w:t xml:space="preserve">to model improvement and benchmarking (not the Vendor’s broader</w:t>
      </w:r>
      <w:r>
        <w:t xml:space="preserve"> </w:t>
      </w:r>
      <w:r>
        <w:t xml:space="preserve">“</w:t>
      </w:r>
      <w:r>
        <w:t xml:space="preserve">product development, research, and publications</w:t>
      </w:r>
      <w:r>
        <w:t xml:space="preserve">”</w:t>
      </w:r>
      <w:r>
        <w:t xml:space="preserve">). This is a meaningful narrowing from the Vendor’s counter and protects against Meridian’s data being used to build products for competitors in Meridian’s three-state service area.</w:t>
      </w:r>
    </w:p>
    <w:p>
      <w:pPr>
        <w:pStyle w:val="Compact"/>
        <w:numPr>
          <w:ilvl w:val="0"/>
          <w:numId w:val="1013"/>
        </w:numPr>
      </w:pPr>
      <w:r>
        <w:rPr>
          <w:b/>
          <w:bCs/>
        </w:rPr>
        <w:t xml:space="preserve">The opt-out is 45 days</w:t>
      </w:r>
      <w:r>
        <w:t xml:space="preserve">, a calibrated concession from the Playbook’s 30-day standard toward the Vendor’s 60-day counter. The 30-day red line is subject to GC review (not an absolute floor like patient-safety), and the strategic guidance directs calibrated flexibility here. The 15-day concession is the price of the Vendor’s agreement to a deletion mechanism that reaches incorporated data.</w:t>
      </w:r>
    </w:p>
    <w:p>
      <w:pPr>
        <w:pStyle w:val="Compact"/>
        <w:numPr>
          <w:ilvl w:val="0"/>
          <w:numId w:val="1013"/>
        </w:numPr>
      </w:pPr>
      <w:r>
        <w:rPr>
          <w:b/>
          <w:bCs/>
        </w:rPr>
        <w:t xml:space="preserve">Deletion of incorporated data</w:t>
      </w:r>
      <w:r>
        <w:t xml:space="preserve"> </w:t>
      </w:r>
      <w:r>
        <w:t xml:space="preserve">is the hardest issue. The Vendor’s position (retroactive deletion is technically infeasible; prospective-only) conflicts with the Playbook red line (no purely prospective-only deletion). The compromise adopts the Playbook’s own escape valve (§ 6.4(b)): the Vendor must either retrain without Meridian data within 180 days</w:t>
      </w:r>
      <w:r>
        <w:t xml:space="preserve"> </w:t>
      </w:r>
      <w:r>
        <w:rPr>
          <w:b/>
          <w:bCs/>
        </w:rPr>
        <w:t xml:space="preserve">or</w:t>
      </w:r>
      <w:r>
        <w:t xml:space="preserve"> </w:t>
      </w:r>
      <w:r>
        <w:t xml:space="preserve">demonstrate infeasibility and implement an approved alternative mechanism. This respects the Vendor’s genuine technical concern (retraining from scratch is costly) while not accepting a pure prospective-only outcome that would render the opt-out hollow.</w:t>
      </w:r>
    </w:p>
    <w:p>
      <w:pPr>
        <w:pStyle w:val="Compact"/>
        <w:numPr>
          <w:ilvl w:val="0"/>
          <w:numId w:val="1013"/>
        </w:numPr>
      </w:pPr>
      <w:r>
        <w:rPr>
          <w:b/>
          <w:bCs/>
        </w:rPr>
        <w:t xml:space="preserve">No pricing penalty</w:t>
      </w:r>
      <w:r>
        <w:t xml:space="preserve"> </w:t>
      </w:r>
      <w:r>
        <w:t xml:space="preserve">on opt-out prevents the Vendor from double-dipping (charging more for the same service after Meridian withdraws the data concession).</w:t>
      </w:r>
    </w:p>
    <w:p>
      <w:pPr>
        <w:pStyle w:val="FirstParagraph"/>
      </w:pPr>
      <w:r>
        <w:rPr>
          <w:b/>
          <w:bCs/>
        </w:rPr>
        <w:t xml:space="preserve">Why concede here.</w:t>
      </w:r>
      <w:r>
        <w:t xml:space="preserve"> </w:t>
      </w:r>
      <w:r>
        <w:t xml:space="preserve">Data usage is Priority 4 for Meridian and Priority 1 for the Vendor. The asymmetry is the negotiation’s central opportunity. By offering a workable, ongoing data-usage right (the Vendor’s highest-value outcome), Meridian creates the currency to secure the patient-safety super-cap (Term 1), the Langford audit framework (Term 2), and the graduated ETF (Term 3). The concessions are calibrated to preserve Meridian’s red lines (no unrestricted use; no sale; de-identification per HIPAA; a deletion mechanism that reaches incorporated data) while giving the Vendor enough to say yes.</w:t>
      </w:r>
    </w:p>
    <w:p>
      <w:pPr>
        <w:pStyle w:val="BodyText"/>
      </w:pPr>
      <w:r>
        <w:rPr>
          <w:b/>
          <w:bCs/>
        </w:rPr>
        <w:t xml:space="preserve">Fallback if the Vendor resists.</w:t>
      </w:r>
      <w:r>
        <w:t xml:space="preserve"> </w:t>
      </w:r>
      <w:r>
        <w:t xml:space="preserve">Tighten to the Playbook fallback: 30-day opt-out with verified deletion of all Meridian-derived data (including incorporated) within 60 days. The 45-day/retrain compromise is the generous landing zone; the 30-day/verified-deletion position is the floor. The GC must review any opt-out exceeding 30 days.</w:t>
      </w:r>
    </w:p>
    <w:bookmarkEnd w:id="44"/>
    <w:bookmarkStart w:id="45" w:name="X341068ca2642145be87316692f879f52f94699c"/>
    <w:p>
      <w:pPr>
        <w:pStyle w:val="Heading3"/>
      </w:pPr>
      <w:r>
        <w:t xml:space="preserve">(iii) Acceptability Analysis for the Vendor Team</w:t>
      </w:r>
    </w:p>
    <w:p>
      <w:pPr>
        <w:pStyle w:val="FirstParagraph"/>
      </w:pPr>
      <w:r>
        <w:rPr>
          <w:b/>
          <w:bCs/>
        </w:rPr>
        <w:t xml:space="preserve">Sandra Hu (commercial flexibility).</w:t>
      </w:r>
      <w:r>
        <w:t xml:space="preserve"> </w:t>
      </w:r>
      <w:r>
        <w:t xml:space="preserve">This proposal gives the Vendor its most-valued commercial outcome — a default, ongoing right to use Meridian’s aggregated/de-identified data for model improvement — which is more than the Vendor will receive from customers who demand per-use-case consent. The 45-day opt-out (vs. the Vendor’s 60-day) is a modest concession, and the deletion mechanism (retrain-or-alternative) is structured to accommodate the Vendor’s documented technical infeasibility concern rather than demanding the impossible. The scope limitation (model improvement + benchmarking, no competitor products in Meridian’s service area) is a reasonable guardrail that does not impair the Vendor’s core model-improvement pipeline. Hu should recognize this as a genuine commercial win for the Vendor, which is precisely why it is the right term on which to extract reciprocal movement on Terms 1–3.</w:t>
      </w:r>
    </w:p>
    <w:p>
      <w:pPr>
        <w:pStyle w:val="BodyText"/>
      </w:pPr>
      <w:r>
        <w:rPr>
          <w:b/>
          <w:bCs/>
        </w:rPr>
        <w:t xml:space="preserve">Rafael Bowen (IP / liability).</w:t>
      </w:r>
      <w:r>
        <w:t xml:space="preserve"> </w:t>
      </w:r>
      <w:r>
        <w:t xml:space="preserve">Bowen’s concern is that a deletion obligation reaching incorporated data creates unbounded retraining liability. The response: the retrain-or-alternative mechanism (§5.4(d)(iii)) is the Playbook’s own accommodation for technical infeasibility — the Vendor is not required to do the impossible, only to either retrain within 180 days or propose an equivalent alternative subject to Meridian’s approval. The no-sale and no-competitor-product provisions protect Meridian’s competitive position without touching the Vendor’s model IP. The de-identification standards (Safe Harbor / Expert Determination) are already in Exhibit D and are HIPAA-mandated, not new burdens.</w:t>
      </w:r>
    </w:p>
    <w:bookmarkEnd w:id="45"/>
    <w:bookmarkStart w:id="46" w:name="X00689d3c44630db6995c115d4cc7a0b42a99e25"/>
    <w:p>
      <w:pPr>
        <w:pStyle w:val="Heading3"/>
      </w:pPr>
      <w:r>
        <w:t xml:space="preserve">(iv) Regulatory and Compliance Constraints</w:t>
      </w:r>
    </w:p>
    <w:p>
      <w:pPr>
        <w:pStyle w:val="Compact"/>
        <w:numPr>
          <w:ilvl w:val="0"/>
          <w:numId w:val="1014"/>
        </w:numPr>
      </w:pPr>
      <w:r>
        <w:rPr>
          <w:b/>
          <w:bCs/>
        </w:rPr>
        <w:t xml:space="preserve">HIPAA de-identification.</w:t>
      </w:r>
      <w:r>
        <w:t xml:space="preserve"> </w:t>
      </w:r>
      <w:r>
        <w:t xml:space="preserve">All Derived Data must meet Safe Harbor (45 C.F.R. § 164.514(b)(2)) or Expert Determination (§ 164.514(b)(1)) standards, as already required by Exhibit D § 3.3. The aggregation threshold (combined with data from at least two other unaffiliated sources) is drawn from Exhibit D’s</w:t>
      </w:r>
      <w:r>
        <w:t xml:space="preserve"> </w:t>
      </w:r>
      <w:r>
        <w:t xml:space="preserve">“</w:t>
      </w:r>
      <w:r>
        <w:t xml:space="preserve">Aggregated Data</w:t>
      </w:r>
      <w:r>
        <w:t xml:space="preserve">”</w:t>
      </w:r>
      <w:r>
        <w:t xml:space="preserve"> </w:t>
      </w:r>
      <w:r>
        <w:t xml:space="preserve">definition and reduces re-identification risk. The prohibition on re-identification (Exhibit D § 3.3.4) applies.</w:t>
      </w:r>
    </w:p>
    <w:p>
      <w:pPr>
        <w:pStyle w:val="Compact"/>
        <w:numPr>
          <w:ilvl w:val="0"/>
          <w:numId w:val="1014"/>
        </w:numPr>
      </w:pPr>
      <w:r>
        <w:rPr>
          <w:b/>
          <w:bCs/>
        </w:rPr>
        <w:t xml:space="preserve">NJ Act.</w:t>
      </w:r>
      <w:r>
        <w:t xml:space="preserve"> </w:t>
      </w:r>
      <w:r>
        <w:t xml:space="preserve">The Act’s transparency requirements extend to how training data is sourced and used, including whether the Vendor uses data from one covered entity to train models deployed at others. The compromise requires the Vendor to document Derived Data use in the transparency materials (§5.4(f)) and to update training-data provenance documentation upon retraining — directly satisfying the NJ Act’s documentation mandates for the three New Jersey facilities. Conditioning data use on documentation is consistent with the Whitfield Ames compliance brief.</w:t>
      </w:r>
    </w:p>
    <w:p>
      <w:pPr>
        <w:pStyle w:val="Compact"/>
        <w:numPr>
          <w:ilvl w:val="0"/>
          <w:numId w:val="1014"/>
        </w:numPr>
      </w:pPr>
      <w:r>
        <w:rPr>
          <w:b/>
          <w:bCs/>
        </w:rPr>
        <w:t xml:space="preserve">BAA coordination.</w:t>
      </w:r>
      <w:r>
        <w:t xml:space="preserve"> </w:t>
      </w:r>
      <w:r>
        <w:t xml:space="preserve">Exhibit D § 1.4 establishes that the BAA governs PHI-specific obligations and Exhibit D governs de-identified/aggregated data. The compromise operates within that hierarchy and does not alter PHI handling.</w:t>
      </w:r>
    </w:p>
    <w:p>
      <w:pPr>
        <w:pStyle w:val="Compact"/>
        <w:numPr>
          <w:ilvl w:val="0"/>
          <w:numId w:val="1014"/>
        </w:numPr>
      </w:pPr>
      <w:r>
        <w:rPr>
          <w:b/>
          <w:bCs/>
        </w:rPr>
        <w:t xml:space="preserve">State privacy laws.</w:t>
      </w:r>
      <w:r>
        <w:t xml:space="preserve"> </w:t>
      </w:r>
      <w:r>
        <w:t xml:space="preserve">The no-sale provision is drafted to satisfy</w:t>
      </w:r>
      <w:r>
        <w:t xml:space="preserve"> </w:t>
      </w:r>
      <w:r>
        <w:t xml:space="preserve">“</w:t>
      </w:r>
      <w:r>
        <w:t xml:space="preserve">sale</w:t>
      </w:r>
      <w:r>
        <w:t xml:space="preserve">”</w:t>
      </w:r>
      <w:r>
        <w:t xml:space="preserve"> </w:t>
      </w:r>
      <w:r>
        <w:t xml:space="preserve">definitions under the CCPA, Colorado Privacy Act, and analogous state laws, future-proofing against emerging state privacy regimes.</w:t>
      </w:r>
    </w:p>
    <w:p>
      <w:r>
        <w:pict>
          <v:rect style="width:0;height:1.5pt" o:hralign="center" o:hrstd="t" o:hr="t"/>
        </w:pict>
      </w:r>
    </w:p>
    <w:bookmarkEnd w:id="46"/>
    <w:bookmarkEnd w:id="47"/>
    <w:bookmarkStart w:id="52" w:name="term-5-sla-ai-accuracy-benchmarks"/>
    <w:p>
      <w:pPr>
        <w:pStyle w:val="Heading2"/>
      </w:pPr>
      <w:r>
        <w:t xml:space="preserve">TERM 5 — SLA / AI ACCURACY BENCHMARKS</w:t>
      </w:r>
    </w:p>
    <w:p>
      <w:pPr>
        <w:pStyle w:val="FirstParagraph"/>
      </w:pPr>
      <w:r>
        <w:rPr>
          <w:b/>
          <w:bCs/>
        </w:rPr>
        <w:t xml:space="preserve">Priority: 5. Agreement Sections: §9.3; Exhibit C (SLA/Performance Metrics). Related: Term 2 (audit validation).</w:t>
      </w:r>
    </w:p>
    <w:p>
      <w:pPr>
        <w:pStyle w:val="BodyText"/>
      </w:pPr>
      <w:r>
        <w:t xml:space="preserve">Binding, quantitative accuracy benchmarks are essential for clinical decision-support tools that directly influence ~2.1 million annual encounters. The Vendor’s</w:t>
      </w:r>
      <w:r>
        <w:t xml:space="preserve"> </w:t>
      </w:r>
      <w:r>
        <w:t xml:space="preserve">“</w:t>
      </w:r>
      <w:r>
        <w:t xml:space="preserve">informational only</w:t>
      </w:r>
      <w:r>
        <w:t xml:space="preserve">”</w:t>
      </w:r>
      <w:r>
        <w:t xml:space="preserve"> </w:t>
      </w:r>
      <w:r>
        <w:t xml:space="preserve">posture is unacceptable; the Playbook fallback (binding benchmarks, escalating credits, termination after 3 consecutive misses) is the landing zone.</w:t>
      </w:r>
    </w:p>
    <w:bookmarkStart w:id="48" w:name="i-proposed-contract-clause-language-4"/>
    <w:p>
      <w:pPr>
        <w:pStyle w:val="Heading3"/>
      </w:pPr>
      <w:r>
        <w:t xml:space="preserve">(i) Proposed Contract Clause Language</w:t>
      </w:r>
    </w:p>
    <w:p>
      <w:pPr>
        <w:pStyle w:val="FirstParagraph"/>
      </w:pPr>
      <w:r>
        <w:rPr>
          <w:b/>
          <w:bCs/>
        </w:rPr>
        <w:t xml:space="preserve">§9.3 AI Model Performance — Binding Performance Benchmarks.</w:t>
      </w:r>
    </w:p>
    <w:p>
      <w:pPr>
        <w:pStyle w:val="Compact"/>
        <w:numPr>
          <w:ilvl w:val="0"/>
          <w:numId w:val="1015"/>
        </w:numPr>
      </w:pPr>
      <w:r>
        <w:rPr>
          <w:b/>
          <w:bCs/>
        </w:rPr>
        <w:t xml:space="preserve">Performance Benchmarks.</w:t>
      </w:r>
      <w:r>
        <w:t xml:space="preserve"> </w:t>
      </w:r>
      <w:r>
        <w:t xml:space="preserve">Vendor warrants that the Platform’s clinical decision-support modules shall meet or exceed the following minimum Performance Benchmarks, measured on a quarterly basis using the validation methodology set forth in Exhibit 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Clinical Module</w:t>
            </w:r>
          </w:p>
        </w:tc>
        <w:tc>
          <w:tcPr/>
          <w:p>
            <w:pPr>
              <w:pStyle w:val="Compact"/>
              <w:jc w:val="left"/>
            </w:pPr>
            <w:r>
              <w:t xml:space="preserve">Sensitivity (Minimum)</w:t>
            </w:r>
          </w:p>
        </w:tc>
        <w:tc>
          <w:tcPr/>
          <w:p>
            <w:pPr>
              <w:pStyle w:val="Compact"/>
              <w:jc w:val="left"/>
            </w:pPr>
            <w:r>
              <w:t xml:space="preserve">Specificity (Minimum)</w:t>
            </w:r>
          </w:p>
        </w:tc>
      </w:tr>
      <w:tr>
        <w:tc>
          <w:tcPr/>
          <w:p>
            <w:pPr>
              <w:pStyle w:val="Compact"/>
              <w:jc w:val="left"/>
            </w:pPr>
            <w:r>
              <w:t xml:space="preserve">Sepsis Prediction</w:t>
            </w:r>
          </w:p>
        </w:tc>
        <w:tc>
          <w:tcPr/>
          <w:p>
            <w:pPr>
              <w:pStyle w:val="Compact"/>
              <w:jc w:val="left"/>
            </w:pPr>
            <w:r>
              <w:t xml:space="preserve">≥ 92%</w:t>
            </w:r>
          </w:p>
        </w:tc>
        <w:tc>
          <w:tcPr/>
          <w:p>
            <w:pPr>
              <w:pStyle w:val="Compact"/>
              <w:jc w:val="left"/>
            </w:pPr>
            <w:r>
              <w:t xml:space="preserve">≥ 88%</w:t>
            </w:r>
          </w:p>
        </w:tc>
      </w:tr>
      <w:tr>
        <w:tc>
          <w:tcPr/>
          <w:p>
            <w:pPr>
              <w:pStyle w:val="Compact"/>
              <w:jc w:val="left"/>
            </w:pPr>
            <w:r>
              <w:t xml:space="preserve">Radiology Triage</w:t>
            </w:r>
          </w:p>
        </w:tc>
        <w:tc>
          <w:tcPr/>
          <w:p>
            <w:pPr>
              <w:pStyle w:val="Compact"/>
              <w:jc w:val="left"/>
            </w:pPr>
            <w:r>
              <w:t xml:space="preserve">≥ 90%</w:t>
            </w:r>
          </w:p>
        </w:tc>
        <w:tc>
          <w:tcPr/>
          <w:p>
            <w:pPr>
              <w:pStyle w:val="Compact"/>
              <w:jc w:val="left"/>
            </w:pPr>
            <w:r>
              <w:t xml:space="preserve">≥ 85%</w:t>
            </w:r>
          </w:p>
        </w:tc>
      </w:tr>
      <w:tr>
        <w:tc>
          <w:tcPr/>
          <w:p>
            <w:pPr>
              <w:pStyle w:val="Compact"/>
              <w:jc w:val="left"/>
            </w:pPr>
            <w:r>
              <w:t xml:space="preserve">Medication-Interaction Alerts</w:t>
            </w:r>
          </w:p>
        </w:tc>
        <w:tc>
          <w:tcPr/>
          <w:p>
            <w:pPr>
              <w:pStyle w:val="Compact"/>
              <w:jc w:val="left"/>
            </w:pPr>
            <w:r>
              <w:t xml:space="preserve">≥ 95%</w:t>
            </w:r>
          </w:p>
        </w:tc>
        <w:tc>
          <w:tcPr/>
          <w:p>
            <w:pPr>
              <w:pStyle w:val="Compact"/>
              <w:jc w:val="left"/>
            </w:pPr>
            <w:r>
              <w:t xml:space="preserve">≥ 90%</w:t>
            </w:r>
          </w:p>
        </w:tc>
      </w:tr>
    </w:tbl>
    <w:p>
      <w:pPr>
        <w:pStyle w:val="BlockText"/>
        <w:numPr>
          <w:ilvl w:val="0"/>
          <w:numId w:val="1016"/>
        </w:numPr>
      </w:pPr>
      <w:r>
        <w:rPr>
          <w:b/>
          <w:bCs/>
        </w:rPr>
        <w:t xml:space="preserve">Quarterly Validation.</w:t>
      </w:r>
      <w:r>
        <w:t xml:space="preserve"> </w:t>
      </w:r>
      <w:r>
        <w:t xml:space="preserve">Vendor shall conduct quarterly validation testing of each clinical module against the Performance Benchmarks using a statistically significant sample of Customer’s patient encounter data, with sample sizes and methodology per Exhibit C and NIST AI 100-1 guidelines, and independently validated by the Independent Auditor (Langford) under Tier 2 access. Vendor shall deliver a written validation report within thirty (30) days of the end of each calendar quarter, including sensitivity and specificity results, confidence intervals, sample sizes, methodology, and identification of any module falling below the applicable Benchmark.</w:t>
      </w:r>
    </w:p>
    <w:p>
      <w:pPr>
        <w:pStyle w:val="BlockText"/>
        <w:numPr>
          <w:ilvl w:val="0"/>
          <w:numId w:val="1016"/>
        </w:numPr>
      </w:pPr>
      <w:r>
        <w:rPr>
          <w:b/>
          <w:bCs/>
        </w:rPr>
        <w:t xml:space="preserve">Remediation Plan.</w:t>
      </w:r>
      <w:r>
        <w:t xml:space="preserve"> </w:t>
      </w:r>
      <w:r>
        <w:t xml:space="preserve">In the event any clinical module fails to meet its Performance Benchmark in any quarter, Vendor shall deliver a written root-cause analysis and remediation plan within fifteen (15) business days of delivery of the validation report, identifying the root cause, corrective actions, expected timeline, and interim risk-mitigation measures. Customer’s clinical informatics team shall approve the remediation plan within ten (10) business days of receipt.</w:t>
      </w:r>
    </w:p>
    <w:p>
      <w:pPr>
        <w:pStyle w:val="BlockText"/>
        <w:numPr>
          <w:ilvl w:val="0"/>
          <w:numId w:val="1016"/>
        </w:numPr>
      </w:pPr>
      <w:r>
        <w:rPr>
          <w:b/>
          <w:bCs/>
        </w:rPr>
        <w:t xml:space="preserve">Escalating Service Credits.</w:t>
      </w:r>
      <w:r>
        <w:t xml:space="preserve"> </w:t>
      </w:r>
      <w:r>
        <w:t xml:space="preserve">If any clinical module fails to meet its Performance Benchmark in a given quarter, Customer shall be entitled to credits against the next quarterly invoice, in addition to uptime credits under Section 9.2: (i) first quarterly miss (any module): 5% of quarterly fees ($106,875); (ii) second consecutive quarterly miss (same module): 10% of quarterly fees ($213,750); (iii) third or subsequent consecutive quarterly miss (same module): 15% of quarterly fees ($320,625). Credits reset to 5% after any quarter in which the Benchmark is met. Aggregate AI-accuracy credits in any quarter shall not exceed 20% of quarterly fees, exclusive of termination rights.</w:t>
      </w:r>
    </w:p>
    <w:p>
      <w:pPr>
        <w:pStyle w:val="BlockText"/>
        <w:numPr>
          <w:ilvl w:val="0"/>
          <w:numId w:val="1016"/>
        </w:numPr>
      </w:pPr>
      <w:r>
        <w:rPr>
          <w:b/>
          <w:bCs/>
        </w:rPr>
        <w:t xml:space="preserve">Termination Right for Persistent Failure.</w:t>
      </w:r>
      <w:r>
        <w:t xml:space="preserve"> </w:t>
      </w:r>
      <w:r>
        <w:t xml:space="preserve">If any clinical module fails to meet its Performance Benchmark for three (3) consecutive calendar quarters, Customer shall have the right to terminate this Agreement upon sixty (60) days’ written notice without payment of any early termination fee, with full transition assistance under Section 14.5. This right is in addition to, and does not limit, Customer’s termination rights under Sections 14.1 and 14.3.</w:t>
      </w:r>
    </w:p>
    <w:bookmarkEnd w:id="48"/>
    <w:bookmarkStart w:id="49" w:name="X4f55f34aff5e9852c030129ecd50f2aa58ad0b1"/>
    <w:p>
      <w:pPr>
        <w:pStyle w:val="Heading3"/>
      </w:pPr>
      <w:r>
        <w:t xml:space="preserve">(ii) Negotiation Rationale and Fallback Ladder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Benchmark Status</w:t>
            </w:r>
          </w:p>
        </w:tc>
        <w:tc>
          <w:tcPr/>
          <w:p>
            <w:pPr>
              <w:pStyle w:val="Compact"/>
              <w:jc w:val="left"/>
            </w:pPr>
            <w:r>
              <w:t xml:space="preserve">Credits</w:t>
            </w:r>
          </w:p>
        </w:tc>
        <w:tc>
          <w:tcPr/>
          <w:p>
            <w:pPr>
              <w:pStyle w:val="Compact"/>
              <w:jc w:val="left"/>
            </w:pPr>
            <w:r>
              <w:t xml:space="preserve">Termination Trigger</w:t>
            </w:r>
          </w:p>
        </w:tc>
        <w:tc>
          <w:tcPr/>
          <w:p>
            <w:pPr>
              <w:pStyle w:val="Compact"/>
              <w:jc w:val="left"/>
            </w:pPr>
            <w:r>
              <w:t xml:space="preserve">Status</w:t>
            </w:r>
          </w:p>
        </w:tc>
      </w:tr>
      <w:tr>
        <w:tc>
          <w:tcPr/>
          <w:p>
            <w:pPr>
              <w:pStyle w:val="Compact"/>
              <w:jc w:val="left"/>
            </w:pPr>
            <w:r>
              <w:t xml:space="preserve">Vendor opening (June 6)</w:t>
            </w:r>
          </w:p>
        </w:tc>
        <w:tc>
          <w:tcPr/>
          <w:p>
            <w:pPr>
              <w:pStyle w:val="Compact"/>
              <w:jc w:val="left"/>
            </w:pPr>
            <w:r>
              <w:t xml:space="preserve">Informational only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Rejected</w:t>
            </w:r>
          </w:p>
        </w:tc>
      </w:tr>
      <w:tr>
        <w:tc>
          <w:tcPr/>
          <w:p>
            <w:pPr>
              <w:pStyle w:val="Compact"/>
              <w:jc w:val="left"/>
            </w:pPr>
            <w:r>
              <w:t xml:space="preserve">Customer opening (June 20)</w:t>
            </w:r>
          </w:p>
        </w:tc>
        <w:tc>
          <w:tcPr/>
          <w:p>
            <w:pPr>
              <w:pStyle w:val="Compact"/>
              <w:jc w:val="left"/>
            </w:pPr>
            <w:r>
              <w:t xml:space="preserve">Binding</w:t>
            </w:r>
          </w:p>
        </w:tc>
        <w:tc>
          <w:tcPr/>
          <w:p>
            <w:pPr>
              <w:pStyle w:val="Compact"/>
              <w:jc w:val="left"/>
            </w:pPr>
            <w:r>
              <w:t xml:space="preserve">5%–15% per miss</w:t>
            </w:r>
          </w:p>
        </w:tc>
        <w:tc>
          <w:tcPr/>
          <w:p>
            <w:pPr>
              <w:pStyle w:val="Compact"/>
              <w:jc w:val="left"/>
            </w:pPr>
            <w:r>
              <w:t xml:space="preserve">2 consecutive misses</w:t>
            </w:r>
          </w:p>
        </w:tc>
        <w:tc>
          <w:tcPr/>
          <w:p>
            <w:pPr>
              <w:pStyle w:val="Compact"/>
              <w:jc w:val="left"/>
            </w:pPr>
            <w:r>
              <w:t xml:space="preserve">Opening</w:t>
            </w:r>
          </w:p>
        </w:tc>
      </w:tr>
      <w:tr>
        <w:tc>
          <w:tcPr/>
          <w:p>
            <w:pPr>
              <w:pStyle w:val="Compact"/>
              <w:jc w:val="left"/>
            </w:pPr>
            <w:r>
              <w:t xml:space="preserve">Vendor counter (June 30)</w:t>
            </w:r>
          </w:p>
        </w:tc>
        <w:tc>
          <w:tcPr/>
          <w:p>
            <w:pPr>
              <w:pStyle w:val="Compact"/>
              <w:jc w:val="left"/>
            </w:pPr>
            <w:r>
              <w:t xml:space="preserve">Informational; improvement plan only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Rejected</w:t>
            </w:r>
          </w:p>
        </w:tc>
      </w:tr>
      <w:tr>
        <w:tc>
          <w:tcPr/>
          <w:p>
            <w:pPr>
              <w:pStyle w:val="Compact"/>
              <w:jc w:val="left"/>
            </w:pPr>
            <w:r>
              <w:rPr>
                <w:b/>
                <w:bCs/>
              </w:rPr>
              <w:t xml:space="preserve">Compromise proposal</w:t>
            </w:r>
          </w:p>
        </w:tc>
        <w:tc>
          <w:tcPr/>
          <w:p>
            <w:pPr>
              <w:pStyle w:val="Compact"/>
              <w:jc w:val="left"/>
            </w:pPr>
            <w:r>
              <w:rPr>
                <w:b/>
                <w:bCs/>
              </w:rPr>
              <w:t xml:space="preserve">Binding</w:t>
            </w:r>
          </w:p>
        </w:tc>
        <w:tc>
          <w:tcPr/>
          <w:p>
            <w:pPr>
              <w:pStyle w:val="Compact"/>
              <w:jc w:val="left"/>
            </w:pPr>
            <w:r>
              <w:rPr>
                <w:b/>
                <w:bCs/>
              </w:rPr>
              <w:t xml:space="preserve">5% / 10% / 15% escalating</w:t>
            </w:r>
          </w:p>
        </w:tc>
        <w:tc>
          <w:tcPr/>
          <w:p>
            <w:pPr>
              <w:pStyle w:val="Compact"/>
              <w:jc w:val="left"/>
            </w:pPr>
            <w:r>
              <w:rPr>
                <w:b/>
                <w:bCs/>
              </w:rPr>
              <w:t xml:space="preserve">3 consecutive misses</w:t>
            </w:r>
          </w:p>
        </w:tc>
        <w:tc>
          <w:tcPr/>
          <w:p>
            <w:pPr>
              <w:pStyle w:val="Compact"/>
              <w:jc w:val="left"/>
            </w:pPr>
            <w:r>
              <w:rPr>
                <w:b/>
                <w:bCs/>
              </w:rPr>
              <w:t xml:space="preserve">Recommended landing zone (Playbook fallback)</w:t>
            </w:r>
          </w:p>
        </w:tc>
      </w:tr>
      <w:tr>
        <w:tc>
          <w:tcPr/>
          <w:p>
            <w:pPr>
              <w:pStyle w:val="Compact"/>
              <w:jc w:val="left"/>
            </w:pPr>
            <w:r>
              <w:t xml:space="preserve">Floor</w:t>
            </w:r>
          </w:p>
        </w:tc>
        <w:tc>
          <w:tcPr/>
          <w:p>
            <w:pPr>
              <w:pStyle w:val="Compact"/>
              <w:jc w:val="left"/>
            </w:pPr>
            <w:r>
              <w:t xml:space="preserve">Must be binding</w:t>
            </w:r>
          </w:p>
        </w:tc>
        <w:tc>
          <w:tcPr/>
          <w:p>
            <w:pPr>
              <w:pStyle w:val="Compact"/>
              <w:jc w:val="left"/>
            </w:pPr>
            <w:r>
              <w:t xml:space="preserve">—</w:t>
            </w:r>
          </w:p>
        </w:tc>
        <w:tc>
          <w:tcPr/>
          <w:p>
            <w:pPr>
              <w:pStyle w:val="Compact"/>
              <w:jc w:val="left"/>
            </w:pPr>
            <w:r>
              <w:t xml:space="preserve">No further than 3 consecutive misses</w:t>
            </w:r>
          </w:p>
        </w:tc>
        <w:tc>
          <w:tcPr/>
          <w:p>
            <w:pPr>
              <w:pStyle w:val="Compact"/>
              <w:jc w:val="left"/>
            </w:pPr>
            <w:r>
              <w:t xml:space="preserve">Non-negotiable</w:t>
            </w:r>
          </w:p>
        </w:tc>
      </w:tr>
    </w:tbl>
    <w:p>
      <w:pPr>
        <w:pStyle w:val="BodyText"/>
      </w:pPr>
      <w:r>
        <w:rPr>
          <w:b/>
          <w:bCs/>
        </w:rPr>
        <w:t xml:space="preserve">Rationale.</w:t>
      </w:r>
      <w:r>
        <w:t xml:space="preserve"> </w:t>
      </w:r>
      <w:r>
        <w:t xml:space="preserve">The compromise is the Playbook fallback, and it is the correct landing zone for a Priority 5 term. The benchmarks themselves (clinically calibrated by Meridian’s CMO and clinical informatics team) are not negotiable downward — they represent minimum acceptable performance for acute-care deployment. The concession to the Vendor is the</w:t>
      </w:r>
      <w:r>
        <w:t xml:space="preserve"> </w:t>
      </w:r>
      <w:r>
        <w:rPr>
          <w:b/>
          <w:bCs/>
        </w:rPr>
        <w:t xml:space="preserve">termination trigger</w:t>
      </w:r>
      <w:r>
        <w:t xml:space="preserve">: 3 consecutive misses rather than Customer’s opening of 2, giving the Vendor an additional quarter to remediate before the exit right activates. The escalating credits (5/10/15%) provide a graduated financial consequence for individual misses short of termination, and the 20% aggregate cap (a compromise between the Vendor’s 15% and Customer’s 25–30%) bounds the Vendor’s quarterly credit exposure.</w:t>
      </w:r>
    </w:p>
    <w:p>
      <w:pPr>
        <w:pStyle w:val="BodyText"/>
      </w:pPr>
      <w:r>
        <w:t xml:space="preserve">Independent validation by Langford (Tier 2) ties the SLA regime to the audit framework (Term 2), giving both parties a trusted measurement methodology and neutralizing the predictable dispute over whether a</w:t>
      </w:r>
      <w:r>
        <w:t xml:space="preserve"> </w:t>
      </w:r>
      <w:r>
        <w:t xml:space="preserve">“</w:t>
      </w:r>
      <w:r>
        <w:t xml:space="preserve">miss</w:t>
      </w:r>
      <w:r>
        <w:t xml:space="preserve">”</w:t>
      </w:r>
      <w:r>
        <w:t xml:space="preserve"> </w:t>
      </w:r>
      <w:r>
        <w:t xml:space="preserve">occurred. The remediation-plan requirement gives the Vendor a structured cure path consistent with its</w:t>
      </w:r>
      <w:r>
        <w:t xml:space="preserve"> </w:t>
      </w:r>
      <w:r>
        <w:t xml:space="preserve">“</w:t>
      </w:r>
      <w:r>
        <w:t xml:space="preserve">continuous improvement</w:t>
      </w:r>
      <w:r>
        <w:t xml:space="preserve">”</w:t>
      </w:r>
      <w:r>
        <w:t xml:space="preserve"> </w:t>
      </w:r>
      <w:r>
        <w:t xml:space="preserve">posture, while preserving binding consequences.</w:t>
      </w:r>
    </w:p>
    <w:p>
      <w:pPr>
        <w:pStyle w:val="BodyText"/>
      </w:pPr>
      <w:r>
        <w:rPr>
          <w:b/>
          <w:bCs/>
        </w:rPr>
        <w:t xml:space="preserve">Fallback.</w:t>
      </w:r>
      <w:r>
        <w:t xml:space="preserve"> </w:t>
      </w:r>
      <w:r>
        <w:t xml:space="preserve">Hold at binding benchmarks with the 3-miss trigger. The only further concession available is on the aggregate credit cap (could move toward 15% if necessary), but the binding nature and the 3-miss termination trigger are the floor and may not be conceded further without GC escalation.</w:t>
      </w:r>
    </w:p>
    <w:bookmarkEnd w:id="49"/>
    <w:bookmarkStart w:id="50" w:name="Xfc1d476b5fd4ffffaab09f41947e295a7a27781"/>
    <w:p>
      <w:pPr>
        <w:pStyle w:val="Heading3"/>
      </w:pPr>
      <w:r>
        <w:t xml:space="preserve">(iii) Acceptability Analysis for the Vendor Team</w:t>
      </w:r>
    </w:p>
    <w:p>
      <w:pPr>
        <w:pStyle w:val="FirstParagraph"/>
      </w:pPr>
      <w:r>
        <w:rPr>
          <w:b/>
          <w:bCs/>
        </w:rPr>
        <w:t xml:space="preserve">Sandra Hu (commercial flexibility).</w:t>
      </w:r>
      <w:r>
        <w:t xml:space="preserve"> </w:t>
      </w:r>
      <w:r>
        <w:t xml:space="preserve">Hu’s objection is that binding accuracy benchmarks are unprecedented and expose the Vendor to credits and termination for performance variability outside its control (data quality, population mix). The response: (a) the benchmarks are clinically calibrated minimums, not stretch targets, and are measured by an agreed, Langford-validated methodology that controls for data-quality and population variables; (b) the 3-miss trigger (not 2) gives the Vendor a full extra quarter to remediate before any termination right — this is a meaningful runway; (c) credits are capped at 20% of quarterly fees and reset on cure, so exposure is bounded and temporary; and (d) the remediation-plan mechanism formalizes the Vendor’s own</w:t>
      </w:r>
      <w:r>
        <w:t xml:space="preserve"> </w:t>
      </w:r>
      <w:r>
        <w:t xml:space="preserve">“</w:t>
      </w:r>
      <w:r>
        <w:t xml:space="preserve">continuous improvement</w:t>
      </w:r>
      <w:r>
        <w:t xml:space="preserve">”</w:t>
      </w:r>
      <w:r>
        <w:t xml:space="preserve"> </w:t>
      </w:r>
      <w:r>
        <w:t xml:space="preserve">commitment, converting an aspirational posture into a structured, cure-oriented process. The Vendor is not being asked to guarantee perfection — only to stand behind minimum clinically acceptable performance for a tool that influences patient care, with a fair cure runway.</w:t>
      </w:r>
    </w:p>
    <w:p>
      <w:pPr>
        <w:pStyle w:val="BodyText"/>
      </w:pPr>
      <w:r>
        <w:rPr>
          <w:b/>
          <w:bCs/>
        </w:rPr>
        <w:t xml:space="preserve">Rafael Bowen (liability).</w:t>
      </w:r>
      <w:r>
        <w:t xml:space="preserve"> </w:t>
      </w:r>
      <w:r>
        <w:t xml:space="preserve">Bowen may argue that binding benchmarks create a backdoor liability path. The response: the SLA credits and termination right are the</w:t>
      </w:r>
      <w:r>
        <w:t xml:space="preserve"> </w:t>
      </w:r>
      <w:r>
        <w:rPr>
          <w:b/>
          <w:bCs/>
        </w:rPr>
        <w:t xml:space="preserve">agreed exclusive SLA remedies</w:t>
      </w:r>
      <w:r>
        <w:t xml:space="preserve"> </w:t>
      </w:r>
      <w:r>
        <w:t xml:space="preserve">for benchmark misses and are bounded; they do not expand the liability caps in Article 12. Patient-safety liability flows through the super-cap (Term 1) and indemnification (Term 7), not through the SLA. The SLA regime is a performance-accountability mechanism, not a damages multiplier.</w:t>
      </w:r>
    </w:p>
    <w:bookmarkEnd w:id="50"/>
    <w:bookmarkStart w:id="51" w:name="Xa1d982657027f57109828fc449d8b7ac9673e8b"/>
    <w:p>
      <w:pPr>
        <w:pStyle w:val="Heading3"/>
      </w:pPr>
      <w:r>
        <w:t xml:space="preserve">(iv) Regulatory and Compliance Constraints</w:t>
      </w:r>
    </w:p>
    <w:p>
      <w:pPr>
        <w:pStyle w:val="Compact"/>
        <w:numPr>
          <w:ilvl w:val="0"/>
          <w:numId w:val="1017"/>
        </w:numPr>
      </w:pPr>
      <w:r>
        <w:rPr>
          <w:b/>
          <w:bCs/>
        </w:rPr>
        <w:t xml:space="preserve">FDA clinical decision-support guidance.</w:t>
      </w:r>
      <w:r>
        <w:t xml:space="preserve"> </w:t>
      </w:r>
      <w:r>
        <w:t xml:space="preserve">Binding accuracy benchmarks are consistent with — and supportive of — the FDA’s evolving framework for clinical decision-support software, which emphasizes demonstrated performance and ongoing monitoring. The radiology module’s potential device-status question makes binding imaging-triage benchmarks especially important. The measurement methodology (NIST AI 100-1, statistically significant samples, 95% confidence intervals) is regulatorily defensible.</w:t>
      </w:r>
    </w:p>
    <w:p>
      <w:pPr>
        <w:pStyle w:val="Compact"/>
        <w:numPr>
          <w:ilvl w:val="0"/>
          <w:numId w:val="1017"/>
        </w:numPr>
      </w:pPr>
      <w:r>
        <w:rPr>
          <w:b/>
          <w:bCs/>
        </w:rPr>
        <w:t xml:space="preserve">NJ Act.</w:t>
      </w:r>
      <w:r>
        <w:t xml:space="preserve"> </w:t>
      </w:r>
      <w:r>
        <w:t xml:space="preserve">The quarterly validation reports and the annual comprehensive audit (Term 2) together satisfy the NJ Act’s documentation and audit requirements for the three New Jersey facilities; the SLA validation feeds the transparency documentation maintained for NJ DOH production.</w:t>
      </w:r>
    </w:p>
    <w:p>
      <w:pPr>
        <w:pStyle w:val="Compact"/>
        <w:numPr>
          <w:ilvl w:val="0"/>
          <w:numId w:val="1017"/>
        </w:numPr>
      </w:pPr>
      <w:r>
        <w:rPr>
          <w:b/>
          <w:bCs/>
        </w:rPr>
        <w:t xml:space="preserve">Patient safety (Tier 1).</w:t>
      </w:r>
      <w:r>
        <w:t xml:space="preserve"> </w:t>
      </w:r>
      <w:r>
        <w:t xml:space="preserve">Binding benchmarks are a patient-safety protection: a clinical decision-support tool that persistently underperforms its minimum thresholds creates direct patient-safety risk across 14 facilities. The 3-miss termination right ensures Meridian is not forced to continue deploying a non-performing clinical tool — a structural protection the Board Risk Committee will expect to see.</w:t>
      </w:r>
    </w:p>
    <w:p>
      <w:pPr>
        <w:pStyle w:val="Compact"/>
        <w:numPr>
          <w:ilvl w:val="0"/>
          <w:numId w:val="1017"/>
        </w:numPr>
      </w:pPr>
      <w:r>
        <w:rPr>
          <w:b/>
          <w:bCs/>
        </w:rPr>
        <w:t xml:space="preserve">HIPAA.</w:t>
      </w:r>
      <w:r>
        <w:t xml:space="preserve"> </w:t>
      </w:r>
      <w:r>
        <w:t xml:space="preserve">Validation datasets used in testing must be de-identified per Safe Harbor / Expert Determination; the Langford Tier 2 secure-environment protocols satisfy PHI-protection requirements during validation.</w:t>
      </w:r>
    </w:p>
    <w:p>
      <w:r>
        <w:pict>
          <v:rect style="width:0;height:1.5pt" o:hralign="center" o:hrstd="t" o:hr="t"/>
        </w:pict>
      </w:r>
    </w:p>
    <w:bookmarkEnd w:id="51"/>
    <w:bookmarkEnd w:id="52"/>
    <w:bookmarkStart w:id="57" w:name="X07e3afabfac2c4f5b3cff56efb8f10068dbec35"/>
    <w:p>
      <w:pPr>
        <w:pStyle w:val="Heading2"/>
      </w:pPr>
      <w:r>
        <w:t xml:space="preserve">TERM 6 — IP OWNERSHIP (MODEL WEIGHTS, FINE-TUNED ADAPTATIONS)</w:t>
      </w:r>
    </w:p>
    <w:p>
      <w:pPr>
        <w:pStyle w:val="FirstParagraph"/>
      </w:pPr>
      <w:r>
        <w:rPr>
          <w:b/>
          <w:bCs/>
        </w:rPr>
        <w:t xml:space="preserve">Priority: 6. Agreement Sections: §6.1–6.5; §2.5 (portability). Related: Term 2 (audit); Term 3 (transition portability).</w:t>
      </w:r>
    </w:p>
    <w:p>
      <w:pPr>
        <w:pStyle w:val="BodyText"/>
      </w:pPr>
      <w:r>
        <w:t xml:space="preserve">The Vendor CTO’s</w:t>
      </w:r>
      <w:r>
        <w:t xml:space="preserve"> </w:t>
      </w:r>
      <w:r>
        <w:t xml:space="preserve">“</w:t>
      </w:r>
      <w:r>
        <w:t xml:space="preserve">hard no</w:t>
      </w:r>
      <w:r>
        <w:t xml:space="preserve">”</w:t>
      </w:r>
      <w:r>
        <w:t xml:space="preserve"> </w:t>
      </w:r>
      <w:r>
        <w:t xml:space="preserve">on raw model-weight access/ownership is genuine and deeply held. Per the strategic guidance, Meridian should not spend negotiating capital fighting for ownership; the practical value lies in an irrevocable perpetual license with portability rights — the Playbook’s final fallback.</w:t>
      </w:r>
    </w:p>
    <w:bookmarkStart w:id="53" w:name="i-proposed-contract-clause-language-5"/>
    <w:p>
      <w:pPr>
        <w:pStyle w:val="Heading3"/>
      </w:pPr>
      <w:r>
        <w:t xml:space="preserve">(i) Proposed Contract Clause Language</w:t>
      </w:r>
    </w:p>
    <w:p>
      <w:pPr>
        <w:pStyle w:val="FirstParagraph"/>
      </w:pPr>
      <w:r>
        <w:rPr>
          <w:b/>
          <w:bCs/>
        </w:rPr>
        <w:t xml:space="preserve">§6.1 Vendor IP.</w:t>
      </w:r>
      <w:r>
        <w:t xml:space="preserve"> </w:t>
      </w:r>
      <w:r>
        <w:t xml:space="preserve">Vendor retains all right, title, and interest in and to the Platform, all Model IP (including base model architectures, pre-trained weights, parameters, embeddings, training methodologies, and proprietary algorithms), and all improvements, modifications, enhancements, and derivative works thereof, whether developed before, during, or after the Term. No transfer of ownership of any Vendor IP is intended or effected under this Agreement.</w:t>
      </w:r>
    </w:p>
    <w:p>
      <w:pPr>
        <w:pStyle w:val="BodyText"/>
      </w:pPr>
      <w:r>
        <w:rPr>
          <w:b/>
          <w:bCs/>
        </w:rPr>
        <w:t xml:space="preserve">§6.2 Fine-Tuned Adaptations — Vendor Ownership with Irrevocable Perpetual License.</w:t>
      </w:r>
    </w:p>
    <w:p>
      <w:pPr>
        <w:pStyle w:val="BlockText"/>
        <w:numPr>
          <w:ilvl w:val="0"/>
          <w:numId w:val="1018"/>
        </w:numPr>
      </w:pPr>
      <w:r>
        <w:rPr>
          <w:b/>
          <w:bCs/>
        </w:rPr>
        <w:t xml:space="preserve">Vendor Ownership.</w:t>
      </w:r>
      <w:r>
        <w:t xml:space="preserve"> </w:t>
      </w:r>
      <w:r>
        <w:t xml:space="preserve">All fine-tuned model weights, parameters, configurations, embeddings, and Derivative Data generated through the operation of the Platform, including those generated using Customer Data, Customer’s clinical protocols, workflows, or patient-population characteristics, are and shall remain the property of Vendor, subject to the license granted in subsection (b). The Parties acknowledge that fine-tuned adaptations are technically integrated with Vendor’s base model architecture.</w:t>
      </w:r>
    </w:p>
    <w:p>
      <w:pPr>
        <w:pStyle w:val="BlockText"/>
        <w:numPr>
          <w:ilvl w:val="0"/>
          <w:numId w:val="1018"/>
        </w:numPr>
      </w:pPr>
      <w:r>
        <w:rPr>
          <w:b/>
          <w:bCs/>
        </w:rPr>
        <w:t xml:space="preserve">Irrevocable Perpetual License.</w:t>
      </w:r>
      <w:r>
        <w:t xml:space="preserve"> </w:t>
      </w:r>
      <w:r>
        <w:t xml:space="preserve">Vendor hereby grants Customer a non-exclusive,</w:t>
      </w:r>
      <w:r>
        <w:t xml:space="preserve"> </w:t>
      </w:r>
      <w:r>
        <w:rPr>
          <w:b/>
          <w:bCs/>
        </w:rPr>
        <w:t xml:space="preserve">irrevocable, perpetual, fully paid-up, royalty-free</w:t>
      </w:r>
      <w:r>
        <w:t xml:space="preserve"> </w:t>
      </w:r>
      <w:r>
        <w:t xml:space="preserve">license to use, copy, modify, and create derivative works from the fine-tuned model weights, parameters, configurations, embeddings, and Derivative Data generated through the use of Customer Data, for any purpose, including use in connection with any successor platform or clinical decision-support system or on Customer-owned computing resources. This license is irrevocable and may not be terminated by Vendor for any reason, including breach of this Agreement.</w:t>
      </w:r>
    </w:p>
    <w:p>
      <w:pPr>
        <w:pStyle w:val="BlockText"/>
        <w:numPr>
          <w:ilvl w:val="0"/>
          <w:numId w:val="1018"/>
        </w:numPr>
      </w:pPr>
      <w:r>
        <w:rPr>
          <w:b/>
          <w:bCs/>
        </w:rPr>
        <w:t xml:space="preserve">Portability Rights.</w:t>
      </w:r>
      <w:r>
        <w:t xml:space="preserve"> </w:t>
      </w:r>
      <w:r>
        <w:t xml:space="preserve">Customer shall have full portability rights, including the right to export the fine-tuned model weights, parameters, configurations, embeddings, and Derivative Data in documented, machine-readable formats and to operate them on alternative infrastructure, with a successor vendor, or on Customer-owned computing resources. Vendor shall provide all technical documentation and assistance reasonably necessary to enable Customer to exercise its portability rights, including data schemas, model artifacts in deployable form, and API specifications. If the fine-tuned layer is not technically separable from the base model in a form that permits independent deployment, Vendor shall provide a functionally equivalent portability mechanism (such as continued API access to the fine-tuned model or a transition service) sufficient to preserve Customer’s operational continuity.</w:t>
      </w:r>
    </w:p>
    <w:p>
      <w:pPr>
        <w:pStyle w:val="BlockText"/>
        <w:numPr>
          <w:ilvl w:val="0"/>
          <w:numId w:val="1018"/>
        </w:numPr>
      </w:pPr>
      <w:r>
        <w:rPr>
          <w:b/>
          <w:bCs/>
        </w:rPr>
        <w:t xml:space="preserve">Survival.</w:t>
      </w:r>
      <w:r>
        <w:t xml:space="preserve"> </w:t>
      </w:r>
      <w:r>
        <w:t xml:space="preserve">The license and portability rights granted in this Section 6.2 shall survive termination or expiration of this Agreement for any reason, including termination for cause by Vendor. The survival of these rights is a material inducement to Customer’s entry into this Agreement and is non-negotiable.</w:t>
      </w:r>
    </w:p>
    <w:p>
      <w:pPr>
        <w:pStyle w:val="BlockText"/>
        <w:numPr>
          <w:ilvl w:val="0"/>
          <w:numId w:val="1018"/>
        </w:numPr>
      </w:pPr>
      <w:r>
        <w:rPr>
          <w:b/>
          <w:bCs/>
        </w:rPr>
        <w:t xml:space="preserve">No License to Base Model.</w:t>
      </w:r>
      <w:r>
        <w:t xml:space="preserve"> </w:t>
      </w:r>
      <w:r>
        <w:t xml:space="preserve">The license in subsection (b) does not convey any right to Vendor’s pre-existing base model, base-model weights, or proprietary algorithms independent of the fine-tuned adaptations generated using Customer Data. Customer acknowledges that the base model is Vendor’s proprietary technology.</w:t>
      </w:r>
    </w:p>
    <w:p>
      <w:pPr>
        <w:pStyle w:val="FirstParagraph"/>
      </w:pPr>
      <w:r>
        <w:rPr>
          <w:b/>
          <w:bCs/>
        </w:rPr>
        <w:t xml:space="preserve">§2.4 Output License.</w:t>
      </w:r>
      <w:r>
        <w:t xml:space="preserve"> </w:t>
      </w:r>
      <w:r>
        <w:t xml:space="preserve">[Retain as drafted in the Customer redline — non-exclusive, perpetual, royalty-free license to use Outputs for internal clinical, operational, regulatory, and quality-improvement purposes, surviving termination.]</w:t>
      </w:r>
    </w:p>
    <w:bookmarkEnd w:id="53"/>
    <w:bookmarkStart w:id="54" w:name="Xd88add30a62b32638cb0cd397f2bd65a1632d38"/>
    <w:p>
      <w:pPr>
        <w:pStyle w:val="Heading3"/>
      </w:pPr>
      <w:r>
        <w:t xml:space="preserve">(ii) Negotiation Rationale and Fallback Ladder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Ownership</w:t>
            </w:r>
          </w:p>
        </w:tc>
        <w:tc>
          <w:tcPr/>
          <w:p>
            <w:pPr>
              <w:pStyle w:val="Compact"/>
              <w:jc w:val="left"/>
            </w:pPr>
            <w:r>
              <w:t xml:space="preserve">Customer Rights</w:t>
            </w:r>
          </w:p>
        </w:tc>
        <w:tc>
          <w:tcPr/>
          <w:p>
            <w:pPr>
              <w:pStyle w:val="Compact"/>
              <w:jc w:val="left"/>
            </w:pPr>
            <w:r>
              <w:t xml:space="preserve">Portability</w:t>
            </w:r>
          </w:p>
        </w:tc>
        <w:tc>
          <w:tcPr/>
          <w:p>
            <w:pPr>
              <w:pStyle w:val="Compact"/>
              <w:jc w:val="left"/>
            </w:pPr>
            <w:r>
              <w:t xml:space="preserve">Status</w:t>
            </w:r>
          </w:p>
        </w:tc>
      </w:tr>
      <w:tr>
        <w:tc>
          <w:tcPr/>
          <w:p>
            <w:pPr>
              <w:pStyle w:val="Compact"/>
              <w:jc w:val="left"/>
            </w:pPr>
            <w:r>
              <w:t xml:space="preserve">Vendor opening/counter (June 6/30)</w:t>
            </w:r>
          </w:p>
        </w:tc>
        <w:tc>
          <w:tcPr/>
          <w:p>
            <w:pPr>
              <w:pStyle w:val="Compact"/>
              <w:jc w:val="left"/>
            </w:pPr>
            <w:r>
              <w:t xml:space="preserve">Vendor owns all (incl. fine-tuned)</w:t>
            </w:r>
          </w:p>
        </w:tc>
        <w:tc>
          <w:tcPr/>
          <w:p>
            <w:pPr>
              <w:pStyle w:val="Compact"/>
              <w:jc w:val="left"/>
            </w:pPr>
            <w:r>
              <w:t xml:space="preserve">Output license only; no weight rights</w:t>
            </w:r>
          </w:p>
        </w:tc>
        <w:tc>
          <w:tcPr/>
          <w:p>
            <w:pPr>
              <w:pStyle w:val="Compact"/>
              <w:jc w:val="left"/>
            </w:pPr>
            <w:r>
              <w:t xml:space="preserve">None (weights not portable)</w:t>
            </w:r>
          </w:p>
        </w:tc>
        <w:tc>
          <w:tcPr/>
          <w:p>
            <w:pPr>
              <w:pStyle w:val="Compact"/>
              <w:jc w:val="left"/>
            </w:pPr>
            <w:r>
              <w:t xml:space="preserve">Opening</w:t>
            </w:r>
          </w:p>
        </w:tc>
      </w:tr>
      <w:tr>
        <w:tc>
          <w:tcPr/>
          <w:p>
            <w:pPr>
              <w:pStyle w:val="Compact"/>
              <w:jc w:val="left"/>
            </w:pPr>
            <w:r>
              <w:t xml:space="preserve">Customer opening (June 20)</w:t>
            </w:r>
          </w:p>
        </w:tc>
        <w:tc>
          <w:tcPr/>
          <w:p>
            <w:pPr>
              <w:pStyle w:val="Compact"/>
              <w:jc w:val="left"/>
            </w:pPr>
            <w:r>
              <w:t xml:space="preserve">Customer owns fine-tuned + derivative data</w:t>
            </w:r>
          </w:p>
        </w:tc>
        <w:tc>
          <w:tcPr/>
          <w:p>
            <w:pPr>
              <w:pStyle w:val="Compact"/>
              <w:jc w:val="left"/>
            </w:pPr>
            <w:r>
              <w:t xml:space="preserve">Full ownership</w:t>
            </w:r>
          </w:p>
        </w:tc>
        <w:tc>
          <w:tcPr/>
          <w:p>
            <w:pPr>
              <w:pStyle w:val="Compact"/>
              <w:jc w:val="left"/>
            </w:pPr>
            <w:r>
              <w:t xml:space="preserve">Full portability</w:t>
            </w:r>
          </w:p>
        </w:tc>
        <w:tc>
          <w:tcPr/>
          <w:p>
            <w:pPr>
              <w:pStyle w:val="Compact"/>
              <w:jc w:val="left"/>
            </w:pPr>
            <w:r>
              <w:t xml:space="preserve">Opening</w:t>
            </w:r>
          </w:p>
        </w:tc>
      </w:tr>
      <w:tr>
        <w:tc>
          <w:tcPr/>
          <w:p>
            <w:pPr>
              <w:pStyle w:val="Compact"/>
              <w:jc w:val="left"/>
            </w:pPr>
            <w:r>
              <w:rPr>
                <w:b/>
                <w:bCs/>
              </w:rPr>
              <w:t xml:space="preserve">Compromise proposal</w:t>
            </w:r>
          </w:p>
        </w:tc>
        <w:tc>
          <w:tcPr/>
          <w:p>
            <w:pPr>
              <w:pStyle w:val="Compact"/>
              <w:jc w:val="left"/>
            </w:pPr>
            <w:r>
              <w:rPr>
                <w:b/>
                <w:bCs/>
              </w:rPr>
              <w:t xml:space="preserve">Vendor owns all</w:t>
            </w:r>
          </w:p>
        </w:tc>
        <w:tc>
          <w:tcPr/>
          <w:p>
            <w:pPr>
              <w:pStyle w:val="Compact"/>
              <w:jc w:val="left"/>
            </w:pPr>
            <w:r>
              <w:rPr>
                <w:b/>
                <w:bCs/>
              </w:rPr>
              <w:t xml:space="preserve">Irrevocable perpetual license to fine-tuned layer</w:t>
            </w:r>
          </w:p>
        </w:tc>
        <w:tc>
          <w:tcPr/>
          <w:p>
            <w:pPr>
              <w:pStyle w:val="Compact"/>
              <w:jc w:val="left"/>
            </w:pPr>
            <w:r>
              <w:rPr>
                <w:b/>
                <w:bCs/>
              </w:rPr>
              <w:t xml:space="preserve">Full portability; survives termination</w:t>
            </w:r>
          </w:p>
        </w:tc>
        <w:tc>
          <w:tcPr/>
          <w:p>
            <w:pPr>
              <w:pStyle w:val="Compact"/>
              <w:jc w:val="left"/>
            </w:pPr>
            <w:r>
              <w:rPr>
                <w:b/>
                <w:bCs/>
              </w:rPr>
              <w:t xml:space="preserve">Recommended landing zone (Playbook final fallback)</w:t>
            </w:r>
          </w:p>
        </w:tc>
      </w:tr>
      <w:tr>
        <w:tc>
          <w:tcPr/>
          <w:p>
            <w:pPr>
              <w:pStyle w:val="Compact"/>
              <w:jc w:val="left"/>
            </w:pPr>
            <w:r>
              <w:t xml:space="preserve">Floor</w:t>
            </w:r>
          </w:p>
        </w:tc>
        <w:tc>
          <w:tcPr/>
          <w:p>
            <w:pPr>
              <w:pStyle w:val="Compact"/>
              <w:jc w:val="left"/>
            </w:pPr>
            <w:r>
              <w:t xml:space="preserve">—</w:t>
            </w:r>
          </w:p>
        </w:tc>
        <w:tc>
          <w:tcPr/>
          <w:p>
            <w:pPr>
              <w:pStyle w:val="Compact"/>
              <w:jc w:val="left"/>
            </w:pPr>
            <w:r>
              <w:t xml:space="preserve">Must include perpetual license + portability</w:t>
            </w:r>
          </w:p>
        </w:tc>
        <w:tc>
          <w:tcPr/>
          <w:p>
            <w:pPr>
              <w:pStyle w:val="Compact"/>
              <w:jc w:val="left"/>
            </w:pPr>
            <w:r>
              <w:t xml:space="preserve">Escalate to GC if refused</w:t>
            </w:r>
          </w:p>
        </w:tc>
        <w:tc>
          <w:tcPr/>
          <w:p>
            <w:pPr>
              <w:pStyle w:val="Compact"/>
              <w:jc w:val="left"/>
            </w:pPr>
            <w:r>
              <w:t xml:space="preserve">Non-negotiable</w:t>
            </w:r>
          </w:p>
        </w:tc>
      </w:tr>
    </w:tbl>
    <w:p>
      <w:pPr>
        <w:pStyle w:val="BodyText"/>
      </w:pPr>
      <w:r>
        <w:rPr>
          <w:b/>
          <w:bCs/>
        </w:rPr>
        <w:t xml:space="preserve">Rationale.</w:t>
      </w:r>
      <w:r>
        <w:t xml:space="preserve"> </w:t>
      </w:r>
      <w:r>
        <w:t xml:space="preserve">The compromise concedes ownership — the issue on which the Vendor CTO has drawn a categorical line — and instead secures the rights that deliver Meridian’s practical value: an irrevocable, perpetual license to the fine-tuned layer (the delta created using Meridian’s data and clinical context) plus full portability that survives termination for any reason. This is the Playbook’s final fallback, and it is the correct landing zone for a Priority 6 term where the Vendor’s position is deeply held and Meridian’s functional needs are met by license + portability rather than title.</w:t>
      </w:r>
    </w:p>
    <w:p>
      <w:pPr>
        <w:pStyle w:val="BodyText"/>
      </w:pPr>
      <w:r>
        <w:t xml:space="preserve">The critical provisions are: (i)</w:t>
      </w:r>
      <w:r>
        <w:t xml:space="preserve"> </w:t>
      </w:r>
      <w:r>
        <w:rPr>
          <w:b/>
          <w:bCs/>
        </w:rPr>
        <w:t xml:space="preserve">irrevocability</w:t>
      </w:r>
      <w:r>
        <w:t xml:space="preserve"> </w:t>
      </w:r>
      <w:r>
        <w:t xml:space="preserve">— the license cannot be terminated by the Vendor, including for breach, eliminating the risk that a termination dispute strips Meridian of access to its fine-tuned models; (ii)</w:t>
      </w:r>
      <w:r>
        <w:t xml:space="preserve"> </w:t>
      </w:r>
      <w:r>
        <w:rPr>
          <w:b/>
          <w:bCs/>
        </w:rPr>
        <w:t xml:space="preserve">survival</w:t>
      </w:r>
      <w:r>
        <w:t xml:space="preserve"> </w:t>
      </w:r>
      <w:r>
        <w:t xml:space="preserve">— the rights outlast the Agreement for any reason; and (iii)</w:t>
      </w:r>
      <w:r>
        <w:t xml:space="preserve"> </w:t>
      </w:r>
      <w:r>
        <w:rPr>
          <w:b/>
          <w:bCs/>
        </w:rPr>
        <w:t xml:space="preserve">functional portability</w:t>
      </w:r>
      <w:r>
        <w:t xml:space="preserve"> </w:t>
      </w:r>
      <w:r>
        <w:t xml:space="preserve">— if the fine-tuned layer is not technically separable from the base model (the Vendor’s stated position), the Vendor must provide a functionally equivalent mechanism (continued API access or a transition service) that preserves Meridian’s operational continuity. This last provision is essential: it prevents the Vendor from using</w:t>
      </w:r>
      <w:r>
        <w:t xml:space="preserve"> </w:t>
      </w:r>
      <w:r>
        <w:t xml:space="preserve">“</w:t>
      </w:r>
      <w:r>
        <w:t xml:space="preserve">technical inseparability</w:t>
      </w:r>
      <w:r>
        <w:t xml:space="preserve">”</w:t>
      </w:r>
      <w:r>
        <w:t xml:space="preserve"> </w:t>
      </w:r>
      <w:r>
        <w:t xml:space="preserve">as a shield to deny Meridian any practical portability, which is the Playbook’s specific concern (§ 4.5).</w:t>
      </w:r>
    </w:p>
    <w:p>
      <w:pPr>
        <w:pStyle w:val="BodyText"/>
      </w:pPr>
      <w:r>
        <w:rPr>
          <w:b/>
          <w:bCs/>
        </w:rPr>
        <w:t xml:space="preserve">Why not fight for ownership.</w:t>
      </w:r>
      <w:r>
        <w:t xml:space="preserve"> </w:t>
      </w:r>
      <w:r>
        <w:t xml:space="preserve">The CTO’s</w:t>
      </w:r>
      <w:r>
        <w:t xml:space="preserve"> </w:t>
      </w:r>
      <w:r>
        <w:t xml:space="preserve">“</w:t>
      </w:r>
      <w:r>
        <w:t xml:space="preserve">hard no</w:t>
      </w:r>
      <w:r>
        <w:t xml:space="preserve">”</w:t>
      </w:r>
      <w:r>
        <w:t xml:space="preserve"> </w:t>
      </w:r>
      <w:r>
        <w:t xml:space="preserve">on weight ownership is genuine, and ownership is Priority 6. Spending capital here would yield little and would deplete leverage needed for Priorities 1–3. The perpetual license with portability gives Meridian what it functionally needs — the ability to continue using its fine-tuned models and to switch vendors without losing the value created from its data — without provoking a fight the Vendor will not concede.</w:t>
      </w:r>
    </w:p>
    <w:p>
      <w:pPr>
        <w:pStyle w:val="BodyText"/>
      </w:pPr>
      <w:r>
        <w:rPr>
          <w:b/>
          <w:bCs/>
        </w:rPr>
        <w:t xml:space="preserve">Fallback.</w:t>
      </w:r>
      <w:r>
        <w:t xml:space="preserve"> </w:t>
      </w:r>
      <w:r>
        <w:t xml:space="preserve">There is no fallback below this position. If the Vendor refuses an irrevocable perpetual license with portability, the matter must be escalated to Dr. Narayanan for GC-level evaluation and potential deal termination — this is the Playbook’s red line.</w:t>
      </w:r>
    </w:p>
    <w:bookmarkEnd w:id="54"/>
    <w:bookmarkStart w:id="55" w:name="X69ee5fd0cecdc7d44fbaaf498bec5e26a99f300"/>
    <w:p>
      <w:pPr>
        <w:pStyle w:val="Heading3"/>
      </w:pPr>
      <w:r>
        <w:t xml:space="preserve">(iii) Acceptability Analysis for the Vendor Team</w:t>
      </w:r>
    </w:p>
    <w:p>
      <w:pPr>
        <w:pStyle w:val="FirstParagraph"/>
      </w:pPr>
      <w:r>
        <w:rPr>
          <w:b/>
          <w:bCs/>
        </w:rPr>
        <w:t xml:space="preserve">Sandra Hu (commercial flexibility).</w:t>
      </w:r>
      <w:r>
        <w:t xml:space="preserve"> </w:t>
      </w:r>
      <w:r>
        <w:t xml:space="preserve">The compromise gives the Vendor exactly what it wants on ownership — Vendor retains title to all model IP, including fine-tuned adaptations. The perpetual license is a use right, not a transfer of title, and is limited to the fine-tuned layer generated from Meridian’s data (not the base model). This is consistent with the Vendor’s own June 30 counter, which offered a</w:t>
      </w:r>
      <w:r>
        <w:t xml:space="preserve"> </w:t>
      </w:r>
      <w:r>
        <w:t xml:space="preserve">“</w:t>
      </w:r>
      <w:r>
        <w:t xml:space="preserve">perpetual output and data set license</w:t>
      </w:r>
      <w:r>
        <w:t xml:space="preserve">”</w:t>
      </w:r>
      <w:r>
        <w:t xml:space="preserve"> </w:t>
      </w:r>
      <w:r>
        <w:t xml:space="preserve">— the compromise extends that concept to the fine-tuned model layer, which is the incremental ask. Hu should view this as the Vendor keeping its IP while granting a bounded, customer-specific license.</w:t>
      </w:r>
    </w:p>
    <w:p>
      <w:pPr>
        <w:pStyle w:val="BodyText"/>
      </w:pPr>
      <w:r>
        <w:rPr>
          <w:b/>
          <w:bCs/>
        </w:rPr>
        <w:t xml:space="preserve">Rafael Bowen / CTO (IP protection).</w:t>
      </w:r>
      <w:r>
        <w:t xml:space="preserve"> </w:t>
      </w:r>
      <w:r>
        <w:t xml:space="preserve">The CTO’s concern is model replication and reverse-engineering. The response: (a) the license is to the</w:t>
      </w:r>
      <w:r>
        <w:t xml:space="preserve"> </w:t>
      </w:r>
      <w:r>
        <w:rPr>
          <w:b/>
          <w:bCs/>
        </w:rPr>
        <w:t xml:space="preserve">fine-tuned layer</w:t>
      </w:r>
      <w:r>
        <w:t xml:space="preserve"> </w:t>
      </w:r>
      <w:r>
        <w:t xml:space="preserve">(the delta from Meridian’s data), not the base model — the Vendor’s foundational IP is expressly excluded (§6.2(e)); (b) the license is non-exclusive, so it does not prevent the Vendor from using the same fine-tuned adaptations elsewhere; (c) portability is for</w:t>
      </w:r>
      <w:r>
        <w:t xml:space="preserve"> </w:t>
      </w:r>
      <w:r>
        <w:rPr>
          <w:b/>
          <w:bCs/>
        </w:rPr>
        <w:t xml:space="preserve">operational continuity</w:t>
      </w:r>
      <w:r>
        <w:t xml:space="preserve"> </w:t>
      </w:r>
      <w:r>
        <w:t xml:space="preserve">(running the fine-tuned model on alternative infrastructure), not for reverse-engineering the base model — the reverse-engineering prohibitions in §2.6 remain in force; and (d) the functional-portability mechanism (continued API access or transition service) is available if technical inseparability makes weight export infeasible, so the Vendor is not required to do something technically impossible. The Langford audit framework (Term 2) provides the independent verification Meridian needs without weight extraction, further reducing IP-exposure concerns.</w:t>
      </w:r>
    </w:p>
    <w:bookmarkEnd w:id="55"/>
    <w:bookmarkStart w:id="56" w:name="Xdc5e4d403da2bcd5a2f1b138216b34bb34f9556"/>
    <w:p>
      <w:pPr>
        <w:pStyle w:val="Heading3"/>
      </w:pPr>
      <w:r>
        <w:t xml:space="preserve">(iv) Regulatory and Compliance Constraints</w:t>
      </w:r>
    </w:p>
    <w:p>
      <w:pPr>
        <w:pStyle w:val="Compact"/>
        <w:numPr>
          <w:ilvl w:val="0"/>
          <w:numId w:val="1019"/>
        </w:numPr>
      </w:pPr>
      <w:r>
        <w:rPr>
          <w:b/>
          <w:bCs/>
        </w:rPr>
        <w:t xml:space="preserve">NJ Act.</w:t>
      </w:r>
      <w:r>
        <w:t xml:space="preserve"> </w:t>
      </w:r>
      <w:r>
        <w:t xml:space="preserve">The NJ Act does not require Meridian to own model weights — it requires access to documentation and audit rights, which are addressed in Term 2. The IP compromise is therefore regulatorily neutral; it does not impair NJ Act compliance.</w:t>
      </w:r>
    </w:p>
    <w:p>
      <w:pPr>
        <w:pStyle w:val="Compact"/>
        <w:numPr>
          <w:ilvl w:val="0"/>
          <w:numId w:val="1019"/>
        </w:numPr>
      </w:pPr>
      <w:r>
        <w:rPr>
          <w:b/>
          <w:bCs/>
        </w:rPr>
        <w:t xml:space="preserve">HIPAA.</w:t>
      </w:r>
      <w:r>
        <w:t xml:space="preserve"> </w:t>
      </w:r>
      <w:r>
        <w:t xml:space="preserve">Fine-tuned model artifacts that incorporate Customer Data must be handled consistent with the BAA and Exhibit D de-identification standards. The portability export is limited to fine-tuned model artifacts and Customer Data in interoperable formats; PHI handling during portability remains governed by the BAA.</w:t>
      </w:r>
    </w:p>
    <w:p>
      <w:pPr>
        <w:pStyle w:val="Compact"/>
        <w:numPr>
          <w:ilvl w:val="0"/>
          <w:numId w:val="1019"/>
        </w:numPr>
      </w:pPr>
      <w:r>
        <w:rPr>
          <w:b/>
          <w:bCs/>
        </w:rPr>
        <w:t xml:space="preserve">FDA.</w:t>
      </w:r>
      <w:r>
        <w:t xml:space="preserve"> </w:t>
      </w:r>
      <w:r>
        <w:t xml:space="preserve">If the fine-tuned model is subject to FDA regulation, portability to a successor platform may require regulatory re-validation; the change-of-law and cooperation provisions (Term 2) accommodate this.</w:t>
      </w:r>
    </w:p>
    <w:p>
      <w:pPr>
        <w:pStyle w:val="Compact"/>
        <w:numPr>
          <w:ilvl w:val="0"/>
          <w:numId w:val="1019"/>
        </w:numPr>
      </w:pPr>
      <w:r>
        <w:rPr>
          <w:b/>
          <w:bCs/>
        </w:rPr>
        <w:t xml:space="preserve">Vendor lock-in (strategic).</w:t>
      </w:r>
      <w:r>
        <w:t xml:space="preserve"> </w:t>
      </w:r>
      <w:r>
        <w:t xml:space="preserve">The irrevocable perpetual license with portability is the structural protection against vendor lock-in — the Playbook’s core concern in Section 4. Without it, the cost of switching vendors could become prohibitive, converting a contractual relationship into a dependency. The survival-for-any-reason provision is the non-negotiable element.</w:t>
      </w:r>
    </w:p>
    <w:p>
      <w:r>
        <w:pict>
          <v:rect style="width:0;height:1.5pt" o:hralign="center" o:hrstd="t" o:hr="t"/>
        </w:pict>
      </w:r>
    </w:p>
    <w:bookmarkEnd w:id="56"/>
    <w:bookmarkEnd w:id="57"/>
    <w:bookmarkStart w:id="62" w:name="X8ac517eb51cf0ada3ddc77b5166de06525e7f30"/>
    <w:p>
      <w:pPr>
        <w:pStyle w:val="Heading2"/>
      </w:pPr>
      <w:r>
        <w:t xml:space="preserve">TERM 7 — INDEMNIFICATION SCOPE AND STRUCTURE</w:t>
      </w:r>
    </w:p>
    <w:p>
      <w:pPr>
        <w:pStyle w:val="FirstParagraph"/>
      </w:pPr>
      <w:r>
        <w:rPr>
          <w:b/>
          <w:bCs/>
        </w:rPr>
        <w:t xml:space="preserve">Priority: 7 (lowest). Agreement Sections: §13.1–13.7; §15.1 (insurance). Related: Term 1 (super-cap).</w:t>
      </w:r>
    </w:p>
    <w:p>
      <w:pPr>
        <w:pStyle w:val="BodyText"/>
      </w:pPr>
      <w:r>
        <w:t xml:space="preserve">Indemnification is the most readily tradeable of the seven categories, but it intersects heavily with Term 1 and carries Board Risk Committee implications. The Playbook fallback (broad scope; shared defense with Vendor primary for AI-output claims; subject to super-cap) is the landing zone, drafted to operate coherently with the Term 1 super-cap.</w:t>
      </w:r>
    </w:p>
    <w:bookmarkStart w:id="58" w:name="i-proposed-contract-clause-language-6"/>
    <w:p>
      <w:pPr>
        <w:pStyle w:val="Heading3"/>
      </w:pPr>
      <w:r>
        <w:t xml:space="preserve">(i) Proposed Contract Clause Language</w:t>
      </w:r>
    </w:p>
    <w:p>
      <w:pPr>
        <w:pStyle w:val="FirstParagraph"/>
      </w:pPr>
      <w:r>
        <w:rPr>
          <w:b/>
          <w:bCs/>
        </w:rPr>
        <w:t xml:space="preserve">§13.1 Vendor Indemnification (scope).</w:t>
      </w:r>
      <w:r>
        <w:t xml:space="preserve"> </w:t>
      </w:r>
      <w:r>
        <w:t xml:space="preserve">Vendor shall indemnify, defend, and hold harmless Customer and its Affiliates and their respective officers, directors, employees, agents, and medical staff members (collectively,</w:t>
      </w:r>
      <w:r>
        <w:t xml:space="preserve"> </w:t>
      </w:r>
      <w:r>
        <w:t xml:space="preserve">“</w:t>
      </w:r>
      <w:r>
        <w:t xml:space="preserve">Customer Indemnitees</w:t>
      </w:r>
      <w:r>
        <w:t xml:space="preserve">”</w:t>
      </w:r>
      <w:r>
        <w:t xml:space="preserve">) from and against any and all third-party claims, governmental investigations, regulatory enforcement actions, demands, judgments, damages, liabilities, penalties, fines, losses, costs, and expenses (including reasonable attorneys’ fees) (collectively,</w:t>
      </w:r>
      <w:r>
        <w:t xml:space="preserve"> </w:t>
      </w:r>
      <w:r>
        <w:t xml:space="preserve">“</w:t>
      </w:r>
      <w:r>
        <w:t xml:space="preserve">Losses</w:t>
      </w:r>
      <w:r>
        <w:t xml:space="preserve">”</w:t>
      </w:r>
      <w:r>
        <w:t xml:space="preserve">) arising out of or related to:</w:t>
      </w:r>
    </w:p>
    <w:p>
      <w:pPr>
        <w:pStyle w:val="BlockText"/>
        <w:numPr>
          <w:ilvl w:val="0"/>
          <w:numId w:val="1020"/>
        </w:numPr>
      </w:pPr>
      <w:r>
        <w:rPr>
          <w:b/>
          <w:bCs/>
        </w:rPr>
        <w:t xml:space="preserve">IP Infringement Claims</w:t>
      </w:r>
      <w:r>
        <w:t xml:space="preserve"> </w:t>
      </w:r>
      <w:r>
        <w:t xml:space="preserve">— any allegation that Customer’s authorized use of the Platform infringes or misappropriates any third-party patent, copyright, trademark, or trade secret;</w:t>
      </w:r>
    </w:p>
    <w:p>
      <w:pPr>
        <w:pStyle w:val="BlockText"/>
        <w:numPr>
          <w:ilvl w:val="0"/>
          <w:numId w:val="1020"/>
        </w:numPr>
      </w:pPr>
      <w:r>
        <w:rPr>
          <w:b/>
          <w:bCs/>
        </w:rPr>
        <w:t xml:space="preserve">Regulatory Claims</w:t>
      </w:r>
      <w:r>
        <w:t xml:space="preserve"> </w:t>
      </w:r>
      <w:r>
        <w:t xml:space="preserve">— any investigation, enforcement action, or proceeding by a governmental authority (including HHS-OCR, the New Jersey Department of Health, the FDA, or any state attorney general) arising from Vendor’s acts or omissions in connection with the Platform, including non-compliance with HIPAA, HITECH, the NJ Act, or applicable FDA regulations;</w:t>
      </w:r>
    </w:p>
    <w:p>
      <w:pPr>
        <w:pStyle w:val="BlockText"/>
        <w:numPr>
          <w:ilvl w:val="0"/>
          <w:numId w:val="1020"/>
        </w:numPr>
      </w:pPr>
      <w:r>
        <w:rPr>
          <w:b/>
          <w:bCs/>
        </w:rPr>
        <w:t xml:space="preserve">Patient-Harm Claims</w:t>
      </w:r>
      <w:r>
        <w:t xml:space="preserve"> </w:t>
      </w:r>
      <w:r>
        <w:t xml:space="preserve">— any claim by or on behalf of a patient alleging bodily injury, adverse clinical outcome, wrongful death, or emotional distress arising from or related to any Output, recommendation, alert, risk score, or clinical decision-support result generated by the Platform that is alleged to be inaccurate, misleading, biased, delayed, or otherwise deficient; and</w:t>
      </w:r>
    </w:p>
    <w:p>
      <w:pPr>
        <w:pStyle w:val="BlockText"/>
        <w:numPr>
          <w:ilvl w:val="0"/>
          <w:numId w:val="1020"/>
        </w:numPr>
      </w:pPr>
      <w:r>
        <w:rPr>
          <w:b/>
          <w:bCs/>
        </w:rPr>
        <w:t xml:space="preserve">Data-Breach Claims</w:t>
      </w:r>
      <w:r>
        <w:t xml:space="preserve"> </w:t>
      </w:r>
      <w:r>
        <w:t xml:space="preserve">— any claim, regulatory action, or proceeding arising from a Security Incident or Breach of Unsecured PHI attributable to Vendor, its subprocessors, or its systems, including notification costs, credit monitoring, forensic investigation, and regulatory fines.</w:t>
      </w:r>
    </w:p>
    <w:p>
      <w:pPr>
        <w:pStyle w:val="FirstParagraph"/>
      </w:pPr>
      <w:r>
        <w:rPr>
          <w:b/>
          <w:bCs/>
        </w:rPr>
        <w:t xml:space="preserve">§13.5 Defense Control — Shared Defense for Patient-Safety Claims.</w:t>
      </w:r>
    </w:p>
    <w:p>
      <w:pPr>
        <w:pStyle w:val="BlockText"/>
        <w:numPr>
          <w:ilvl w:val="0"/>
          <w:numId w:val="1021"/>
        </w:numPr>
      </w:pPr>
      <w:r>
        <w:rPr>
          <w:b/>
          <w:bCs/>
        </w:rPr>
        <w:t xml:space="preserve">General.</w:t>
      </w:r>
      <w:r>
        <w:t xml:space="preserve"> </w:t>
      </w:r>
      <w:r>
        <w:t xml:space="preserve">Except as provided in subsection (b), the Indemnifying Party shall have primary control of the defense and settlement of indemnified claims; provided that no settlement shall impose liability or admit fault on behalf of the Indemnified Party without its prior written consent (not to be unreasonably withheld).</w:t>
      </w:r>
    </w:p>
    <w:p>
      <w:pPr>
        <w:pStyle w:val="BlockText"/>
        <w:numPr>
          <w:ilvl w:val="0"/>
          <w:numId w:val="1021"/>
        </w:numPr>
      </w:pPr>
      <w:r>
        <w:rPr>
          <w:b/>
          <w:bCs/>
        </w:rPr>
        <w:t xml:space="preserve">AI-Output Patient-Safety Claims.</w:t>
      </w:r>
      <w:r>
        <w:t xml:space="preserve"> </w:t>
      </w:r>
      <w:r>
        <w:t xml:space="preserve">With respect to Patient-Harm Claims under Section 13.1(c): (i)</w:t>
      </w:r>
      <w:r>
        <w:t xml:space="preserve"> </w:t>
      </w:r>
      <w:r>
        <w:rPr>
          <w:b/>
          <w:bCs/>
        </w:rPr>
        <w:t xml:space="preserve">Vendor shall be primarily responsible</w:t>
      </w:r>
      <w:r>
        <w:t xml:space="preserve"> </w:t>
      </w:r>
      <w:r>
        <w:t xml:space="preserve">for the defense and indemnification of claims directly attributable to AI-output errors — i.e., claims where the proximate cause of patient harm is an erroneous, misleading, or defective Output generated by the Platform; (ii)</w:t>
      </w:r>
      <w:r>
        <w:t xml:space="preserve"> </w:t>
      </w:r>
      <w:r>
        <w:rPr>
          <w:b/>
          <w:bCs/>
        </w:rPr>
        <w:t xml:space="preserve">Customer shall be primarily responsible</w:t>
      </w:r>
      <w:r>
        <w:t xml:space="preserve"> </w:t>
      </w:r>
      <w:r>
        <w:t xml:space="preserve">for claims arising from clinician override or independent clinical judgment — i.e., claims where a clinician received a correct Output but chose not to follow it, or where the clinician’s independent decision-making was the proximate cause; (iii) for</w:t>
      </w:r>
      <w:r>
        <w:t xml:space="preserve"> </w:t>
      </w:r>
      <w:r>
        <w:rPr>
          <w:b/>
          <w:bCs/>
        </w:rPr>
        <w:t xml:space="preserve">mixed-causation claims</w:t>
      </w:r>
      <w:r>
        <w:t xml:space="preserve">, the Parties shall cooperate in good faith and allocate defense costs and indemnification obligations proportionately, and failing agreement, through the dispute resolution process in Section 16.2; and (iv) Vendor shall not settle any Patient-Harm Claim without Customer’s prior written consent where the settlement could adversely affect Customer’s clinical reputation, regulatory standing, or patient relationships.</w:t>
      </w:r>
    </w:p>
    <w:p>
      <w:pPr>
        <w:pStyle w:val="BlockText"/>
        <w:numPr>
          <w:ilvl w:val="0"/>
          <w:numId w:val="1021"/>
        </w:numPr>
      </w:pPr>
      <w:r>
        <w:rPr>
          <w:b/>
          <w:bCs/>
        </w:rPr>
        <w:t xml:space="preserve">Customer Participation.</w:t>
      </w:r>
      <w:r>
        <w:t xml:space="preserve"> </w:t>
      </w:r>
      <w:r>
        <w:t xml:space="preserve">Customer shall have the right, at its own expense, to participate in the defense of any Patient-Harm Claim with counsel of its own choosing, given the direct impact on Customer’s clinical reputation.</w:t>
      </w:r>
    </w:p>
    <w:p>
      <w:pPr>
        <w:pStyle w:val="FirstParagraph"/>
      </w:pPr>
      <w:r>
        <w:rPr>
          <w:b/>
          <w:bCs/>
        </w:rPr>
        <w:t xml:space="preserve">§13.7 Indemnification Cap.</w:t>
      </w:r>
      <w:r>
        <w:t xml:space="preserve"> </w:t>
      </w:r>
      <w:r>
        <w:t xml:space="preserve">Vendor’s aggregate liability under this Article 13 shall be subject to the Super-Cap set forth in Section 12.3 (3× trailing twelve-month Fees, ~$28.8M) and shall not be subject to the General Cap. For the avoidance of doubt, indemnification obligations and other super-cap liabilities share the single 3× Super-Cap aggregate.</w:t>
      </w:r>
    </w:p>
    <w:p>
      <w:pPr>
        <w:pStyle w:val="BodyText"/>
      </w:pPr>
      <w:r>
        <w:rPr>
          <w:b/>
          <w:bCs/>
        </w:rPr>
        <w:t xml:space="preserve">§13.8 NJ Act Regulatory-Penalty Indemnification.</w:t>
      </w:r>
      <w:r>
        <w:t xml:space="preserve"> </w:t>
      </w:r>
      <w:r>
        <w:t xml:space="preserve">To the extent any civil penalty is assessed against Customer under the NJ Act as a result of Vendor’s breach of its documentation, audit, or regulatory-cooperation obligations under Article 10 or Section 5.7, Vendor shall indemnify Customer for such penalties, subject to the Super-Cap. Penalties attributable to Customer’s own operational failures (not to Vendor’s breach) are not indemnifiable by Vendor.</w:t>
      </w:r>
    </w:p>
    <w:bookmarkEnd w:id="58"/>
    <w:bookmarkStart w:id="59" w:name="X5418807f76de1d6dc926f246c44ebca0e89a09f"/>
    <w:p>
      <w:pPr>
        <w:pStyle w:val="Heading3"/>
      </w:pPr>
      <w:r>
        <w:t xml:space="preserve">(ii) Negotiation Rationale and Fallback Ladder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Scope</w:t>
            </w:r>
          </w:p>
        </w:tc>
        <w:tc>
          <w:tcPr/>
          <w:p>
            <w:pPr>
              <w:pStyle w:val="Compact"/>
              <w:jc w:val="left"/>
            </w:pPr>
            <w:r>
              <w:t xml:space="preserve">Defense Control</w:t>
            </w:r>
          </w:p>
        </w:tc>
        <w:tc>
          <w:tcPr/>
          <w:p>
            <w:pPr>
              <w:pStyle w:val="Compact"/>
              <w:jc w:val="left"/>
            </w:pPr>
            <w:r>
              <w:t xml:space="preserve">Cap</w:t>
            </w:r>
          </w:p>
        </w:tc>
        <w:tc>
          <w:tcPr/>
          <w:p>
            <w:pPr>
              <w:pStyle w:val="Compact"/>
              <w:jc w:val="left"/>
            </w:pPr>
            <w:r>
              <w:t xml:space="preserve">Status</w:t>
            </w:r>
          </w:p>
        </w:tc>
      </w:tr>
      <w:tr>
        <w:tc>
          <w:tcPr/>
          <w:p>
            <w:pPr>
              <w:pStyle w:val="Compact"/>
              <w:jc w:val="left"/>
            </w:pPr>
            <w:r>
              <w:t xml:space="preserve">Vendor opening/counter (June 6/30)</w:t>
            </w:r>
          </w:p>
        </w:tc>
        <w:tc>
          <w:tcPr/>
          <w:p>
            <w:pPr>
              <w:pStyle w:val="Compact"/>
              <w:jc w:val="left"/>
            </w:pPr>
            <w:r>
              <w:t xml:space="preserve">IP infringement only</w:t>
            </w:r>
          </w:p>
        </w:tc>
        <w:tc>
          <w:tcPr/>
          <w:p>
            <w:pPr>
              <w:pStyle w:val="Compact"/>
              <w:jc w:val="left"/>
            </w:pPr>
            <w:r>
              <w:t xml:space="preserve">Vendor controls all; shared for complex</w:t>
            </w:r>
          </w:p>
        </w:tc>
        <w:tc>
          <w:tcPr/>
          <w:p>
            <w:pPr>
              <w:pStyle w:val="Compact"/>
              <w:jc w:val="left"/>
            </w:pPr>
            <w:r>
              <w:t xml:space="preserve">General cap (then super-cap)</w:t>
            </w:r>
          </w:p>
        </w:tc>
        <w:tc>
          <w:tcPr/>
          <w:p>
            <w:pPr>
              <w:pStyle w:val="Compact"/>
              <w:jc w:val="left"/>
            </w:pPr>
            <w:r>
              <w:t xml:space="preserve">Rejected</w:t>
            </w:r>
          </w:p>
        </w:tc>
      </w:tr>
      <w:tr>
        <w:tc>
          <w:tcPr/>
          <w:p>
            <w:pPr>
              <w:pStyle w:val="Compact"/>
              <w:jc w:val="left"/>
            </w:pPr>
            <w:r>
              <w:t xml:space="preserve">Customer opening (June 20)</w:t>
            </w:r>
          </w:p>
        </w:tc>
        <w:tc>
          <w:tcPr/>
          <w:p>
            <w:pPr>
              <w:pStyle w:val="Compact"/>
              <w:jc w:val="left"/>
            </w:pPr>
            <w:r>
              <w:t xml:space="preserve">Broad (IP, regulatory, patient harm, data breach)</w:t>
            </w:r>
          </w:p>
        </w:tc>
        <w:tc>
          <w:tcPr/>
          <w:p>
            <w:pPr>
              <w:pStyle w:val="Compact"/>
              <w:jc w:val="left"/>
            </w:pPr>
            <w:r>
              <w:t xml:space="preserve">Customer controls patient-safety defense</w:t>
            </w:r>
          </w:p>
        </w:tc>
        <w:tc>
          <w:tcPr/>
          <w:p>
            <w:pPr>
              <w:pStyle w:val="Compact"/>
              <w:jc w:val="left"/>
            </w:pPr>
            <w:r>
              <w:t xml:space="preserve">Excluded from cap</w:t>
            </w:r>
          </w:p>
        </w:tc>
        <w:tc>
          <w:tcPr/>
          <w:p>
            <w:pPr>
              <w:pStyle w:val="Compact"/>
              <w:jc w:val="left"/>
            </w:pPr>
            <w:r>
              <w:t xml:space="preserve">Opening</w:t>
            </w:r>
          </w:p>
        </w:tc>
      </w:tr>
      <w:tr>
        <w:tc>
          <w:tcPr/>
          <w:p>
            <w:pPr>
              <w:pStyle w:val="Compact"/>
              <w:jc w:val="left"/>
            </w:pPr>
            <w:r>
              <w:rPr>
                <w:b/>
                <w:bCs/>
              </w:rPr>
              <w:t xml:space="preserve">Compromise proposal</w:t>
            </w:r>
          </w:p>
        </w:tc>
        <w:tc>
          <w:tcPr/>
          <w:p>
            <w:pPr>
              <w:pStyle w:val="Compact"/>
              <w:jc w:val="left"/>
            </w:pPr>
            <w:r>
              <w:rPr>
                <w:b/>
                <w:bCs/>
              </w:rPr>
              <w:t xml:space="preserve">Broad (IP, regulatory, patient harm, data breach)</w:t>
            </w:r>
          </w:p>
        </w:tc>
        <w:tc>
          <w:tcPr/>
          <w:p>
            <w:pPr>
              <w:pStyle w:val="Compact"/>
              <w:jc w:val="left"/>
            </w:pPr>
            <w:r>
              <w:rPr>
                <w:b/>
                <w:bCs/>
              </w:rPr>
              <w:t xml:space="preserve">Shared; Vendor primary for AI-output; Customer primary for clinician override</w:t>
            </w:r>
          </w:p>
        </w:tc>
        <w:tc>
          <w:tcPr/>
          <w:p>
            <w:pPr>
              <w:pStyle w:val="Compact"/>
              <w:jc w:val="left"/>
            </w:pPr>
            <w:r>
              <w:rPr>
                <w:b/>
                <w:bCs/>
              </w:rPr>
              <w:t xml:space="preserve">Subject to Super-Cap (3×), not General Cap</w:t>
            </w:r>
          </w:p>
        </w:tc>
        <w:tc>
          <w:tcPr/>
          <w:p>
            <w:pPr>
              <w:pStyle w:val="Compact"/>
              <w:jc w:val="left"/>
            </w:pPr>
            <w:r>
              <w:rPr>
                <w:b/>
                <w:bCs/>
              </w:rPr>
              <w:t xml:space="preserve">Recommended landing zone (Playbook fallback)</w:t>
            </w:r>
          </w:p>
        </w:tc>
      </w:tr>
      <w:tr>
        <w:tc>
          <w:tcPr/>
          <w:p>
            <w:pPr>
              <w:pStyle w:val="Compact"/>
              <w:jc w:val="left"/>
            </w:pPr>
            <w:r>
              <w:t xml:space="preserve">Floor</w:t>
            </w:r>
          </w:p>
        </w:tc>
        <w:tc>
          <w:tcPr/>
          <w:p>
            <w:pPr>
              <w:pStyle w:val="Compact"/>
              <w:jc w:val="left"/>
            </w:pPr>
            <w:r>
              <w:t xml:space="preserve">Must include patient harm + IP at minimum</w:t>
            </w:r>
          </w:p>
        </w:tc>
        <w:tc>
          <w:tcPr/>
          <w:p>
            <w:pPr>
              <w:pStyle w:val="Compact"/>
              <w:jc w:val="left"/>
            </w:pPr>
            <w:r>
              <w:t xml:space="preserve">—</w:t>
            </w:r>
          </w:p>
        </w:tc>
        <w:tc>
          <w:tcPr/>
          <w:p>
            <w:pPr>
              <w:pStyle w:val="Compact"/>
              <w:jc w:val="left"/>
            </w:pPr>
            <w:r>
              <w:t xml:space="preserve">Never less than Super-Cap floor</w:t>
            </w:r>
          </w:p>
        </w:tc>
        <w:tc>
          <w:tcPr/>
          <w:p>
            <w:pPr>
              <w:pStyle w:val="Compact"/>
              <w:jc w:val="left"/>
            </w:pPr>
            <w:r>
              <w:t xml:space="preserve">Non-negotiable</w:t>
            </w:r>
          </w:p>
        </w:tc>
      </w:tr>
    </w:tbl>
    <w:p>
      <w:pPr>
        <w:pStyle w:val="BodyText"/>
      </w:pPr>
      <w:r>
        <w:rPr>
          <w:b/>
          <w:bCs/>
        </w:rPr>
        <w:t xml:space="preserve">Rationale.</w:t>
      </w:r>
      <w:r>
        <w:t xml:space="preserve"> </w:t>
      </w:r>
      <w:r>
        <w:t xml:space="preserve">The compromise restores the indemnification scope the Vendor stripped out (regulatory, patient-harm, and data-breach categories) while conceding on defense control — moving from Customer-controlled defense of all patient-safety claims (Customer opening) to the Playbook’s shared-defense structure with Vendor primary for AI-output claims. This is the correct trade for a Priority 7 term: Meridian gets the scope it needs (the Vendor stands behind its product’s clinical outputs and regulatory compliance) while giving the Vendor a defense-control structure it can accept (the Vendor leads on claims attributable to its AI outputs; Meridian leads on claims attributable to clinician judgment).</w:t>
      </w:r>
    </w:p>
    <w:p>
      <w:pPr>
        <w:pStyle w:val="BodyText"/>
      </w:pPr>
      <w:r>
        <w:t xml:space="preserve">The cap is the key structural decision: indemnification is placed</w:t>
      </w:r>
      <w:r>
        <w:t xml:space="preserve"> </w:t>
      </w:r>
      <w:r>
        <w:rPr>
          <w:b/>
          <w:bCs/>
        </w:rPr>
        <w:t xml:space="preserve">above the general cap but within the 3× super-cap</w:t>
      </w:r>
      <w:r>
        <w:t xml:space="preserve"> </w:t>
      </w:r>
      <w:r>
        <w:t xml:space="preserve">(Term 1), not excluded from all caps (Customer opening) and not buried in the general cap (Vendor position). This is the Playbook fallback and is coherent with the Term 1 super-cap architecture — indemnification obligations and the other super-cap categories (patient-safety, PHI, regulatory) share the single 3× aggregate, backed by the binding insurance increase. The NJ Act regulatory-penalty indemnification (§13.8) is carved out as a specific obligation consistent with the Whitfield Ames compliance brief, subject to the super-cap.</w:t>
      </w:r>
    </w:p>
    <w:p>
      <w:pPr>
        <w:pStyle w:val="BodyText"/>
      </w:pPr>
      <w:r>
        <w:rPr>
          <w:b/>
          <w:bCs/>
        </w:rPr>
        <w:t xml:space="preserve">Why this is the right concession level.</w:t>
      </w:r>
      <w:r>
        <w:t xml:space="preserve"> </w:t>
      </w:r>
      <w:r>
        <w:t xml:space="preserve">Indemnification is Priority 7 — the most tradeable category. The compromise gives the Vendor the defense-control structure it wants (a real concession) while holding the scope line (patient-harm and regulatory indemnification must remain). Per the Playbook trade-off guidance, moderate flexibility on defense control is acceptable in exchange for the Vendor’s agreement on the broader scope and on the Term 1 super-cap. Any trade-off that eliminated patient-harm indemnification entirely would require GC escalation and is not contemplated here.</w:t>
      </w:r>
    </w:p>
    <w:p>
      <w:pPr>
        <w:pStyle w:val="BodyText"/>
      </w:pPr>
      <w:r>
        <w:rPr>
          <w:b/>
          <w:bCs/>
        </w:rPr>
        <w:t xml:space="preserve">Fallback.</w:t>
      </w:r>
      <w:r>
        <w:t xml:space="preserve"> </w:t>
      </w:r>
      <w:r>
        <w:t xml:space="preserve">Hold at broad scope with shared defense. The only further concession available is on the consent-to-settle standard (could soften Customer’s consent right on non-reputational settlements), but the scope (patient harm + IP minimum) and the super-cap floor are non-negotiable.</w:t>
      </w:r>
    </w:p>
    <w:bookmarkEnd w:id="59"/>
    <w:bookmarkStart w:id="60" w:name="Xd69f05487611d54c45b93e73f08508f558191f3"/>
    <w:p>
      <w:pPr>
        <w:pStyle w:val="Heading3"/>
      </w:pPr>
      <w:r>
        <w:t xml:space="preserve">(iii) Acceptability Analysis for the Vendor Team</w:t>
      </w:r>
    </w:p>
    <w:p>
      <w:pPr>
        <w:pStyle w:val="FirstParagraph"/>
      </w:pPr>
      <w:r>
        <w:rPr>
          <w:b/>
          <w:bCs/>
        </w:rPr>
        <w:t xml:space="preserve">Sandra Hu (commercial flexibility).</w:t>
      </w:r>
      <w:r>
        <w:t xml:space="preserve"> </w:t>
      </w:r>
      <w:r>
        <w:t xml:space="preserve">Hu’s objection is that broad indemnification (regulatory, patient-harm, data-breach) exceeds the Vendor’s</w:t>
      </w:r>
      <w:r>
        <w:t xml:space="preserve"> </w:t>
      </w:r>
      <w:r>
        <w:t xml:space="preserve">“</w:t>
      </w:r>
      <w:r>
        <w:t xml:space="preserve">IP-only</w:t>
      </w:r>
      <w:r>
        <w:t xml:space="preserve">”</w:t>
      </w:r>
      <w:r>
        <w:t xml:space="preserve"> </w:t>
      </w:r>
      <w:r>
        <w:t xml:space="preserve">standard. The response: (a) the Vendor’s own June 30 counter already moved to add data-breach indemnity to IP — the compromise extends that logic to regulatory and patient-harm, which are the categories a clinical AI vendor must stand behind when its outputs directly influence patient care across 14 hospitals; (b) the shared-defense structure (Vendor primary for AI-output errors, Customer primary for clinician-override errors) is a fair allocation that does not make the Vendor the guarantor of all clinical outcomes — where the clinician’s independent judgment caused the harm, Meridian bears the defense; (c) the cap is the 3× super-cap the Vendor has already agreed to in substance (Term 1), not an uncapped or general-cap arrangement; and (d) the package gives the Vendor meaningful data-usage value (Term 4) and IP ownership (Term 6) in exchange. Framed as</w:t>
      </w:r>
      <w:r>
        <w:t xml:space="preserve"> </w:t>
      </w:r>
      <w:r>
        <w:t xml:space="preserve">“</w:t>
      </w:r>
      <w:r>
        <w:t xml:space="preserve">the Vendor stands behind its AI outputs and regulatory compliance, with a fair defense split and a capped exposure it has already accepted,</w:t>
      </w:r>
      <w:r>
        <w:t xml:space="preserve">”</w:t>
      </w:r>
      <w:r>
        <w:t xml:space="preserve"> </w:t>
      </w:r>
      <w:r>
        <w:t xml:space="preserve">this should be acceptable.</w:t>
      </w:r>
    </w:p>
    <w:p>
      <w:pPr>
        <w:pStyle w:val="BodyText"/>
      </w:pPr>
      <w:r>
        <w:rPr>
          <w:b/>
          <w:bCs/>
        </w:rPr>
        <w:t xml:space="preserve">Rafael Bowen (liability exposure).</w:t>
      </w:r>
      <w:r>
        <w:t xml:space="preserve"> </w:t>
      </w:r>
      <w:r>
        <w:t xml:space="preserve">Bowen’s concern is unbounded patient-harm indemnification. The response: (a) the indemnification is capped at the 3× super-cap (~$28.8M), not uncapped — the only uncapped categories are willful misconduct and confidentiality (Term 1), which are standard; (b) the shared-defense structure means the Vendor indemnifies AI-output-error claims (its domain) while Meridian indemnifies clinician-override claims (Meridian’s domain) — the Vendor is not absorbing clinician-malpractice exposure; (c) the binding insurance increase to $30M/$60M (Term 1) backs the indemnification with adequate coverage; and (d) the NJ Act penalty indemnification is limited to penalties attributable to the Vendor’s own breach of its documentation/audit/cooperation obligations — penalties from Meridian’s operational failures are not shifted to the Vendor. The indemnification package is bounded, fairly allocated, and insured.</w:t>
      </w:r>
    </w:p>
    <w:bookmarkEnd w:id="60"/>
    <w:bookmarkStart w:id="61" w:name="X31c0b18b1d95b4b36e266108dbd31970c3170cd"/>
    <w:p>
      <w:pPr>
        <w:pStyle w:val="Heading3"/>
      </w:pPr>
      <w:r>
        <w:t xml:space="preserve">(iv) Regulatory and Compliance Constraints</w:t>
      </w:r>
    </w:p>
    <w:p>
      <w:pPr>
        <w:pStyle w:val="Compact"/>
        <w:numPr>
          <w:ilvl w:val="0"/>
          <w:numId w:val="1022"/>
        </w:numPr>
      </w:pPr>
      <w:r>
        <w:rPr>
          <w:b/>
          <w:bCs/>
        </w:rPr>
        <w:t xml:space="preserve">NJ Act.</w:t>
      </w:r>
      <w:r>
        <w:t xml:space="preserve"> </w:t>
      </w:r>
      <w:r>
        <w:t xml:space="preserve">Civil penalties (up to $50,000 per violation per day) are assessed against Meridian as the covered entity, not the Vendor. Where penalties arise from the Vendor’s failure to provide required documentation, audit access, or regulatory cooperation, Meridian’s only recourse is contractual. The §13.8 NJ Act penalty indemnification (subject to the super-cap) implements the Whitfield Ames compliance brief’s recommendation and is essential to Meridian’s risk allocation. The anti-waiver provision (NJ Act § 7(b)) ensures these contractual rights cannot be waived below the level required for compliance.</w:t>
      </w:r>
    </w:p>
    <w:p>
      <w:pPr>
        <w:pStyle w:val="Compact"/>
        <w:numPr>
          <w:ilvl w:val="0"/>
          <w:numId w:val="1022"/>
        </w:numPr>
      </w:pPr>
      <w:r>
        <w:rPr>
          <w:b/>
          <w:bCs/>
        </w:rPr>
        <w:t xml:space="preserve">HIPAA / HITECH.</w:t>
      </w:r>
      <w:r>
        <w:t xml:space="preserve"> </w:t>
      </w:r>
      <w:r>
        <w:t xml:space="preserve">Data-breach indemnification (§13.1(d)) is consistent with the BAA’s breach framework and the Playbook’s treatment of PHI breaches as a highest-severity category. The 24-hour breach-notification standard (BAA) is unaffected.</w:t>
      </w:r>
    </w:p>
    <w:p>
      <w:pPr>
        <w:pStyle w:val="Compact"/>
        <w:numPr>
          <w:ilvl w:val="0"/>
          <w:numId w:val="1022"/>
        </w:numPr>
      </w:pPr>
      <w:r>
        <w:rPr>
          <w:b/>
          <w:bCs/>
        </w:rPr>
        <w:t xml:space="preserve">FDA.</w:t>
      </w:r>
      <w:r>
        <w:t xml:space="preserve"> </w:t>
      </w:r>
      <w:r>
        <w:t xml:space="preserve">Regulatory indemnification (§13.1(b)) extends to FDA enforcement actions attributable to the Vendor’s failure to maintain required clearances or to platform defects — consistent with the Playbook’s § 10.3 framework. The Vendor’s obligation to notify Meridian of FDA adverse actions (within 24 hours) and to cooperate with FDA inquiries supports the indemnification.</w:t>
      </w:r>
    </w:p>
    <w:p>
      <w:pPr>
        <w:pStyle w:val="Compact"/>
        <w:numPr>
          <w:ilvl w:val="0"/>
          <w:numId w:val="1022"/>
        </w:numPr>
      </w:pPr>
      <w:r>
        <w:rPr>
          <w:b/>
          <w:bCs/>
        </w:rPr>
        <w:t xml:space="preserve">Board Risk Committee (Tier 1).</w:t>
      </w:r>
      <w:r>
        <w:t xml:space="preserve"> </w:t>
      </w:r>
      <w:r>
        <w:t xml:space="preserve">The indemnification structure is part of the liability package the Board will review. The combination of broad scope, shared defense, super-cap backing, and the binding insurance increase is designed to be defensible: the Vendor stands behind its clinical outputs and regulatory compliance, exposure is capped and insured, and defense is allocated to the party best positioned to control the relevant risk.</w:t>
      </w:r>
    </w:p>
    <w:p>
      <w:pPr>
        <w:pStyle w:val="Compact"/>
        <w:numPr>
          <w:ilvl w:val="0"/>
          <w:numId w:val="1022"/>
        </w:numPr>
      </w:pPr>
      <w:r>
        <w:rPr>
          <w:b/>
          <w:bCs/>
        </w:rPr>
        <w:t xml:space="preserve">Insurance collectability.</w:t>
      </w:r>
      <w:r>
        <w:t xml:space="preserve"> </w:t>
      </w:r>
      <w:r>
        <w:t xml:space="preserve">The indemnification cap (3× super-cap, ~$28.8M) is backed by the binding insurance increase to $30M/$60M (Term 1, §15.1(c)). Without the insurance commitment, the indemnification would present a collectability gap; the two terms must close together.</w:t>
      </w:r>
    </w:p>
    <w:p>
      <w:r>
        <w:pict>
          <v:rect style="width:0;height:1.5pt" o:hralign="center" o:hrstd="t" o:hr="t"/>
        </w:pict>
      </w:r>
    </w:p>
    <w:bookmarkEnd w:id="61"/>
    <w:bookmarkEnd w:id="62"/>
    <w:bookmarkStart w:id="63" w:name="X5098e7503bfae6a9ca662efede42ed5c2f10106"/>
    <w:p>
      <w:pPr>
        <w:pStyle w:val="Heading2"/>
      </w:pPr>
      <w:r>
        <w:t xml:space="preserve">V. CONCESSION SEQUENCING AND PACKAGE STRATEGY FOR JULY 18</w:t>
      </w:r>
    </w:p>
    <w:p>
      <w:pPr>
        <w:pStyle w:val="FirstParagraph"/>
      </w:pPr>
      <w:r>
        <w:t xml:space="preserve">The proposals are designed to move as a package. The recommended sequencing at the table:</w:t>
      </w:r>
    </w:p>
    <w:p>
      <w:pPr>
        <w:numPr>
          <w:ilvl w:val="0"/>
          <w:numId w:val="1023"/>
        </w:numPr>
      </w:pPr>
      <w:r>
        <w:rPr>
          <w:b/>
          <w:bCs/>
        </w:rPr>
        <w:t xml:space="preserve">Open with the regulatory framing (Terms 1, 2, 7).</w:t>
      </w:r>
      <w:r>
        <w:t xml:space="preserve"> </w:t>
      </w:r>
      <w:r>
        <w:t xml:space="preserve">Present the NJ Act compliance baseline and the Tier 1 enterprise-risk designation as the non-negotiable floor. Lead with the comparable-deal intelligence (indirectly) to anchor the 1.5× / 3× cap figures. This establishes that the patient-safety super-cap and the Langford audit framework are legal-compliance requirements, not commercial preferences.</w:t>
      </w:r>
    </w:p>
    <w:p>
      <w:pPr>
        <w:numPr>
          <w:ilvl w:val="0"/>
          <w:numId w:val="1023"/>
        </w:numPr>
      </w:pPr>
      <w:r>
        <w:rPr>
          <w:b/>
          <w:bCs/>
        </w:rPr>
        <w:t xml:space="preserve">Present the liability package (Terms 1 + 7 + insurance) as a unit.</w:t>
      </w:r>
      <w:r>
        <w:t xml:space="preserve"> </w:t>
      </w:r>
      <w:r>
        <w:t xml:space="preserve">The 1.5× general cap / 3× super-cap (including patient-safety and PHI) / uncapped willful misconduct / binding insurance increase is a coherent architecture. Emphasize that the dollar figures are the Vendor’s own, and the only ask is scope inclusion plus the insurance commitment that makes the cap collectable.</w:t>
      </w:r>
    </w:p>
    <w:p>
      <w:pPr>
        <w:numPr>
          <w:ilvl w:val="0"/>
          <w:numId w:val="1023"/>
        </w:numPr>
      </w:pPr>
      <w:r>
        <w:rPr>
          <w:b/>
          <w:bCs/>
        </w:rPr>
        <w:t xml:space="preserve">Offer the data-usage concession (Term 4) as the reciprocal.</w:t>
      </w:r>
      <w:r>
        <w:t xml:space="preserve"> </w:t>
      </w:r>
      <w:r>
        <w:t xml:space="preserve">Once the liability package is on the table, present the data-usage compromise — an ongoing, default right to use aggregated/de-identified data for model improvement (the Vendor’s highest-value outcome) — as the consideration for the Vendor’s agreement on Terms 1, 2, and 3. This is the central trade of the negotiation.</w:t>
      </w:r>
    </w:p>
    <w:p>
      <w:pPr>
        <w:numPr>
          <w:ilvl w:val="0"/>
          <w:numId w:val="1023"/>
        </w:numPr>
      </w:pPr>
      <w:r>
        <w:rPr>
          <w:b/>
          <w:bCs/>
        </w:rPr>
        <w:t xml:space="preserve">Close the operational terms (Terms 3, 5, 6).</w:t>
      </w:r>
      <w:r>
        <w:t xml:space="preserve"> </w:t>
      </w:r>
      <w:r>
        <w:t xml:space="preserve">The graduated ETF (Term 3), binding benchmarks with 3-miss trigger (Term 5), and vendor-ownership-with-perpetual-license (Term 6) are Playbook-fallback positions that should be achievable once the liability and data-usage trades are made. Present Term 6 as a win for the Vendor (it keeps ownership) to build momentum.</w:t>
      </w:r>
    </w:p>
    <w:p>
      <w:pPr>
        <w:numPr>
          <w:ilvl w:val="0"/>
          <w:numId w:val="1023"/>
        </w:numPr>
      </w:pPr>
      <w:r>
        <w:rPr>
          <w:b/>
          <w:bCs/>
        </w:rPr>
        <w:t xml:space="preserve">Reserve fallbacks for real-time use.</w:t>
      </w:r>
      <w:r>
        <w:t xml:space="preserve"> </w:t>
      </w:r>
      <w:r>
        <w:t xml:space="preserve">The fallback ladders are documented so the team can move fluidly: if the Vendor rejects Position A, Position B is ready with the rationale already worked through. Do not reveal fallbacks prematurely; deploy them only when the Vendor has moved off its opening on the corresponding term.</w:t>
      </w:r>
    </w:p>
    <w:p>
      <w:pPr>
        <w:pStyle w:val="FirstParagraph"/>
      </w:pPr>
      <w:r>
        <w:rPr>
          <w:b/>
          <w:bCs/>
        </w:rPr>
        <w:t xml:space="preserve">Authority.</w:t>
      </w:r>
      <w:r>
        <w:t xml:space="preserve"> </w:t>
      </w:r>
      <w:r>
        <w:t xml:space="preserve">Marcus Delgado may accept terms at the standard-position or first-fallback level. Terms at the second-fallback or floor level — including the 1.5× general cap, the graduated ETF, the 45-day data opt-out, and the IP perpetual-license fallback — require Dr. Narayanan’s approval. Any patient-safety cap below 3× ACV requires Board Risk Committee approval. The deal team should not communicate acceptance of any floor-level term without GC sign-off during the July 15–17 review.</w:t>
      </w:r>
    </w:p>
    <w:bookmarkEnd w:id="63"/>
    <w:bookmarkStart w:id="64" w:name="vi.-board-risk-committee-considerations"/>
    <w:p>
      <w:pPr>
        <w:pStyle w:val="Heading2"/>
      </w:pPr>
      <w:r>
        <w:t xml:space="preserve">VI. BOARD RISK COMMITTEE CONSIDERATIONS</w:t>
      </w:r>
    </w:p>
    <w:p>
      <w:pPr>
        <w:pStyle w:val="FirstParagraph"/>
      </w:pPr>
      <w:r>
        <w:t xml:space="preserve">The Board Risk Committee has designated AI-related liability as a Tier 1 enterprise risk and requires a pre-execution briefing for any agreement with TCV exceeding $10 million (this Agreement’s TCV is $38.4 million). The compromise package is designed to be defensible in that briefing:</w:t>
      </w:r>
    </w:p>
    <w:p>
      <w:pPr>
        <w:pStyle w:val="Compact"/>
        <w:numPr>
          <w:ilvl w:val="0"/>
          <w:numId w:val="1024"/>
        </w:numPr>
      </w:pPr>
      <w:r>
        <w:rPr>
          <w:b/>
          <w:bCs/>
        </w:rPr>
        <w:t xml:space="preserve">Patient-safety liability</w:t>
      </w:r>
      <w:r>
        <w:t xml:space="preserve"> </w:t>
      </w:r>
      <w:r>
        <w:t xml:space="preserve">is capped at no less than 3× ACV (~$28.8M), meeting the Board-approved absolute floor, with willful misconduct uncapped.</w:t>
      </w:r>
    </w:p>
    <w:p>
      <w:pPr>
        <w:pStyle w:val="Compact"/>
        <w:numPr>
          <w:ilvl w:val="0"/>
          <w:numId w:val="1024"/>
        </w:numPr>
      </w:pPr>
      <w:r>
        <w:rPr>
          <w:b/>
          <w:bCs/>
        </w:rPr>
        <w:t xml:space="preserve">Audit rights</w:t>
      </w:r>
      <w:r>
        <w:t xml:space="preserve"> </w:t>
      </w:r>
      <w:r>
        <w:t xml:space="preserve">satisfy the NJ Act’s mandatory independent annual audit at Langford Tier 2, with Tier 3 enclave access for cause — a regulatory compliance baseline, not a preference.</w:t>
      </w:r>
    </w:p>
    <w:p>
      <w:pPr>
        <w:pStyle w:val="Compact"/>
        <w:numPr>
          <w:ilvl w:val="0"/>
          <w:numId w:val="1024"/>
        </w:numPr>
      </w:pPr>
      <w:r>
        <w:rPr>
          <w:b/>
          <w:bCs/>
        </w:rPr>
        <w:t xml:space="preserve">Indemnification</w:t>
      </w:r>
      <w:r>
        <w:t xml:space="preserve"> </w:t>
      </w:r>
      <w:r>
        <w:t xml:space="preserve">covers patient-harm, regulatory, data-breach, and IP claims, with a fair shared-defense structure, capped at the 3× super-cap and backed by the binding insurance increase to $30M/$60M.</w:t>
      </w:r>
    </w:p>
    <w:p>
      <w:pPr>
        <w:pStyle w:val="Compact"/>
        <w:numPr>
          <w:ilvl w:val="0"/>
          <w:numId w:val="1024"/>
        </w:numPr>
      </w:pPr>
      <w:r>
        <w:rPr>
          <w:b/>
          <w:bCs/>
        </w:rPr>
        <w:t xml:space="preserve">Insurance collectability</w:t>
      </w:r>
      <w:r>
        <w:t xml:space="preserve"> </w:t>
      </w:r>
      <w:r>
        <w:t xml:space="preserve">is addressed by the binding coverage-increase commitment with date-certain and step-in remedies, closing the gap between the super-cap and the Vendor’s current $25M/$50M limits.</w:t>
      </w:r>
    </w:p>
    <w:p>
      <w:pPr>
        <w:pStyle w:val="Compact"/>
        <w:numPr>
          <w:ilvl w:val="0"/>
          <w:numId w:val="1024"/>
        </w:numPr>
      </w:pPr>
      <w:r>
        <w:rPr>
          <w:b/>
          <w:bCs/>
        </w:rPr>
        <w:t xml:space="preserve">Termination flexibility</w:t>
      </w:r>
      <w:r>
        <w:t xml:space="preserve"> </w:t>
      </w:r>
      <w:r>
        <w:t xml:space="preserve">is preserved via the graduated ETF (declining to zero by Year 3) and 18-month transition, ensuring Meridian is not locked into a non-performing vendor.</w:t>
      </w:r>
    </w:p>
    <w:p>
      <w:pPr>
        <w:pStyle w:val="FirstParagraph"/>
      </w:pPr>
      <w:r>
        <w:t xml:space="preserve">Whitfield Ames recommends reserving a Board Risk Committee briefing slot in the week of August 4, 2025, to allow time for any final adjustments before the August 15 target execution date.</w:t>
      </w:r>
    </w:p>
    <w:p>
      <w:r>
        <w:pict>
          <v:rect style="width:0;height:1.5pt" o:hralign="center" o:hrstd="t" o:hr="t"/>
        </w:pict>
      </w:r>
    </w:p>
    <w:p>
      <w:pPr>
        <w:pStyle w:val="FirstParagraph"/>
      </w:pPr>
      <w:r>
        <w:rPr>
          <w:i/>
          <w:iCs/>
        </w:rPr>
        <w:t xml:space="preserve">Prepared by Whitfield Ames LLP. This memorandum is privileged and confidential attorney work product prepared for Meridian Health Systems, Inc. in anticipation of negotiation with Cognitive Foundry, Inc. It does not constitute an offer or a binding commitment on behalf of Meridian. Clause language is draft negotiating text subject to GC review and finalization during the July 15–17 review period. Questions should be directed to Elaine Sutter, Partner, Whitfield Ames LLP, esutter@whitfieldames.com.</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2026-06-23T05:22:55Z</dcterms:created>
  <dcterms:modified xsi:type="dcterms:W3CDTF">2026-06-23T05:22:55Z</dcterms:modified>
</cp:coreProperties>
</file>

<file path=docProps/custom.xml><?xml version="1.0" encoding="utf-8"?>
<Properties xmlns="http://schemas.openxmlformats.org/officeDocument/2006/custom-properties" xmlns:vt="http://schemas.openxmlformats.org/officeDocument/2006/docPropsVTypes"/>
</file>