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017cfc2555b9c50def869e9769f75ea84ea9a9a"/>
    <w:p>
      <w:pPr>
        <w:pStyle w:val="Heading1"/>
      </w:pPr>
      <w:r>
        <w:t xml:space="preserve">MKPoly Coatings, LLC — Joint Venture Agreement</w:t>
      </w:r>
    </w:p>
    <w:bookmarkStart w:id="20" w:name="X3f8cd7d3d7edbc533c80f76f8affc99106bfa02"/>
    <w:p>
      <w:pPr>
        <w:pStyle w:val="Heading2"/>
      </w:pPr>
      <w:r>
        <w:t xml:space="preserve">Compromise Provisions for the Five Contested Sections</w:t>
      </w:r>
    </w:p>
    <w:p>
      <w:pPr>
        <w:pStyle w:val="FirstParagraph"/>
      </w:pPr>
      <w:r>
        <w:rPr>
          <w:b/>
          <w:bCs/>
        </w:rPr>
        <w:t xml:space="preserve">Prepared for delivery to counsel for both parties in advance of the August 11, 2025 principals meeting</w:t>
      </w:r>
    </w:p>
    <w:p>
      <w:r>
        <w:pict>
          <v:rect style="width:0;height:1.5pt" o:hralign="center" o:hrstd="t" o:hr="t"/>
        </w:pict>
      </w:r>
    </w:p>
    <w:p>
      <w:pPr>
        <w:pStyle w:val="FirstParagraph"/>
      </w:pPr>
      <w:r>
        <w:rPr>
          <w:b/>
          <w:bCs/>
        </w:rPr>
        <w:t xml:space="preserve">TO:</w:t>
      </w:r>
      <w:r>
        <w:t xml:space="preserve"> </w:t>
      </w:r>
      <w:r>
        <w:t xml:space="preserve">Tomás Escalante, Esq., Rennert Krieger Solano LLP (Counsel for Kastor Chemical Industries AG)</w:t>
      </w:r>
    </w:p>
    <w:p>
      <w:pPr>
        <w:pStyle w:val="BodyText"/>
      </w:pPr>
      <w:r>
        <w:rPr>
          <w:b/>
          <w:bCs/>
        </w:rPr>
        <w:t xml:space="preserve">FROM:</w:t>
      </w:r>
      <w:r>
        <w:t xml:space="preserve"> </w:t>
      </w:r>
      <w:r>
        <w:t xml:space="preserve">Brianna Falk, Esq., Whitfield Ames &amp; Trotter LLP (Counsel for Meridian Advanced Materials, LLC)</w:t>
      </w:r>
    </w:p>
    <w:p>
      <w:pPr>
        <w:pStyle w:val="BodyText"/>
      </w:pPr>
      <w:r>
        <w:rPr>
          <w:b/>
          <w:bCs/>
        </w:rPr>
        <w:t xml:space="preserve">CC:</w:t>
      </w:r>
      <w:r>
        <w:t xml:space="preserve"> </w:t>
      </w:r>
      <w:r>
        <w:t xml:space="preserve">Elaine Cordero, Chief Executive Officer, Meridian Advanced Materials, LLC; Dr. Henrik Laufer, Chief Strategy Officer, Kastor Chemical Industries AG</w:t>
      </w:r>
    </w:p>
    <w:p>
      <w:pPr>
        <w:pStyle w:val="BodyText"/>
      </w:pPr>
      <w:r>
        <w:rPr>
          <w:b/>
          <w:bCs/>
        </w:rPr>
        <w:t xml:space="preserve">DATE:</w:t>
      </w:r>
      <w:r>
        <w:t xml:space="preserve"> </w:t>
      </w:r>
      <w:r>
        <w:t xml:space="preserve">August 6, 2025</w:t>
      </w:r>
    </w:p>
    <w:p>
      <w:pPr>
        <w:pStyle w:val="BodyText"/>
      </w:pPr>
      <w:r>
        <w:rPr>
          <w:b/>
          <w:bCs/>
        </w:rPr>
        <w:t xml:space="preserve">RE:</w:t>
      </w:r>
      <w:r>
        <w:t xml:space="preserve"> </w:t>
      </w:r>
      <w:r>
        <w:t xml:space="preserve">Proposed compromise contract provisions and negotiation rationale for the five contested sections of the MKPoly Joint Venture Agreement (JVA v.4, redline dated July 18, 2025)</w:t>
      </w:r>
    </w:p>
    <w:p>
      <w:pPr>
        <w:pStyle w:val="BodyText"/>
      </w:pPr>
      <w:r>
        <w:rPr>
          <w:b/>
          <w:bCs/>
        </w:rPr>
        <w:t xml:space="preserve">REFERENCE DRAFT:</w:t>
      </w:r>
      <w:r>
        <w:t xml:space="preserve"> </w:t>
      </w:r>
      <w:r>
        <w:t xml:space="preserve">MKPoly Joint Venture Agreement, Draft v.4 (redline dated July 18, 2025) (the</w:t>
      </w:r>
      <w:r>
        <w:t xml:space="preserve"> </w:t>
      </w:r>
      <w:r>
        <w:t xml:space="preserve">“</w:t>
      </w:r>
      <w:r>
        <w:t xml:space="preserve">JVA</w:t>
      </w:r>
      <w:r>
        <w:t xml:space="preserve">”</w:t>
      </w:r>
      <w:r>
        <w:t xml:space="preserve">)</w:t>
      </w:r>
    </w:p>
    <w:p>
      <w:r>
        <w:pict>
          <v:rect style="width:0;height:1.5pt" o:hralign="center" o:hrstd="t" o:hr="t"/>
        </w:pict>
      </w:r>
    </w:p>
    <w:bookmarkEnd w:id="20"/>
    <w:bookmarkStart w:id="21" w:name="i.-executive-summary-and-overview"/>
    <w:p>
      <w:pPr>
        <w:pStyle w:val="Heading2"/>
      </w:pPr>
      <w:r>
        <w:t xml:space="preserve">I. Executive Summary and Overview</w:t>
      </w:r>
    </w:p>
    <w:p>
      <w:pPr>
        <w:pStyle w:val="FirstParagraph"/>
      </w:pPr>
      <w:r>
        <w:t xml:space="preserve">This document sets forth proposed compromise contract provisions for the five contested sections of the MKPoly Joint Venture Agreement, together with a negotiation rationale for each provision and a summary concession matrix reflecting the overall balance of trade-offs. It is submitted in the spirit of the structured compromise-drafting process that counsel for both parties agreed in their exchange of July 28–30, 2025, and is intended to give Ms. Cordero and Dr. Laufer a decision-making tool for the August 11, 2025 principals meeting.</w:t>
      </w:r>
    </w:p>
    <w:p>
      <w:pPr>
        <w:pStyle w:val="BodyText"/>
      </w:pPr>
      <w:r>
        <w:t xml:space="preserve">The five contested provisions, and the JVA sections to which they correspond, are:</w:t>
      </w:r>
    </w:p>
    <w:p>
      <w:pPr>
        <w:pStyle w:val="Compact"/>
        <w:numPr>
          <w:ilvl w:val="0"/>
          <w:numId w:val="1001"/>
        </w:numPr>
      </w:pPr>
      <w:r>
        <w:rPr>
          <w:b/>
          <w:bCs/>
        </w:rPr>
        <w:t xml:space="preserve">Management Committee Composition and Voting</w:t>
      </w:r>
      <w:r>
        <w:t xml:space="preserve"> </w:t>
      </w:r>
      <w:r>
        <w:t xml:space="preserve">— Section 5.01</w:t>
      </w:r>
    </w:p>
    <w:p>
      <w:pPr>
        <w:pStyle w:val="Compact"/>
        <w:numPr>
          <w:ilvl w:val="0"/>
          <w:numId w:val="1001"/>
        </w:numPr>
      </w:pPr>
      <w:r>
        <w:rPr>
          <w:b/>
          <w:bCs/>
        </w:rPr>
        <w:t xml:space="preserve">Capital Calls: Cure Period, Dilution, and Loan Alternative</w:t>
      </w:r>
      <w:r>
        <w:t xml:space="preserve"> </w:t>
      </w:r>
      <w:r>
        <w:t xml:space="preserve">— Section 4.03</w:t>
      </w:r>
    </w:p>
    <w:p>
      <w:pPr>
        <w:pStyle w:val="Compact"/>
        <w:numPr>
          <w:ilvl w:val="0"/>
          <w:numId w:val="1001"/>
        </w:numPr>
      </w:pPr>
      <w:r>
        <w:rPr>
          <w:b/>
          <w:bCs/>
        </w:rPr>
        <w:t xml:space="preserve">Post-Exit Non-Competition</w:t>
      </w:r>
      <w:r>
        <w:t xml:space="preserve"> </w:t>
      </w:r>
      <w:r>
        <w:t xml:space="preserve">— Section 11.01</w:t>
      </w:r>
    </w:p>
    <w:p>
      <w:pPr>
        <w:pStyle w:val="Compact"/>
        <w:numPr>
          <w:ilvl w:val="0"/>
          <w:numId w:val="1001"/>
        </w:numPr>
      </w:pPr>
      <w:r>
        <w:rPr>
          <w:b/>
          <w:bCs/>
        </w:rPr>
        <w:t xml:space="preserve">Exit Valuation Methodology</w:t>
      </w:r>
      <w:r>
        <w:t xml:space="preserve"> </w:t>
      </w:r>
      <w:r>
        <w:t xml:space="preserve">— Sections 10.03–10.04 (and conforming revisions to Section 10.01)</w:t>
      </w:r>
    </w:p>
    <w:p>
      <w:pPr>
        <w:pStyle w:val="Compact"/>
        <w:numPr>
          <w:ilvl w:val="0"/>
          <w:numId w:val="1001"/>
        </w:numPr>
      </w:pPr>
      <w:r>
        <w:rPr>
          <w:b/>
          <w:bCs/>
        </w:rPr>
        <w:t xml:space="preserve">IP License-Back and Co-Developed IP Rights</w:t>
      </w:r>
      <w:r>
        <w:t xml:space="preserve"> </w:t>
      </w:r>
      <w:r>
        <w:t xml:space="preserve">— Section 12.05 (and Schedules 12.01, 12.02, 12.05)</w:t>
      </w:r>
    </w:p>
    <w:p>
      <w:pPr>
        <w:pStyle w:val="FirstParagraph"/>
      </w:pPr>
      <w:r>
        <w:t xml:space="preserve">Each provision is presented as a self-contained section containing: (a) ready-to-insert compromise clause language; (b) a summary of each party’s opening position and the proposed landing point; (c) a negotiation rationale explaining the concessions and gains for both sides and why the landing point represents a commercially reasonable middle ground; and (d) cross-references to related provisions.</w:t>
      </w:r>
    </w:p>
    <w:p>
      <w:pPr>
        <w:pStyle w:val="BodyText"/>
      </w:pPr>
      <w:r>
        <w:rPr>
          <w:b/>
          <w:bCs/>
        </w:rPr>
        <w:t xml:space="preserve">Guiding principles.</w:t>
      </w:r>
      <w:r>
        <w:t xml:space="preserve"> </w:t>
      </w:r>
      <w:r>
        <w:t xml:space="preserve">The compromise language below was developed against the economic backdrop of the transaction: Meridian’s total contribution of $42.9 million (comprising $28.6 million in contributed intellectual property independently appraised by Frazier Whitmore &amp; Co., LLP, and $14.3 million in cash) and Kastor’s total contribution of $43.8 million (comprising $41.8 million in cash and $2.0 million in supply-agreement value), against a 55% / 45% equity split and total JV capitalization of $86.7 million. The near-parity of the parties’ dollar contributions, combined with Meridian’s majority equity position and role as operator and Kastor’s minority equity position and role as capital and manufacturing-process partner, is the structural tension that the five compromises seek to resolve. The landing points are also informed by comparable specialty-chemicals joint-venture transactions, which show EBITDA multiples ranging from 6.2× to 8.1× (median 7.1×), board structures in which the majority partner retains governance control, cure periods of 45–60 days, and co-developed IP sublicensing restrictions keyed to named competitors.</w:t>
      </w:r>
    </w:p>
    <w:p>
      <w:pPr>
        <w:pStyle w:val="BodyText"/>
      </w:pPr>
      <w:r>
        <w:rPr>
          <w:b/>
          <w:bCs/>
        </w:rPr>
        <w:t xml:space="preserve">Overall balance.</w:t>
      </w:r>
      <w:r>
        <w:t xml:space="preserve"> </w:t>
      </w:r>
      <w:r>
        <w:t xml:space="preserve">The package is designed so that each party secures its most important objective while conceding on items of comparatively lower importance to that party. Meridian secures (i) a board majority and operational tie-breaking authority consistent with its 55% equity position, and (ii) absolute protection against sublicensing of its contributed IP and against sublicensing of co-developed IP to its North American competitors. Kastor secures (i) a supermajority veto on a defined list of existential Reserved Matters, (ii) a fully independent exit-valuation appraiser, and (iii) a broad, perpetual, royalty-free license to co-developed IP with territorial sublicensing rights outside North America. The concessions that fund these outcomes — on non-compete duration and scope, on the exit multiple, on the capital-call cure period and dilution cap, and on board composition — are calibrated so that the package reads as balanced as a whole rather than favoring either party on any single provision. The summary concession matrix in Section VII sets out this balance at a glance.</w:t>
      </w:r>
    </w:p>
    <w:p>
      <w:r>
        <w:pict>
          <v:rect style="width:0;height:1.5pt" o:hralign="center" o:hrstd="t" o:hr="t"/>
        </w:pict>
      </w:r>
    </w:p>
    <w:bookmarkEnd w:id="21"/>
    <w:bookmarkStart w:id="26" w:name="Xe5c0dfd6531e9b90aae7cd93903b0cc6e70b4c0"/>
    <w:p>
      <w:pPr>
        <w:pStyle w:val="Heading2"/>
      </w:pPr>
      <w:r>
        <w:t xml:space="preserve">II. Provision 1 — Management Committee Composition and Voting (Section 5.01)</w:t>
      </w:r>
    </w:p>
    <w:bookmarkStart w:id="22" w:name="a-proposed-compromise-clause-language"/>
    <w:p>
      <w:pPr>
        <w:pStyle w:val="Heading3"/>
      </w:pPr>
      <w:r>
        <w:t xml:space="preserve">(a) Proposed Compromise Clause Language</w:t>
      </w:r>
    </w:p>
    <w:p>
      <w:pPr>
        <w:pStyle w:val="BlockText"/>
      </w:pPr>
      <w:r>
        <w:rPr>
          <w:b/>
          <w:bCs/>
        </w:rPr>
        <w:t xml:space="preserve">Section 5.01 — Management Committee Composition, Voting, and Deadlock</w:t>
      </w:r>
    </w:p>
    <w:p>
      <w:pPr>
        <w:pStyle w:val="BlockText"/>
      </w:pPr>
      <w:r>
        <w:rPr>
          <w:b/>
          <w:bCs/>
        </w:rPr>
        <w:t xml:space="preserve">(a) Establishment.</w:t>
      </w:r>
      <w:r>
        <w:t xml:space="preserve"> </w:t>
      </w:r>
      <w:r>
        <w:t xml:space="preserve">The business and affairs of the Company shall be managed by a management committee (the</w:t>
      </w:r>
      <w:r>
        <w:t xml:space="preserve"> </w:t>
      </w:r>
      <w:r>
        <w:t xml:space="preserve">“</w:t>
      </w:r>
      <w:r>
        <w:t xml:space="preserve">Management Committee</w:t>
      </w:r>
      <w:r>
        <w:t xml:space="preserve">”</w:t>
      </w:r>
      <w:r>
        <w:t xml:space="preserve">). The Management Committee shall have full, exclusive, and complete authority to manage and control the business and affairs of the Company, except as otherwise expressly provided in this Agreement or as required by the Act.</w:t>
      </w:r>
    </w:p>
    <w:p>
      <w:pPr>
        <w:pStyle w:val="BlockText"/>
      </w:pPr>
      <w:r>
        <w:rPr>
          <w:b/>
          <w:bCs/>
        </w:rPr>
        <w:t xml:space="preserve">(b) Composition.</w:t>
      </w:r>
      <w:r>
        <w:t xml:space="preserve"> </w:t>
      </w:r>
      <w:r>
        <w:t xml:space="preserve">The Management Committee shall consist of five (5) Managers: three (3) appointed by Meridian (the</w:t>
      </w:r>
      <w:r>
        <w:t xml:space="preserve"> </w:t>
      </w:r>
      <w:r>
        <w:t xml:space="preserve">“</w:t>
      </w:r>
      <w:r>
        <w:t xml:space="preserve">Meridian Managers</w:t>
      </w:r>
      <w:r>
        <w:t xml:space="preserve">”</w:t>
      </w:r>
      <w:r>
        <w:t xml:space="preserve">) and two (2) appointed by Kastor (the</w:t>
      </w:r>
      <w:r>
        <w:t xml:space="preserve"> </w:t>
      </w:r>
      <w:r>
        <w:t xml:space="preserve">“</w:t>
      </w:r>
      <w:r>
        <w:t xml:space="preserve">Kastor Managers,</w:t>
      </w:r>
      <w:r>
        <w:t xml:space="preserve">”</w:t>
      </w:r>
      <w:r>
        <w:t xml:space="preserve"> </w:t>
      </w:r>
      <w:r>
        <w:t xml:space="preserve">and together with the Meridian Managers, the</w:t>
      </w:r>
      <w:r>
        <w:t xml:space="preserve"> </w:t>
      </w:r>
      <w:r>
        <w:t xml:space="preserve">“</w:t>
      </w:r>
      <w:r>
        <w:t xml:space="preserve">Managers</w:t>
      </w:r>
      <w:r>
        <w:t xml:space="preserve">”</w:t>
      </w:r>
      <w:r>
        <w:t xml:space="preserve">). The initial Meridian Managers shall be Elaine Cordero, James M. Adeyemi, and Patricia Yoon. The initial Kastor Managers shall be Dr. Henrik Laufer and Claudia Rüegg. Each Member may remove and replace any Manager appointed by it at any time, with or without cause, by written notice to the other Member and the Company. Vacancies shall be filled by the Member entitled to appoint such Manager. No Manager shall be entitled to compensation from the Company for service on the Management Committee, but each Manager shall be entitled to reimbursement of reasonable, documented out-of-pocket expenses.</w:t>
      </w:r>
    </w:p>
    <w:p>
      <w:pPr>
        <w:pStyle w:val="BlockText"/>
      </w:pPr>
      <w:r>
        <w:rPr>
          <w:b/>
          <w:bCs/>
        </w:rPr>
        <w:t xml:space="preserve">(c) Voting; Reserved Matters.</w:t>
      </w:r>
      <w:r>
        <w:t xml:space="preserve"> </w:t>
      </w:r>
      <w:r>
        <w:t xml:space="preserve">Each Manager shall have one (1) vote. Except as provided with respect to Reserved Matters, all actions of the Management Committee shall require the affirmative vote of a majority of the Managers then in office. A quorum shall consist of four (4) Managers, including at least one (1) Meridian Manager and one (1) Kastor Manager. The following actions (the</w:t>
      </w:r>
      <w:r>
        <w:t xml:space="preserve"> </w:t>
      </w:r>
      <w:r>
        <w:t xml:space="preserve">“</w:t>
      </w:r>
      <w:r>
        <w:t xml:space="preserve">Reserved Matters</w:t>
      </w:r>
      <w:r>
        <w:t xml:space="preserve">”</w:t>
      </w:r>
      <w:r>
        <w:t xml:space="preserve">) shall require the affirmative vote of at least four (4) of the five (5) Managers then in office (a</w:t>
      </w:r>
      <w:r>
        <w:t xml:space="preserve"> </w:t>
      </w:r>
      <w:r>
        <w:t xml:space="preserve">“</w:t>
      </w:r>
      <w:r>
        <w:t xml:space="preserve">Supermajority Vote</w:t>
      </w:r>
      <w:r>
        <w:t xml:space="preserve">”</w:t>
      </w:r>
      <w:r>
        <w:t xml:space="preserve">), which shall include the affirmative vote of at least one (1) Kastor Manager:</w:t>
      </w:r>
    </w:p>
    <w:p>
      <w:pPr>
        <w:pStyle w:val="Compact"/>
        <w:numPr>
          <w:ilvl w:val="0"/>
          <w:numId w:val="1002"/>
        </w:numPr>
      </w:pPr>
      <w:r>
        <w:t xml:space="preserve">any amendment, modification, or restatement of this Agreement or the Certificate of Formation;</w:t>
      </w:r>
    </w:p>
    <w:p>
      <w:pPr>
        <w:pStyle w:val="Compact"/>
        <w:numPr>
          <w:ilvl w:val="0"/>
          <w:numId w:val="1002"/>
        </w:numPr>
      </w:pPr>
      <w:r>
        <w:t xml:space="preserve">voluntary dissolution, winding up, or filing of a petition under any federal or state bankruptcy, insolvency, or receivership statute;</w:t>
      </w:r>
    </w:p>
    <w:p>
      <w:pPr>
        <w:pStyle w:val="Compact"/>
        <w:numPr>
          <w:ilvl w:val="0"/>
          <w:numId w:val="1002"/>
        </w:numPr>
      </w:pPr>
      <w:r>
        <w:t xml:space="preserve">sale, transfer, or other disposition of all or substantially all of the Company’s assets in a single transaction or series of related transactions;</w:t>
      </w:r>
    </w:p>
    <w:p>
      <w:pPr>
        <w:pStyle w:val="Compact"/>
        <w:numPr>
          <w:ilvl w:val="0"/>
          <w:numId w:val="1002"/>
        </w:numPr>
      </w:pPr>
      <w:r>
        <w:t xml:space="preserve">admission of any new member to the Company, or any issuance of new membership interests to any Person other than the existing Members on a pro-rata basis;</w:t>
      </w:r>
    </w:p>
    <w:p>
      <w:pPr>
        <w:pStyle w:val="Compact"/>
        <w:numPr>
          <w:ilvl w:val="0"/>
          <w:numId w:val="1002"/>
        </w:numPr>
      </w:pPr>
      <w:r>
        <w:t xml:space="preserve">any Capital Call, or series of related Capital Calls, exceeding $5,000,000 in the aggregate in any fiscal year;</w:t>
      </w:r>
    </w:p>
    <w:p>
      <w:pPr>
        <w:pStyle w:val="Compact"/>
        <w:numPr>
          <w:ilvl w:val="0"/>
          <w:numId w:val="1002"/>
        </w:numPr>
      </w:pPr>
      <w:r>
        <w:t xml:space="preserve">incurrence of indebtedness exceeding $7,500,000 in the aggregate;</w:t>
      </w:r>
    </w:p>
    <w:p>
      <w:pPr>
        <w:pStyle w:val="Compact"/>
        <w:numPr>
          <w:ilvl w:val="0"/>
          <w:numId w:val="1002"/>
        </w:numPr>
      </w:pPr>
      <w:r>
        <w:t xml:space="preserve">entry into, or material amendment of, any transaction between the Company and either Member or any Affiliate of either Member (a</w:t>
      </w:r>
      <w:r>
        <w:t xml:space="preserve"> </w:t>
      </w:r>
      <w:r>
        <w:t xml:space="preserve">“</w:t>
      </w:r>
      <w:r>
        <w:t xml:space="preserve">Related-Party Transaction</w:t>
      </w:r>
      <w:r>
        <w:t xml:space="preserve">”</w:t>
      </w:r>
      <w:r>
        <w:t xml:space="preserve">), other than transactions in the ordinary course of business on arm’s-length terms;</w:t>
      </w:r>
    </w:p>
    <w:p>
      <w:pPr>
        <w:pStyle w:val="Compact"/>
        <w:numPr>
          <w:ilvl w:val="0"/>
          <w:numId w:val="1002"/>
        </w:numPr>
      </w:pPr>
      <w:r>
        <w:t xml:space="preserve">any material change to the business purpose or scope of the Company as set forth in Schedule 2.04; and</w:t>
      </w:r>
    </w:p>
    <w:p>
      <w:pPr>
        <w:pStyle w:val="Compact"/>
        <w:numPr>
          <w:ilvl w:val="0"/>
          <w:numId w:val="1002"/>
        </w:numPr>
      </w:pPr>
      <w:r>
        <w:t xml:space="preserve">any transaction constituting a change of control of the Company.</w:t>
      </w:r>
    </w:p>
    <w:p>
      <w:pPr>
        <w:pStyle w:val="BlockText"/>
      </w:pPr>
      <w:r>
        <w:t xml:space="preserve">The Chief Executive Officer shall not be entitled to vote on any Reserved Matter and shall have no casting or tie-breaking vote with respect to any Reserved Matter. Actions may be taken at a duly called meeting or by written consent of the requisite number of Managers.</w:t>
      </w:r>
    </w:p>
    <w:p>
      <w:pPr>
        <w:pStyle w:val="BlockText"/>
      </w:pPr>
      <w:r>
        <w:rPr>
          <w:b/>
          <w:bCs/>
        </w:rPr>
        <w:t xml:space="preserve">(d) Officers.</w:t>
      </w:r>
      <w:r>
        <w:t xml:space="preserve"> </w:t>
      </w:r>
      <w:r>
        <w:t xml:space="preserve">The Chief Executive Officer and the Chief Financial Officer shall be appointed by Meridian. The Chief Operating Officer and the Chief Technology Officer shall be appointed by the affirmative vote of a majority of the Managers. All other officers and senior management below the C-suite level shall be appointed by the Chief Executive Officer. Day-to-day management authority is delegated to the Chief Executive Officer, without further Board approval, for any action or expenditure that (i) is within the approved annual operating budget and (ii) does not involve a single-transaction expenditure exceeding $1,000,000.</w:t>
      </w:r>
    </w:p>
    <w:p>
      <w:pPr>
        <w:pStyle w:val="BlockText"/>
      </w:pPr>
      <w:r>
        <w:rPr>
          <w:b/>
          <w:bCs/>
        </w:rPr>
        <w:t xml:space="preserve">(e) Deadlock Resolution.</w:t>
      </w:r>
    </w:p>
    <w:p>
      <w:pPr>
        <w:pStyle w:val="BlockText"/>
      </w:pPr>
      <w:r>
        <w:rPr>
          <w:b/>
          <w:bCs/>
        </w:rPr>
        <w:t xml:space="preserve">(i) Definition.</w:t>
      </w:r>
      <w:r>
        <w:t xml:space="preserve"> </w:t>
      </w:r>
      <w:r>
        <w:t xml:space="preserve">A</w:t>
      </w:r>
      <w:r>
        <w:t xml:space="preserve"> </w:t>
      </w:r>
      <w:r>
        <w:t xml:space="preserve">“</w:t>
      </w:r>
      <w:r>
        <w:t xml:space="preserve">Deadlock</w:t>
      </w:r>
      <w:r>
        <w:t xml:space="preserve">”</w:t>
      </w:r>
      <w:r>
        <w:t xml:space="preserve"> </w:t>
      </w:r>
      <w:r>
        <w:t xml:space="preserve">occurs when the Management Committee is unable to reach the required vote on a matter after two (2) consecutive duly convened meetings (each held at least fifteen (15) days apart) at which the matter is considered and voted upon.</w:t>
      </w:r>
    </w:p>
    <w:p>
      <w:pPr>
        <w:pStyle w:val="BlockText"/>
      </w:pPr>
      <w:r>
        <w:rPr>
          <w:b/>
          <w:bCs/>
        </w:rPr>
        <w:t xml:space="preserve">(ii) Ordinary-Course Matters.</w:t>
      </w:r>
      <w:r>
        <w:t xml:space="preserve"> </w:t>
      </w:r>
      <w:r>
        <w:t xml:space="preserve">For any matter that is not a Reserved Matter, if a Deadlock persists after the second meeting, the Chief Executive Officer shall cast the deciding vote, and the decision so made shall be binding on the Company and all Members.</w:t>
      </w:r>
    </w:p>
    <w:p>
      <w:pPr>
        <w:pStyle w:val="BlockText"/>
      </w:pPr>
      <w:r>
        <w:rPr>
          <w:b/>
          <w:bCs/>
        </w:rPr>
        <w:t xml:space="preserve">(iii) Reserved Matters.</w:t>
      </w:r>
      <w:r>
        <w:t xml:space="preserve"> </w:t>
      </w:r>
      <w:r>
        <w:t xml:space="preserve">For any Reserved Matter, if a Deadlock persists after the second meeting, the following procedures shall apply in sequence:</w:t>
      </w:r>
    </w:p>
    <w:p>
      <w:pPr>
        <w:pStyle w:val="BlockText"/>
      </w:pPr>
      <w:r>
        <w:rPr>
          <w:b/>
          <w:bCs/>
        </w:rPr>
        <w:t xml:space="preserve">(A) Executive Escalation.</w:t>
      </w:r>
      <w:r>
        <w:t xml:space="preserve"> </w:t>
      </w:r>
      <w:r>
        <w:t xml:space="preserve">The matter shall be referred to the Chief Executive Officer of Meridian and the Chief Strategy Officer of Kastor (or their respective designees) for good-faith negotiation for a period of fifteen (15) business days, during which the status quo shall be maintained.</w:t>
      </w:r>
    </w:p>
    <w:p>
      <w:pPr>
        <w:pStyle w:val="BlockText"/>
      </w:pPr>
      <w:r>
        <w:rPr>
          <w:b/>
          <w:bCs/>
        </w:rPr>
        <w:t xml:space="preserve">(B) Mediation.</w:t>
      </w:r>
      <w:r>
        <w:t xml:space="preserve"> </w:t>
      </w:r>
      <w:r>
        <w:t xml:space="preserve">If the Deadlock is not resolved during the executive escalation period, either Member may submit the matter to non-binding mediation administered by the American Arbitration Association (or before a mediator mutually selected by the Members), for a period not exceeding thirty (30) calendar days from the appointment of the mediator.</w:t>
      </w:r>
    </w:p>
    <w:p>
      <w:pPr>
        <w:pStyle w:val="BlockText"/>
      </w:pPr>
      <w:r>
        <w:rPr>
          <w:b/>
          <w:bCs/>
        </w:rPr>
        <w:t xml:space="preserve">(C) Buy-Sell.</w:t>
      </w:r>
      <w:r>
        <w:t xml:space="preserve"> </w:t>
      </w:r>
      <w:r>
        <w:t xml:space="preserve">If the Deadlock persists following the mediation period, either Member may initiate the buy-sell procedures under Article X, which initiation shall constitute a Trigger Event for purposes of Section 10.01.</w:t>
      </w:r>
    </w:p>
    <w:bookmarkEnd w:id="22"/>
    <w:bookmarkStart w:id="23" w:name="b-summary-of-the-parties-positions"/>
    <w:p>
      <w:pPr>
        <w:pStyle w:val="Heading3"/>
      </w:pPr>
      <w:r>
        <w:t xml:space="preserve">(b) Summary of the Parties’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Board composition</w:t>
            </w:r>
          </w:p>
        </w:tc>
        <w:tc>
          <w:tcPr/>
          <w:p>
            <w:pPr>
              <w:pStyle w:val="Compact"/>
              <w:jc w:val="left"/>
            </w:pPr>
            <w:r>
              <w:t xml:space="preserve">3 Meridian / 2 Kastor (5 total)</w:t>
            </w:r>
          </w:p>
        </w:tc>
        <w:tc>
          <w:tcPr/>
          <w:p>
            <w:pPr>
              <w:pStyle w:val="Compact"/>
              <w:jc w:val="left"/>
            </w:pPr>
            <w:r>
              <w:t xml:space="preserve">3 Meridian / 3 Kastor (6 total)</w:t>
            </w:r>
          </w:p>
        </w:tc>
        <w:tc>
          <w:tcPr/>
          <w:p>
            <w:pPr>
              <w:pStyle w:val="Compact"/>
              <w:jc w:val="left"/>
            </w:pPr>
            <w:r>
              <w:t xml:space="preserve">3 Meridian / 2 Kastor (5 total)</w:t>
            </w:r>
          </w:p>
        </w:tc>
      </w:tr>
      <w:tr>
        <w:tc>
          <w:tcPr/>
          <w:p>
            <w:pPr>
              <w:pStyle w:val="Compact"/>
              <w:jc w:val="left"/>
            </w:pPr>
            <w:r>
              <w:t xml:space="preserve">Ordinary voting</w:t>
            </w:r>
          </w:p>
        </w:tc>
        <w:tc>
          <w:tcPr/>
          <w:p>
            <w:pPr>
              <w:pStyle w:val="Compact"/>
              <w:jc w:val="left"/>
            </w:pPr>
            <w:r>
              <w:t xml:space="preserve">Simple majority; CEO casting vote on all deadlocks</w:t>
            </w:r>
          </w:p>
        </w:tc>
        <w:tc>
          <w:tcPr/>
          <w:p>
            <w:pPr>
              <w:pStyle w:val="Compact"/>
              <w:jc w:val="left"/>
            </w:pPr>
            <w:r>
              <w:t xml:space="preserve">Simple majority; supermajority (5 of 6) on Reserved Matters</w:t>
            </w:r>
          </w:p>
        </w:tc>
        <w:tc>
          <w:tcPr/>
          <w:p>
            <w:pPr>
              <w:pStyle w:val="Compact"/>
              <w:jc w:val="left"/>
            </w:pPr>
            <w:r>
              <w:t xml:space="preserve">Simple majority; CEO casting vote on non-Reserved deadlocks only</w:t>
            </w:r>
          </w:p>
        </w:tc>
      </w:tr>
      <w:tr>
        <w:tc>
          <w:tcPr/>
          <w:p>
            <w:pPr>
              <w:pStyle w:val="Compact"/>
              <w:jc w:val="left"/>
            </w:pPr>
            <w:r>
              <w:t xml:space="preserve">Reserved Matters</w:t>
            </w:r>
          </w:p>
        </w:tc>
        <w:tc>
          <w:tcPr/>
          <w:p>
            <w:pPr>
              <w:pStyle w:val="Compact"/>
              <w:jc w:val="left"/>
            </w:pPr>
            <w:r>
              <w:t xml:space="preserve">None proposed (or narrow list as fallback)</w:t>
            </w:r>
          </w:p>
        </w:tc>
        <w:tc>
          <w:tcPr/>
          <w:p>
            <w:pPr>
              <w:pStyle w:val="Compact"/>
              <w:jc w:val="left"/>
            </w:pPr>
            <w:r>
              <w:t xml:space="preserve">12-item list; supermajority requiring 1 Kastor vote</w:t>
            </w:r>
          </w:p>
        </w:tc>
        <w:tc>
          <w:tcPr/>
          <w:p>
            <w:pPr>
              <w:pStyle w:val="Compact"/>
              <w:jc w:val="left"/>
            </w:pPr>
            <w:r>
              <w:t xml:space="preserve">9-item existential list; supermajority (4 of 5) requiring 1 Kastor vote</w:t>
            </w:r>
          </w:p>
        </w:tc>
      </w:tr>
      <w:tr>
        <w:tc>
          <w:tcPr/>
          <w:p>
            <w:pPr>
              <w:pStyle w:val="Compact"/>
              <w:jc w:val="left"/>
            </w:pPr>
            <w:r>
              <w:t xml:space="preserve">CEO casting vote</w:t>
            </w:r>
          </w:p>
        </w:tc>
        <w:tc>
          <w:tcPr/>
          <w:p>
            <w:pPr>
              <w:pStyle w:val="Compact"/>
              <w:jc w:val="left"/>
            </w:pPr>
            <w:r>
              <w:t xml:space="preserve">On all matters</w:t>
            </w:r>
          </w:p>
        </w:tc>
        <w:tc>
          <w:tcPr/>
          <w:p>
            <w:pPr>
              <w:pStyle w:val="Compact"/>
              <w:jc w:val="left"/>
            </w:pPr>
            <w:r>
              <w:t xml:space="preserve">Rejected entirely</w:t>
            </w:r>
          </w:p>
        </w:tc>
        <w:tc>
          <w:tcPr/>
          <w:p>
            <w:pPr>
              <w:pStyle w:val="Compact"/>
              <w:jc w:val="left"/>
            </w:pPr>
            <w:r>
              <w:t xml:space="preserve">On ordinary-course matters only; excluded from Reserved Matters</w:t>
            </w:r>
          </w:p>
        </w:tc>
      </w:tr>
      <w:tr>
        <w:tc>
          <w:tcPr/>
          <w:p>
            <w:pPr>
              <w:pStyle w:val="Compact"/>
              <w:jc w:val="left"/>
            </w:pPr>
            <w:r>
              <w:t xml:space="preserve">Deadlock on Reserved Matters</w:t>
            </w:r>
          </w:p>
        </w:tc>
        <w:tc>
          <w:tcPr/>
          <w:p>
            <w:pPr>
              <w:pStyle w:val="Compact"/>
              <w:jc w:val="left"/>
            </w:pPr>
            <w:r>
              <w:t xml:space="preserve">CEO casting vote</w:t>
            </w:r>
          </w:p>
        </w:tc>
        <w:tc>
          <w:tcPr/>
          <w:p>
            <w:pPr>
              <w:pStyle w:val="Compact"/>
              <w:jc w:val="left"/>
            </w:pPr>
            <w:r>
              <w:t xml:space="preserve">Mediation, then forced buyout</w:t>
            </w:r>
          </w:p>
        </w:tc>
        <w:tc>
          <w:tcPr/>
          <w:p>
            <w:pPr>
              <w:pStyle w:val="Compact"/>
              <w:jc w:val="left"/>
            </w:pPr>
            <w:r>
              <w:t xml:space="preserve">Executive escalation → mediation → buy-sell</w:t>
            </w:r>
          </w:p>
        </w:tc>
      </w:tr>
      <w:tr>
        <w:tc>
          <w:tcPr/>
          <w:p>
            <w:pPr>
              <w:pStyle w:val="Compact"/>
              <w:jc w:val="left"/>
            </w:pPr>
            <w:r>
              <w:t xml:space="preserve">Officer appointments</w:t>
            </w:r>
          </w:p>
        </w:tc>
        <w:tc>
          <w:tcPr/>
          <w:p>
            <w:pPr>
              <w:pStyle w:val="Compact"/>
              <w:jc w:val="left"/>
            </w:pPr>
            <w:r>
              <w:t xml:space="preserve">Meridian appoints CEO and CFO</w:t>
            </w:r>
          </w:p>
        </w:tc>
        <w:tc>
          <w:tcPr/>
          <w:p>
            <w:pPr>
              <w:pStyle w:val="Compact"/>
              <w:jc w:val="left"/>
            </w:pPr>
            <w:r>
              <w:t xml:space="preserve">CEO/CFO/CTO appointment as Reserved Matter</w:t>
            </w:r>
          </w:p>
        </w:tc>
        <w:tc>
          <w:tcPr/>
          <w:p>
            <w:pPr>
              <w:pStyle w:val="Compact"/>
              <w:jc w:val="left"/>
            </w:pPr>
            <w:r>
              <w:t xml:space="preserve">Meridian appoints CEO and CFO; COO/CTO by majority Board vote</w:t>
            </w:r>
          </w:p>
        </w:tc>
      </w:tr>
    </w:tbl>
    <w:bookmarkEnd w:id="23"/>
    <w:bookmarkStart w:id="24" w:name="c-negotiation-rationale"/>
    <w:p>
      <w:pPr>
        <w:pStyle w:val="Heading3"/>
      </w:pPr>
      <w:r>
        <w:t xml:space="preserve">(c) Negotiation Rationale</w:t>
      </w:r>
    </w:p>
    <w:p>
      <w:pPr>
        <w:pStyle w:val="FirstParagraph"/>
      </w:pPr>
      <w:r>
        <w:rPr>
          <w:b/>
          <w:bCs/>
        </w:rPr>
        <w:t xml:space="preserve">Why this is a fair middle ground.</w:t>
      </w:r>
      <w:r>
        <w:t xml:space="preserve"> </w:t>
      </w:r>
      <w:r>
        <w:t xml:space="preserve">The central tension in this provision is that Meridian holds a 55% equity interest and contributes the JV’s core technology, while Kastor’s total dollar contribution ($43.8 million) slightly exceeds Meridian’s ($42.9 million). A governance structure must reflect both realities: the majority partner’s legitimate claim to operational leadership, and the minority partner’s legitimate need for protection against actions that could materially impair its near-parity investment.</w:t>
      </w:r>
    </w:p>
    <w:p>
      <w:pPr>
        <w:pStyle w:val="BodyText"/>
      </w:pPr>
      <w:r>
        <w:rPr>
          <w:b/>
          <w:bCs/>
        </w:rPr>
        <w:t xml:space="preserve">Concessions and gains — Meridian.</w:t>
      </w:r>
      <w:r>
        <w:t xml:space="preserve"> </w:t>
      </w:r>
      <w:r>
        <w:t xml:space="preserve">Meridian secures the 3-to-2 board composition it sought, preserving a board majority consistent with its 55% equity position and its role as operator and contributor of the JV’s core intellectual property. Meridian retains the right to appoint the CEO and CFO, and the CEO retains a casting vote on ordinary-course deadlocks, ensuring that day-to-day operations cannot be paralyzed by a tie. In exchange, Meridian concedes a supermajority voting requirement on a defined list of Reserved Matters, giving Kastor an effective veto on nine categories of existential decisions, and agrees that the CEO casting vote does not extend to any Reserved Matter.</w:t>
      </w:r>
    </w:p>
    <w:p>
      <w:pPr>
        <w:pStyle w:val="BodyText"/>
      </w:pPr>
      <w:r>
        <w:rPr>
          <w:b/>
          <w:bCs/>
        </w:rPr>
        <w:t xml:space="preserve">Concessions and gains — Kastor.</w:t>
      </w:r>
      <w:r>
        <w:t xml:space="preserve"> </w:t>
      </w:r>
      <w:r>
        <w:t xml:space="preserve">Kastor secures its most important governance objective: a supermajority veto on Reserved Matters that requires the affirmative vote of at least one Kastor Manager, ensuring that neither party can unilaterally approve actions that could fundamentally alter the venture’s structure, risk profile, or capital structure. Kastor also secures the exclusion of the CEO casting vote from Reserved Matters — the mechanism that, in Kastor’s view, would otherwise render the supermajority protection illusory — and a tiered deadlock-resolution process (executive escalation, mediation, then buy-sell) for Reserved Matter deadlocks, rather than resolution by a Meridian-appointed CEO. In exchange, Kastor concedes its preferred 3-to-3 equal board composition, accepting a 3-to-2 structure that reflects Meridian’s majority equity position, and accepts that the CEO retains a casting vote on ordinary-course matters and that the CEO and CFO are appointed by Meridian.</w:t>
      </w:r>
    </w:p>
    <w:p>
      <w:pPr>
        <w:pStyle w:val="BodyText"/>
      </w:pPr>
      <w:r>
        <w:rPr>
          <w:b/>
          <w:bCs/>
        </w:rPr>
        <w:t xml:space="preserve">Why the Reserved Matters list is appropriately calibrated.</w:t>
      </w:r>
      <w:r>
        <w:t xml:space="preserve"> </w:t>
      </w:r>
      <w:r>
        <w:t xml:space="preserve">The nine-item list is limited to genuinely existential decisions: changes to the governing documents, dissolution, sale of substantially all assets, admission of new members, large capital calls, material indebtedness, related-party transactions, changes to business scope, and change of control. It deliberately excludes ordinary-course operating decisions, annual operating-budget approval, hiring and termination of personnel below the C-suite, ordinary-course customer and supplier contracts, pricing, and product-development priorities — matters that must remain within the CEO’s delegated authority or simple-majority Board vote to preserve operational efficiency. The $5 million capital-call threshold and $7.5 million indebtedness threshold are set at levels that capture decisions with material dilution or risk consequences while leaving routine funding and financing decisions to ordinary majority vote. This calibration is consistent with comparable specialty-chemicals joint ventures, in which majority partners retain operational control while minority partners hold protective vetoes on a narrow, existential list.</w:t>
      </w:r>
    </w:p>
    <w:p>
      <w:pPr>
        <w:pStyle w:val="BodyText"/>
      </w:pPr>
      <w:r>
        <w:rPr>
          <w:b/>
          <w:bCs/>
        </w:rPr>
        <w:t xml:space="preserve">Why the deadlock mechanism is coherent.</w:t>
      </w:r>
      <w:r>
        <w:t xml:space="preserve"> </w:t>
      </w:r>
      <w:r>
        <w:t xml:space="preserve">The bifurcated deadlock structure resolves the parties’ competing concerns. For ordinary-course matters, the CEO casting vote ensures the venture is never operationally paralyzed — Meridian’s core concern. For Reserved Matters, the tiered escalation process gives both parties a genuine opportunity to resolve the impasse through negotiation and mediation before any exit is triggered, and reserves the buy-sell mechanism as a terminal remedy for unresolvable existential deadlocks — addressing Kastor’s concern that a CEO casting vote would convert protective rights into a majority-controlled formality. The buy-sell terminal step also links coherently to the exit-valuation trigger events in Section 10.01 (see Provision 4).</w:t>
      </w:r>
    </w:p>
    <w:bookmarkEnd w:id="24"/>
    <w:bookmarkStart w:id="25" w:name="d-cross-references"/>
    <w:p>
      <w:pPr>
        <w:pStyle w:val="Heading3"/>
      </w:pPr>
      <w:r>
        <w:t xml:space="preserve">(d) Cross-References</w:t>
      </w:r>
    </w:p>
    <w:p>
      <w:pPr>
        <w:pStyle w:val="Compact"/>
        <w:numPr>
          <w:ilvl w:val="0"/>
          <w:numId w:val="1003"/>
        </w:numPr>
      </w:pPr>
      <w:r>
        <w:t xml:space="preserve">Section 4.03(a) (Capital Calls) — capital calls exceeding $5 million in any fiscal year are a Reserved Matter.</w:t>
      </w:r>
    </w:p>
    <w:p>
      <w:pPr>
        <w:pStyle w:val="Compact"/>
        <w:numPr>
          <w:ilvl w:val="0"/>
          <w:numId w:val="1003"/>
        </w:numPr>
      </w:pPr>
      <w:r>
        <w:t xml:space="preserve">Section 10.01 (Trigger Events) — a Reserved Matter Deadlock surviving escalation and mediation constitutes a Trigger Event.</w:t>
      </w:r>
    </w:p>
    <w:p>
      <w:pPr>
        <w:pStyle w:val="Compact"/>
        <w:numPr>
          <w:ilvl w:val="0"/>
          <w:numId w:val="1003"/>
        </w:numPr>
      </w:pPr>
      <w:r>
        <w:t xml:space="preserve">Section 2.04 / Schedule 2.04 (Business Purpose) — defines the business scope that may not be materially changed without a Supermajority Vote.</w:t>
      </w:r>
    </w:p>
    <w:p>
      <w:pPr>
        <w:pStyle w:val="Compact"/>
        <w:numPr>
          <w:ilvl w:val="0"/>
          <w:numId w:val="1003"/>
        </w:numPr>
      </w:pPr>
      <w:r>
        <w:t xml:space="preserve">Schedule 12.05 (Restricted Competitors) — referenced in the non-compete and IP provisions.</w:t>
      </w:r>
    </w:p>
    <w:p>
      <w:r>
        <w:pict>
          <v:rect style="width:0;height:1.5pt" o:hralign="center" o:hrstd="t" o:hr="t"/>
        </w:pict>
      </w:r>
    </w:p>
    <w:bookmarkEnd w:id="25"/>
    <w:bookmarkEnd w:id="26"/>
    <w:bookmarkStart w:id="31" w:name="X7553c44cba1344f7277855c1cbd716b086b6c44"/>
    <w:p>
      <w:pPr>
        <w:pStyle w:val="Heading2"/>
      </w:pPr>
      <w:r>
        <w:t xml:space="preserve">III. Provision 2 — Capital Calls: Cure Period, Dilution, and Loan Alternative (Section 4.03)</w:t>
      </w:r>
    </w:p>
    <w:bookmarkStart w:id="27" w:name="a-proposed-compromise-clause-language-1"/>
    <w:p>
      <w:pPr>
        <w:pStyle w:val="Heading3"/>
      </w:pPr>
      <w:r>
        <w:t xml:space="preserve">(a) Proposed Compromise Clause Language</w:t>
      </w:r>
    </w:p>
    <w:p>
      <w:pPr>
        <w:pStyle w:val="BlockText"/>
      </w:pPr>
      <w:r>
        <w:rPr>
          <w:b/>
          <w:bCs/>
        </w:rPr>
        <w:t xml:space="preserve">Section 4.03 — Capital Calls and Dilution</w:t>
      </w:r>
    </w:p>
    <w:p>
      <w:pPr>
        <w:pStyle w:val="BlockText"/>
      </w:pPr>
      <w:r>
        <w:rPr>
          <w:b/>
          <w:bCs/>
        </w:rPr>
        <w:t xml:space="preserve">(a) Capital Calls.</w:t>
      </w:r>
      <w:r>
        <w:t xml:space="preserve"> </w:t>
      </w:r>
      <w:r>
        <w:t xml:space="preserve">The Management Committee may determine from time to time that additional Capital Contributions are required to fund the business, operations, capital expenditures, working capital, or other requirements of the Company. Upon such determination, the Management Committee shall deliver a written Capital Call notice to each Member specifying (i) the aggregate amount of additional Capital Contributions required, (ii) each Member’s proportionate share (based on each Member’s then-current Percentage Interest), (iii) the purpose, and (iv) the date by which such Capital Contributions must be made (the</w:t>
      </w:r>
      <w:r>
        <w:t xml:space="preserve"> </w:t>
      </w:r>
      <w:r>
        <w:t xml:space="preserve">“</w:t>
      </w:r>
      <w:r>
        <w:t xml:space="preserve">Funding Date</w:t>
      </w:r>
      <w:r>
        <w:t xml:space="preserve">”</w:t>
      </w:r>
      <w:r>
        <w:t xml:space="preserve">), which shall be not less than fifteen (15) days after delivery of the notice. Any Capital Call, or series of related Capital Calls, exceeding $5,000,000 in the aggregate in any fiscal year shall constitute a Reserved Matter requiring a Supermajority Vote under Section 5.01(c).</w:t>
      </w:r>
    </w:p>
    <w:p>
      <w:pPr>
        <w:pStyle w:val="BlockText"/>
      </w:pPr>
      <w:r>
        <w:rPr>
          <w:b/>
          <w:bCs/>
        </w:rPr>
        <w:t xml:space="preserve">(b) Obligation to Fund; Cure Period.</w:t>
      </w:r>
      <w:r>
        <w:t xml:space="preserve"> </w:t>
      </w:r>
      <w:r>
        <w:t xml:space="preserve">Each Member shall fund its proportionate share of a Capital Call within sixty (60) days after the Funding Date (the</w:t>
      </w:r>
      <w:r>
        <w:t xml:space="preserve"> </w:t>
      </w:r>
      <w:r>
        <w:t xml:space="preserve">“</w:t>
      </w:r>
      <w:r>
        <w:t xml:space="preserve">Cure Period</w:t>
      </w:r>
      <w:r>
        <w:t xml:space="preserve">”</w:t>
      </w:r>
      <w:r>
        <w:t xml:space="preserve">). A Member may satisfy its funding obligation in euros, converted at the European Central Bank reference rate on the date of the Capital Call notice, with conversion to U.S. dollars handled by the Company at the Company’s cost.</w:t>
      </w:r>
    </w:p>
    <w:p>
      <w:pPr>
        <w:pStyle w:val="BlockText"/>
      </w:pPr>
      <w:r>
        <w:rPr>
          <w:b/>
          <w:bCs/>
        </w:rPr>
        <w:t xml:space="preserve">(c) Penalty Interest.</w:t>
      </w:r>
      <w:r>
        <w:t xml:space="preserve"> </w:t>
      </w:r>
      <w:r>
        <w:t xml:space="preserve">During the Cure Period, interest shall accrue automatically on any unfunded portion of a Member’s Capital Call at a per annum rate equal to the greater of (i) the Secured Overnight Financing Rate (SOFR) plus 500 basis points, or (ii) ten percent (10%) (the</w:t>
      </w:r>
      <w:r>
        <w:t xml:space="preserve"> </w:t>
      </w:r>
      <w:r>
        <w:t xml:space="preserve">“</w:t>
      </w:r>
      <w:r>
        <w:t xml:space="preserve">Default Rate</w:t>
      </w:r>
      <w:r>
        <w:t xml:space="preserve">”</w:t>
      </w:r>
      <w:r>
        <w:t xml:space="preserve">). Accrued penalty interest shall be payable to the Company for the account of the Contributing Member upon funding or upon a Dilution Event, as applicable.</w:t>
      </w:r>
    </w:p>
    <w:p>
      <w:pPr>
        <w:pStyle w:val="BlockText"/>
      </w:pPr>
      <w:r>
        <w:rPr>
          <w:b/>
          <w:bCs/>
        </w:rPr>
        <w:t xml:space="preserve">(d) Failure to Fund; Bridge Loan Alternative.</w:t>
      </w:r>
      <w:r>
        <w:t xml:space="preserve"> </w:t>
      </w:r>
      <w:r>
        <w:t xml:space="preserve">If a Member (the</w:t>
      </w:r>
      <w:r>
        <w:t xml:space="preserve"> </w:t>
      </w:r>
      <w:r>
        <w:t xml:space="preserve">“</w:t>
      </w:r>
      <w:r>
        <w:t xml:space="preserve">Defaulting Member</w:t>
      </w:r>
      <w:r>
        <w:t xml:space="preserve">”</w:t>
      </w:r>
      <w:r>
        <w:t xml:space="preserve">) fails to fund its proportionate share within the Cure Period, the non-defaulting Member (the</w:t>
      </w:r>
      <w:r>
        <w:t xml:space="preserve"> </w:t>
      </w:r>
      <w:r>
        <w:t xml:space="preserve">“</w:t>
      </w:r>
      <w:r>
        <w:t xml:space="preserve">Contributing Member</w:t>
      </w:r>
      <w:r>
        <w:t xml:space="preserve">”</w:t>
      </w:r>
      <w:r>
        <w:t xml:space="preserve">) may, at its sole election, either (i) extend a bridge loan to the Defaulting Member or (ii) exercise the dilution remedy in Section 4.03(e):</w:t>
      </w:r>
    </w:p>
    <w:p>
      <w:pPr>
        <w:pStyle w:val="BlockText"/>
      </w:pPr>
      <w:r>
        <w:rPr>
          <w:b/>
          <w:bCs/>
        </w:rPr>
        <w:t xml:space="preserve">(i) Bridge Loan.</w:t>
      </w:r>
      <w:r>
        <w:t xml:space="preserve"> </w:t>
      </w:r>
      <w:r>
        <w:t xml:space="preserve">The Contributing Member may extend to the Defaulting Member a loan in an amount equal to the Defaulting Member’s unfunded portion (the</w:t>
      </w:r>
      <w:r>
        <w:t xml:space="preserve"> </w:t>
      </w:r>
      <w:r>
        <w:t xml:space="preserve">“</w:t>
      </w:r>
      <w:r>
        <w:t xml:space="preserve">Bridge Loan</w:t>
      </w:r>
      <w:r>
        <w:t xml:space="preserve">”</w:t>
      </w:r>
      <w:r>
        <w:t xml:space="preserve">), bearing interest at the Default Rate, evidenced by a promissory note and secured by a first-priority security interest in the Defaulting Member’s membership interest in the Company. The Bridge Loan shall be repayable in full (principal plus accrued interest) within twelve (12) months from the date of disbursement, from the Defaulting Member’s share of distributions. If the Defaulting Member fails to repay the Bridge Loan in full within such twelve-month period, the outstanding balance shall automatically convert to equity, resulting in a Dilution Event calculated under Section 4.03(e). The Bridge Loan shall be available to any Member no more than once in any twenty-four (24) month period; any subsequent failure to fund within such period shall result in dilution without the option of a Bridge Loan.</w:t>
      </w:r>
    </w:p>
    <w:p>
      <w:pPr>
        <w:pStyle w:val="BlockText"/>
      </w:pPr>
      <w:r>
        <w:rPr>
          <w:b/>
          <w:bCs/>
        </w:rPr>
        <w:t xml:space="preserve">(e) Dilution Remedy.</w:t>
      </w:r>
      <w:r>
        <w:t xml:space="preserve"> </w:t>
      </w:r>
      <w:r>
        <w:t xml:space="preserve">Upon expiration of the Cure Period without full funding by the Defaulting Member (or upon default on a Bridge Loan), the Defaulting Member’s Percentage Interest shall be reduced on a pro-rata basis to reflect the relative Capital Contributions of the Members, with the unfunded amount treated as a Capital Contribution of zero ($0) by the Defaulting Member and as an additional Capital Contribution by the Contributing Member in the full amount of such unfunded portion if the Contributing Member elects to fund it (a</w:t>
      </w:r>
      <w:r>
        <w:t xml:space="preserve"> </w:t>
      </w:r>
      <w:r>
        <w:t xml:space="preserve">“</w:t>
      </w:r>
      <w:r>
        <w:t xml:space="preserve">Dilution Event</w:t>
      </w:r>
      <w:r>
        <w:t xml:space="preserve">”</w:t>
      </w:r>
      <w:r>
        <w:t xml:space="preserve">). The aggregate reduction of a Member’s Percentage Interest in any fiscal year shall not exceed fifteen percent (15%) of such Member’s then-current Percentage Interest (the</w:t>
      </w:r>
      <w:r>
        <w:t xml:space="preserve"> </w:t>
      </w:r>
      <w:r>
        <w:t xml:space="preserve">“</w:t>
      </w:r>
      <w:r>
        <w:t xml:space="preserve">Dilution Cap</w:t>
      </w:r>
      <w:r>
        <w:t xml:space="preserve">”</w:t>
      </w:r>
      <w:r>
        <w:t xml:space="preserve">).</w:t>
      </w:r>
    </w:p>
    <w:p>
      <w:pPr>
        <w:pStyle w:val="BlockText"/>
      </w:pPr>
      <w:r>
        <w:rPr>
          <w:b/>
          <w:bCs/>
        </w:rPr>
        <w:t xml:space="preserve">(f) Forced-Sale Backstop.</w:t>
      </w:r>
      <w:r>
        <w:t xml:space="preserve"> </w:t>
      </w:r>
      <w:r>
        <w:t xml:space="preserve">If a Member’s Percentage Interest is diluted by fifteen percent (15%) or more in the aggregate during any twenty-four (24) month period, either Member may initiate the buy-sell procedures under Article X, which initiation shall constitute a Trigger Event for purposes of Section 10.01; provided that the diluted Member shall have the right to cure by funding all outstanding Capital Calls (together with accrued penalty interest and any outstanding Bridge Loan balance) within thirty (30) days after receipt of notice of the forced-sale election.</w:t>
      </w:r>
    </w:p>
    <w:bookmarkEnd w:id="27"/>
    <w:bookmarkStart w:id="28" w:name="b-summary-of-the-parties-positions-1"/>
    <w:p>
      <w:pPr>
        <w:pStyle w:val="Heading3"/>
      </w:pPr>
      <w:r>
        <w:t xml:space="preserve">(b) Summary of the Parties’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Cure period</w:t>
            </w:r>
          </w:p>
        </w:tc>
        <w:tc>
          <w:tcPr/>
          <w:p>
            <w:pPr>
              <w:pStyle w:val="Compact"/>
              <w:jc w:val="left"/>
            </w:pPr>
            <w:r>
              <w:t xml:space="preserve">30 days</w:t>
            </w:r>
          </w:p>
        </w:tc>
        <w:tc>
          <w:tcPr/>
          <w:p>
            <w:pPr>
              <w:pStyle w:val="Compact"/>
              <w:jc w:val="left"/>
            </w:pPr>
            <w:r>
              <w:t xml:space="preserve">90 days</w:t>
            </w:r>
          </w:p>
        </w:tc>
        <w:tc>
          <w:tcPr/>
          <w:p>
            <w:pPr>
              <w:pStyle w:val="Compact"/>
              <w:jc w:val="left"/>
            </w:pPr>
            <w:r>
              <w:t xml:space="preserve">15-day notice + 60-day cure (75 days total)</w:t>
            </w:r>
          </w:p>
        </w:tc>
      </w:tr>
      <w:tr>
        <w:tc>
          <w:tcPr/>
          <w:p>
            <w:pPr>
              <w:pStyle w:val="Compact"/>
              <w:jc w:val="left"/>
            </w:pPr>
            <w:r>
              <w:t xml:space="preserve">Penalty interest</w:t>
            </w:r>
          </w:p>
        </w:tc>
        <w:tc>
          <w:tcPr/>
          <w:p>
            <w:pPr>
              <w:pStyle w:val="Compact"/>
              <w:jc w:val="left"/>
            </w:pPr>
            <w:r>
              <w:t xml:space="preserve">None</w:t>
            </w:r>
          </w:p>
        </w:tc>
        <w:tc>
          <w:tcPr/>
          <w:p>
            <w:pPr>
              <w:pStyle w:val="Compact"/>
              <w:jc w:val="left"/>
            </w:pPr>
            <w:r>
              <w:t xml:space="preserve">None (loan at SOFR + 250 bps)</w:t>
            </w:r>
          </w:p>
        </w:tc>
        <w:tc>
          <w:tcPr/>
          <w:p>
            <w:pPr>
              <w:pStyle w:val="Compact"/>
              <w:jc w:val="left"/>
            </w:pPr>
            <w:r>
              <w:t xml:space="preserve">SOFR + 500 bps or 10% (greater) during cure</w:t>
            </w:r>
          </w:p>
        </w:tc>
      </w:tr>
      <w:tr>
        <w:tc>
          <w:tcPr/>
          <w:p>
            <w:pPr>
              <w:pStyle w:val="Compact"/>
              <w:jc w:val="left"/>
            </w:pPr>
            <w:r>
              <w:t xml:space="preserve">Dilution</w:t>
            </w:r>
          </w:p>
        </w:tc>
        <w:tc>
          <w:tcPr/>
          <w:p>
            <w:pPr>
              <w:pStyle w:val="Compact"/>
              <w:jc w:val="left"/>
            </w:pPr>
            <w:r>
              <w:t xml:space="preserve">Uncapped, immediate</w:t>
            </w:r>
          </w:p>
        </w:tc>
        <w:tc>
          <w:tcPr/>
          <w:p>
            <w:pPr>
              <w:pStyle w:val="Compact"/>
              <w:jc w:val="left"/>
            </w:pPr>
            <w:r>
              <w:t xml:space="preserve">Capped at 10% per annum</w:t>
            </w:r>
          </w:p>
        </w:tc>
        <w:tc>
          <w:tcPr/>
          <w:p>
            <w:pPr>
              <w:pStyle w:val="Compact"/>
              <w:jc w:val="left"/>
            </w:pPr>
            <w:r>
              <w:t xml:space="preserve">Capped at 15% per annum</w:t>
            </w:r>
          </w:p>
        </w:tc>
      </w:tr>
      <w:tr>
        <w:tc>
          <w:tcPr/>
          <w:p>
            <w:pPr>
              <w:pStyle w:val="Compact"/>
              <w:jc w:val="left"/>
            </w:pPr>
            <w:r>
              <w:t xml:space="preserve">Loan alternative</w:t>
            </w:r>
          </w:p>
        </w:tc>
        <w:tc>
          <w:tcPr/>
          <w:p>
            <w:pPr>
              <w:pStyle w:val="Compact"/>
              <w:jc w:val="left"/>
            </w:pPr>
            <w:r>
              <w:t xml:space="preserve">None</w:t>
            </w:r>
          </w:p>
        </w:tc>
        <w:tc>
          <w:tcPr/>
          <w:p>
            <w:pPr>
              <w:pStyle w:val="Compact"/>
              <w:jc w:val="left"/>
            </w:pPr>
            <w:r>
              <w:t xml:space="preserve">Market-rate loan (SOFR + 250 bps)</w:t>
            </w:r>
          </w:p>
        </w:tc>
        <w:tc>
          <w:tcPr/>
          <w:p>
            <w:pPr>
              <w:pStyle w:val="Compact"/>
              <w:jc w:val="left"/>
            </w:pPr>
            <w:r>
              <w:t xml:space="preserve">Bridge loan at Default Rate, 12-month repayment, secured, auto-conversion, single-use per 24 months</w:t>
            </w:r>
          </w:p>
        </w:tc>
      </w:tr>
      <w:tr>
        <w:tc>
          <w:tcPr/>
          <w:p>
            <w:pPr>
              <w:pStyle w:val="Compact"/>
              <w:jc w:val="left"/>
            </w:pPr>
            <w:r>
              <w:t xml:space="preserve">Free-riding protection</w:t>
            </w:r>
          </w:p>
        </w:tc>
        <w:tc>
          <w:tcPr/>
          <w:p>
            <w:pPr>
              <w:pStyle w:val="Compact"/>
              <w:jc w:val="left"/>
            </w:pPr>
            <w:r>
              <w:t xml:space="preserve">Uncapped dilution</w:t>
            </w:r>
          </w:p>
        </w:tc>
        <w:tc>
          <w:tcPr/>
          <w:p>
            <w:pPr>
              <w:pStyle w:val="Compact"/>
              <w:jc w:val="left"/>
            </w:pPr>
            <w:r>
              <w:t xml:space="preserve">10% cap (no backstop)</w:t>
            </w:r>
          </w:p>
        </w:tc>
        <w:tc>
          <w:tcPr/>
          <w:p>
            <w:pPr>
              <w:pStyle w:val="Compact"/>
              <w:jc w:val="left"/>
            </w:pPr>
            <w:r>
              <w:t xml:space="preserve">15% cap + forced-sale backstop at 15% cumulative in 24 months</w:t>
            </w:r>
          </w:p>
        </w:tc>
      </w:tr>
      <w:tr>
        <w:tc>
          <w:tcPr/>
          <w:p>
            <w:pPr>
              <w:pStyle w:val="Compact"/>
              <w:jc w:val="left"/>
            </w:pPr>
            <w:r>
              <w:t xml:space="preserve">FX accommodation</w:t>
            </w:r>
          </w:p>
        </w:tc>
        <w:tc>
          <w:tcPr/>
          <w:p>
            <w:pPr>
              <w:pStyle w:val="Compact"/>
              <w:jc w:val="left"/>
            </w:pPr>
            <w:r>
              <w:t xml:space="preserve">Not addressed</w:t>
            </w:r>
          </w:p>
        </w:tc>
        <w:tc>
          <w:tcPr/>
          <w:p>
            <w:pPr>
              <w:pStyle w:val="Compact"/>
              <w:jc w:val="left"/>
            </w:pPr>
            <w:r>
              <w:t xml:space="preserve">Cited as justification for 90 days</w:t>
            </w:r>
          </w:p>
        </w:tc>
        <w:tc>
          <w:tcPr/>
          <w:p>
            <w:pPr>
              <w:pStyle w:val="Compact"/>
              <w:jc w:val="left"/>
            </w:pPr>
            <w:r>
              <w:t xml:space="preserve">EUR funding at locked rate, Company bears conversion cost</w:t>
            </w:r>
          </w:p>
        </w:tc>
      </w:tr>
    </w:tbl>
    <w:bookmarkEnd w:id="28"/>
    <w:bookmarkStart w:id="29" w:name="c-negotiation-rationale-1"/>
    <w:p>
      <w:pPr>
        <w:pStyle w:val="Heading3"/>
      </w:pPr>
      <w:r>
        <w:t xml:space="preserve">(c) Negotiation Rationale</w:t>
      </w:r>
    </w:p>
    <w:p>
      <w:pPr>
        <w:pStyle w:val="FirstParagraph"/>
      </w:pPr>
      <w:r>
        <w:rPr>
          <w:b/>
          <w:bCs/>
        </w:rPr>
        <w:t xml:space="preserve">Why this is a fair middle ground.</w:t>
      </w:r>
      <w:r>
        <w:t xml:space="preserve"> </w:t>
      </w:r>
      <w:r>
        <w:t xml:space="preserve">The capital-call provision must balance two legitimate interests: the funding member’s need for capital certainty and a meaningful incentive for prompt funding, and the non-funding member’s protection against permanent, disproportionate equity loss triggered by short-term liquidity or treasury-processing constraints. Meridian’s opening position (30-day cure, uncapped immediate dilution, no loan) maximizes funding discipline but risks disproportionate punishment of a temporary, good-faith funding delay. Kastor’s opening position (90-day cure, 10% cap, market-rate loan) maximizes protection of the non-funding member but, in Meridian’s view, weakens the incentive to fund and could enable free-riding on growth funded by the other member.</w:t>
      </w:r>
    </w:p>
    <w:p>
      <w:pPr>
        <w:pStyle w:val="BodyText"/>
      </w:pPr>
      <w:r>
        <w:rPr>
          <w:b/>
          <w:bCs/>
        </w:rPr>
        <w:t xml:space="preserve">Concessions and gains — Meridian.</w:t>
      </w:r>
      <w:r>
        <w:t xml:space="preserve"> </w:t>
      </w:r>
      <w:r>
        <w:t xml:space="preserve">Meridian secures meaningful funding discipline through (i) penalty interest at SOFR + 500 basis points (or 10%, whichever is greater) accruing during the cure period, which compensates for the time value of delayed capital and creates a strong incentive to fund promptly; (ii) a bridge loan structured with punitive-enough terms (above-market rate, mandatory 12-month repayment, security interest, automatic equity conversion on default, single-use limitation) that prompt funding remains the economically rational choice for any member acting in good faith; and (iii) a forced-sale backstop that prevents a member from retaining a substantial equity position indefinitely while persistently declining to fund. In exchange, Meridian concedes a 75-day total cure period (more than double its 30-day opening), a 15% annual dilution cap (below its preferred uncapped position), and the availability of a bridge loan alternative.</w:t>
      </w:r>
    </w:p>
    <w:p>
      <w:pPr>
        <w:pStyle w:val="BodyText"/>
      </w:pPr>
      <w:r>
        <w:rPr>
          <w:b/>
          <w:bCs/>
        </w:rPr>
        <w:t xml:space="preserve">Concessions and gains — Kastor.</w:t>
      </w:r>
      <w:r>
        <w:t xml:space="preserve"> </w:t>
      </w:r>
      <w:r>
        <w:t xml:space="preserve">Kastor secures (i) a 60-day cure period (within its stated minimum of 60 days and a total of 75 days from notice), which accommodates the multi-currency treasury processing and cross-border transfer timelines that Kastor identified as a genuine operational constraint; (ii) a dilution cap, which Kastor identified as essential to prevent a single missed call from triggering a wholesale transfer of equity; (iii) a bridge loan alternative that preserves the non-funding member’s equity position during a temporary liquidity constraint; and (iv) a EUR-funding accommodation that directly addresses Kastor’s foreign-exchange justification by allowing funding in euros at a locked rate with the Company bearing conversion cost. In exchange, Kastor concedes on the cap level (15% rather than 10%), accepts above-market penalty interest and a punitive bridge-loan structure rather than a market-rate loan, and accepts the forced-sale backstop that converts the cap from a shield for indefinite non-funding into a bridge to a fair-value exit.</w:t>
      </w:r>
    </w:p>
    <w:p>
      <w:pPr>
        <w:pStyle w:val="BodyText"/>
      </w:pPr>
      <w:r>
        <w:rPr>
          <w:b/>
          <w:bCs/>
        </w:rPr>
        <w:t xml:space="preserve">Why the 15% cap with a forced-sale backstop bridges the gap.</w:t>
      </w:r>
      <w:r>
        <w:t xml:space="preserve"> </w:t>
      </w:r>
      <w:r>
        <w:t xml:space="preserve">The parties’ positions on the dilution cap did not overlap: Meridian’s walk-away position was a cap no lower than 20% per annum, and Kastor’s minimum was 10% per annum. A 15% cap sits at the midpoint. Critically, the cap is paired with a forced-sale backstop: if a member’s cumulative dilution reaches 15% in any 24-month period, either member may trigger a buy-sell at the Article X valuation. This structure is drawn directly from a comparable 55/45 specialty-chemicals joint venture, in which a 15% dilution cap was combined with an automatic forced-sale mechanism above that threshold. The backstop resolves Meridian’s core concern — that a low cap enables a member to free-ride on growth funded by the other member while retaining governance rights disproportionate to its economic stake — because persistent non-funding leads to a fair-value exit rather than indefinite retention of equity. It simultaneously preserves Kastor’s core concern — protection against disproportionate single-event dilution — because no single year’s dilution can exceed 15%, and the terminal consequence of persistent non-funding is a buyout at independently appraised fair market value, not unbounded equity seizure.</w:t>
      </w:r>
    </w:p>
    <w:p>
      <w:pPr>
        <w:pStyle w:val="BodyText"/>
      </w:pPr>
      <w:r>
        <w:rPr>
          <w:b/>
          <w:bCs/>
        </w:rPr>
        <w:t xml:space="preserve">Why the FX accommodation matters.</w:t>
      </w:r>
      <w:r>
        <w:t xml:space="preserve"> </w:t>
      </w:r>
      <w:r>
        <w:t xml:space="preserve">Kastor’s principal justification for a 90-day cure period was the operational complexity of converting euro-denominated reserves to U.S. dollars through its multi-level treasury authorization process. The EUR-funding accommodation removes that justification at its source: a member may fund in euros at a locked exchange rate, and the Company handles conversion at its own cost. This makes the 60-day cure period (versus Kastor’s 90-day request) commercially workable for a global treasury function, while preserving the funding-discipline mechanics that Meridian requires.</w:t>
      </w:r>
    </w:p>
    <w:bookmarkEnd w:id="29"/>
    <w:bookmarkStart w:id="30" w:name="d-cross-references-1"/>
    <w:p>
      <w:pPr>
        <w:pStyle w:val="Heading3"/>
      </w:pPr>
      <w:r>
        <w:t xml:space="preserve">(d) Cross-References</w:t>
      </w:r>
    </w:p>
    <w:p>
      <w:pPr>
        <w:pStyle w:val="Compact"/>
        <w:numPr>
          <w:ilvl w:val="0"/>
          <w:numId w:val="1004"/>
        </w:numPr>
      </w:pPr>
      <w:r>
        <w:t xml:space="preserve">Section 5.01(c) (Reserved Matters) — capital calls exceeding $5 million in any fiscal year require a Supermajority Vote, protecting the minority against opportunistic dilutive calls.</w:t>
      </w:r>
    </w:p>
    <w:p>
      <w:pPr>
        <w:pStyle w:val="Compact"/>
        <w:numPr>
          <w:ilvl w:val="0"/>
          <w:numId w:val="1004"/>
        </w:numPr>
      </w:pPr>
      <w:r>
        <w:t xml:space="preserve">Section 10.01 (Trigger Events) — the forced-sale backstop constitutes a Trigger Event.</w:t>
      </w:r>
    </w:p>
    <w:p>
      <w:pPr>
        <w:pStyle w:val="Compact"/>
        <w:numPr>
          <w:ilvl w:val="0"/>
          <w:numId w:val="1004"/>
        </w:numPr>
      </w:pPr>
      <w:r>
        <w:t xml:space="preserve">Article X (Exit; Buyout Provisions) — governs the valuation and mechanics of any forced sale.</w:t>
      </w:r>
    </w:p>
    <w:p>
      <w:r>
        <w:pict>
          <v:rect style="width:0;height:1.5pt" o:hralign="center" o:hrstd="t" o:hr="t"/>
        </w:pict>
      </w:r>
    </w:p>
    <w:bookmarkEnd w:id="30"/>
    <w:bookmarkEnd w:id="31"/>
    <w:bookmarkStart w:id="36" w:name="X33a9dcc81999edff4ca1d96311f7f8232349854"/>
    <w:p>
      <w:pPr>
        <w:pStyle w:val="Heading2"/>
      </w:pPr>
      <w:r>
        <w:t xml:space="preserve">IV. Provision 3 — Post-Exit Non-Competition (Section 11.01)</w:t>
      </w:r>
    </w:p>
    <w:bookmarkStart w:id="32" w:name="a-proposed-compromise-clause-language-2"/>
    <w:p>
      <w:pPr>
        <w:pStyle w:val="Heading3"/>
      </w:pPr>
      <w:r>
        <w:t xml:space="preserve">(a) Proposed Compromise Clause Language</w:t>
      </w:r>
    </w:p>
    <w:p>
      <w:pPr>
        <w:pStyle w:val="BlockText"/>
      </w:pPr>
      <w:r>
        <w:rPr>
          <w:b/>
          <w:bCs/>
        </w:rPr>
        <w:t xml:space="preserve">Section 11.01 — Non-Competition</w:t>
      </w:r>
    </w:p>
    <w:p>
      <w:pPr>
        <w:pStyle w:val="BlockText"/>
      </w:pPr>
      <w:r>
        <w:rPr>
          <w:b/>
          <w:bCs/>
        </w:rPr>
        <w:t xml:space="preserve">(a) Restricted Period.</w:t>
      </w:r>
      <w:r>
        <w:t xml:space="preserve"> </w:t>
      </w:r>
      <w:r>
        <w:t xml:space="preserve">During the term of this Agreement and for a period of eighteen (18) months following the date on which a Member ceases to hold any interest in the Company (the</w:t>
      </w:r>
      <w:r>
        <w:t xml:space="preserve"> </w:t>
      </w:r>
      <w:r>
        <w:t xml:space="preserve">“</w:t>
      </w:r>
      <w:r>
        <w:t xml:space="preserve">Restricted Period</w:t>
      </w:r>
      <w:r>
        <w:t xml:space="preserve">”</w:t>
      </w:r>
      <w:r>
        <w:t xml:space="preserve">), each Member agrees as follows; provided, that if a Member ceases to hold any interest in the Company within twenty-four (24) months following the formation of the Company, the Restricted Period shall be twelve (12) months.</w:t>
      </w:r>
    </w:p>
    <w:p>
      <w:pPr>
        <w:pStyle w:val="BlockText"/>
      </w:pPr>
      <w:r>
        <w:rPr>
          <w:b/>
          <w:bCs/>
        </w:rPr>
        <w:t xml:space="preserve">(b) Restricted Territory.</w:t>
      </w:r>
      <w:r>
        <w:t xml:space="preserve"> </w:t>
      </w:r>
      <w:r>
        <w:t xml:space="preserve">The</w:t>
      </w:r>
      <w:r>
        <w:t xml:space="preserve"> </w:t>
      </w:r>
      <w:r>
        <w:t xml:space="preserve">“</w:t>
      </w:r>
      <w:r>
        <w:t xml:space="preserve">Restricted Territory</w:t>
      </w:r>
      <w:r>
        <w:t xml:space="preserve">”</w:t>
      </w:r>
      <w:r>
        <w:t xml:space="preserve"> </w:t>
      </w:r>
      <w:r>
        <w:t xml:space="preserve">shall mean the United States and Canada, together with any other jurisdiction in which the Company generated revenues in excess of $500,000 in the aggregate during the twenty-four (24) months preceding the date on which the relevant Member ceases to hold any interest in the Company.</w:t>
      </w:r>
    </w:p>
    <w:p>
      <w:pPr>
        <w:pStyle w:val="BlockText"/>
      </w:pPr>
      <w:r>
        <w:rPr>
          <w:b/>
          <w:bCs/>
        </w:rPr>
        <w:t xml:space="preserve">(c) Restricted Activity.</w:t>
      </w:r>
      <w:r>
        <w:t xml:space="preserve"> </w:t>
      </w:r>
      <w:r>
        <w:t xml:space="preserve">No Member shall, directly or through any Affiliate, engage in, or assist any Person in engaging in, the development, manufacture, marketing, distribution, or sale of any product or product category that (i) was produced, marketed, or under active development by the Company as of the date the relevant Member ceases to hold any interest, or (ii) is substantially similar to, or directly competitive with, any such product or product category (collectively, the</w:t>
      </w:r>
      <w:r>
        <w:t xml:space="preserve"> </w:t>
      </w:r>
      <w:r>
        <w:t xml:space="preserve">“</w:t>
      </w:r>
      <w:r>
        <w:t xml:space="preserve">Restricted Activity</w:t>
      </w:r>
      <w:r>
        <w:t xml:space="preserve">”</w:t>
      </w:r>
      <w:r>
        <w:t xml:space="preserve">), within the Restricted Territory during the Restricted Period.</w:t>
      </w:r>
    </w:p>
    <w:p>
      <w:pPr>
        <w:pStyle w:val="BlockText"/>
      </w:pPr>
      <w:r>
        <w:rPr>
          <w:b/>
          <w:bCs/>
        </w:rPr>
        <w:t xml:space="preserve">(d) Covered Persons.</w:t>
      </w:r>
      <w:r>
        <w:t xml:space="preserve"> </w:t>
      </w:r>
      <w:r>
        <w:t xml:space="preserve">The restrictions in this Section 11.01 apply to each Member and its controlled Affiliates, and to any officer, director, or employee of such Member or its Affiliates who had access to the Company’s Confidential Information during the term of this Agreement.</w:t>
      </w:r>
    </w:p>
    <w:p>
      <w:pPr>
        <w:pStyle w:val="BlockText"/>
      </w:pPr>
      <w:r>
        <w:rPr>
          <w:b/>
          <w:bCs/>
        </w:rPr>
        <w:t xml:space="preserve">(e) Permitted Activities.</w:t>
      </w:r>
      <w:r>
        <w:t xml:space="preserve"> </w:t>
      </w:r>
      <w:r>
        <w:t xml:space="preserve">The foregoing restrictions shall not prohibit or restrict: (i) the acquisition and holding, as a passive investment, of less than five percent (5%) of the publicly traded securities of any Person; (ii) the continuation of any product line that the Member operated prior to the formation of the Company, provided that such product line is not expanded into the Restricted Activity after the Member ceases to hold an interest in the Company; (iii) the manufacture or sale of general-purpose (non-specialty) polymer products; or (iv) the ownership or operation of specialty polymer coatings businesses outside the Restricted Territory.</w:t>
      </w:r>
    </w:p>
    <w:p>
      <w:pPr>
        <w:pStyle w:val="BlockText"/>
      </w:pPr>
      <w:r>
        <w:rPr>
          <w:b/>
          <w:bCs/>
        </w:rPr>
        <w:t xml:space="preserve">(f) Governing Law; Forum; Reformation.</w:t>
      </w:r>
      <w:r>
        <w:t xml:space="preserve"> </w:t>
      </w:r>
      <w:r>
        <w:t xml:space="preserve">This Section 11.01 shall be governed by and construed in accordance with the laws of the State of Delaware, without regard to conflicts-of-law principles. Any action to enforce this Section 11.01 shall be brought exclusively in the Court of Chancery of the State of Delaware or, if such court lacks subject-matter jurisdiction, the federal or state courts of Harris County, Texas. If any provision of this Section 11.01 is held to be unenforceable by reason of its duration, geographic scope, or activity scope, the court is authorized and directed to reform such provision to the minimum extent necessary to render it enforceable under applicable law, and the remaining provisions shall remain in full force and effect. The restrictions set forth in this Section 11.01 are intended to be ancillary to the disposition of a membership interest upon a Trigger Event and to fall within the sale-of-business framework recognized under applicable law.</w:t>
      </w:r>
    </w:p>
    <w:p>
      <w:pPr>
        <w:pStyle w:val="BlockText"/>
      </w:pPr>
      <w:r>
        <w:rPr>
          <w:b/>
          <w:bCs/>
        </w:rPr>
        <w:t xml:space="preserve">(g) Cross-Reference to Restricted Competitors.</w:t>
      </w:r>
      <w:r>
        <w:t xml:space="preserve"> </w:t>
      </w:r>
      <w:r>
        <w:t xml:space="preserve">The Restricted Activity is supplemented by Schedule 12.05 (Restricted Competitors), which identifies specific entities with whom a departing Member may not become associated during the Restricted Period. Schedule 12.05 shall be reviewed and updated annually by the Management Committee.</w:t>
      </w:r>
    </w:p>
    <w:bookmarkEnd w:id="32"/>
    <w:bookmarkStart w:id="33" w:name="b-summary-of-the-parties-positions-2"/>
    <w:p>
      <w:pPr>
        <w:pStyle w:val="Heading3"/>
      </w:pPr>
      <w:r>
        <w:t xml:space="preserve">(b) Summary of the Parties’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Duration</w:t>
            </w:r>
          </w:p>
        </w:tc>
        <w:tc>
          <w:tcPr/>
          <w:p>
            <w:pPr>
              <w:pStyle w:val="Compact"/>
              <w:jc w:val="left"/>
            </w:pPr>
            <w:r>
              <w:t xml:space="preserve">2 years</w:t>
            </w:r>
          </w:p>
        </w:tc>
        <w:tc>
          <w:tcPr/>
          <w:p>
            <w:pPr>
              <w:pStyle w:val="Compact"/>
              <w:jc w:val="left"/>
            </w:pPr>
            <w:r>
              <w:t xml:space="preserve">1 year</w:t>
            </w:r>
          </w:p>
        </w:tc>
        <w:tc>
          <w:tcPr/>
          <w:p>
            <w:pPr>
              <w:pStyle w:val="Compact"/>
              <w:jc w:val="left"/>
            </w:pPr>
            <w:r>
              <w:t xml:space="preserve">18 months (12 months if exit within first 24 months)</w:t>
            </w:r>
          </w:p>
        </w:tc>
      </w:tr>
      <w:tr>
        <w:tc>
          <w:tcPr/>
          <w:p>
            <w:pPr>
              <w:pStyle w:val="Compact"/>
              <w:jc w:val="left"/>
            </w:pPr>
            <w:r>
              <w:t xml:space="preserve">Product scope</w:t>
            </w:r>
          </w:p>
        </w:tc>
        <w:tc>
          <w:tcPr/>
          <w:p>
            <w:pPr>
              <w:pStyle w:val="Compact"/>
              <w:jc w:val="left"/>
            </w:pPr>
            <w:r>
              <w:t xml:space="preserve">All specialty polymer coatings</w:t>
            </w:r>
          </w:p>
        </w:tc>
        <w:tc>
          <w:tcPr/>
          <w:p>
            <w:pPr>
              <w:pStyle w:val="Compact"/>
              <w:jc w:val="left"/>
            </w:pPr>
            <w:r>
              <w:t xml:space="preserve">Specific JV product lines only (Schedule 2.04)</w:t>
            </w:r>
          </w:p>
        </w:tc>
        <w:tc>
          <w:tcPr/>
          <w:p>
            <w:pPr>
              <w:pStyle w:val="Compact"/>
              <w:jc w:val="left"/>
            </w:pPr>
            <w:r>
              <w:t xml:space="preserve">JV products + substantially similar / directly competitive products</w:t>
            </w:r>
          </w:p>
        </w:tc>
      </w:tr>
      <w:tr>
        <w:tc>
          <w:tcPr/>
          <w:p>
            <w:pPr>
              <w:pStyle w:val="Compact"/>
              <w:jc w:val="left"/>
            </w:pPr>
            <w:r>
              <w:t xml:space="preserve">Geographic scope</w:t>
            </w:r>
          </w:p>
        </w:tc>
        <w:tc>
          <w:tcPr/>
          <w:p>
            <w:pPr>
              <w:pStyle w:val="Compact"/>
              <w:jc w:val="left"/>
            </w:pPr>
            <w:r>
              <w:t xml:space="preserve">All of North America (US, Canada, Mexico)</w:t>
            </w:r>
          </w:p>
        </w:tc>
        <w:tc>
          <w:tcPr/>
          <w:p>
            <w:pPr>
              <w:pStyle w:val="Compact"/>
              <w:jc w:val="left"/>
            </w:pPr>
            <w:r>
              <w:t xml:space="preserve">Active-sales territories only</w:t>
            </w:r>
          </w:p>
        </w:tc>
        <w:tc>
          <w:tcPr/>
          <w:p>
            <w:pPr>
              <w:pStyle w:val="Compact"/>
              <w:jc w:val="left"/>
            </w:pPr>
            <w:r>
              <w:t xml:space="preserve">US + Canada + jurisdictions with &gt;$500K revenue in prior 24 months</w:t>
            </w:r>
          </w:p>
        </w:tc>
      </w:tr>
      <w:tr>
        <w:tc>
          <w:tcPr/>
          <w:p>
            <w:pPr>
              <w:pStyle w:val="Compact"/>
              <w:jc w:val="left"/>
            </w:pPr>
            <w:r>
              <w:t xml:space="preserve">Enforceability protections</w:t>
            </w:r>
          </w:p>
        </w:tc>
        <w:tc>
          <w:tcPr/>
          <w:p>
            <w:pPr>
              <w:pStyle w:val="Compact"/>
              <w:jc w:val="left"/>
            </w:pPr>
            <w:r>
              <w:t xml:space="preserve">Not specified</w:t>
            </w:r>
          </w:p>
        </w:tc>
        <w:tc>
          <w:tcPr/>
          <w:p>
            <w:pPr>
              <w:pStyle w:val="Compact"/>
              <w:jc w:val="left"/>
            </w:pPr>
            <w:r>
              <w:t xml:space="preserve">Cited Swiss/EU proportionality</w:t>
            </w:r>
          </w:p>
        </w:tc>
        <w:tc>
          <w:tcPr/>
          <w:p>
            <w:pPr>
              <w:pStyle w:val="Compact"/>
              <w:jc w:val="left"/>
            </w:pPr>
            <w:r>
              <w:t xml:space="preserve">Delaware governing law; Delaware Chancery / Harris County TX forum; reformation clause</w:t>
            </w:r>
          </w:p>
        </w:tc>
      </w:tr>
    </w:tbl>
    <w:bookmarkEnd w:id="33"/>
    <w:bookmarkStart w:id="34" w:name="c-negotiation-rationale-2"/>
    <w:p>
      <w:pPr>
        <w:pStyle w:val="Heading3"/>
      </w:pPr>
      <w:r>
        <w:t xml:space="preserve">(c) Negotiation Rationale</w:t>
      </w:r>
    </w:p>
    <w:p>
      <w:pPr>
        <w:pStyle w:val="FirstParagraph"/>
      </w:pPr>
      <w:r>
        <w:rPr>
          <w:b/>
          <w:bCs/>
        </w:rPr>
        <w:t xml:space="preserve">Why this is a fair middle ground.</w:t>
      </w:r>
      <w:r>
        <w:t xml:space="preserve"> </w:t>
      </w:r>
      <w:r>
        <w:t xml:space="preserve">The non-compete must protect the continuing member’s investment in the JV’s goodwill, customer relationships, and proprietary know-how, while remaining enforceable and not unreasonably restraining a departing member’s broader, pre-existing business. The compromise is calibrated to the enforceability safe harbors recognized in the jurisdictions most likely to govern MKPoly — Delaware (state of formation) and Texas (operational headquarters) — and is informed by a multi-jurisdictional enforceability survey covering Delaware, Texas, New York, and California.</w:t>
      </w:r>
    </w:p>
    <w:p>
      <w:pPr>
        <w:pStyle w:val="BodyText"/>
      </w:pPr>
      <w:r>
        <w:rPr>
          <w:b/>
          <w:bCs/>
        </w:rPr>
        <w:t xml:space="preserve">Concessions and gains — Meridian.</w:t>
      </w:r>
      <w:r>
        <w:t xml:space="preserve"> </w:t>
      </w:r>
      <w:r>
        <w:t xml:space="preserve">Meridian secures an 18-month restricted period (a 25% reduction from its 2-year opening, but well within the 1-to-2-year safe harbor recognized by Delaware and Texas courts for sale-of-business covenants, and supported by a comparable specialty-coatings joint venture that used 18 months). Meridian secures a product scope broader than Kastor’s</w:t>
      </w:r>
      <w:r>
        <w:t xml:space="preserve"> </w:t>
      </w:r>
      <w:r>
        <w:t xml:space="preserve">“</w:t>
      </w:r>
      <w:r>
        <w:t xml:space="preserve">specific JV product lines only</w:t>
      </w:r>
      <w:r>
        <w:t xml:space="preserve">”</w:t>
      </w:r>
      <w:r>
        <w:t xml:space="preserve"> </w:t>
      </w:r>
      <w:r>
        <w:t xml:space="preserve">— covering JV products plus substantially similar or directly competitive products — which prevents the departing member from circumventing the restriction by launching functionally identical products under different names. Meridian also secures a geographic scope anchored to the United States and Canada plus any jurisdiction where the Company generated meaningful revenue, which in practice will be coextensive with Meridian’s</w:t>
      </w:r>
      <w:r>
        <w:t xml:space="preserve"> </w:t>
      </w:r>
      <w:r>
        <w:t xml:space="preserve">“</w:t>
      </w:r>
      <w:r>
        <w:t xml:space="preserve">North America</w:t>
      </w:r>
      <w:r>
        <w:t xml:space="preserve">”</w:t>
      </w:r>
      <w:r>
        <w:t xml:space="preserve"> </w:t>
      </w:r>
      <w:r>
        <w:t xml:space="preserve">objective once the Company achieves its projected sales distribution, and structural protections (Delaware governing law, Delaware/Texas forum, reformation clause) that channel enforcement to favorable jurisdictions. In exchange, Meridian concedes 6 months of duration (from 2 years to 18 months) and narrows the product scope from</w:t>
      </w:r>
      <w:r>
        <w:t xml:space="preserve"> </w:t>
      </w:r>
      <w:r>
        <w:t xml:space="preserve">“</w:t>
      </w:r>
      <w:r>
        <w:t xml:space="preserve">all specialty polymer coatings</w:t>
      </w:r>
      <w:r>
        <w:t xml:space="preserve">”</w:t>
      </w:r>
      <w:r>
        <w:t xml:space="preserve"> </w:t>
      </w:r>
      <w:r>
        <w:t xml:space="preserve">to JV products plus substantially similar products.</w:t>
      </w:r>
    </w:p>
    <w:p>
      <w:pPr>
        <w:pStyle w:val="BodyText"/>
      </w:pPr>
      <w:r>
        <w:rPr>
          <w:b/>
          <w:bCs/>
        </w:rPr>
        <w:t xml:space="preserve">Concessions and gains — Kastor.</w:t>
      </w:r>
      <w:r>
        <w:t xml:space="preserve"> </w:t>
      </w:r>
      <w:r>
        <w:t xml:space="preserve">Kastor secures a duration of 18 months rather than 2 years, a product scope tied to the JV’s actual products (plus a reasonable competitive penumbra) rather than the entire specialty polymer coatings category, and a geographic scope tethered to the Company’s actual market presence rather than a blanket North American restriction. The permitted-activities carve-outs expressly preserve Kastor’s pre-existing product lines (provided they are not expanded into the Restricted Activity post-exit), its general-purpose polymer business, and its specialty coatings operations outside the Restricted Territory — directly addressing Kastor’s concern that an overbroad non-compete would restrain its diversified global chemicals business. In exchange, Kastor concedes 6 months of duration (from 1 year to 18 months) and accepts a product scope broader than</w:t>
      </w:r>
      <w:r>
        <w:t xml:space="preserve"> </w:t>
      </w:r>
      <w:r>
        <w:t xml:space="preserve">“</w:t>
      </w:r>
      <w:r>
        <w:t xml:space="preserve">specific JV product lines only.</w:t>
      </w:r>
      <w:r>
        <w:t xml:space="preserve">”</w:t>
      </w:r>
    </w:p>
    <w:p>
      <w:pPr>
        <w:pStyle w:val="BodyText"/>
      </w:pPr>
      <w:r>
        <w:rPr>
          <w:b/>
          <w:bCs/>
        </w:rPr>
        <w:t xml:space="preserve">Why the scope formulations are enforceable.</w:t>
      </w:r>
      <w:r>
        <w:t xml:space="preserve"> </w:t>
      </w:r>
      <w:r>
        <w:t xml:space="preserve">The product-scope formulation — JV products plus substantially similar or directly competitive products — is narrower than Meridian’s</w:t>
      </w:r>
      <w:r>
        <w:t xml:space="preserve"> </w:t>
      </w:r>
      <w:r>
        <w:t xml:space="preserve">“</w:t>
      </w:r>
      <w:r>
        <w:t xml:space="preserve">all specialty polymer coatings</w:t>
      </w:r>
      <w:r>
        <w:t xml:space="preserve">”</w:t>
      </w:r>
      <w:r>
        <w:t xml:space="preserve"> </w:t>
      </w:r>
      <w:r>
        <w:t xml:space="preserve">(which Delaware and Texas courts would likely view as overbroad because it captures product categories the JV may never have entered) and broader than Kastor’s</w:t>
      </w:r>
      <w:r>
        <w:t xml:space="preserve"> </w:t>
      </w:r>
      <w:r>
        <w:t xml:space="preserve">“</w:t>
      </w:r>
      <w:r>
        <w:t xml:space="preserve">specific JV product lines only</w:t>
      </w:r>
      <w:r>
        <w:t xml:space="preserve">”</w:t>
      </w:r>
      <w:r>
        <w:t xml:space="preserve"> </w:t>
      </w:r>
      <w:r>
        <w:t xml:space="preserve">(which invites gamesmanship through trivial product differentiation). The</w:t>
      </w:r>
      <w:r>
        <w:t xml:space="preserve"> </w:t>
      </w:r>
      <w:r>
        <w:t xml:space="preserve">“</w:t>
      </w:r>
      <w:r>
        <w:t xml:space="preserve">substantially similar or directly competitive</w:t>
      </w:r>
      <w:r>
        <w:t xml:space="preserve">”</w:t>
      </w:r>
      <w:r>
        <w:t xml:space="preserve"> </w:t>
      </w:r>
      <w:r>
        <w:t xml:space="preserve">formulation is a standard commercial non-compete formulation upheld in both jurisdictions and tracks the JV’s Business Purpose in Schedule 2.04. The geographic-scope formulation — the United States and Canada plus jurisdictions exceeding a $500,000 revenue threshold in the prior 24 months — is anchored to the Company’s actual commercial presence (satisfying the nexus requirements of Delaware, Texas, and California’s LLC exception) while providing substantive coverage across the Company’s real market. The 18-month duration sits at the center of the Delaware and Texas safe harbors and is moderate enough to support enforceability under California’s LLC dissolution exception (Cal. Bus. &amp; Prof. Code § 16602.5) should enforcement in a California forum ever become necessary.</w:t>
      </w:r>
    </w:p>
    <w:p>
      <w:pPr>
        <w:pStyle w:val="BodyText"/>
      </w:pPr>
      <w:r>
        <w:rPr>
          <w:b/>
          <w:bCs/>
        </w:rPr>
        <w:t xml:space="preserve">Why the structural protections matter to both sides.</w:t>
      </w:r>
      <w:r>
        <w:t xml:space="preserve"> </w:t>
      </w:r>
      <w:r>
        <w:t xml:space="preserve">The Delaware governing-law clause, the mandatory Delaware Chancery / Harris County forum-selection clause, and the reformation authorization protect both parties: they channel enforcement to jurisdictions with developed, predictable non-compete jurisprudence and mandatory or discretionary reformation (avoiding the all-or-nothing voiding risk of California), and they ensure that any partial overbreadth is cured by reformation rather than wholesale invalidation. The scaling provision (12 months if exit occurs within the first 24 months) addresses the enforceability risk that an early exit — before the Company has established meaningful goodwill — could render an 18-month restraint unjustified, and is a mutual protection that strengthens the covenant’s defensibility.</w:t>
      </w:r>
    </w:p>
    <w:bookmarkEnd w:id="34"/>
    <w:bookmarkStart w:id="35" w:name="d-cross-references-2"/>
    <w:p>
      <w:pPr>
        <w:pStyle w:val="Heading3"/>
      </w:pPr>
      <w:r>
        <w:t xml:space="preserve">(d) Cross-References</w:t>
      </w:r>
    </w:p>
    <w:p>
      <w:pPr>
        <w:pStyle w:val="Compact"/>
        <w:numPr>
          <w:ilvl w:val="0"/>
          <w:numId w:val="1005"/>
        </w:numPr>
      </w:pPr>
      <w:r>
        <w:t xml:space="preserve">Section 2.04 / Schedule 2.04 (Business Purpose) — defines the JV’s product scope, which anchors the Restricted Activity.</w:t>
      </w:r>
    </w:p>
    <w:p>
      <w:pPr>
        <w:pStyle w:val="Compact"/>
        <w:numPr>
          <w:ilvl w:val="0"/>
          <w:numId w:val="1005"/>
        </w:numPr>
      </w:pPr>
      <w:r>
        <w:t xml:space="preserve">Schedule 12.05 (Restricted Competitors) — supplements the Restricted Activity with named entities.</w:t>
      </w:r>
    </w:p>
    <w:p>
      <w:pPr>
        <w:pStyle w:val="Compact"/>
        <w:numPr>
          <w:ilvl w:val="0"/>
          <w:numId w:val="1005"/>
        </w:numPr>
      </w:pPr>
      <w:r>
        <w:t xml:space="preserve">Section 10.01 (Trigger Events) — the non-compete is triggered by a Member’s exit upon a Trigger Event and is characterized as ancillary to the disposition of a membership interest.</w:t>
      </w:r>
    </w:p>
    <w:p>
      <w:pPr>
        <w:pStyle w:val="Compact"/>
        <w:numPr>
          <w:ilvl w:val="0"/>
          <w:numId w:val="1005"/>
        </w:numPr>
      </w:pPr>
      <w:r>
        <w:t xml:space="preserve">Section 16.01 (Governing Law) — the Delaware governing-law clause is consistent with the Agreement’s general governing-law provision.</w:t>
      </w:r>
    </w:p>
    <w:p>
      <w:r>
        <w:pict>
          <v:rect style="width:0;height:1.5pt" o:hralign="center" o:hrstd="t" o:hr="t"/>
        </w:pict>
      </w:r>
    </w:p>
    <w:bookmarkEnd w:id="35"/>
    <w:bookmarkEnd w:id="36"/>
    <w:bookmarkStart w:id="41" w:name="X6c7431bbd641d7564e437106c67661ef026d8fe"/>
    <w:p>
      <w:pPr>
        <w:pStyle w:val="Heading2"/>
      </w:pPr>
      <w:r>
        <w:t xml:space="preserve">V. Provision 4 — Exit Valuation Methodology (Sections 10.03–10.04 and conforming revisions to Section 10.01)</w:t>
      </w:r>
    </w:p>
    <w:bookmarkStart w:id="37" w:name="a-proposed-compromise-clause-language-3"/>
    <w:p>
      <w:pPr>
        <w:pStyle w:val="Heading3"/>
      </w:pPr>
      <w:r>
        <w:t xml:space="preserve">(a) Proposed Compromise Clause Language</w:t>
      </w:r>
    </w:p>
    <w:p>
      <w:pPr>
        <w:pStyle w:val="BlockText"/>
      </w:pPr>
      <w:r>
        <w:rPr>
          <w:b/>
          <w:bCs/>
        </w:rPr>
        <w:t xml:space="preserve">Section 10.01 — Trigger Events (conforming revision).</w:t>
      </w:r>
      <w:r>
        <w:t xml:space="preserve"> </w:t>
      </w:r>
      <w:r>
        <w:t xml:space="preserve">The following events shall constitute</w:t>
      </w:r>
      <w:r>
        <w:t xml:space="preserve"> </w:t>
      </w:r>
      <w:r>
        <w:t xml:space="preserve">“</w:t>
      </w:r>
      <w:r>
        <w:t xml:space="preserve">Trigger Events</w:t>
      </w:r>
      <w:r>
        <w:t xml:space="preserve">”</w:t>
      </w:r>
      <w:r>
        <w:t xml:space="preserve"> </w:t>
      </w:r>
      <w:r>
        <w:t xml:space="preserve">for purposes of this Article X:</w:t>
      </w:r>
    </w:p>
    <w:p>
      <w:pPr>
        <w:pStyle w:val="Compact"/>
        <w:numPr>
          <w:ilvl w:val="0"/>
          <w:numId w:val="1006"/>
        </w:numPr>
      </w:pPr>
      <w:r>
        <w:t xml:space="preserve">a change of control of either Member (defined as a transfer of more than 50% of the voting equity of such Member in any 12-month period);</w:t>
      </w:r>
    </w:p>
    <w:p>
      <w:pPr>
        <w:pStyle w:val="Compact"/>
        <w:numPr>
          <w:ilvl w:val="0"/>
          <w:numId w:val="1006"/>
        </w:numPr>
      </w:pPr>
      <w:r>
        <w:t xml:space="preserve">a material breach of this Agreement by either Member that remains uncured after the applicable notice and cure period under Section 11.02;</w:t>
      </w:r>
    </w:p>
    <w:p>
      <w:pPr>
        <w:pStyle w:val="Compact"/>
        <w:numPr>
          <w:ilvl w:val="0"/>
          <w:numId w:val="1006"/>
        </w:numPr>
      </w:pPr>
      <w:r>
        <w:t xml:space="preserve">a Deadlock on a Reserved Matter that persists following exhaustion of the executive escalation and mediation process set forth in Section 5.01(e);</w:t>
      </w:r>
    </w:p>
    <w:p>
      <w:pPr>
        <w:pStyle w:val="Compact"/>
        <w:numPr>
          <w:ilvl w:val="0"/>
          <w:numId w:val="1006"/>
        </w:numPr>
      </w:pPr>
      <w:r>
        <w:t xml:space="preserve">an involuntary transfer of a Member’s membership interest, including a transfer resulting from bankruptcy, insolvency, receivership, or court-ordered disposition;</w:t>
      </w:r>
    </w:p>
    <w:p>
      <w:pPr>
        <w:pStyle w:val="BlockText"/>
      </w:pPr>
      <w:r>
        <w:t xml:space="preserve">provided that the following shall not constitute a Trigger Event: (x) a reorganization of a Member’s corporate structure that does not change the ultimate beneficial ownership or control of such Member’s interest in the Company; or (y) a merger, consolidation, or similar transaction involving a Member’s parent company, provided that the surviving entity assumes all of such Member’s obligations under this Agreement.</w:t>
      </w:r>
    </w:p>
    <w:p>
      <w:pPr>
        <w:pStyle w:val="BlockText"/>
      </w:pPr>
      <w:r>
        <w:rPr>
          <w:b/>
          <w:bCs/>
        </w:rPr>
        <w:t xml:space="preserve">Section 10.03 — Exit Valuation</w:t>
      </w:r>
    </w:p>
    <w:p>
      <w:pPr>
        <w:pStyle w:val="BlockText"/>
      </w:pPr>
      <w:r>
        <w:rPr>
          <w:b/>
          <w:bCs/>
        </w:rPr>
        <w:t xml:space="preserve">(a) Valuation Methodology.</w:t>
      </w:r>
      <w:r>
        <w:t xml:space="preserve"> </w:t>
      </w:r>
      <w:r>
        <w:t xml:space="preserve">The Appraised Fair Market Value of the Company shall be determined by applying a multiple of trailing twelve-month EBITDA to the Company’s EBITDA for the Measurement Period, as determined in accordance with U.S. generally accepted accounting principles (GAAP) as consistently applied in the Company’s audited financial statements. No discounted cash flow, comparable-company, or other forward-looking methodology shall be used as the primary valuation methodology; EBITDA shall be the foundational and controlling metric.</w:t>
      </w:r>
    </w:p>
    <w:p>
      <w:pPr>
        <w:pStyle w:val="BlockText"/>
      </w:pPr>
      <w:r>
        <w:rPr>
          <w:b/>
          <w:bCs/>
        </w:rPr>
        <w:t xml:space="preserve">(b) Valuation Multiple.</w:t>
      </w:r>
      <w:r>
        <w:t xml:space="preserve"> </w:t>
      </w:r>
      <w:r>
        <w:t xml:space="preserve">The presumptive multiple shall be seven and one-half times (7.0×) trailing twelve-month EBITDA. The Independent Appraiser may apply a multiple within a range of 6.5× to 7.5× (the</w:t>
      </w:r>
      <w:r>
        <w:t xml:space="preserve"> </w:t>
      </w:r>
      <w:r>
        <w:t xml:space="preserve">“</w:t>
      </w:r>
      <w:r>
        <w:t xml:space="preserve">Multiple Range</w:t>
      </w:r>
      <w:r>
        <w:t xml:space="preserve">”</w:t>
      </w:r>
      <w:r>
        <w:t xml:space="preserve">) based on comparable transactions in the specialty polymer coatings sector and the Company’s performance as of the date of the Trigger Event; provided that the Independent Appraiser shall issue a reasoned written determination referencing such comparable transactions and performance factors if applying a multiple other than 7.0×.</w:t>
      </w:r>
    </w:p>
    <w:p>
      <w:pPr>
        <w:pStyle w:val="BlockText"/>
      </w:pPr>
      <w:r>
        <w:rPr>
          <w:b/>
          <w:bCs/>
        </w:rPr>
        <w:t xml:space="preserve">(c) Independent Appraiser.</w:t>
      </w:r>
      <w:r>
        <w:t xml:space="preserve"> </w:t>
      </w:r>
      <w:r>
        <w:t xml:space="preserve">The valuation shall be conducted by an independent, nationally recognized valuation firm — a Big Four accounting firm (Deloitte, EY, KPMG, or PricewaterhouseCoopers) or another nationally recognized independent valuation firm with experience in the specialty chemicals sector — that has no pre-existing engagement with the Company, either Member, or their respective Affiliates (the</w:t>
      </w:r>
      <w:r>
        <w:t xml:space="preserve"> </w:t>
      </w:r>
      <w:r>
        <w:t xml:space="preserve">“</w:t>
      </w:r>
      <w:r>
        <w:t xml:space="preserve">Independent Appraiser</w:t>
      </w:r>
      <w:r>
        <w:t xml:space="preserve">”</w:t>
      </w:r>
      <w:r>
        <w:t xml:space="preserve">). Frazier Whitmore &amp; Co., LLP shall not serve as the Independent Appraiser in any capacity; provided that the comparable transactions data compiled by Frazier Whitmore &amp; Co. may be furnished to the Independent Appraiser as reference input. The Members shall use good-faith efforts to mutually agree on the Independent Appraiser within thirty (30) days following the expiration of the Response Period. If the Members are unable to agree within such 30-day period, the Independent Appraiser shall be appointed by the American Arbitration Association upon application by either Member. The Independent Appraiser shall render its determination within sixty (60) days of its appointment, and such determination shall be final and binding on the Members, absent manifest error.</w:t>
      </w:r>
    </w:p>
    <w:p>
      <w:pPr>
        <w:pStyle w:val="BlockText"/>
      </w:pPr>
      <w:r>
        <w:rPr>
          <w:b/>
          <w:bCs/>
        </w:rPr>
        <w:t xml:space="preserve">(d) Costs.</w:t>
      </w:r>
      <w:r>
        <w:t xml:space="preserve"> </w:t>
      </w:r>
      <w:r>
        <w:t xml:space="preserve">All costs and expenses of the valuation process under this Section 10.03 (including the fees and expenses of the Independent Appraiser) shall be borne equally by the Members, or by the Company as the Management Committee may determine.</w:t>
      </w:r>
    </w:p>
    <w:bookmarkEnd w:id="37"/>
    <w:bookmarkStart w:id="38" w:name="b-summary-of-the-parties-positions-3"/>
    <w:p>
      <w:pPr>
        <w:pStyle w:val="Heading3"/>
      </w:pPr>
      <w:r>
        <w:t xml:space="preserve">(b) Summary of the Parties’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Valuation metric</w:t>
            </w:r>
          </w:p>
        </w:tc>
        <w:tc>
          <w:tcPr/>
          <w:p>
            <w:pPr>
              <w:pStyle w:val="Compact"/>
              <w:jc w:val="left"/>
            </w:pPr>
            <w:r>
              <w:t xml:space="preserve">Trailing 12-month EBITDA</w:t>
            </w:r>
          </w:p>
        </w:tc>
        <w:tc>
          <w:tcPr/>
          <w:p>
            <w:pPr>
              <w:pStyle w:val="Compact"/>
              <w:jc w:val="left"/>
            </w:pPr>
            <w:r>
              <w:t xml:space="preserve">DCF + comparable transactions + other</w:t>
            </w:r>
          </w:p>
        </w:tc>
        <w:tc>
          <w:tcPr/>
          <w:p>
            <w:pPr>
              <w:pStyle w:val="Compact"/>
              <w:jc w:val="left"/>
            </w:pPr>
            <w:r>
              <w:t xml:space="preserve">Trailing 12-month EBITDA only (no DCF as primary)</w:t>
            </w:r>
          </w:p>
        </w:tc>
      </w:tr>
      <w:tr>
        <w:tc>
          <w:tcPr/>
          <w:p>
            <w:pPr>
              <w:pStyle w:val="Compact"/>
              <w:jc w:val="left"/>
            </w:pPr>
            <w:r>
              <w:t xml:space="preserve">Multiple</w:t>
            </w:r>
          </w:p>
        </w:tc>
        <w:tc>
          <w:tcPr/>
          <w:p>
            <w:pPr>
              <w:pStyle w:val="Compact"/>
              <w:jc w:val="left"/>
            </w:pPr>
            <w:r>
              <w:t xml:space="preserve">6.5× fixed</w:t>
            </w:r>
          </w:p>
        </w:tc>
        <w:tc>
          <w:tcPr/>
          <w:p>
            <w:pPr>
              <w:pStyle w:val="Compact"/>
              <w:jc w:val="left"/>
            </w:pPr>
            <w:r>
              <w:t xml:space="preserve">Market-determined by appraiser</w:t>
            </w:r>
          </w:p>
        </w:tc>
        <w:tc>
          <w:tcPr/>
          <w:p>
            <w:pPr>
              <w:pStyle w:val="Compact"/>
              <w:jc w:val="left"/>
            </w:pPr>
            <w:r>
              <w:t xml:space="preserve">7.0× presumptive; appraiser may select within 6.5×–7.5×</w:t>
            </w:r>
          </w:p>
        </w:tc>
      </w:tr>
      <w:tr>
        <w:tc>
          <w:tcPr/>
          <w:p>
            <w:pPr>
              <w:pStyle w:val="Compact"/>
              <w:jc w:val="left"/>
            </w:pPr>
            <w:r>
              <w:t xml:space="preserve">Appraiser</w:t>
            </w:r>
          </w:p>
        </w:tc>
        <w:tc>
          <w:tcPr/>
          <w:p>
            <w:pPr>
              <w:pStyle w:val="Compact"/>
              <w:jc w:val="left"/>
            </w:pPr>
            <w:r>
              <w:t xml:space="preserve">Frazier Whitmore &amp; Co. (JV auditor)</w:t>
            </w:r>
          </w:p>
        </w:tc>
        <w:tc>
          <w:tcPr/>
          <w:p>
            <w:pPr>
              <w:pStyle w:val="Compact"/>
              <w:jc w:val="left"/>
            </w:pPr>
            <w:r>
              <w:t xml:space="preserve">Independent Big Four; 3-appraiser baseball arbitration</w:t>
            </w:r>
          </w:p>
        </w:tc>
        <w:tc>
          <w:tcPr/>
          <w:p>
            <w:pPr>
              <w:pStyle w:val="Compact"/>
              <w:jc w:val="left"/>
            </w:pPr>
            <w:r>
              <w:t xml:space="preserve">Single independent firm (not FW); mutual agreement with AAA fallback</w:t>
            </w:r>
          </w:p>
        </w:tc>
      </w:tr>
      <w:tr>
        <w:tc>
          <w:tcPr/>
          <w:p>
            <w:pPr>
              <w:pStyle w:val="Compact"/>
              <w:jc w:val="left"/>
            </w:pPr>
            <w:r>
              <w:t xml:space="preserve">Trigger events</w:t>
            </w:r>
          </w:p>
        </w:tc>
        <w:tc>
          <w:tcPr/>
          <w:p>
            <w:pPr>
              <w:pStyle w:val="Compact"/>
              <w:jc w:val="left"/>
            </w:pPr>
            <w:r>
              <w:t xml:space="preserve">Change of control; material breach</w:t>
            </w:r>
          </w:p>
        </w:tc>
        <w:tc>
          <w:tcPr/>
          <w:p>
            <w:pPr>
              <w:pStyle w:val="Compact"/>
              <w:jc w:val="left"/>
            </w:pPr>
            <w:r>
              <w:t xml:space="preserve">CoC; material breach; deadlock; involuntary transfer</w:t>
            </w:r>
          </w:p>
        </w:tc>
        <w:tc>
          <w:tcPr/>
          <w:p>
            <w:pPr>
              <w:pStyle w:val="Compact"/>
              <w:jc w:val="left"/>
            </w:pPr>
            <w:r>
              <w:t xml:space="preserve">All four, with intra-group restructuring carve-outs</w:t>
            </w:r>
          </w:p>
        </w:tc>
      </w:tr>
    </w:tbl>
    <w:bookmarkEnd w:id="38"/>
    <w:bookmarkStart w:id="39" w:name="c-negotiation-rationale-3"/>
    <w:p>
      <w:pPr>
        <w:pStyle w:val="Heading3"/>
      </w:pPr>
      <w:r>
        <w:t xml:space="preserve">(c) Negotiation Rationale</w:t>
      </w:r>
    </w:p>
    <w:p>
      <w:pPr>
        <w:pStyle w:val="FirstParagraph"/>
      </w:pPr>
      <w:r>
        <w:rPr>
          <w:b/>
          <w:bCs/>
        </w:rPr>
        <w:t xml:space="preserve">Why this is a fair middle ground.</w:t>
      </w:r>
      <w:r>
        <w:t xml:space="preserve"> </w:t>
      </w:r>
      <w:r>
        <w:t xml:space="preserve">The exit-valuation provision determines the price at which one member acquires the other’s interest upon a triggering event. Its integrity depends on two things: an objective, verifiable valuation metric, and an appraiser whose independence is beyond question. The compromise preserves the objectivity of an EBITDA-based methodology (which both parties’ counsel acknowledged is the most verifiable and least susceptible to projection-based manipulation) while fully addressing Kastor’s independence concern, which Kastor identified as a top-priority item.</w:t>
      </w:r>
    </w:p>
    <w:p>
      <w:pPr>
        <w:pStyle w:val="BodyText"/>
      </w:pPr>
      <w:r>
        <w:rPr>
          <w:b/>
          <w:bCs/>
        </w:rPr>
        <w:t xml:space="preserve">Concessions and gains — Meridian.</w:t>
      </w:r>
      <w:r>
        <w:t xml:space="preserve"> </w:t>
      </w:r>
      <w:r>
        <w:t xml:space="preserve">Meridian secures (i) an EBITDA-only methodology, with discounted cash flow and other forward-looking methods expressly excluded as the primary methodology — protecting against the projection manipulation and protracted valuation disputes that DCF invites in a contested exit; (ii) a Multiple Range of 6.5× to 7.5× that constrains the appraiser within a band supported by the Frazier Whitmore comparable-transactions data (range 6.2×–8.1×, median 7.1×), preventing outlier lowball or inflation; and (iii) a presumptive 7.0× multiple near the market median. Meridian also secures intra-group restructuring carve-outs that protect both parties against Trigger Events arising from ordinary corporate reorganizations. In exchange, Meridian concedes its preferred use of Frazier Whitmore &amp; Co. as the appraiser, accepts a fully independent appraiser, and moves the multiple from 6.5× to a presumptive 7.0× (within a 6.5×–7.5× range).</w:t>
      </w:r>
    </w:p>
    <w:p>
      <w:pPr>
        <w:pStyle w:val="BodyText"/>
      </w:pPr>
      <w:r>
        <w:rPr>
          <w:b/>
          <w:bCs/>
        </w:rPr>
        <w:t xml:space="preserve">Concessions and gains — Kastor.</w:t>
      </w:r>
      <w:r>
        <w:t xml:space="preserve"> </w:t>
      </w:r>
      <w:r>
        <w:t xml:space="preserve">Kastor secures its top-priority item on this provision: a fully independent appraiser that is not Frazier Whitmore &amp; Co. and has no pre-existing engagement with the Company or either party, selected through a simplified mechanism (mutual agreement with an AAA fallback) that Kastor’s counsel indicated would be acceptable as an alternative to the more complex three-appraiser baseball-arbitration process. Kastor also secures a presumptive 7.0× multiple (versus Meridian’s 6.5× opening), near the 7.1× median of the comparable-transactions data, and the addition of deadlock and involuntary transfer as Trigger Events. In exchange, Kastor concedes on methodology — accepting an EBITDA-only approach (no DCF as primary) and a constrained Multiple Range (6.5×–7.5×) rather than an open-ended, appraiser-determined multiple — and accepts a single-appraiser mechanism rather than the three-appraiser baseball-arbitration process in its opening position.</w:t>
      </w:r>
    </w:p>
    <w:p>
      <w:pPr>
        <w:pStyle w:val="BodyText"/>
      </w:pPr>
      <w:r>
        <w:rPr>
          <w:b/>
          <w:bCs/>
        </w:rPr>
        <w:t xml:space="preserve">Why the appraiser-independence concession is appropriate.</w:t>
      </w:r>
      <w:r>
        <w:t xml:space="preserve"> </w:t>
      </w:r>
      <w:r>
        <w:t xml:space="preserve">Kastor’s independence concern has technical merit: an entity that serves as the JV’s auditor maintains an ongoing commercial relationship with the Company and, through the Company’s Meridian-controlled management structure, a primary reporting relationship to one member. In a buyout scenario where the members’ interests are directly adverse, that dual role creates an inherent conflict. Conceding a fully independent appraiser — while preserving Frazier Whitmore’s comparable-transactions data as reference input, which Kastor acknowledged is well-researched and useful — resolves the concern at its source. The simplified single-appraiser mechanism (mutual agreement, AAA fallback) is faster and less costly than three-appraiser baseball arbitration and gives both parties confidence in the result, consistent with a comparable 55/45 joint venture in which an independent appraiser was selected by mutual agreement separate from the auditor.</w:t>
      </w:r>
    </w:p>
    <w:p>
      <w:pPr>
        <w:pStyle w:val="BodyText"/>
      </w:pPr>
      <w:r>
        <w:rPr>
          <w:b/>
          <w:bCs/>
        </w:rPr>
        <w:t xml:space="preserve">Why the EBITDA-only methodology and Multiple Range protect both parties.</w:t>
      </w:r>
      <w:r>
        <w:t xml:space="preserve"> </w:t>
      </w:r>
      <w:r>
        <w:t xml:space="preserve">Trailing 12-month EBITDA is calculated from audited financial statements that both parties can verify, eliminating the most significant source of valuation dispute (the capitalization rate) and the projection-manipulation risk of DCF. The 6.5×–7.5× Multiple Range is bounded by the comparable-transactions data: the floor (6.5×) is within the observed range and above the dataset minimum (6.2×), and the ceiling (7.5×) is supported by upper-quartile comparables. The presumptive 7.0× sits near the 7.1× median. This structure gives the appraiser modest, reasoned discretion to reflect market conditions at the trigger date while preventing either party from being exposed to an outlier result — a balance that neither a rigid fixed multiple nor an unconstrained appraiser-determined multiple achieves.</w:t>
      </w:r>
    </w:p>
    <w:p>
      <w:pPr>
        <w:pStyle w:val="BodyText"/>
      </w:pPr>
      <w:r>
        <w:rPr>
          <w:b/>
          <w:bCs/>
        </w:rPr>
        <w:t xml:space="preserve">Why the additional trigger events are balanced.</w:t>
      </w:r>
      <w:r>
        <w:t xml:space="preserve"> </w:t>
      </w:r>
      <w:r>
        <w:t xml:space="preserve">Deadlock and involuntary transfer are added as Trigger Events, consistent with both parties’ openness and with comparable practice. The deadlock trigger is carefully confined to Reserved Matter deadlocks that survive the full escalation-and-mediation process in Section 5.01(e), preventing a member from manufacturing an ordinary-course disagreement to force an exit at a favorable valuation. The involuntary-transfer trigger protects both parties against being forced to remain in a joint venture with an unchosen counterparty (such as a bankruptcy trustee or creditor). The intra-group restructuring carve-outs ensure that ordinary corporate reorganizations do not inadvertently trigger a buyout — a protection that benefits both parties as their respective corporate structures evolve.</w:t>
      </w:r>
    </w:p>
    <w:bookmarkEnd w:id="39"/>
    <w:bookmarkStart w:id="40" w:name="d-cross-references-3"/>
    <w:p>
      <w:pPr>
        <w:pStyle w:val="Heading3"/>
      </w:pPr>
      <w:r>
        <w:t xml:space="preserve">(d) Cross-References</w:t>
      </w:r>
    </w:p>
    <w:p>
      <w:pPr>
        <w:pStyle w:val="Compact"/>
        <w:numPr>
          <w:ilvl w:val="0"/>
          <w:numId w:val="1007"/>
        </w:numPr>
      </w:pPr>
      <w:r>
        <w:t xml:space="preserve">Section 5.01(e) (Deadlock Resolution) — the deadlock Trigger Event is confined to Reserved Matter deadlocks surviving escalation and mediation.</w:t>
      </w:r>
    </w:p>
    <w:p>
      <w:pPr>
        <w:pStyle w:val="Compact"/>
        <w:numPr>
          <w:ilvl w:val="0"/>
          <w:numId w:val="1007"/>
        </w:numPr>
      </w:pPr>
      <w:r>
        <w:t xml:space="preserve">Section 4.03(f) (Forced-Sale Backstop) — the capital-call forced-sale election constitutes a Trigger Event.</w:t>
      </w:r>
    </w:p>
    <w:p>
      <w:pPr>
        <w:pStyle w:val="Compact"/>
        <w:numPr>
          <w:ilvl w:val="0"/>
          <w:numId w:val="1007"/>
        </w:numPr>
      </w:pPr>
      <w:r>
        <w:t xml:space="preserve">Section 11.01 (Non-Competition) — the non-compete is triggered upon a Member’s exit following a Trigger Event.</w:t>
      </w:r>
    </w:p>
    <w:p>
      <w:pPr>
        <w:pStyle w:val="Compact"/>
        <w:numPr>
          <w:ilvl w:val="0"/>
          <w:numId w:val="1007"/>
        </w:numPr>
      </w:pPr>
      <w:r>
        <w:t xml:space="preserve">Section 8.02 (Auditor) — Frazier Whitmore &amp; Co. remains the Company’s auditor; the independence exclusion is limited to the exit-valuation appraiser role.</w:t>
      </w:r>
    </w:p>
    <w:p>
      <w:r>
        <w:pict>
          <v:rect style="width:0;height:1.5pt" o:hralign="center" o:hrstd="t" o:hr="t"/>
        </w:pict>
      </w:r>
    </w:p>
    <w:bookmarkEnd w:id="40"/>
    <w:bookmarkEnd w:id="41"/>
    <w:bookmarkStart w:id="46" w:name="X2f8cb9934b4e437935941a058c8908e54c64ecf"/>
    <w:p>
      <w:pPr>
        <w:pStyle w:val="Heading2"/>
      </w:pPr>
      <w:r>
        <w:t xml:space="preserve">VI. Provision 5 — IP License-Back and Co-Developed IP Rights (Section 12.05)</w:t>
      </w:r>
    </w:p>
    <w:bookmarkStart w:id="42" w:name="a-proposed-compromise-clause-language-4"/>
    <w:p>
      <w:pPr>
        <w:pStyle w:val="Heading3"/>
      </w:pPr>
      <w:r>
        <w:t xml:space="preserve">(a) Proposed Compromise Clause Language</w:t>
      </w:r>
    </w:p>
    <w:p>
      <w:pPr>
        <w:pStyle w:val="BlockText"/>
      </w:pPr>
      <w:r>
        <w:rPr>
          <w:b/>
          <w:bCs/>
        </w:rPr>
        <w:t xml:space="preserve">Section 12.05 — IP License-Back on Dissolution or Exit</w:t>
      </w:r>
    </w:p>
    <w:p>
      <w:pPr>
        <w:pStyle w:val="BlockText"/>
      </w:pPr>
      <w:r>
        <w:rPr>
          <w:b/>
          <w:bCs/>
        </w:rPr>
        <w:t xml:space="preserve">(a) Reversion of Contributed IP.</w:t>
      </w:r>
      <w:r>
        <w:t xml:space="preserve"> </w:t>
      </w:r>
      <w:r>
        <w:t xml:space="preserve">Upon dissolution of the Company or the completion of a buy-sell transaction under Article X, each Member’s Contributed IP shall revert to the contributing Member. The Company (or the purchasing Member, as applicable) shall execute and deliver to each contributing Member such instruments of assignment, transfer, and conveyance as are reasonably necessary to effect such reversion.</w:t>
      </w:r>
    </w:p>
    <w:p>
      <w:pPr>
        <w:pStyle w:val="BlockText"/>
      </w:pPr>
      <w:r>
        <w:rPr>
          <w:b/>
          <w:bCs/>
        </w:rPr>
        <w:t xml:space="preserve">(b) License to Contributed IP.</w:t>
      </w:r>
      <w:r>
        <w:t xml:space="preserve"> </w:t>
      </w:r>
      <w:r>
        <w:t xml:space="preserve">Upon reversion of Contributed IP pursuant to Section 12.05(a), each Member shall grant to the other Member a non-exclusive, royalty-free, perpetual, irrevocable license (without the right to sublicense) to use such Member’s Contributed IP in the non-contributing Member’s own internal operations.</w:t>
      </w:r>
    </w:p>
    <w:p>
      <w:pPr>
        <w:pStyle w:val="BlockText"/>
      </w:pPr>
      <w:r>
        <w:rPr>
          <w:b/>
          <w:bCs/>
        </w:rPr>
        <w:t xml:space="preserve">(c) License to Co-Developed IP.</w:t>
      </w:r>
      <w:r>
        <w:t xml:space="preserve"> </w:t>
      </w:r>
      <w:r>
        <w:t xml:space="preserve">Upon reversion of Contributed IP pursuant to Section 12.05(a), each Member shall receive a non-exclusive, royalty-free, perpetual, irrevocable license to use the Co-Developed IP (as defined in Section 12.02 and listed on Schedule 12.02) in all fields and territories worldwide.</w:t>
      </w:r>
    </w:p>
    <w:p>
      <w:pPr>
        <w:pStyle w:val="BlockText"/>
      </w:pPr>
      <w:r>
        <w:rPr>
          <w:b/>
          <w:bCs/>
        </w:rPr>
        <w:t xml:space="preserve">(d) Sublicensing of Co-Developed IP.</w:t>
      </w:r>
      <w:r>
        <w:t xml:space="preserve"> </w:t>
      </w:r>
      <w:r>
        <w:t xml:space="preserve">Each Member may sublicense Co-Developed IP to third parties within its respective territory (Meridian: the Americas, comprising North, Central, and South America and the Caribbean; Kastor: all territories outside North America), subject to the following restrictions, which shall apply reciprocally to both Members:</w:t>
      </w:r>
    </w:p>
    <w:p>
      <w:pPr>
        <w:pStyle w:val="Compact"/>
        <w:numPr>
          <w:ilvl w:val="0"/>
          <w:numId w:val="1008"/>
        </w:numPr>
      </w:pPr>
      <w:r>
        <w:t xml:space="preserve">No Member shall sublicense Co-Developed IP to any Person listed on Schedule 12.05 (Restricted Competitors), regardless of the territory in which the sublicense would be exercised;</w:t>
      </w:r>
    </w:p>
    <w:p>
      <w:pPr>
        <w:pStyle w:val="Compact"/>
        <w:numPr>
          <w:ilvl w:val="0"/>
          <w:numId w:val="1008"/>
        </w:numPr>
      </w:pPr>
      <w:r>
        <w:t xml:space="preserve">No Member shall sublicense Co-Developed IP to any Person that derives more than twenty-five percent (25%) of its consolidated annual revenue from the manufacture, sale, or distribution of specialty polymer coatings in North America;</w:t>
      </w:r>
    </w:p>
    <w:p>
      <w:pPr>
        <w:pStyle w:val="Compact"/>
        <w:numPr>
          <w:ilvl w:val="0"/>
          <w:numId w:val="1008"/>
        </w:numPr>
      </w:pPr>
      <w:r>
        <w:t xml:space="preserve">Schedule 12.05 shall be reviewed and updated annually by mutual agreement of the Members to reflect changes in the competitive landscape;</w:t>
      </w:r>
    </w:p>
    <w:p>
      <w:pPr>
        <w:pStyle w:val="Compact"/>
        <w:numPr>
          <w:ilvl w:val="0"/>
          <w:numId w:val="1008"/>
        </w:numPr>
      </w:pPr>
      <w:r>
        <w:t xml:space="preserve">Each Member shall maintain accurate records of its sublicensing of Co-Developed IP, and the other Member shall have the right, upon reasonable prior notice and at its own expense, to audit such records no more than once per calendar year to verify compliance with this Section 12.05(d).</w:t>
      </w:r>
    </w:p>
    <w:p>
      <w:pPr>
        <w:pStyle w:val="BlockText"/>
      </w:pPr>
      <w:r>
        <w:rPr>
          <w:b/>
          <w:bCs/>
        </w:rPr>
        <w:t xml:space="preserve">(e) Improvements to Contributed IP.</w:t>
      </w:r>
      <w:r>
        <w:t xml:space="preserve"> </w:t>
      </w:r>
      <w:r>
        <w:t xml:space="preserve">An</w:t>
      </w:r>
      <w:r>
        <w:t xml:space="preserve"> </w:t>
      </w:r>
      <w:r>
        <w:t xml:space="preserve">“</w:t>
      </w:r>
      <w:r>
        <w:t xml:space="preserve">Improvement</w:t>
      </w:r>
      <w:r>
        <w:t xml:space="preserve">”</w:t>
      </w:r>
      <w:r>
        <w:t xml:space="preserve"> </w:t>
      </w:r>
      <w:r>
        <w:t xml:space="preserve">means any enhancement, modification, derivative work, or adaptation of a Member’s Contributed IP that is developed by or on behalf of the Company during the term of this Agreement. An Improvement that is primarily derivative of one Member’s underlying Contributed IP shall be treated as an Improvement to that Member’s Contributed IP and shall revert to the contributing Member upon exit or dissolution; provided that the non-contributing Member shall receive a non-exclusive, royalty-free, perpetual license to such Improvements for use in the non-contributing Member’s respective territory, subject to the sublicensing restrictions in Section 12.05(d). An Improvement that is not primarily derivative of either Member’s Contributed IP — including Improvements that build equally upon both parties’ Contributed IP — shall be classified as Co-Developed IP and treated under Sections 12.05(c) and (d).</w:t>
      </w:r>
    </w:p>
    <w:p>
      <w:pPr>
        <w:pStyle w:val="BlockText"/>
      </w:pPr>
      <w:r>
        <w:rPr>
          <w:b/>
          <w:bCs/>
        </w:rPr>
        <w:t xml:space="preserve">(f) No Sublicensing of Contributed IP.</w:t>
      </w:r>
      <w:r>
        <w:t xml:space="preserve"> </w:t>
      </w:r>
      <w:r>
        <w:t xml:space="preserve">For the avoidance of doubt, no license granted under Section 12.05(b) includes any right to sublicense, and no Member shall, directly or indirectly, sublicense, transfer, or otherwise make available any Contributed IP of the other Member to any Person under any circumstances.</w:t>
      </w:r>
    </w:p>
    <w:bookmarkEnd w:id="42"/>
    <w:bookmarkStart w:id="43" w:name="b-summary-of-the-parties-positions-4"/>
    <w:p>
      <w:pPr>
        <w:pStyle w:val="Heading3"/>
      </w:pPr>
      <w:r>
        <w:t xml:space="preserve">(b) Summary of the Parties’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Contributed IP reversion</w:t>
            </w:r>
          </w:p>
        </w:tc>
        <w:tc>
          <w:tcPr/>
          <w:p>
            <w:pPr>
              <w:pStyle w:val="Compact"/>
              <w:jc w:val="left"/>
            </w:pPr>
            <w:r>
              <w:t xml:space="preserve">Agreed</w:t>
            </w:r>
          </w:p>
        </w:tc>
        <w:tc>
          <w:tcPr/>
          <w:p>
            <w:pPr>
              <w:pStyle w:val="Compact"/>
              <w:jc w:val="left"/>
            </w:pPr>
            <w:r>
              <w:t xml:space="preserve">Agreed</w:t>
            </w:r>
          </w:p>
        </w:tc>
        <w:tc>
          <w:tcPr/>
          <w:p>
            <w:pPr>
              <w:pStyle w:val="Compact"/>
              <w:jc w:val="left"/>
            </w:pPr>
            <w:r>
              <w:t xml:space="preserve">Agreed (no change)</w:t>
            </w:r>
          </w:p>
        </w:tc>
      </w:tr>
      <w:tr>
        <w:tc>
          <w:tcPr/>
          <w:p>
            <w:pPr>
              <w:pStyle w:val="Compact"/>
              <w:jc w:val="left"/>
            </w:pPr>
            <w:r>
              <w:t xml:space="preserve">License to contributed IP</w:t>
            </w:r>
          </w:p>
        </w:tc>
        <w:tc>
          <w:tcPr/>
          <w:p>
            <w:pPr>
              <w:pStyle w:val="Compact"/>
              <w:jc w:val="left"/>
            </w:pPr>
            <w:r>
              <w:t xml:space="preserve">No license to Kastor; license to Meridian of Kastor’s IP</w:t>
            </w:r>
          </w:p>
        </w:tc>
        <w:tc>
          <w:tcPr/>
          <w:p>
            <w:pPr>
              <w:pStyle w:val="Compact"/>
              <w:jc w:val="left"/>
            </w:pPr>
            <w:r>
              <w:t xml:space="preserve">Symmetric non-exclusive, non-sublicensable license to both</w:t>
            </w:r>
          </w:p>
        </w:tc>
        <w:tc>
          <w:tcPr/>
          <w:p>
            <w:pPr>
              <w:pStyle w:val="Compact"/>
              <w:jc w:val="left"/>
            </w:pPr>
            <w:r>
              <w:t xml:space="preserve">Symmetric non-exclusive, royalty-free, perpetual, non-sublicensable license to both</w:t>
            </w:r>
          </w:p>
        </w:tc>
      </w:tr>
      <w:tr>
        <w:tc>
          <w:tcPr/>
          <w:p>
            <w:pPr>
              <w:pStyle w:val="Compact"/>
              <w:jc w:val="left"/>
            </w:pPr>
            <w:r>
              <w:t xml:space="preserve">Co-Developed IP license</w:t>
            </w:r>
          </w:p>
        </w:tc>
        <w:tc>
          <w:tcPr/>
          <w:p>
            <w:pPr>
              <w:pStyle w:val="Compact"/>
              <w:jc w:val="left"/>
            </w:pPr>
            <w:r>
              <w:t xml:space="preserve">Exclusive to Meridian only</w:t>
            </w:r>
          </w:p>
        </w:tc>
        <w:tc>
          <w:tcPr/>
          <w:p>
            <w:pPr>
              <w:pStyle w:val="Compact"/>
              <w:jc w:val="left"/>
            </w:pPr>
            <w:r>
              <w:t xml:space="preserve">Non-exclusive to both parties</w:t>
            </w:r>
          </w:p>
        </w:tc>
        <w:tc>
          <w:tcPr/>
          <w:p>
            <w:pPr>
              <w:pStyle w:val="Compact"/>
              <w:jc w:val="left"/>
            </w:pPr>
            <w:r>
              <w:t xml:space="preserve">Non-exclusive to both parties</w:t>
            </w:r>
          </w:p>
        </w:tc>
      </w:tr>
      <w:tr>
        <w:tc>
          <w:tcPr/>
          <w:p>
            <w:pPr>
              <w:pStyle w:val="Compact"/>
              <w:jc w:val="left"/>
            </w:pPr>
            <w:r>
              <w:t xml:space="preserve">Co-Developed IP sublicensing</w:t>
            </w:r>
          </w:p>
        </w:tc>
        <w:tc>
          <w:tcPr/>
          <w:p>
            <w:pPr>
              <w:pStyle w:val="Compact"/>
              <w:jc w:val="left"/>
            </w:pPr>
            <w:r>
              <w:t xml:space="preserve">None by Kastor</w:t>
            </w:r>
          </w:p>
        </w:tc>
        <w:tc>
          <w:tcPr/>
          <w:p>
            <w:pPr>
              <w:pStyle w:val="Compact"/>
              <w:jc w:val="left"/>
            </w:pPr>
            <w:r>
              <w:t xml:space="preserve">Territorial sublicensing by both parties</w:t>
            </w:r>
          </w:p>
        </w:tc>
        <w:tc>
          <w:tcPr/>
          <w:p>
            <w:pPr>
              <w:pStyle w:val="Compact"/>
              <w:jc w:val="left"/>
            </w:pPr>
            <w:r>
              <w:t xml:space="preserve">Reciprocal territorial sublicensing (Meridian: Americas; Kastor: outside N.A.) with Restricted Competitors + 25% revenue restrictions</w:t>
            </w:r>
          </w:p>
        </w:tc>
      </w:tr>
      <w:tr>
        <w:tc>
          <w:tcPr/>
          <w:p>
            <w:pPr>
              <w:pStyle w:val="Compact"/>
              <w:jc w:val="left"/>
            </w:pPr>
            <w:r>
              <w:t xml:space="preserve">Improvements to contributed IP</w:t>
            </w:r>
          </w:p>
        </w:tc>
        <w:tc>
          <w:tcPr/>
          <w:p>
            <w:pPr>
              <w:pStyle w:val="Compact"/>
              <w:jc w:val="left"/>
            </w:pPr>
            <w:r>
              <w:t xml:space="preserve">Revert to contributor; license to other party</w:t>
            </w:r>
          </w:p>
        </w:tc>
        <w:tc>
          <w:tcPr/>
          <w:p>
            <w:pPr>
              <w:pStyle w:val="Compact"/>
              <w:jc w:val="left"/>
            </w:pPr>
            <w:r>
              <w:t xml:space="preserve">Treated as Co-Developed IP</w:t>
            </w:r>
          </w:p>
        </w:tc>
        <w:tc>
          <w:tcPr/>
          <w:p>
            <w:pPr>
              <w:pStyle w:val="Compact"/>
              <w:jc w:val="left"/>
            </w:pPr>
            <w:r>
              <w:t xml:space="preserve">Primarily-derivative Improvements revert to contributor; non-contributor gets territorial license; non-derivative Improvements = Co-Developed IP</w:t>
            </w:r>
          </w:p>
        </w:tc>
      </w:tr>
    </w:tbl>
    <w:bookmarkEnd w:id="43"/>
    <w:bookmarkStart w:id="44" w:name="c-negotiation-rationale-4"/>
    <w:p>
      <w:pPr>
        <w:pStyle w:val="Heading3"/>
      </w:pPr>
      <w:r>
        <w:t xml:space="preserve">(c) Negotiation Rationale</w:t>
      </w:r>
    </w:p>
    <w:p>
      <w:pPr>
        <w:pStyle w:val="FirstParagraph"/>
      </w:pPr>
      <w:r>
        <w:rPr>
          <w:b/>
          <w:bCs/>
        </w:rPr>
        <w:t xml:space="preserve">Why this is a fair middle ground.</w:t>
      </w:r>
      <w:r>
        <w:t xml:space="preserve"> </w:t>
      </w:r>
      <w:r>
        <w:t xml:space="preserve">The IP license-back provision is the most commercially sensitive of the five contested provisions. Meridian’s 23 contributed IP items — independently appraised at $28.6 million, including proprietary coating formulations embedded in the JV’s products — are the technological foundation of the venture. Kastor’s $41.8 million cash contribution directly funds the JV’s R&amp;D, including the development of co-developed IP and improvements to contributed IP. The compromise must preserve Meridian’s ability to protect its proprietary formulations from reaching its North American competitors, while preserving Kastor’s ability to derive lasting value from the intellectual property its capital helped create.</w:t>
      </w:r>
    </w:p>
    <w:p>
      <w:pPr>
        <w:pStyle w:val="BodyText"/>
      </w:pPr>
      <w:r>
        <w:rPr>
          <w:b/>
          <w:bCs/>
        </w:rPr>
        <w:t xml:space="preserve">Concessions and gains — Meridian.</w:t>
      </w:r>
      <w:r>
        <w:t xml:space="preserve"> </w:t>
      </w:r>
      <w:r>
        <w:t xml:space="preserve">Meridian secures its absolute red line: no sublicensing of its contributed IP to any person under any circumstances (Section 12.05(f)), and no sublicensing of co-developed IP to any Restricted Competitor on Schedule 12.05, regardless of territory (Section 12.05(d)(i)). The 25% revenue-based negative covenant (Section 12.05(d)(ii)) operates as a dynamic anti-circumvention mechanism that captures future competitors not yet named on Schedule 12.05 — any sublicensee deriving more than 25% of its revenue from North American specialty polymer coatings is prohibited, ensuring the protection does not become stale as the market evolves. Meridian also secures a classification framework for improvements that keeps improvements primarily derivative of its contributed IP reverting to Meridian (protecting the value of its $28.6 million contribution), while still licensing those improvements to Kastor for use outside North America. In exchange, Meridian concedes a non-exclusive (rather than exclusive) co-developed IP license to Kastor, grants Kastor sublicensing rights outside North America, and grants Kastor a non-exclusive internal-use license to Meridian’s contributed IP.</w:t>
      </w:r>
    </w:p>
    <w:p>
      <w:pPr>
        <w:pStyle w:val="BodyText"/>
      </w:pPr>
      <w:r>
        <w:rPr>
          <w:b/>
          <w:bCs/>
        </w:rPr>
        <w:t xml:space="preserve">Concessions and gains — Kastor.</w:t>
      </w:r>
      <w:r>
        <w:t xml:space="preserve"> </w:t>
      </w:r>
      <w:r>
        <w:t xml:space="preserve">Kastor secures its top-priority item: a non-exclusive, royalty-free, perpetual license to co-developed IP (available to both parties on equivalent terms), with sublicensing rights in its territory (all territories outside North America). This preserves Kastor’s ability to monetize JV-created technology through its global manufacturing and distribution partnerships — the commercial value Kastor identified as essential. Kastor also secures a symmetric license to contributed IP for internal use, and a license to improvements to Meridian’s contributed IP for use in Kastor’s territory, addressing the improvements gap that both parties flagged. The Restricted Competitors carve-out is reciprocal (Meridian is equally restricted from sublicensing to Kastor’s listed competitors), and the schedule is updated annually by mutual agreement. In exchange, Kastor concedes on the treatment of improvements (primarily-derivative improvements revert to the contributor rather than being pooled as co-developed IP) and accepts the Restricted Competitors and 25% revenue restrictions on its sublicensing.</w:t>
      </w:r>
    </w:p>
    <w:p>
      <w:pPr>
        <w:pStyle w:val="BodyText"/>
      </w:pPr>
      <w:r>
        <w:rPr>
          <w:b/>
          <w:bCs/>
        </w:rPr>
        <w:t xml:space="preserve">Why the sublicensing framework protects both parties’ core interests.</w:t>
      </w:r>
      <w:r>
        <w:t xml:space="preserve"> </w:t>
      </w:r>
      <w:r>
        <w:t xml:space="preserve">The structure uses three overlapping mechanisms to prevent Meridian’s proprietary formulations from reaching its North American competitors while preserving Kastor’s commercial flexibility: (i) territorial limitation (Kastor sublicenses only outside North America); (ii) a named-entity prohibition (Schedule 12.05 Restricted Competitors, applicable globally and reciprocally); and (iii) a dynamic 25% revenue-based negative covenant that captures future entrants and restructured entities not on the named list. The practical effect is that Kastor can sublicense co-developed IP to European and Asian chemicals companies that are not in the North American specialty coatings business — covering the vast majority of Kastor’s potential sublicensees — while no pathway exists, direct or indirect, for co-developed IP to reach Meridian’s North American competitors. This structure mirrors the territorial sublicensing with named-competitor restrictions used in comparable specialty-chemicals joint ventures, including a 55/45 transaction with identical equity dynamics.</w:t>
      </w:r>
    </w:p>
    <w:p>
      <w:pPr>
        <w:pStyle w:val="BodyText"/>
      </w:pPr>
      <w:r>
        <w:rPr>
          <w:b/>
          <w:bCs/>
        </w:rPr>
        <w:t xml:space="preserve">Why the improvements framework is commercially logical.</w:t>
      </w:r>
      <w:r>
        <w:t xml:space="preserve"> </w:t>
      </w:r>
      <w:r>
        <w:t xml:space="preserve">Both parties flagged the improvements gap as a central unresolved issue. The compromise adopts a</w:t>
      </w:r>
      <w:r>
        <w:t xml:space="preserve"> </w:t>
      </w:r>
      <w:r>
        <w:t xml:space="preserve">“</w:t>
      </w:r>
      <w:r>
        <w:t xml:space="preserve">primarily derivative</w:t>
      </w:r>
      <w:r>
        <w:t xml:space="preserve">”</w:t>
      </w:r>
      <w:r>
        <w:t xml:space="preserve"> </w:t>
      </w:r>
      <w:r>
        <w:t xml:space="preserve">classification test: an improvement that builds primarily on one party’s contributed IP reverts to that party (because the improvement derives its value from the underlying contributed IP, which the contributor made possible), while the other party receives a territorial license subject to the sublicensing restrictions. Improvements that build equally on both parties’ IP, or that are not primarily derivative of either, default into the co-developed IP category with its broader licensing rules. This framework is symmetric (it applies identically to improvements to Kastor’s contributed process documentation and to Meridian’s contributed formulations), commercially logical (a party does not lose improved versions of its own contributed IP), and gives Kastor meaningful value (a license to improvements funded in part by its capital). It resolves the improvements gap head-on rather than deferring it.</w:t>
      </w:r>
    </w:p>
    <w:p>
      <w:pPr>
        <w:pStyle w:val="BodyText"/>
      </w:pPr>
      <w:r>
        <w:rPr>
          <w:b/>
          <w:bCs/>
        </w:rPr>
        <w:t xml:space="preserve">Why symmetry is honored where the assets are comparable and rejected where they are not.</w:t>
      </w:r>
      <w:r>
        <w:t xml:space="preserve"> </w:t>
      </w:r>
      <w:r>
        <w:t xml:space="preserve">The compromise applies symmetry to co-developed IP (both parties receive equivalent non-exclusive licenses and equivalent territorial sublicensing rights subject to reciprocal restrictions) and to contributed IP (both parties receive equivalent non-exclusive, non-sublicensable internal-use licenses to the other’s contributed IP). It does not apply symmetry to the sublicensing of contributed IP itself: no party may sublicense the other’s contributed IP, under any circumstances. This reflects the parties’ agreement that contributed IP reverts to the contributor and that the contributor’s control over its own proprietary assets must be preserved — a principle both sides accepted in the term sheet and that is universal in the comparable transactions.</w:t>
      </w:r>
    </w:p>
    <w:bookmarkEnd w:id="44"/>
    <w:bookmarkStart w:id="45" w:name="d-cross-references-4"/>
    <w:p>
      <w:pPr>
        <w:pStyle w:val="Heading3"/>
      </w:pPr>
      <w:r>
        <w:t xml:space="preserve">(d) Cross-References</w:t>
      </w:r>
    </w:p>
    <w:p>
      <w:pPr>
        <w:pStyle w:val="Compact"/>
        <w:numPr>
          <w:ilvl w:val="0"/>
          <w:numId w:val="1009"/>
        </w:numPr>
      </w:pPr>
      <w:r>
        <w:t xml:space="preserve">Section 12.01 (Contributed IP) / Schedule 12.01 — identifies the 23 Meridian contributed IP items and 9 Kastor contributed IP items.</w:t>
      </w:r>
    </w:p>
    <w:p>
      <w:pPr>
        <w:pStyle w:val="Compact"/>
        <w:numPr>
          <w:ilvl w:val="0"/>
          <w:numId w:val="1009"/>
        </w:numPr>
      </w:pPr>
      <w:r>
        <w:t xml:space="preserve">Section 12.02 (Co-Developed IP) / Schedule 12.02 — defines and lists Co-Developed IP created during the JV term.</w:t>
      </w:r>
    </w:p>
    <w:p>
      <w:pPr>
        <w:pStyle w:val="Compact"/>
        <w:numPr>
          <w:ilvl w:val="0"/>
          <w:numId w:val="1009"/>
        </w:numPr>
      </w:pPr>
      <w:r>
        <w:t xml:space="preserve">Schedule 12.05 (Restricted Competitors) — the named-entity schedule that, together with the 25% revenue covenant, operationalizes the sublicensing restrictions.</w:t>
      </w:r>
    </w:p>
    <w:p>
      <w:pPr>
        <w:pStyle w:val="Compact"/>
        <w:numPr>
          <w:ilvl w:val="0"/>
          <w:numId w:val="1009"/>
        </w:numPr>
      </w:pPr>
      <w:r>
        <w:t xml:space="preserve">Section 2.04 / Schedule 2.04 (Business Purpose) — relevant to classifying whether an improvement is primarily derivative of a party’s contributed IP.</w:t>
      </w:r>
    </w:p>
    <w:p>
      <w:pPr>
        <w:pStyle w:val="Compact"/>
        <w:numPr>
          <w:ilvl w:val="0"/>
          <w:numId w:val="1009"/>
        </w:numPr>
      </w:pPr>
      <w:r>
        <w:t xml:space="preserve">Section 11.01(g) (Non-Competition) — cross-references Schedule 12.05 for the non-compete’s named-competitor supplement.</w:t>
      </w:r>
    </w:p>
    <w:p>
      <w:r>
        <w:pict>
          <v:rect style="width:0;height:1.5pt" o:hralign="center" o:hrstd="t" o:hr="t"/>
        </w:pict>
      </w:r>
    </w:p>
    <w:bookmarkEnd w:id="45"/>
    <w:bookmarkEnd w:id="46"/>
    <w:bookmarkStart w:id="50" w:name="vii.-summary-concession-matrix"/>
    <w:p>
      <w:pPr>
        <w:pStyle w:val="Heading2"/>
      </w:pPr>
      <w:r>
        <w:t xml:space="preserve">VII. Summary Concession Matrix</w:t>
      </w:r>
    </w:p>
    <w:p>
      <w:pPr>
        <w:pStyle w:val="FirstParagraph"/>
      </w:pPr>
      <w:r>
        <w:t xml:space="preserve">The following matrix summarizes the overall balance of trade-offs across all five contested provisions. For each provision, it identifies the contested issue, each party’s opening position, the proposed compromise landing point, and the principal concession and gain for each party.</w:t>
      </w:r>
    </w:p>
    <w:bookmarkStart w:id="47" w:name="matrix-a-landing-points-at-a-glance"/>
    <w:p>
      <w:pPr>
        <w:pStyle w:val="Heading3"/>
      </w:pPr>
      <w:r>
        <w:t xml:space="preserve">Matrix A — Landing Points at a Glance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 (Section)</w:t>
            </w:r>
          </w:p>
        </w:tc>
        <w:tc>
          <w:tcPr/>
          <w:p>
            <w:pPr>
              <w:pStyle w:val="Compact"/>
              <w:jc w:val="left"/>
            </w:pPr>
            <w:r>
              <w:t xml:space="preserve">Contested Issue</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1</w:t>
            </w:r>
          </w:p>
        </w:tc>
        <w:tc>
          <w:tcPr/>
          <w:p>
            <w:pPr>
              <w:pStyle w:val="Compact"/>
              <w:jc w:val="left"/>
            </w:pPr>
            <w:r>
              <w:t xml:space="preserve">Management Committee (5.01)</w:t>
            </w:r>
          </w:p>
        </w:tc>
        <w:tc>
          <w:tcPr/>
          <w:p>
            <w:pPr>
              <w:pStyle w:val="Compact"/>
              <w:jc w:val="left"/>
            </w:pPr>
            <w:r>
              <w:t xml:space="preserve">Board size &amp; voting</w:t>
            </w:r>
          </w:p>
        </w:tc>
        <w:tc>
          <w:tcPr/>
          <w:p>
            <w:pPr>
              <w:pStyle w:val="Compact"/>
              <w:jc w:val="left"/>
            </w:pPr>
            <w:r>
              <w:t xml:space="preserve">3–2; simple majority; CEO casting vote on all deadlocks</w:t>
            </w:r>
          </w:p>
        </w:tc>
        <w:tc>
          <w:tcPr/>
          <w:p>
            <w:pPr>
              <w:pStyle w:val="Compact"/>
              <w:jc w:val="left"/>
            </w:pPr>
            <w:r>
              <w:t xml:space="preserve">3–3; supermajority (5 of 6) on Reserved Matters; mediation then buyout</w:t>
            </w:r>
          </w:p>
        </w:tc>
        <w:tc>
          <w:tcPr/>
          <w:p>
            <w:pPr>
              <w:pStyle w:val="Compact"/>
              <w:jc w:val="left"/>
            </w:pPr>
            <w:r>
              <w:t xml:space="preserve">3–2; supermajority (4 of 5, incl. 1 Kastor) on 9 Reserved Matters; CEO casting vote on ordinary matters only; escalation → mediation → buy-sell for Reserved Matter deadlocks</w:t>
            </w:r>
          </w:p>
        </w:tc>
      </w:tr>
      <w:tr>
        <w:tc>
          <w:tcPr/>
          <w:p>
            <w:pPr>
              <w:pStyle w:val="Compact"/>
              <w:jc w:val="left"/>
            </w:pPr>
            <w:r>
              <w:t xml:space="preserve">2</w:t>
            </w:r>
          </w:p>
        </w:tc>
        <w:tc>
          <w:tcPr/>
          <w:p>
            <w:pPr>
              <w:pStyle w:val="Compact"/>
              <w:jc w:val="left"/>
            </w:pPr>
            <w:r>
              <w:t xml:space="preserve">Capital Calls (4.03)</w:t>
            </w:r>
          </w:p>
        </w:tc>
        <w:tc>
          <w:tcPr/>
          <w:p>
            <w:pPr>
              <w:pStyle w:val="Compact"/>
              <w:jc w:val="left"/>
            </w:pPr>
            <w:r>
              <w:t xml:space="preserve">Cure, dilution, loan</w:t>
            </w:r>
          </w:p>
        </w:tc>
        <w:tc>
          <w:tcPr/>
          <w:p>
            <w:pPr>
              <w:pStyle w:val="Compact"/>
              <w:jc w:val="left"/>
            </w:pPr>
            <w:r>
              <w:t xml:space="preserve">30-day cure; uncapped dilution; no loan</w:t>
            </w:r>
          </w:p>
        </w:tc>
        <w:tc>
          <w:tcPr/>
          <w:p>
            <w:pPr>
              <w:pStyle w:val="Compact"/>
              <w:jc w:val="left"/>
            </w:pPr>
            <w:r>
              <w:t xml:space="preserve">90-day cure; 10% cap; market-rate loan</w:t>
            </w:r>
          </w:p>
        </w:tc>
        <w:tc>
          <w:tcPr/>
          <w:p>
            <w:pPr>
              <w:pStyle w:val="Compact"/>
              <w:jc w:val="left"/>
            </w:pPr>
            <w:r>
              <w:t xml:space="preserve">15-day notice + 60-day cure; penalty interest (SOFR+500 bps / 10%); 15% cap; bridge loan (Default Rate, 12-mo, secured, auto-convert, single-use); forced-sale backstop at 15% in 24 months; EUR funding accommodation</w:t>
            </w:r>
          </w:p>
        </w:tc>
      </w:tr>
      <w:tr>
        <w:tc>
          <w:tcPr/>
          <w:p>
            <w:pPr>
              <w:pStyle w:val="Compact"/>
              <w:jc w:val="left"/>
            </w:pPr>
            <w:r>
              <w:t xml:space="preserve">3</w:t>
            </w:r>
          </w:p>
        </w:tc>
        <w:tc>
          <w:tcPr/>
          <w:p>
            <w:pPr>
              <w:pStyle w:val="Compact"/>
              <w:jc w:val="left"/>
            </w:pPr>
            <w:r>
              <w:t xml:space="preserve">Non-Compete (11.01)</w:t>
            </w:r>
          </w:p>
        </w:tc>
        <w:tc>
          <w:tcPr/>
          <w:p>
            <w:pPr>
              <w:pStyle w:val="Compact"/>
              <w:jc w:val="left"/>
            </w:pPr>
            <w:r>
              <w:t xml:space="preserve">Duration, scope, geography</w:t>
            </w:r>
          </w:p>
        </w:tc>
        <w:tc>
          <w:tcPr/>
          <w:p>
            <w:pPr>
              <w:pStyle w:val="Compact"/>
              <w:jc w:val="left"/>
            </w:pPr>
            <w:r>
              <w:t xml:space="preserve">2 years; all specialty polymer coatings; all N.A.</w:t>
            </w:r>
          </w:p>
        </w:tc>
        <w:tc>
          <w:tcPr/>
          <w:p>
            <w:pPr>
              <w:pStyle w:val="Compact"/>
              <w:jc w:val="left"/>
            </w:pPr>
            <w:r>
              <w:t xml:space="preserve">1 year; specific JV product lines; active-sales territories</w:t>
            </w:r>
          </w:p>
        </w:tc>
        <w:tc>
          <w:tcPr/>
          <w:p>
            <w:pPr>
              <w:pStyle w:val="Compact"/>
              <w:jc w:val="left"/>
            </w:pPr>
            <w:r>
              <w:t xml:space="preserve">18 months (12 if exit in first 24 months); JV products + substantially similar/directly competitive; US + Canada + jurisdictions with &gt;$500K revenue; Delaware law &amp; forum; reformation clause</w:t>
            </w:r>
          </w:p>
        </w:tc>
      </w:tr>
      <w:tr>
        <w:tc>
          <w:tcPr/>
          <w:p>
            <w:pPr>
              <w:pStyle w:val="Compact"/>
              <w:jc w:val="left"/>
            </w:pPr>
            <w:r>
              <w:t xml:space="preserve">4</w:t>
            </w:r>
          </w:p>
        </w:tc>
        <w:tc>
          <w:tcPr/>
          <w:p>
            <w:pPr>
              <w:pStyle w:val="Compact"/>
              <w:jc w:val="left"/>
            </w:pPr>
            <w:r>
              <w:t xml:space="preserve">Exit Valuation (10.03–10.04)</w:t>
            </w:r>
          </w:p>
        </w:tc>
        <w:tc>
          <w:tcPr/>
          <w:p>
            <w:pPr>
              <w:pStyle w:val="Compact"/>
              <w:jc w:val="left"/>
            </w:pPr>
            <w:r>
              <w:t xml:space="preserve">Multiple, appraiser, triggers</w:t>
            </w:r>
          </w:p>
        </w:tc>
        <w:tc>
          <w:tcPr/>
          <w:p>
            <w:pPr>
              <w:pStyle w:val="Compact"/>
              <w:jc w:val="left"/>
            </w:pPr>
            <w:r>
              <w:t xml:space="preserve">6.5× fixed; Frazier Whitmore; CoC + breach</w:t>
            </w:r>
          </w:p>
        </w:tc>
        <w:tc>
          <w:tcPr/>
          <w:p>
            <w:pPr>
              <w:pStyle w:val="Compact"/>
              <w:jc w:val="left"/>
            </w:pPr>
            <w:r>
              <w:t xml:space="preserve">Market-determined; independent Big Four / baseball arbitration; CoC + breach + deadlock + involuntary transfer</w:t>
            </w:r>
          </w:p>
        </w:tc>
        <w:tc>
          <w:tcPr/>
          <w:p>
            <w:pPr>
              <w:pStyle w:val="Compact"/>
              <w:jc w:val="left"/>
            </w:pPr>
            <w:r>
              <w:t xml:space="preserve">7.0× presumptive (6.5×–7.5× range); EBITDA-only; single independent firm (not FW) with AAA fallback; all four triggers with restructuring carve-outs</w:t>
            </w:r>
          </w:p>
        </w:tc>
      </w:tr>
      <w:tr>
        <w:tc>
          <w:tcPr/>
          <w:p>
            <w:pPr>
              <w:pStyle w:val="Compact"/>
              <w:jc w:val="left"/>
            </w:pPr>
            <w:r>
              <w:t xml:space="preserve">5</w:t>
            </w:r>
          </w:p>
        </w:tc>
        <w:tc>
          <w:tcPr/>
          <w:p>
            <w:pPr>
              <w:pStyle w:val="Compact"/>
              <w:jc w:val="left"/>
            </w:pPr>
            <w:r>
              <w:t xml:space="preserve">IP License-Back (12.05)</w:t>
            </w:r>
          </w:p>
        </w:tc>
        <w:tc>
          <w:tcPr/>
          <w:p>
            <w:pPr>
              <w:pStyle w:val="Compact"/>
              <w:jc w:val="left"/>
            </w:pPr>
            <w:r>
              <w:t xml:space="preserve">License scope &amp; sublicensing</w:t>
            </w:r>
          </w:p>
        </w:tc>
        <w:tc>
          <w:tcPr/>
          <w:p>
            <w:pPr>
              <w:pStyle w:val="Compact"/>
              <w:jc w:val="left"/>
            </w:pPr>
            <w:r>
              <w:t xml:space="preserve">Exclusive to Meridian; no Kastor sublicensing</w:t>
            </w:r>
          </w:p>
        </w:tc>
        <w:tc>
          <w:tcPr/>
          <w:p>
            <w:pPr>
              <w:pStyle w:val="Compact"/>
              <w:jc w:val="left"/>
            </w:pPr>
            <w:r>
              <w:t xml:space="preserve">Non-exclusive to both; territorial sublicensing by both</w:t>
            </w:r>
          </w:p>
        </w:tc>
        <w:tc>
          <w:tcPr/>
          <w:p>
            <w:pPr>
              <w:pStyle w:val="Compact"/>
              <w:jc w:val="left"/>
            </w:pPr>
            <w:r>
              <w:t xml:space="preserve">Non-exclusive to both; reciprocal territorial sublicensing (Meridian: Americas; Kastor: outside N.A.); global Restricted Competitors + 25% revenue restriction; improvements revert to contributor with territorial license; no contributed-IP sublicensing</w:t>
            </w:r>
          </w:p>
        </w:tc>
      </w:tr>
    </w:tbl>
    <w:bookmarkEnd w:id="47"/>
    <w:bookmarkStart w:id="48" w:name="matrix-b-concessions-and-gains-by-party"/>
    <w:p>
      <w:pPr>
        <w:pStyle w:val="Heading3"/>
      </w:pPr>
      <w:r>
        <w:t xml:space="preserve">Matrix B — Concessions and Gains by Party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Meridian Concedes</w:t>
            </w:r>
          </w:p>
        </w:tc>
        <w:tc>
          <w:tcPr/>
          <w:p>
            <w:pPr>
              <w:pStyle w:val="Compact"/>
              <w:jc w:val="left"/>
            </w:pPr>
            <w:r>
              <w:t xml:space="preserve">Meridian Gains</w:t>
            </w:r>
          </w:p>
        </w:tc>
        <w:tc>
          <w:tcPr/>
          <w:p>
            <w:pPr>
              <w:pStyle w:val="Compact"/>
              <w:jc w:val="left"/>
            </w:pPr>
            <w:r>
              <w:t xml:space="preserve">Kastor Concedes</w:t>
            </w:r>
          </w:p>
        </w:tc>
        <w:tc>
          <w:tcPr/>
          <w:p>
            <w:pPr>
              <w:pStyle w:val="Compact"/>
              <w:jc w:val="left"/>
            </w:pPr>
            <w:r>
              <w:t xml:space="preserve">Kastor Gains</w:t>
            </w:r>
          </w:p>
        </w:tc>
      </w:tr>
      <w:tr>
        <w:tc>
          <w:tcPr/>
          <w:p>
            <w:pPr>
              <w:pStyle w:val="Compact"/>
              <w:jc w:val="left"/>
            </w:pPr>
            <w:r>
              <w:t xml:space="preserve">1</w:t>
            </w:r>
          </w:p>
        </w:tc>
        <w:tc>
          <w:tcPr/>
          <w:p>
            <w:pPr>
              <w:pStyle w:val="Compact"/>
              <w:jc w:val="left"/>
            </w:pPr>
            <w:r>
              <w:t xml:space="preserve">Management Committee</w:t>
            </w:r>
          </w:p>
        </w:tc>
        <w:tc>
          <w:tcPr/>
          <w:p>
            <w:pPr>
              <w:pStyle w:val="Compact"/>
              <w:jc w:val="left"/>
            </w:pPr>
            <w:r>
              <w:t xml:space="preserve">Supermajority veto on 9 Reserved Matters; CEO vote excluded from Reserved Matters; tiered deadlock process for Reserved Matters</w:t>
            </w:r>
          </w:p>
        </w:tc>
        <w:tc>
          <w:tcPr/>
          <w:p>
            <w:pPr>
              <w:pStyle w:val="Compact"/>
              <w:jc w:val="left"/>
            </w:pPr>
            <w:r>
              <w:t xml:space="preserve">3–2 board majority; CEO casting vote on ordinary matters; sole appointment of CEO &amp; CFO; operational delegation to CEO</w:t>
            </w:r>
          </w:p>
        </w:tc>
        <w:tc>
          <w:tcPr/>
          <w:p>
            <w:pPr>
              <w:pStyle w:val="Compact"/>
              <w:jc w:val="left"/>
            </w:pPr>
            <w:r>
              <w:t xml:space="preserve">3–3 equal board; CEO/CFO appointment as Reserved Matter; CEO casting vote on all matters</w:t>
            </w:r>
          </w:p>
        </w:tc>
        <w:tc>
          <w:tcPr/>
          <w:p>
            <w:pPr>
              <w:pStyle w:val="Compact"/>
              <w:jc w:val="left"/>
            </w:pPr>
            <w:r>
              <w:t xml:space="preserve">Supermajority veto requiring 1 Kastor vote; no CEO vote on Reserved Matters; escalation → mediation → buy-sell for Reserved Matter deadlocks</w:t>
            </w:r>
          </w:p>
        </w:tc>
      </w:tr>
      <w:tr>
        <w:tc>
          <w:tcPr/>
          <w:p>
            <w:pPr>
              <w:pStyle w:val="Compact"/>
              <w:jc w:val="left"/>
            </w:pPr>
            <w:r>
              <w:t xml:space="preserve">2</w:t>
            </w:r>
          </w:p>
        </w:tc>
        <w:tc>
          <w:tcPr/>
          <w:p>
            <w:pPr>
              <w:pStyle w:val="Compact"/>
              <w:jc w:val="left"/>
            </w:pPr>
            <w:r>
              <w:t xml:space="preserve">Capital Calls</w:t>
            </w:r>
          </w:p>
        </w:tc>
        <w:tc>
          <w:tcPr/>
          <w:p>
            <w:pPr>
              <w:pStyle w:val="Compact"/>
              <w:jc w:val="left"/>
            </w:pPr>
            <w:r>
              <w:t xml:space="preserve">75-day total cure (from 30); 15% cap (from uncapped); bridge loan available; EUR accommodation</w:t>
            </w:r>
          </w:p>
        </w:tc>
        <w:tc>
          <w:tcPr/>
          <w:p>
            <w:pPr>
              <w:pStyle w:val="Compact"/>
              <w:jc w:val="left"/>
            </w:pPr>
            <w:r>
              <w:t xml:space="preserve">Penalty interest at SOFR+500 bps; punitive bridge-loan terms; forced-sale backstop; capital calls &gt;$5M as Reserved Matter</w:t>
            </w:r>
          </w:p>
        </w:tc>
        <w:tc>
          <w:tcPr/>
          <w:p>
            <w:pPr>
              <w:pStyle w:val="Compact"/>
              <w:jc w:val="left"/>
            </w:pPr>
            <w:r>
              <w:t xml:space="preserve">90-day cure (to 60); 10% cap (to 15%); market-rate loan (to Default-Rate bridge)</w:t>
            </w:r>
          </w:p>
        </w:tc>
        <w:tc>
          <w:tcPr/>
          <w:p>
            <w:pPr>
              <w:pStyle w:val="Compact"/>
              <w:jc w:val="left"/>
            </w:pPr>
            <w:r>
              <w:t xml:space="preserve">60-day cure within minimum; dilution cap; bridge loan alternative; EUR funding at locked rate</w:t>
            </w:r>
          </w:p>
        </w:tc>
      </w:tr>
      <w:tr>
        <w:tc>
          <w:tcPr/>
          <w:p>
            <w:pPr>
              <w:pStyle w:val="Compact"/>
              <w:jc w:val="left"/>
            </w:pPr>
            <w:r>
              <w:t xml:space="preserve">3</w:t>
            </w:r>
          </w:p>
        </w:tc>
        <w:tc>
          <w:tcPr/>
          <w:p>
            <w:pPr>
              <w:pStyle w:val="Compact"/>
              <w:jc w:val="left"/>
            </w:pPr>
            <w:r>
              <w:t xml:space="preserve">Non-Compete</w:t>
            </w:r>
          </w:p>
        </w:tc>
        <w:tc>
          <w:tcPr/>
          <w:p>
            <w:pPr>
              <w:pStyle w:val="Compact"/>
              <w:jc w:val="left"/>
            </w:pPr>
            <w:r>
              <w:t xml:space="preserve">6 months duration (2 yr → 18 mo); scope narrowed from</w:t>
            </w:r>
            <w:r>
              <w:t xml:space="preserve"> </w:t>
            </w:r>
            <w:r>
              <w:t xml:space="preserve">“</w:t>
            </w:r>
            <w:r>
              <w:t xml:space="preserve">all</w:t>
            </w:r>
            <w:r>
              <w:t xml:space="preserve">”</w:t>
            </w:r>
            <w:r>
              <w:t xml:space="preserve"> </w:t>
            </w:r>
            <w:r>
              <w:t xml:space="preserve">to JV products + similar</w:t>
            </w:r>
          </w:p>
        </w:tc>
        <w:tc>
          <w:tcPr/>
          <w:p>
            <w:pPr>
              <w:pStyle w:val="Compact"/>
              <w:jc w:val="left"/>
            </w:pPr>
            <w:r>
              <w:t xml:space="preserve">18 months within safe harbor; product scope broader than</w:t>
            </w:r>
            <w:r>
              <w:t xml:space="preserve"> </w:t>
            </w:r>
            <w:r>
              <w:t xml:space="preserve">“</w:t>
            </w:r>
            <w:r>
              <w:t xml:space="preserve">JV lines only</w:t>
            </w:r>
            <w:r>
              <w:t xml:space="preserve">”</w:t>
            </w:r>
            <w:r>
              <w:t xml:space="preserve">; US+Canada+revenue-threshold geography; Delaware law/forum; reformation</w:t>
            </w:r>
          </w:p>
        </w:tc>
        <w:tc>
          <w:tcPr/>
          <w:p>
            <w:pPr>
              <w:pStyle w:val="Compact"/>
              <w:jc w:val="left"/>
            </w:pPr>
            <w:r>
              <w:t xml:space="preserve">6 months duration (1 yr → 18 mo); scope broader than</w:t>
            </w:r>
            <w:r>
              <w:t xml:space="preserve"> </w:t>
            </w:r>
            <w:r>
              <w:t xml:space="preserve">“</w:t>
            </w:r>
            <w:r>
              <w:t xml:space="preserve">JV lines only</w:t>
            </w:r>
            <w:r>
              <w:t xml:space="preserve">”</w:t>
            </w:r>
          </w:p>
        </w:tc>
        <w:tc>
          <w:tcPr/>
          <w:p>
            <w:pPr>
              <w:pStyle w:val="Compact"/>
              <w:jc w:val="left"/>
            </w:pPr>
            <w:r>
              <w:t xml:space="preserve">Duration 18 mo not 2 yr; scope tied to JV’s actual products; geography tethered to actual market; pre-existing-business carve-outs; enforceability protections</w:t>
            </w:r>
          </w:p>
        </w:tc>
      </w:tr>
      <w:tr>
        <w:tc>
          <w:tcPr/>
          <w:p>
            <w:pPr>
              <w:pStyle w:val="Compact"/>
              <w:jc w:val="left"/>
            </w:pPr>
            <w:r>
              <w:t xml:space="preserve">4</w:t>
            </w:r>
          </w:p>
        </w:tc>
        <w:tc>
          <w:tcPr/>
          <w:p>
            <w:pPr>
              <w:pStyle w:val="Compact"/>
              <w:jc w:val="left"/>
            </w:pPr>
            <w:r>
              <w:t xml:space="preserve">Exit Valuation</w:t>
            </w:r>
          </w:p>
        </w:tc>
        <w:tc>
          <w:tcPr/>
          <w:p>
            <w:pPr>
              <w:pStyle w:val="Compact"/>
              <w:jc w:val="left"/>
            </w:pPr>
            <w:r>
              <w:t xml:space="preserve">Frazier Whitmore as appraiser; 6.5× multiple (to 7.0× presumptive)</w:t>
            </w:r>
          </w:p>
        </w:tc>
        <w:tc>
          <w:tcPr/>
          <w:p>
            <w:pPr>
              <w:pStyle w:val="Compact"/>
              <w:jc w:val="left"/>
            </w:pPr>
            <w:r>
              <w:t xml:space="preserve">EBITDA-only (no DCF); 6.5×–7.5× range (no outliers); restructuring carve-outs</w:t>
            </w:r>
          </w:p>
        </w:tc>
        <w:tc>
          <w:tcPr/>
          <w:p>
            <w:pPr>
              <w:pStyle w:val="Compact"/>
              <w:jc w:val="left"/>
            </w:pPr>
            <w:r>
              <w:t xml:space="preserve">DCF/forward-looking methods; open-ended multiple; 3-appraiser baseball arbitration</w:t>
            </w:r>
          </w:p>
        </w:tc>
        <w:tc>
          <w:tcPr/>
          <w:p>
            <w:pPr>
              <w:pStyle w:val="Compact"/>
              <w:jc w:val="left"/>
            </w:pPr>
            <w:r>
              <w:t xml:space="preserve">Fully independent appraiser (not FW); AAA fallback; 7.0× presumptive near median; deadlock &amp; involuntary-transfer triggers added</w:t>
            </w:r>
          </w:p>
        </w:tc>
      </w:tr>
      <w:tr>
        <w:tc>
          <w:tcPr/>
          <w:p>
            <w:pPr>
              <w:pStyle w:val="Compact"/>
              <w:jc w:val="left"/>
            </w:pPr>
            <w:r>
              <w:t xml:space="preserve">5</w:t>
            </w:r>
          </w:p>
        </w:tc>
        <w:tc>
          <w:tcPr/>
          <w:p>
            <w:pPr>
              <w:pStyle w:val="Compact"/>
              <w:jc w:val="left"/>
            </w:pPr>
            <w:r>
              <w:t xml:space="preserve">IP License-Back</w:t>
            </w:r>
          </w:p>
        </w:tc>
        <w:tc>
          <w:tcPr/>
          <w:p>
            <w:pPr>
              <w:pStyle w:val="Compact"/>
              <w:jc w:val="left"/>
            </w:pPr>
            <w:r>
              <w:t xml:space="preserve">Exclusive-to-Meridian license (to non-exclusive to both); Kastor sublicensing outside N.A.; Kastor internal-use license to contributed IP</w:t>
            </w:r>
          </w:p>
        </w:tc>
        <w:tc>
          <w:tcPr/>
          <w:p>
            <w:pPr>
              <w:pStyle w:val="Compact"/>
              <w:jc w:val="left"/>
            </w:pPr>
            <w:r>
              <w:t xml:space="preserve">No contributed-IP sublicensing ever; no co-dev sublicensing to Restricted Competitors (global); 25% revenue anti-circumvention covenant; improvements revert to contributor</w:t>
            </w:r>
          </w:p>
        </w:tc>
        <w:tc>
          <w:tcPr/>
          <w:p>
            <w:pPr>
              <w:pStyle w:val="Compact"/>
              <w:jc w:val="left"/>
            </w:pPr>
            <w:r>
              <w:t xml:space="preserve">Improvements as Co-Developed IP (to primarily-derivative reversion); broad sublicensing (to territorial with restrictions)</w:t>
            </w:r>
          </w:p>
        </w:tc>
        <w:tc>
          <w:tcPr/>
          <w:p>
            <w:pPr>
              <w:pStyle w:val="Compact"/>
              <w:jc w:val="left"/>
            </w:pPr>
            <w:r>
              <w:t xml:space="preserve">Non-exclusive co-dev license to both; sublicensing outside N.A.; symmetric contributed-IP license; license to improvements; reciprocal restrictions; annual schedule update</w:t>
            </w:r>
          </w:p>
        </w:tc>
      </w:tr>
    </w:tbl>
    <w:bookmarkEnd w:id="48"/>
    <w:bookmarkStart w:id="49" w:name="matrix-c-overall-balance-assessment"/>
    <w:p>
      <w:pPr>
        <w:pStyle w:val="Heading3"/>
      </w:pPr>
      <w:r>
        <w:t xml:space="preserve">Matrix C — Overall Balance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Highest-Priority Objective</w:t>
            </w:r>
          </w:p>
        </w:tc>
        <w:tc>
          <w:tcPr/>
          <w:p>
            <w:pPr>
              <w:pStyle w:val="Compact"/>
              <w:jc w:val="left"/>
            </w:pPr>
            <w:r>
              <w:t xml:space="preserve">Outcome</w:t>
            </w:r>
          </w:p>
        </w:tc>
        <w:tc>
          <w:tcPr/>
          <w:p>
            <w:pPr>
              <w:pStyle w:val="Compact"/>
              <w:jc w:val="left"/>
            </w:pPr>
            <w:r>
              <w:t xml:space="preserve">Lower-Priority Concessions Made</w:t>
            </w:r>
          </w:p>
        </w:tc>
      </w:tr>
      <w:tr>
        <w:tc>
          <w:tcPr/>
          <w:p>
            <w:pPr>
              <w:pStyle w:val="Compact"/>
              <w:jc w:val="left"/>
            </w:pPr>
            <w:r>
              <w:rPr>
                <w:b/>
                <w:bCs/>
              </w:rPr>
              <w:t xml:space="preserve">Meridian</w:t>
            </w:r>
          </w:p>
        </w:tc>
        <w:tc>
          <w:tcPr/>
          <w:p>
            <w:pPr>
              <w:pStyle w:val="Compact"/>
              <w:jc w:val="left"/>
            </w:pPr>
            <w:r>
              <w:t xml:space="preserve">(1) Prevent sublicensing of contributed IP / co-developed IP to N.A. competitors; (2) retain management control consistent with 55% equity</w:t>
            </w:r>
          </w:p>
        </w:tc>
        <w:tc>
          <w:tcPr/>
          <w:p>
            <w:pPr>
              <w:pStyle w:val="Compact"/>
              <w:jc w:val="left"/>
            </w:pPr>
            <w:r>
              <w:rPr>
                <w:b/>
                <w:bCs/>
              </w:rPr>
              <w:t xml:space="preserve">Secured.</w:t>
            </w:r>
            <w:r>
              <w:t xml:space="preserve"> </w:t>
            </w:r>
            <w:r>
              <w:t xml:space="preserve">No contributed-IP sublicensing under any circumstances; global Restricted Competitors + 25% revenue restriction on co-developed IP sublicensing; 3–2 board majority with CEO operational tiebreak and sole CEO/CFO appointment.</w:t>
            </w:r>
          </w:p>
        </w:tc>
        <w:tc>
          <w:tcPr/>
          <w:p>
            <w:pPr>
              <w:pStyle w:val="Compact"/>
              <w:jc w:val="left"/>
            </w:pPr>
            <w:r>
              <w:t xml:space="preserve">Non-compete duration (18 mo); exit multiple (7.0×); independent appraiser; capital-call cure period and dilution cap; co-developed IP license to Kastor.</w:t>
            </w:r>
          </w:p>
        </w:tc>
      </w:tr>
      <w:tr>
        <w:tc>
          <w:tcPr/>
          <w:p>
            <w:pPr>
              <w:pStyle w:val="Compact"/>
              <w:jc w:val="left"/>
            </w:pPr>
            <w:r>
              <w:rPr>
                <w:b/>
                <w:bCs/>
              </w:rPr>
              <w:t xml:space="preserve">Kastor</w:t>
            </w:r>
          </w:p>
        </w:tc>
        <w:tc>
          <w:tcPr/>
          <w:p>
            <w:pPr>
              <w:pStyle w:val="Compact"/>
              <w:jc w:val="left"/>
            </w:pPr>
            <w:r>
              <w:t xml:space="preserve">(1) Broad co-developed IP license-back with sublicensing rights; (2) independent exit-valuation appraiser; (3) supermajority veto on Reserved Matters</w:t>
            </w:r>
          </w:p>
        </w:tc>
        <w:tc>
          <w:tcPr/>
          <w:p>
            <w:pPr>
              <w:pStyle w:val="Compact"/>
              <w:jc w:val="left"/>
            </w:pPr>
            <w:r>
              <w:rPr>
                <w:b/>
                <w:bCs/>
              </w:rPr>
              <w:t xml:space="preserve">Secured.</w:t>
            </w:r>
            <w:r>
              <w:t xml:space="preserve"> </w:t>
            </w:r>
            <w:r>
              <w:t xml:space="preserve">Non-exclusive, perpetual, royalty-free co-developed IP license with territorial sublicensing outside N.A.; fully independent appraiser (not Frazier Whitmore) with AAA fallback; supermajority veto on 9 Reserved Matters requiring 1 Kastor vote.</w:t>
            </w:r>
          </w:p>
        </w:tc>
        <w:tc>
          <w:tcPr/>
          <w:p>
            <w:pPr>
              <w:pStyle w:val="Compact"/>
              <w:jc w:val="left"/>
            </w:pPr>
            <w:r>
              <w:t xml:space="preserve">Board composition (3–2); non-compete duration (18 mo); EBITDA-only methodology and constrained multiple range; dilution cap (15%) with forced-sale backstop; improvements classification.</w:t>
            </w:r>
          </w:p>
        </w:tc>
      </w:tr>
    </w:tbl>
    <w:p>
      <w:pPr>
        <w:pStyle w:val="BodyText"/>
      </w:pPr>
      <w:r>
        <w:rPr>
          <w:b/>
          <w:bCs/>
        </w:rPr>
        <w:t xml:space="preserve">Net assessment.</w:t>
      </w:r>
      <w:r>
        <w:t xml:space="preserve"> </w:t>
      </w:r>
      <w:r>
        <w:t xml:space="preserve">The package is structured so that each party achieves its highest-priority objectives while making its principal concessions on items of comparatively lower priority. Meridian holds firm on IP sublicensing protection and management control, and concedes on the exit multiple, appraiser independence, non-compete duration, and capital-call mechanics. Kastor holds firm on co-developed IP license-back, appraiser independence, and Reserved Matters protections, and concedes on board composition, valuation methodology, non-compete scope, and the dilution cap. The concessions are distributed so that no single provision favors one party overwhelmingly, and the aggregate package reflects the near-parity of the parties’ economic contributions alongside Meridian’s majority equity position and Kastor’s minority protective needs. The landing points are supported by comparable specialty-chemicals joint-venture transactions on each dimension: 3–2 boards and 3–3 boards with casting votes in majority-held JVs; 18-month non-competes; 45–60-day cure periods; 15% dilution caps with forced-sale backstops; EBITDA multiples in the 6.5×–7.5× range; and territorial co-developed IP sublicensing with named-competitor restrictions.</w:t>
      </w:r>
    </w:p>
    <w:p>
      <w:r>
        <w:pict>
          <v:rect style="width:0;height:1.5pt" o:hralign="center" o:hrstd="t" o:hr="t"/>
        </w:pict>
      </w:r>
    </w:p>
    <w:p>
      <w:pPr>
        <w:pStyle w:val="FirstParagraph"/>
      </w:pPr>
      <w:r>
        <w:rPr>
          <w:i/>
          <w:iCs/>
        </w:rPr>
        <w:t xml:space="preserve">Prepared by Whitfield Ames &amp; Trotter LLP at the direction of Meridian Advanced Materials, LLC for delivery to Rennert Krieger Solano LLP (counsel for Kastor Chemical Industries AG) and to the principals in advance of the August 11, 2025 meeting. This document presents proposed compromise language for discussion purposes and does not constitute a binding offer or acceptance of any term. The proposed clause language is intended to replace the corresponding contested sections of MKPoly JVA v.4 (redline dated July 18, 2025) upon mutual agreement of the parties.</w:t>
      </w:r>
    </w:p>
    <w:bookmarkEnd w:id="49"/>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Venture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2026-06-23T05:20:48Z</dcterms:created>
  <dcterms:modified xsi:type="dcterms:W3CDTF">2026-06-23T05:20:48Z</dcterms:modified>
</cp:coreProperties>
</file>

<file path=docProps/custom.xml><?xml version="1.0" encoding="utf-8"?>
<Properties xmlns="http://schemas.openxmlformats.org/officeDocument/2006/custom-properties" xmlns:vt="http://schemas.openxmlformats.org/officeDocument/2006/docPropsVTypes"/>
</file>