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84ba05f6dd5010804ad446815d2178d1bd5649"/>
    <w:p>
      <w:pPr>
        <w:pStyle w:val="Heading1"/>
      </w:pPr>
      <w:r>
        <w:t xml:space="preserve">PRIVILEGED &amp; CONFIDENTIAL — ATTORNEY-CLIENT PRIVILEGED / ATTORNEY WORK PRODUCT</w:t>
      </w:r>
    </w:p>
    <w:p>
      <w:pPr>
        <w:pStyle w:val="FirstParagraph"/>
      </w:pPr>
      <w:r>
        <w:rPr>
          <w:b/>
          <w:bCs/>
        </w:rPr>
        <w:t xml:space="preserve">Prepared at the direction of counsel in anticipation of litigation and for the purpose of providing legal advice. Do not distribute outside the Office of the General Counsel without prior authorization.</w:t>
      </w:r>
    </w:p>
    <w:p>
      <w:r>
        <w:pict>
          <v:rect style="width:0;height:1.5pt" o:hralign="center" o:hrstd="t" o:hr="t"/>
        </w:pict>
      </w:r>
    </w:p>
    <w:bookmarkEnd w:id="20"/>
    <w:bookmarkStart w:id="49" w:name="memorandum"/>
    <w:p>
      <w:pPr>
        <w:pStyle w:val="Heading1"/>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Audit Committee of the Board of Directors; Marcus Ellsworth, Chief Executive Officer; Priya Raghavan, General Counsel &amp; Corporate Secretary</w:t>
            </w:r>
          </w:p>
        </w:tc>
      </w:tr>
      <w:tr>
        <w:tc>
          <w:tcPr/>
          <w:p>
            <w:pPr>
              <w:pStyle w:val="Compact"/>
              <w:jc w:val="left"/>
            </w:pPr>
            <w:r>
              <w:rPr>
                <w:b/>
                <w:bCs/>
              </w:rPr>
              <w:t xml:space="preserve">FROM:</w:t>
            </w:r>
          </w:p>
        </w:tc>
        <w:tc>
          <w:tcPr/>
          <w:p>
            <w:pPr>
              <w:pStyle w:val="Compact"/>
              <w:jc w:val="left"/>
            </w:pPr>
            <w:r>
              <w:t xml:space="preserve">Hollister Marsh LLP — Securities Law &amp; Disclosure Counsel (Jonathan Beckett, Lead Partner)</w:t>
            </w:r>
          </w:p>
        </w:tc>
      </w:tr>
      <w:tr>
        <w:tc>
          <w:tcPr/>
          <w:p>
            <w:pPr>
              <w:pStyle w:val="Compact"/>
              <w:jc w:val="left"/>
            </w:pPr>
            <w:r>
              <w:rPr>
                <w:b/>
                <w:bCs/>
              </w:rPr>
              <w:t xml:space="preserve">DATE:</w:t>
            </w:r>
          </w:p>
        </w:tc>
        <w:tc>
          <w:tcPr/>
          <w:p>
            <w:pPr>
              <w:pStyle w:val="Compact"/>
              <w:jc w:val="left"/>
            </w:pPr>
            <w:r>
              <w:t xml:space="preserve">December 6, 2024</w:t>
            </w:r>
          </w:p>
        </w:tc>
      </w:tr>
      <w:tr>
        <w:tc>
          <w:tcPr/>
          <w:p>
            <w:pPr>
              <w:pStyle w:val="Compact"/>
              <w:jc w:val="left"/>
            </w:pPr>
            <w:r>
              <w:rPr>
                <w:b/>
                <w:bCs/>
              </w:rPr>
              <w:t xml:space="preserve">RE:</w:t>
            </w:r>
          </w:p>
        </w:tc>
        <w:tc>
          <w:tcPr/>
          <w:p>
            <w:pPr>
              <w:pStyle w:val="Compact"/>
              <w:jc w:val="left"/>
            </w:pPr>
            <w:r>
              <w:t xml:space="preserve">SEC Cybersecurity Disclosure Compliance Gap Analysis — Incident INC-2024-0047 (Ransomware and Data Exfiltration Event of November 18, 2024)</w:t>
            </w:r>
          </w:p>
        </w:tc>
      </w:tr>
      <w:tr>
        <w:tc>
          <w:tcPr/>
          <w:p>
            <w:pPr>
              <w:pStyle w:val="Compact"/>
              <w:jc w:val="left"/>
            </w:pPr>
            <w:r>
              <w:rPr>
                <w:b/>
                <w:bCs/>
              </w:rPr>
              <w:t xml:space="preserve">PRIVILEGE:</w:t>
            </w:r>
          </w:p>
        </w:tc>
        <w:tc>
          <w:tcPr/>
          <w:p>
            <w:pPr>
              <w:pStyle w:val="Compact"/>
              <w:jc w:val="left"/>
            </w:pPr>
            <w:r>
              <w:t xml:space="preserve">Attorney-Client Privileged / Attorney Work Product</w:t>
            </w:r>
          </w:p>
        </w:tc>
      </w:tr>
    </w:tbl>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a comprehensive gap analysis of the cybersecurity disclosure and incident-response posture of Vantage Industrial Technologies,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in light of the ransomware and data-exfiltration incident detected on November 18, 2024 (Incident INC-2024-0047, the</w:t>
      </w:r>
      <w:r>
        <w:t xml:space="preserve"> </w:t>
      </w:r>
      <w:r>
        <w:t xml:space="preserve">“</w:t>
      </w:r>
      <w:r>
        <w:t xml:space="preserve">Incident</w:t>
      </w:r>
      <w:r>
        <w:t xml:space="preserve">”</w:t>
      </w:r>
      <w:r>
        <w:t xml:space="preserve">). The analysis is based on our review of the Company’s Form 10-K Item 1C disclosure for fiscal year 2023, the Audit Committee Charter, the Cybersecurity Incident Response Plan (</w:t>
      </w:r>
      <w:r>
        <w:t xml:space="preserve">“</w:t>
      </w:r>
      <w:r>
        <w:t xml:space="preserve">CIRP</w:t>
      </w:r>
      <w:r>
        <w:t xml:space="preserve">”</w:t>
      </w:r>
      <w:r>
        <w:t xml:space="preserve">), the Thorngate Forensic Solutions interim status report dated December 1, 2024, the CISO incident status report dated December 5, 2024, the cyber-insurance policy summary, the General Counsel’s December 3, 2024 email to the Audit Committee Chair, and the Office of the General Counsel’s extract of customer-contract notification provisions.</w:t>
      </w:r>
    </w:p>
    <w:p>
      <w:pPr>
        <w:pStyle w:val="BodyText"/>
      </w:pPr>
      <w:r>
        <w:rPr>
          <w:b/>
          <w:bCs/>
        </w:rPr>
        <w:t xml:space="preserve">The central finding is that, as of December 5, 2024 — seventeen (17) days after discovery of the Incident — the Company has not conducted a formal materiality determination and has not filed any disclosure with the Securities and Exchange Commission (the</w:t>
      </w:r>
      <w:r>
        <w:rPr>
          <w:b/>
          <w:bCs/>
        </w:rPr>
        <w:t xml:space="preserve"> </w:t>
      </w:r>
      <w:r>
        <w:rPr>
          <w:b/>
          <w:bCs/>
        </w:rPr>
        <w:t xml:space="preserve">“</w:t>
      </w:r>
      <w:r>
        <w:rPr>
          <w:b/>
          <w:bCs/>
        </w:rPr>
        <w:t xml:space="preserve">SEC</w:t>
      </w:r>
      <w:r>
        <w:rPr>
          <w:b/>
          <w:bCs/>
        </w:rPr>
        <w:t xml:space="preserve">”</w:t>
      </w:r>
      <w:r>
        <w:rPr>
          <w:b/>
          <w:bCs/>
        </w:rPr>
        <w:t xml:space="preserve">).</w:t>
      </w:r>
      <w:r>
        <w:t xml:space="preserve"> </w:t>
      </w:r>
      <w:r>
        <w:t xml:space="preserve">The SEC’s cybersecurity incident disclosure rule (Item 1.05 of Form 8-K) requires a registrant to determine whether a cybersecurity incident is material</w:t>
      </w:r>
      <w:r>
        <w:t xml:space="preserve"> </w:t>
      </w:r>
      <w:r>
        <w:t xml:space="preserve">“</w:t>
      </w:r>
      <w:r>
        <w:t xml:space="preserve">without unreasonable delay</w:t>
      </w:r>
      <w:r>
        <w:t xml:space="preserve">”</w:t>
      </w:r>
      <w:r>
        <w:t xml:space="preserve"> </w:t>
      </w:r>
      <w:r>
        <w:t xml:space="preserve">after discovery and, upon a materiality determination, to file a Current Report on Form 8-K within four (4) business days. The Company’s delay in initiating a documented materiality assessment — particularly after the December 1, 2024 forensic confirmation that customer banking data (ACH routing and account numbers) was exfiltrated — creates material risk of an SEC disclosure violation and enforcement exposure.</w:t>
      </w:r>
    </w:p>
    <w:p>
      <w:pPr>
        <w:pStyle w:val="BodyText"/>
      </w:pPr>
      <w:r>
        <w:t xml:space="preserve">Our preliminary assessment, set forth in Part V, is that the Incident is</w:t>
      </w:r>
      <w:r>
        <w:t xml:space="preserve"> </w:t>
      </w:r>
      <w:r>
        <w:rPr>
          <w:b/>
          <w:bCs/>
        </w:rPr>
        <w:t xml:space="preserve">likely material</w:t>
      </w:r>
      <w:r>
        <w:t xml:space="preserve"> </w:t>
      </w:r>
      <w:r>
        <w:t xml:space="preserve">under the federal securities laws based on qualitative factors that substantially outweigh the modest quantitative impact (~1.45% of projected FY2024 EBITDA). Those qualitative factors include: (i) exfiltration of unencrypted banking information and personally identifiable information (</w:t>
      </w:r>
      <w:r>
        <w:t xml:space="preserve">“</w:t>
      </w:r>
      <w:r>
        <w:t xml:space="preserve">PII</w:t>
      </w:r>
      <w:r>
        <w:t xml:space="preserve">”</w:t>
      </w:r>
      <w:r>
        <w:t xml:space="preserve">) for approximately 4,200 customer accounts, including at least six (6) of the Company’s top ten customers (representing ~38% of revenue); (ii) breach of 48-hour customer-contract notification deadlines with three top customers, exposing the Company to liquidated damages, termination, payment suspension, and exclusion from future business; (iii) a pending $425 million acquisition (Kessler Precision Systems GmbH) whose counterparty and financial advisor have not been notified; (iv) potential inaccuracy of the Company’s prior Item 1C disclosure regarding multi-factor authentication (</w:t>
      </w:r>
      <w:r>
        <w:t xml:space="preserve">“</w:t>
      </w:r>
      <w:r>
        <w:t xml:space="preserve">MFA</w:t>
      </w:r>
      <w:r>
        <w:t xml:space="preserve">”</w:t>
      </w:r>
      <w:r>
        <w:t xml:space="preserve">); and (v) potential impairment of cyber-insurance coverage.</w:t>
      </w:r>
    </w:p>
    <w:p>
      <w:pPr>
        <w:pStyle w:val="BodyText"/>
      </w:pPr>
      <w:r>
        <w:t xml:space="preserve">The analysis identifies</w:t>
      </w:r>
      <w:r>
        <w:t xml:space="preserve"> </w:t>
      </w:r>
      <w:r>
        <w:rPr>
          <w:b/>
          <w:bCs/>
        </w:rPr>
        <w:t xml:space="preserve">twenty-three (23) discrete compliance gaps</w:t>
      </w:r>
      <w:r>
        <w:t xml:space="preserve"> </w:t>
      </w:r>
      <w:r>
        <w:t xml:space="preserve">across eleven (11) subject areas, summarized in the consolidated table in Part VI and detailed in Part IV. The most urgent are:</w:t>
      </w:r>
    </w:p>
    <w:p>
      <w:pPr>
        <w:pStyle w:val="Compact"/>
        <w:numPr>
          <w:ilvl w:val="0"/>
          <w:numId w:val="1001"/>
        </w:numPr>
      </w:pPr>
      <w:r>
        <w:rPr>
          <w:b/>
          <w:bCs/>
        </w:rPr>
        <w:t xml:space="preserve">No materiality determination and no Form 8-K filed</w:t>
      </w:r>
      <w:r>
        <w:t xml:space="preserve"> </w:t>
      </w:r>
      <w:r>
        <w:t xml:space="preserve">(CRITICAL);</w:t>
      </w:r>
    </w:p>
    <w:p>
      <w:pPr>
        <w:pStyle w:val="Compact"/>
        <w:numPr>
          <w:ilvl w:val="0"/>
          <w:numId w:val="1001"/>
        </w:numPr>
      </w:pPr>
      <w:r>
        <w:rPr>
          <w:b/>
          <w:bCs/>
        </w:rPr>
        <w:t xml:space="preserve">Customer-contract notification deadlines missed</w:t>
      </w:r>
      <w:r>
        <w:t xml:space="preserve"> </w:t>
      </w:r>
      <w:r>
        <w:t xml:space="preserve">with three top-ten customers, with material contractual and revenue-concentration consequences (CRITICAL);</w:t>
      </w:r>
    </w:p>
    <w:p>
      <w:pPr>
        <w:pStyle w:val="Compact"/>
        <w:numPr>
          <w:ilvl w:val="0"/>
          <w:numId w:val="1001"/>
        </w:numPr>
      </w:pPr>
      <w:r>
        <w:rPr>
          <w:b/>
          <w:bCs/>
        </w:rPr>
        <w:t xml:space="preserve">Potential inaccuracy of the FY2023 10-K Item 1C MFA disclosure</w:t>
      </w:r>
      <w:r>
        <w:t xml:space="preserve"> </w:t>
      </w:r>
      <w:r>
        <w:t xml:space="preserve">and a corresponding</w:t>
      </w:r>
      <w:r>
        <w:t xml:space="preserve"> </w:t>
      </w:r>
      <w:r>
        <w:rPr>
          <w:b/>
          <w:bCs/>
        </w:rPr>
        <w:t xml:space="preserve">cyber-insurance application warranty breach</w:t>
      </w:r>
      <w:r>
        <w:t xml:space="preserve"> </w:t>
      </w:r>
      <w:r>
        <w:t xml:space="preserve">that could void coverage (CRITICAL);</w:t>
      </w:r>
    </w:p>
    <w:p>
      <w:pPr>
        <w:pStyle w:val="Compact"/>
        <w:numPr>
          <w:ilvl w:val="0"/>
          <w:numId w:val="1001"/>
        </w:numPr>
      </w:pPr>
      <w:r>
        <w:rPr>
          <w:b/>
          <w:bCs/>
        </w:rPr>
        <w:t xml:space="preserve">No insider trading blackout</w:t>
      </w:r>
      <w:r>
        <w:t xml:space="preserve"> </w:t>
      </w:r>
      <w:r>
        <w:t xml:space="preserve">implemented despite a class of insiders holding material nonpublic information (CRITICAL);</w:t>
      </w:r>
    </w:p>
    <w:p>
      <w:pPr>
        <w:pStyle w:val="Compact"/>
        <w:numPr>
          <w:ilvl w:val="0"/>
          <w:numId w:val="1001"/>
        </w:numPr>
      </w:pPr>
      <w:r>
        <w:rPr>
          <w:b/>
          <w:bCs/>
        </w:rPr>
        <w:t xml:space="preserve">Audit Committee Charter does not address cybersecurity oversight</w:t>
      </w:r>
      <w:r>
        <w:t xml:space="preserve">, inconsistent with the governance disclosure in Item 1C (HIGH);</w:t>
      </w:r>
    </w:p>
    <w:p>
      <w:pPr>
        <w:pStyle w:val="Compact"/>
        <w:numPr>
          <w:ilvl w:val="0"/>
          <w:numId w:val="1001"/>
        </w:numPr>
      </w:pPr>
      <w:r>
        <w:rPr>
          <w:b/>
          <w:bCs/>
        </w:rPr>
        <w:t xml:space="preserve">CIRP escalation tops out at the CTO</w:t>
      </w:r>
      <w:r>
        <w:t xml:space="preserve"> </w:t>
      </w:r>
      <w:r>
        <w:t xml:space="preserve">with no mandatory triggers to the General Counsel, CEO, Audit Committee, or Board, and expressly excludes external (customer/regulator/public) communications from its scope (HIGH);</w:t>
      </w:r>
    </w:p>
    <w:p>
      <w:pPr>
        <w:pStyle w:val="Compact"/>
        <w:numPr>
          <w:ilvl w:val="0"/>
          <w:numId w:val="1001"/>
        </w:numPr>
      </w:pPr>
      <w:r>
        <w:rPr>
          <w:b/>
          <w:bCs/>
        </w:rPr>
        <w:t xml:space="preserve">No state or international data-breach notifications</w:t>
      </w:r>
      <w:r>
        <w:t xml:space="preserve"> </w:t>
      </w:r>
      <w:r>
        <w:t xml:space="preserve">commenced despite affected records in 38+ U.S. states and the EU (HIGH); and</w:t>
      </w:r>
    </w:p>
    <w:p>
      <w:pPr>
        <w:pStyle w:val="Compact"/>
        <w:numPr>
          <w:ilvl w:val="0"/>
          <w:numId w:val="1001"/>
        </w:numPr>
      </w:pPr>
      <w:r>
        <w:rPr>
          <w:b/>
          <w:bCs/>
        </w:rPr>
        <w:t xml:space="preserve">Independent auditor not notified</w:t>
      </w:r>
      <w:r>
        <w:t xml:space="preserve"> </w:t>
      </w:r>
      <w:r>
        <w:t xml:space="preserve">of an Incident that encrypted the ERP finance, procurement, and order-management modules (HIGH).</w:t>
      </w:r>
    </w:p>
    <w:p>
      <w:pPr>
        <w:pStyle w:val="FirstParagraph"/>
      </w:pPr>
      <w:r>
        <w:t xml:space="preserve">Part VII sets out a prioritized remediation roadmap. The Company should, without further delay, (a) convene a documented materiality determination with management and counsel, (b) implement an insider trading blackout, (c) notify the independent auditor and the Kessler transaction counterparty, (d) issue the overdue customer notifications, and (e) call a special meeting of the Audit Committee rather than waiting for the January 22, 2025 regularly scheduled meeting.</w:t>
      </w:r>
    </w:p>
    <w:p>
      <w:r>
        <w:pict>
          <v:rect style="width:0;height:1.5pt" o:hralign="center" o:hrstd="t" o:hr="t"/>
        </w:pict>
      </w:r>
    </w:p>
    <w:bookmarkEnd w:id="21"/>
    <w:bookmarkStart w:id="28" w:name="Xb93ff3ab1281df48473b3f704110e243ef4b00d"/>
    <w:p>
      <w:pPr>
        <w:pStyle w:val="Heading2"/>
      </w:pPr>
      <w:r>
        <w:t xml:space="preserve">II. Factual Background and Incident Summary</w:t>
      </w:r>
    </w:p>
    <w:p>
      <w:pPr>
        <w:pStyle w:val="FirstParagraph"/>
      </w:pPr>
      <w:r>
        <w:t xml:space="preserve">The following factual summary is drawn from the documents identified above and is stated for the purpose of framing the legal analysis. All times are Eastern Standard Time.</w:t>
      </w:r>
    </w:p>
    <w:bookmarkStart w:id="22" w:name="a.-the-company"/>
    <w:p>
      <w:pPr>
        <w:pStyle w:val="Heading3"/>
      </w:pPr>
      <w:r>
        <w:t xml:space="preserve">A. The Company</w:t>
      </w:r>
    </w:p>
    <w:p>
      <w:pPr>
        <w:pStyle w:val="FirstParagraph"/>
      </w:pPr>
      <w:r>
        <w:t xml:space="preserve">Vantage is a Delaware corporation headquartered in Columbus, Ohio, with common stock listed on Nasdaq (ticker: VTIQ). The Company operates 14 manufacturing facilities across the United States, Germany, and Mexico, employs approximately 6,800 personnel, and manages approximately 2,100 networked endpoints. Projected FY2024 revenue is approximately $1.87 billion and projected FY2024 EBITDA is approximately $310 million. The Company’s top ten customers represent approximately 38% of total revenue (~$710.6 million). The Company is in active negotiations to acquire Kessler Precision Systems GmbH for approximately $425 million, with Canfield Cromdale Consulting &amp; Co. serving as financial advisor.</w:t>
      </w:r>
    </w:p>
    <w:bookmarkEnd w:id="22"/>
    <w:bookmarkStart w:id="23" w:name="b.-the-incident"/>
    <w:p>
      <w:pPr>
        <w:pStyle w:val="Heading3"/>
      </w:pPr>
      <w:r>
        <w:t xml:space="preserve">B. The Incident</w:t>
      </w:r>
    </w:p>
    <w:p>
      <w:pPr>
        <w:pStyle w:val="FirstParagraph"/>
      </w:pPr>
      <w:r>
        <w:t xml:space="preserve">On November 18, 2024, at approximately 2:17 a.m., the Company’s Security Operations Center (</w:t>
      </w:r>
      <w:r>
        <w:t xml:space="preserve">“</w:t>
      </w:r>
      <w:r>
        <w:t xml:space="preserve">SOC</w:t>
      </w:r>
      <w:r>
        <w:t xml:space="preserve">”</w:t>
      </w:r>
      <w:r>
        <w:t xml:space="preserve">) detected anomalous network activity originating from a VPN session authenticated with a credential belonging to a third-party maintenance contractor. Forensic analysis by Thorngate Forensic Solutions, Inc. (</w:t>
      </w:r>
      <w:r>
        <w:t xml:space="preserve">“</w:t>
      </w:r>
      <w:r>
        <w:t xml:space="preserve">Thorngate</w:t>
      </w:r>
      <w:r>
        <w:t xml:space="preserve">”</w:t>
      </w:r>
      <w:r>
        <w:t xml:space="preserve">) subsequently established a two-phase attack:</w:t>
      </w:r>
    </w:p>
    <w:p>
      <w:pPr>
        <w:pStyle w:val="Compact"/>
        <w:numPr>
          <w:ilvl w:val="0"/>
          <w:numId w:val="1002"/>
        </w:numPr>
      </w:pPr>
      <w:r>
        <w:rPr>
          <w:b/>
          <w:bCs/>
        </w:rPr>
        <w:t xml:space="preserve">Phase 1 — Data exfiltration (approx. 1:30 a.m. – 2:15 a.m., November 18):</w:t>
      </w:r>
      <w:r>
        <w:t xml:space="preserve"> </w:t>
      </w:r>
      <w:r>
        <w:t xml:space="preserve">Approximately 83 GB of data was exfiltrated to an external IP address</w:t>
      </w:r>
      <w:r>
        <w:t xml:space="preserve"> </w:t>
      </w:r>
      <w:r>
        <w:rPr>
          <w:i/>
          <w:iCs/>
        </w:rPr>
        <w:t xml:space="preserve">before</w:t>
      </w:r>
      <w:r>
        <w:t xml:space="preserve"> </w:t>
      </w:r>
      <w:r>
        <w:t xml:space="preserve">ransomware deployment, consistent with a double-extortion methodology.</w:t>
      </w:r>
    </w:p>
    <w:p>
      <w:pPr>
        <w:pStyle w:val="Compact"/>
        <w:numPr>
          <w:ilvl w:val="0"/>
          <w:numId w:val="1002"/>
        </w:numPr>
      </w:pPr>
      <w:r>
        <w:rPr>
          <w:b/>
          <w:bCs/>
        </w:rPr>
        <w:t xml:space="preserve">Phase 2 — Ransomware deployment (approx. 2:17 a.m. – 4:45 a.m., November 18):</w:t>
      </w:r>
      <w:r>
        <w:t xml:space="preserve"> </w:t>
      </w:r>
      <w:r>
        <w:t xml:space="preserve">The LockStar 3.0 ransomware variant encrypted 347 of approximately 2,100 endpoints, including the ERP finance, procurement, and order-management modules.</w:t>
      </w:r>
    </w:p>
    <w:p>
      <w:pPr>
        <w:pStyle w:val="FirstParagraph"/>
      </w:pPr>
      <w:r>
        <w:t xml:space="preserve">A ransom demand of 45 Bitcoin (~$2,029,500) was issued. The Company has not paid and does not intend to pay. Manufacturing operations and OT/SCADA systems were not affected; the IT/OT air-gap performed as designed.</w:t>
      </w:r>
    </w:p>
    <w:bookmarkEnd w:id="23"/>
    <w:bookmarkStart w:id="24" w:name="Xdf293d51e9c5ec7d5d7c711796087ead55b7e59"/>
    <w:p>
      <w:pPr>
        <w:pStyle w:val="Heading3"/>
      </w:pPr>
      <w:r>
        <w:t xml:space="preserve">C. Exfiltrated Data (Thorngate,</w:t>
      </w:r>
      <w:r>
        <w:t xml:space="preserve"> </w:t>
      </w:r>
      <w:r>
        <w:t xml:space="preserve">“</w:t>
      </w:r>
      <w:r>
        <w:t xml:space="preserve">High Confidence,</w:t>
      </w:r>
      <w:r>
        <w:t xml:space="preserve">”</w:t>
      </w:r>
      <w:r>
        <w:t xml:space="preserve"> </w:t>
      </w:r>
      <w:r>
        <w:t xml:space="preserve">December 1, 2024)</w:t>
      </w:r>
    </w:p>
    <w:p>
      <w:pPr>
        <w:pStyle w:val="FirstParagraph"/>
      </w:pPr>
      <w:r>
        <w:t xml:space="preserve">Thorngate confirmed with high confidence that the exfiltrated data includes:</w:t>
      </w:r>
    </w:p>
    <w:p>
      <w:pPr>
        <w:pStyle w:val="Compact"/>
        <w:numPr>
          <w:ilvl w:val="0"/>
          <w:numId w:val="1003"/>
        </w:numPr>
      </w:pPr>
      <w:r>
        <w:t xml:space="preserve">Customer master records for approximately 4,200 corporate accounts;</w:t>
      </w:r>
    </w:p>
    <w:p>
      <w:pPr>
        <w:pStyle w:val="Compact"/>
        <w:numPr>
          <w:ilvl w:val="0"/>
          <w:numId w:val="1003"/>
        </w:numPr>
      </w:pPr>
      <w:r>
        <w:t xml:space="preserve">Procurement-contact PII (names, email addresses, telephone numbers, job titles);</w:t>
      </w:r>
    </w:p>
    <w:p>
      <w:pPr>
        <w:pStyle w:val="Compact"/>
        <w:numPr>
          <w:ilvl w:val="0"/>
          <w:numId w:val="1003"/>
        </w:numPr>
      </w:pPr>
      <w:r>
        <w:t xml:space="preserve">Contract pricing data and terms; and</w:t>
      </w:r>
    </w:p>
    <w:p>
      <w:pPr>
        <w:pStyle w:val="Compact"/>
        <w:numPr>
          <w:ilvl w:val="0"/>
          <w:numId w:val="1003"/>
        </w:numPr>
      </w:pPr>
      <w:r>
        <w:rPr>
          <w:b/>
          <w:bCs/>
        </w:rPr>
        <w:t xml:space="preserve">Customer banking information — ACH routing numbers and account numbers — stored unencrypted (plaintext) at rest</w:t>
      </w:r>
      <w:r>
        <w:t xml:space="preserve"> </w:t>
      </w:r>
      <w:r>
        <w:t xml:space="preserve">in the ERP accounts-receivable module.</w:t>
      </w:r>
    </w:p>
    <w:p>
      <w:pPr>
        <w:pStyle w:val="FirstParagraph"/>
      </w:pPr>
      <w:r>
        <w:t xml:space="preserve">Affected records span at least 38 U.S. states and customers in Germany, Mexico, Canada, and the United Kingdom, and include several of the Company’s largest accounts, including Harmon Defense Solutions, Crestfield Aerospace, and Nexagen Manufacturing.</w:t>
      </w:r>
    </w:p>
    <w:bookmarkEnd w:id="24"/>
    <w:bookmarkStart w:id="25" w:name="d.-root-cause"/>
    <w:p>
      <w:pPr>
        <w:pStyle w:val="Heading3"/>
      </w:pPr>
      <w:r>
        <w:t xml:space="preserve">D. Root Cause</w:t>
      </w:r>
    </w:p>
    <w:p>
      <w:pPr>
        <w:pStyle w:val="FirstParagraph"/>
      </w:pPr>
      <w:r>
        <w:t xml:space="preserve">Thorngate’s preliminary root-cause finding is that the compromised third-party contractor VPN credential</w:t>
      </w:r>
      <w:r>
        <w:t xml:space="preserve"> </w:t>
      </w:r>
      <w:r>
        <w:rPr>
          <w:b/>
          <w:bCs/>
        </w:rPr>
        <w:t xml:space="preserve">was not protected by multi-factor authentication (</w:t>
      </w:r>
      <w:r>
        <w:rPr>
          <w:b/>
          <w:bCs/>
        </w:rPr>
        <w:t xml:space="preserve">“</w:t>
      </w:r>
      <w:r>
        <w:rPr>
          <w:b/>
          <w:bCs/>
        </w:rPr>
        <w:t xml:space="preserve">MFA</w:t>
      </w:r>
      <w:r>
        <w:rPr>
          <w:b/>
          <w:bCs/>
        </w:rPr>
        <w:t xml:space="preserve">”</w:t>
      </w:r>
      <w:r>
        <w:rPr>
          <w:b/>
          <w:bCs/>
        </w:rPr>
        <w:t xml:space="preserve">)</w:t>
      </w:r>
      <w:r>
        <w:t xml:space="preserve">, permitting the threat actor to authenticate without a secondary factor. The threat actor’s dwell time (reconnaissance) is estimated at three to four days (approx. November 14–17).</w:t>
      </w:r>
    </w:p>
    <w:bookmarkEnd w:id="25"/>
    <w:bookmarkStart w:id="26" w:name="e.-key-chronology"/>
    <w:p>
      <w:pPr>
        <w:pStyle w:val="Heading3"/>
      </w:pPr>
      <w:r>
        <w:t xml:space="preserve">E. Key Chronology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Nov. 18, ~2:17 a.m.</w:t>
            </w:r>
          </w:p>
        </w:tc>
        <w:tc>
          <w:tcPr/>
          <w:p>
            <w:pPr>
              <w:pStyle w:val="Compact"/>
              <w:jc w:val="left"/>
            </w:pPr>
            <w:r>
              <w:t xml:space="preserve">SOC detects anomalous activity; data exfiltration already underway/completed.</w:t>
            </w:r>
          </w:p>
        </w:tc>
      </w:tr>
      <w:tr>
        <w:tc>
          <w:tcPr/>
          <w:p>
            <w:pPr>
              <w:pStyle w:val="Compact"/>
              <w:jc w:val="left"/>
            </w:pPr>
            <w:r>
              <w:t xml:space="preserve">Nov. 18, ~4:45 a.m.</w:t>
            </w:r>
          </w:p>
        </w:tc>
        <w:tc>
          <w:tcPr/>
          <w:p>
            <w:pPr>
              <w:pStyle w:val="Compact"/>
              <w:jc w:val="left"/>
            </w:pPr>
            <w:r>
              <w:t xml:space="preserve">Ransomware deployment across 347 endpoints complete.</w:t>
            </w:r>
          </w:p>
        </w:tc>
      </w:tr>
      <w:tr>
        <w:tc>
          <w:tcPr/>
          <w:p>
            <w:pPr>
              <w:pStyle w:val="Compact"/>
              <w:jc w:val="left"/>
            </w:pPr>
            <w:r>
              <w:t xml:space="preserve">Nov. 18, 5:00 a.m.</w:t>
            </w:r>
          </w:p>
        </w:tc>
        <w:tc>
          <w:tcPr/>
          <w:p>
            <w:pPr>
              <w:pStyle w:val="Compact"/>
              <w:jc w:val="left"/>
            </w:pPr>
            <w:r>
              <w:t xml:space="preserve">CISO activates IRT under Tier 3 classification.</w:t>
            </w:r>
          </w:p>
        </w:tc>
      </w:tr>
      <w:tr>
        <w:tc>
          <w:tcPr/>
          <w:p>
            <w:pPr>
              <w:pStyle w:val="Compact"/>
              <w:jc w:val="left"/>
            </w:pPr>
            <w:r>
              <w:t xml:space="preserve">Nov. 18, 11:00 a.m.</w:t>
            </w:r>
          </w:p>
        </w:tc>
        <w:tc>
          <w:tcPr/>
          <w:p>
            <w:pPr>
              <w:pStyle w:val="Compact"/>
              <w:jc w:val="left"/>
            </w:pPr>
            <w:r>
              <w:t xml:space="preserve">CTO Lauren Hessler verbally informed.</w:t>
            </w:r>
          </w:p>
        </w:tc>
      </w:tr>
      <w:tr>
        <w:tc>
          <w:tcPr/>
          <w:p>
            <w:pPr>
              <w:pStyle w:val="Compact"/>
              <w:jc w:val="left"/>
            </w:pPr>
            <w:r>
              <w:t xml:space="preserve">Nov. 19</w:t>
            </w:r>
          </w:p>
        </w:tc>
        <w:tc>
          <w:tcPr/>
          <w:p>
            <w:pPr>
              <w:pStyle w:val="Compact"/>
              <w:jc w:val="left"/>
            </w:pPr>
            <w:r>
              <w:t xml:space="preserve">Thorngate retained (60-day engagement; preliminary findings due Dec. 20). Associate GC Daniel Ito learns of Incident via informal IT communication.</w:t>
            </w:r>
            <w:r>
              <w:t xml:space="preserve"> </w:t>
            </w:r>
            <w:r>
              <w:rPr>
                <w:b/>
                <w:bCs/>
              </w:rPr>
              <w:t xml:space="preserve">General Counsel Priya Raghavan (traveling) not informed.</w:t>
            </w:r>
          </w:p>
        </w:tc>
      </w:tr>
      <w:tr>
        <w:tc>
          <w:tcPr/>
          <w:p>
            <w:pPr>
              <w:pStyle w:val="Compact"/>
              <w:jc w:val="left"/>
            </w:pPr>
            <w:r>
              <w:t xml:space="preserve">Nov. 20</w:t>
            </w:r>
          </w:p>
        </w:tc>
        <w:tc>
          <w:tcPr/>
          <w:p>
            <w:pPr>
              <w:pStyle w:val="Compact"/>
              <w:jc w:val="left"/>
            </w:pPr>
            <w:r>
              <w:t xml:space="preserve">GC Raghavan learns of Incident upon return; Hollister Marsh LLP engaged; FBI IC3 contacted.</w:t>
            </w:r>
          </w:p>
        </w:tc>
      </w:tr>
      <w:tr>
        <w:tc>
          <w:tcPr/>
          <w:p>
            <w:pPr>
              <w:pStyle w:val="Compact"/>
              <w:jc w:val="left"/>
            </w:pPr>
            <w:r>
              <w:t xml:space="preserve">Nov. 21</w:t>
            </w:r>
          </w:p>
        </w:tc>
        <w:tc>
          <w:tcPr/>
          <w:p>
            <w:pPr>
              <w:pStyle w:val="Compact"/>
              <w:jc w:val="left"/>
            </w:pPr>
            <w:r>
              <w:t xml:space="preserve">Ridgeline Insurance Group notified (~73 hours post-discovery; policy requires 72 hours).</w:t>
            </w:r>
          </w:p>
        </w:tc>
      </w:tr>
      <w:tr>
        <w:tc>
          <w:tcPr/>
          <w:p>
            <w:pPr>
              <w:pStyle w:val="Compact"/>
              <w:jc w:val="left"/>
            </w:pPr>
            <w:r>
              <w:t xml:space="preserve">Nov. 25</w:t>
            </w:r>
          </w:p>
        </w:tc>
        <w:tc>
          <w:tcPr/>
          <w:p>
            <w:pPr>
              <w:pStyle w:val="Compact"/>
              <w:jc w:val="left"/>
            </w:pPr>
            <w:r>
              <w:t xml:space="preserve">CEO Marcus Ellsworth briefed.</w:t>
            </w:r>
          </w:p>
        </w:tc>
      </w:tr>
      <w:tr>
        <w:tc>
          <w:tcPr/>
          <w:p>
            <w:pPr>
              <w:pStyle w:val="Compact"/>
              <w:jc w:val="left"/>
            </w:pPr>
            <w:r>
              <w:t xml:space="preserve">Dec. 1</w:t>
            </w:r>
          </w:p>
        </w:tc>
        <w:tc>
          <w:tcPr/>
          <w:p>
            <w:pPr>
              <w:pStyle w:val="Compact"/>
              <w:jc w:val="left"/>
            </w:pPr>
            <w:r>
              <w:t xml:space="preserve">Thorngate interim report confirms customer banking data exfiltrated.</w:t>
            </w:r>
          </w:p>
        </w:tc>
      </w:tr>
      <w:tr>
        <w:tc>
          <w:tcPr/>
          <w:p>
            <w:pPr>
              <w:pStyle w:val="Compact"/>
              <w:jc w:val="left"/>
            </w:pPr>
            <w:r>
              <w:t xml:space="preserve">Dec. 3</w:t>
            </w:r>
          </w:p>
        </w:tc>
        <w:tc>
          <w:tcPr/>
          <w:p>
            <w:pPr>
              <w:pStyle w:val="Compact"/>
              <w:jc w:val="left"/>
            </w:pPr>
            <w:r>
              <w:t xml:space="preserve">Audit Committee Chair Dr. Helen Ostrowski notified by email (first Board-level notice; Day 15).</w:t>
            </w:r>
          </w:p>
        </w:tc>
      </w:tr>
      <w:tr>
        <w:tc>
          <w:tcPr/>
          <w:p>
            <w:pPr>
              <w:pStyle w:val="Compact"/>
              <w:jc w:val="left"/>
            </w:pPr>
            <w:r>
              <w:t xml:space="preserve">Dec. 5</w:t>
            </w:r>
          </w:p>
        </w:tc>
        <w:tc>
          <w:tcPr/>
          <w:p>
            <w:pPr>
              <w:pStyle w:val="Compact"/>
              <w:jc w:val="left"/>
            </w:pPr>
            <w:r>
              <w:t xml:space="preserve">CISO status report prepared.</w:t>
            </w:r>
            <w:r>
              <w:t xml:space="preserve"> </w:t>
            </w:r>
            <w:r>
              <w:rPr>
                <w:b/>
                <w:bCs/>
              </w:rPr>
              <w:t xml:space="preserve">No Form 8-K filed; no formal materiality determination conducted; no customer notifications sent.</w:t>
            </w:r>
          </w:p>
        </w:tc>
      </w:tr>
      <w:tr>
        <w:tc>
          <w:tcPr/>
          <w:p>
            <w:pPr>
              <w:pStyle w:val="Compact"/>
              <w:jc w:val="left"/>
            </w:pPr>
            <w:r>
              <w:t xml:space="preserve">Jan. 22, 2025</w:t>
            </w:r>
          </w:p>
        </w:tc>
        <w:tc>
          <w:tcPr/>
          <w:p>
            <w:pPr>
              <w:pStyle w:val="Compact"/>
              <w:jc w:val="left"/>
            </w:pPr>
            <w:r>
              <w:t xml:space="preserve">Next regularly scheduled Audit Committee meeting (no special meeting called).</w:t>
            </w:r>
          </w:p>
        </w:tc>
      </w:tr>
    </w:tbl>
    <w:bookmarkEnd w:id="26"/>
    <w:bookmarkStart w:id="27" w:name="Xbea2f2917a30b31c7d20fd27ddadff27c6e843e"/>
    <w:p>
      <w:pPr>
        <w:pStyle w:val="Heading3"/>
      </w:pPr>
      <w:r>
        <w:t xml:space="preserve">F. Estimated Financial Impact (as of December 5,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Cost</w:t>
            </w:r>
          </w:p>
        </w:tc>
      </w:tr>
      <w:tr>
        <w:tc>
          <w:tcPr/>
          <w:p>
            <w:pPr>
              <w:pStyle w:val="Compact"/>
              <w:jc w:val="left"/>
            </w:pPr>
            <w:r>
              <w:t xml:space="preserve">Incident response costs</w:t>
            </w:r>
          </w:p>
        </w:tc>
        <w:tc>
          <w:tcPr/>
          <w:p>
            <w:pPr>
              <w:pStyle w:val="Compact"/>
              <w:jc w:val="left"/>
            </w:pPr>
            <w:r>
              <w:t xml:space="preserve">$1,400,000</w:t>
            </w:r>
          </w:p>
        </w:tc>
      </w:tr>
      <w:tr>
        <w:tc>
          <w:tcPr/>
          <w:p>
            <w:pPr>
              <w:pStyle w:val="Compact"/>
              <w:jc w:val="left"/>
            </w:pPr>
            <w:r>
              <w:t xml:space="preserve">Business disruption costs</w:t>
            </w:r>
          </w:p>
        </w:tc>
        <w:tc>
          <w:tcPr/>
          <w:p>
            <w:pPr>
              <w:pStyle w:val="Compact"/>
              <w:jc w:val="left"/>
            </w:pPr>
            <w:r>
              <w:t xml:space="preserve">$2,800,000</w:t>
            </w:r>
          </w:p>
        </w:tc>
      </w:tr>
      <w:tr>
        <w:tc>
          <w:tcPr/>
          <w:p>
            <w:pPr>
              <w:pStyle w:val="Compact"/>
              <w:jc w:val="left"/>
            </w:pPr>
            <w:r>
              <w:t xml:space="preserve">Customer-notification preparation costs</w:t>
            </w:r>
          </w:p>
        </w:tc>
        <w:tc>
          <w:tcPr/>
          <w:p>
            <w:pPr>
              <w:pStyle w:val="Compact"/>
              <w:jc w:val="left"/>
            </w:pPr>
            <w:r>
              <w:t xml:space="preserve">$300,000</w:t>
            </w:r>
          </w:p>
        </w:tc>
      </w:tr>
      <w:tr>
        <w:tc>
          <w:tcPr/>
          <w:p>
            <w:pPr>
              <w:pStyle w:val="Compact"/>
              <w:jc w:val="left"/>
            </w:pPr>
            <w:r>
              <w:rPr>
                <w:b/>
                <w:bCs/>
              </w:rPr>
              <w:t xml:space="preserve">Total estimated costs</w:t>
            </w:r>
          </w:p>
        </w:tc>
        <w:tc>
          <w:tcPr/>
          <w:p>
            <w:pPr>
              <w:pStyle w:val="Compact"/>
              <w:jc w:val="left"/>
            </w:pPr>
            <w:r>
              <w:rPr>
                <w:b/>
                <w:bCs/>
              </w:rPr>
              <w:t xml:space="preserve">$4,500,000</w:t>
            </w:r>
          </w:p>
        </w:tc>
      </w:tr>
    </w:tbl>
    <w:p>
      <w:pPr>
        <w:pStyle w:val="BodyText"/>
      </w:pPr>
      <w:r>
        <w:t xml:space="preserve">The $4.5 million total represents approximately 1.45% of projected FY2024 EBITDA. These figures do not include potential customer claims, liquidated damages, regulatory penalties, litigation, or reputational impact, all of which could materially increase total exposure.</w:t>
      </w:r>
    </w:p>
    <w:p>
      <w:r>
        <w:pict>
          <v:rect style="width:0;height:1.5pt" o:hralign="center" o:hrstd="t" o:hr="t"/>
        </w:pict>
      </w:r>
    </w:p>
    <w:bookmarkEnd w:id="27"/>
    <w:bookmarkEnd w:id="28"/>
    <w:bookmarkStart w:id="29" w:name="iii.-applicable-sec-regulatory-framework"/>
    <w:p>
      <w:pPr>
        <w:pStyle w:val="Heading2"/>
      </w:pPr>
      <w:r>
        <w:t xml:space="preserve">III. Applicable SEC Regulatory Framework</w:t>
      </w:r>
    </w:p>
    <w:p>
      <w:pPr>
        <w:pStyle w:val="FirstParagraph"/>
      </w:pPr>
      <w:r>
        <w:t xml:space="preserve">The following SEC rules and requirements are principally implicated:</w:t>
      </w:r>
    </w:p>
    <w:p>
      <w:pPr>
        <w:numPr>
          <w:ilvl w:val="0"/>
          <w:numId w:val="1004"/>
        </w:numPr>
      </w:pPr>
      <w:r>
        <w:rPr>
          <w:b/>
          <w:bCs/>
        </w:rPr>
        <w:t xml:space="preserve">Item 1.05 of Form 8-K</w:t>
      </w:r>
      <w:r>
        <w:t xml:space="preserve"> </w:t>
      </w:r>
      <w:r>
        <w:t xml:space="preserve">(17 C.F.R. § 249.308) — requires a registrant that determines a cybersecurity incident to be material to file a Current Report on Form 8-K within</w:t>
      </w:r>
      <w:r>
        <w:t xml:space="preserve"> </w:t>
      </w:r>
      <w:r>
        <w:rPr>
          <w:b/>
          <w:bCs/>
        </w:rPr>
        <w:t xml:space="preserve">four (4) business days</w:t>
      </w:r>
      <w:r>
        <w:t xml:space="preserve"> </w:t>
      </w:r>
      <w:r>
        <w:t xml:space="preserve">after the materiality determination, disclosing (a) the material aspects of the nature, scope, and timing of the incident; (b) the material or reasonably likely material impact on the registrant, including financial condition and results of operations; (c) whether the incident has been remediated and, if not, what is being done; and (d) whether law enforcement has requested a delay in disclosure. The instruction to Item 1.05 requires the registrant to determine materiality</w:t>
      </w:r>
      <w:r>
        <w:t xml:space="preserve"> </w:t>
      </w:r>
      <w:r>
        <w:rPr>
          <w:b/>
          <w:bCs/>
        </w:rPr>
        <w:t xml:space="preserve">“</w:t>
      </w:r>
      <w:r>
        <w:rPr>
          <w:b/>
          <w:bCs/>
        </w:rPr>
        <w:t xml:space="preserve">without unreasonable delay</w:t>
      </w:r>
      <w:r>
        <w:rPr>
          <w:b/>
          <w:bCs/>
        </w:rPr>
        <w:t xml:space="preserve">”</w:t>
      </w:r>
      <w:r>
        <w:t xml:space="preserve"> </w:t>
      </w:r>
      <w:r>
        <w:t xml:space="preserve">after discovery of the incident.</w:t>
      </w:r>
    </w:p>
    <w:p>
      <w:pPr>
        <w:numPr>
          <w:ilvl w:val="0"/>
          <w:numId w:val="1004"/>
        </w:numPr>
      </w:pPr>
      <w:r>
        <w:rPr>
          <w:b/>
          <w:bCs/>
        </w:rPr>
        <w:t xml:space="preserve">Item 106 of Regulation S-K</w:t>
      </w:r>
      <w:r>
        <w:t xml:space="preserve"> </w:t>
      </w:r>
      <w:r>
        <w:t xml:space="preserve">(17 C.F.R. § 229.106) /</w:t>
      </w:r>
      <w:r>
        <w:t xml:space="preserve"> </w:t>
      </w:r>
      <w:r>
        <w:rPr>
          <w:b/>
          <w:bCs/>
        </w:rPr>
        <w:t xml:space="preserve">Item 1C of Form 10-K</w:t>
      </w:r>
      <w:r>
        <w:t xml:space="preserve"> </w:t>
      </w:r>
      <w:r>
        <w:t xml:space="preserve">— governs annual disclosure of cybersecurity risk management, strategy, and governance, including (a) the Company’s processes for assessing, identifying, and managing material cybersecurity risks; (b) whether and how cybersecurity risks have materially affected, or are reasonably likely to materially affect, the Company; and (c) the Board’s oversight of cybersecurity risks and management’s role in assessing and managing such risks.</w:t>
      </w:r>
    </w:p>
    <w:p>
      <w:pPr>
        <w:numPr>
          <w:ilvl w:val="0"/>
          <w:numId w:val="1004"/>
        </w:numPr>
      </w:pPr>
      <w:r>
        <w:rPr>
          <w:b/>
          <w:bCs/>
        </w:rPr>
        <w:t xml:space="preserve">Rule 13a-15</w:t>
      </w:r>
      <w:r>
        <w:t xml:space="preserve"> </w:t>
      </w:r>
      <w:r>
        <w:t xml:space="preserve">under the Securities Exchange Act of 1934 (the</w:t>
      </w:r>
      <w:r>
        <w:t xml:space="preserve"> </w:t>
      </w:r>
      <w:r>
        <w:t xml:space="preserve">“</w:t>
      </w:r>
      <w:r>
        <w:t xml:space="preserve">Exchange Act</w:t>
      </w:r>
      <w:r>
        <w:t xml:space="preserve">”</w:t>
      </w:r>
      <w:r>
        <w:t xml:space="preserve">) — requires disclosure controls and procedures reasonably designed to ensure that information required to be disclosed is recorded, processed, summarized, and reported within required time periods, and internal control over financial reporting (</w:t>
      </w:r>
      <w:r>
        <w:t xml:space="preserve">“</w:t>
      </w:r>
      <w:r>
        <w:t xml:space="preserve">ICFR</w:t>
      </w:r>
      <w:r>
        <w:t xml:space="preserve">”</w:t>
      </w:r>
      <w:r>
        <w:t xml:space="preserve">).</w:t>
      </w:r>
    </w:p>
    <w:p>
      <w:pPr>
        <w:numPr>
          <w:ilvl w:val="0"/>
          <w:numId w:val="1004"/>
        </w:numPr>
      </w:pPr>
      <w:r>
        <w:rPr>
          <w:b/>
          <w:bCs/>
        </w:rPr>
        <w:t xml:space="preserve">Section 13(a)</w:t>
      </w:r>
      <w:r>
        <w:t xml:space="preserve"> </w:t>
      </w:r>
      <w:r>
        <w:t xml:space="preserve">of the Exchange Act and</w:t>
      </w:r>
      <w:r>
        <w:t xml:space="preserve"> </w:t>
      </w:r>
      <w:r>
        <w:rPr>
          <w:b/>
          <w:bCs/>
        </w:rPr>
        <w:t xml:space="preserve">Rules 13a-11 and 13a-13</w:t>
      </w:r>
      <w:r>
        <w:t xml:space="preserve"> </w:t>
      </w:r>
      <w:r>
        <w:t xml:space="preserve">— periodic and current reporting obligations.</w:t>
      </w:r>
    </w:p>
    <w:p>
      <w:pPr>
        <w:numPr>
          <w:ilvl w:val="0"/>
          <w:numId w:val="1004"/>
        </w:numPr>
      </w:pPr>
      <w:r>
        <w:rPr>
          <w:b/>
          <w:bCs/>
        </w:rPr>
        <w:t xml:space="preserve">Regulation FD</w:t>
      </w:r>
      <w:r>
        <w:t xml:space="preserve"> </w:t>
      </w:r>
      <w:r>
        <w:t xml:space="preserve">(Rules 100–103) — prohibition on selective disclosure of material nonpublic information to certain outside parties without broad public disclosure.</w:t>
      </w:r>
    </w:p>
    <w:p>
      <w:pPr>
        <w:numPr>
          <w:ilvl w:val="0"/>
          <w:numId w:val="1004"/>
        </w:numPr>
      </w:pPr>
      <w:r>
        <w:rPr>
          <w:b/>
          <w:bCs/>
        </w:rPr>
        <w:t xml:space="preserve">Rule 10b-5</w:t>
      </w:r>
      <w:r>
        <w:t xml:space="preserve"> </w:t>
      </w:r>
      <w:r>
        <w:t xml:space="preserve">under the Exchange Act and</w:t>
      </w:r>
      <w:r>
        <w:t xml:space="preserve"> </w:t>
      </w:r>
      <w:r>
        <w:rPr>
          <w:b/>
          <w:bCs/>
        </w:rPr>
        <w:t xml:space="preserve">Section 17(a)</w:t>
      </w:r>
      <w:r>
        <w:t xml:space="preserve"> </w:t>
      </w:r>
      <w:r>
        <w:t xml:space="preserve">of the Securities Act — anti-fraud prohibitions on material misstatements and omissions.</w:t>
      </w:r>
    </w:p>
    <w:p>
      <w:pPr>
        <w:numPr>
          <w:ilvl w:val="0"/>
          <w:numId w:val="1004"/>
        </w:numPr>
      </w:pPr>
      <w:r>
        <w:rPr>
          <w:b/>
          <w:bCs/>
        </w:rPr>
        <w:t xml:space="preserve">Sections 302 and 404</w:t>
      </w:r>
      <w:r>
        <w:t xml:space="preserve"> </w:t>
      </w:r>
      <w:r>
        <w:t xml:space="preserve">of the Sarbanes-Oxley Act of 2002 and the related certifications — CEO/CFO certifications regarding disclosure controls and ICFR.</w:t>
      </w:r>
    </w:p>
    <w:p>
      <w:pPr>
        <w:numPr>
          <w:ilvl w:val="0"/>
          <w:numId w:val="1004"/>
        </w:numPr>
      </w:pPr>
      <w:r>
        <w:rPr>
          <w:b/>
          <w:bCs/>
        </w:rPr>
        <w:t xml:space="preserve">Materiality standard</w:t>
      </w:r>
      <w:r>
        <w:t xml:space="preserve"> </w:t>
      </w:r>
      <w:r>
        <w:t xml:space="preserve">—</w:t>
      </w:r>
      <w:r>
        <w:t xml:space="preserve"> </w:t>
      </w:r>
      <w:r>
        <w:rPr>
          <w:i/>
          <w:iCs/>
        </w:rPr>
        <w:t xml:space="preserve">TSC Industries, Inc. v. Northway, Inc.</w:t>
      </w:r>
      <w:r>
        <w:t xml:space="preserve">, 426 U.S. 438 (1976), and</w:t>
      </w:r>
      <w:r>
        <w:t xml:space="preserve"> </w:t>
      </w:r>
      <w:r>
        <w:rPr>
          <w:i/>
          <w:iCs/>
        </w:rPr>
        <w:t xml:space="preserve">Basic Inc. v. Levinson</w:t>
      </w:r>
      <w:r>
        <w:t xml:space="preserve">, 485 U.S. 224 (1988): information is material if there is a substantial likelihood that a reasonable investor would consider it important, or if it would significantly alter the</w:t>
      </w:r>
      <w:r>
        <w:t xml:space="preserve"> </w:t>
      </w:r>
      <w:r>
        <w:t xml:space="preserve">“</w:t>
      </w:r>
      <w:r>
        <w:t xml:space="preserve">total mix</w:t>
      </w:r>
      <w:r>
        <w:t xml:space="preserve">”</w:t>
      </w:r>
      <w:r>
        <w:t xml:space="preserve"> </w:t>
      </w:r>
      <w:r>
        <w:t xml:space="preserve">of available information. The SEC’s adopting release (Release No. 33-11221) confirms that cybersecurity-incident materiality is assessed under this standard and may turn on qualitative as well as quantitative factors.</w:t>
      </w:r>
    </w:p>
    <w:p>
      <w:r>
        <w:pict>
          <v:rect style="width:0;height:1.5pt" o:hralign="center" o:hrstd="t" o:hr="t"/>
        </w:pict>
      </w:r>
    </w:p>
    <w:bookmarkEnd w:id="29"/>
    <w:bookmarkStart w:id="41" w:name="iv.-gap-analysis"/>
    <w:p>
      <w:pPr>
        <w:pStyle w:val="Heading2"/>
      </w:pPr>
      <w:r>
        <w:t xml:space="preserve">IV. Gap Analysis</w:t>
      </w:r>
    </w:p>
    <w:bookmarkStart w:id="30" w:name="Xdf12b9578e8e3ae2904d5a9f8d6078733ed38e8"/>
    <w:p>
      <w:pPr>
        <w:pStyle w:val="Heading3"/>
      </w:pPr>
      <w:r>
        <w:t xml:space="preserve">A. Materiality Determination and Form 8-K Item 1.05 Disclosure —</w:t>
      </w:r>
      <w:r>
        <w:t xml:space="preserve"> </w:t>
      </w:r>
      <w:r>
        <w:rPr>
          <w:b/>
          <w:bCs/>
        </w:rPr>
        <w:t xml:space="preserve">CRITICAL</w:t>
      </w:r>
    </w:p>
    <w:p>
      <w:pPr>
        <w:pStyle w:val="FirstParagraph"/>
      </w:pPr>
      <w:r>
        <w:rPr>
          <w:b/>
          <w:bCs/>
        </w:rPr>
        <w:t xml:space="preserve">Gap A-1. No formal materiality determination has been conducted.</w:t>
      </w:r>
      <w:r>
        <w:t xml:space="preserve"> </w:t>
      </w:r>
      <w:r>
        <w:t xml:space="preserve">The CISO status report (Dec. 5, 2024) expressly states:</w:t>
      </w:r>
      <w:r>
        <w:t xml:space="preserve"> </w:t>
      </w:r>
      <w:r>
        <w:t xml:space="preserve">“</w:t>
      </w:r>
      <w:r>
        <w:t xml:space="preserve">No formal materiality determination has been conducted.</w:t>
      </w:r>
      <w:r>
        <w:t xml:space="preserve">”</w:t>
      </w:r>
      <w:r>
        <w:t xml:space="preserve"> </w:t>
      </w:r>
      <w:r>
        <w:t xml:space="preserve">Item 1.05’s instruction requires the Company to determine materiality</w:t>
      </w:r>
      <w:r>
        <w:t xml:space="preserve"> </w:t>
      </w:r>
      <w:r>
        <w:t xml:space="preserve">“</w:t>
      </w:r>
      <w:r>
        <w:t xml:space="preserve">without unreasonable delay</w:t>
      </w:r>
      <w:r>
        <w:t xml:space="preserve">”</w:t>
      </w:r>
      <w:r>
        <w:t xml:space="preserve"> </w:t>
      </w:r>
      <w:r>
        <w:t xml:space="preserve">after discovery. Discovery occurred on November 18, 2024. Seventeen days have elapsed. Although the SEC rule does not prescribe a fixed deadline for the materiality determination itself, the determination must be made promptly, and the four-business-day filing clock cannot begin to run until it is. The absence of any documented determination process — despite the engagement of outside securities counsel on November 20, the CEO briefing on November 25, the December 1 forensic confirmation of banking-data exfiltration, and the December 3 notice to the Audit Committee Chair — is inconsistent with the</w:t>
      </w:r>
      <w:r>
        <w:t xml:space="preserve"> </w:t>
      </w:r>
      <w:r>
        <w:t xml:space="preserve">“</w:t>
      </w:r>
      <w:r>
        <w:t xml:space="preserve">without unreasonable delay</w:t>
      </w:r>
      <w:r>
        <w:t xml:space="preserve">”</w:t>
      </w:r>
      <w:r>
        <w:t xml:space="preserve"> </w:t>
      </w:r>
      <w:r>
        <w:t xml:space="preserve">standard and creates enforcement exposure.</w:t>
      </w:r>
    </w:p>
    <w:p>
      <w:pPr>
        <w:pStyle w:val="BodyText"/>
      </w:pPr>
      <w:r>
        <w:rPr>
          <w:b/>
          <w:bCs/>
        </w:rPr>
        <w:t xml:space="preserve">Gap A-2. No Form 8-K has been filed.</w:t>
      </w:r>
      <w:r>
        <w:t xml:space="preserve"> </w:t>
      </w:r>
      <w:r>
        <w:t xml:space="preserve">No Current Report on Form 8-K (Item 1.05 or otherwise) has been filed regarding the Incident. If the Incident is determined to be material (see Part V), the Company must file within four business days of that determination. The longer the determination is deferred, the greater the risk that the SEC will view the delay as itself a violation of the disclosure-controls requirements and the</w:t>
      </w:r>
      <w:r>
        <w:t xml:space="preserve"> </w:t>
      </w:r>
      <w:r>
        <w:t xml:space="preserve">“</w:t>
      </w:r>
      <w:r>
        <w:t xml:space="preserve">without unreasonable delay</w:t>
      </w:r>
      <w:r>
        <w:t xml:space="preserve">”</w:t>
      </w:r>
      <w:r>
        <w:t xml:space="preserve"> </w:t>
      </w:r>
      <w:r>
        <w:t xml:space="preserve">standard.</w:t>
      </w:r>
    </w:p>
    <w:p>
      <w:pPr>
        <w:pStyle w:val="BodyText"/>
      </w:pPr>
      <w:r>
        <w:rPr>
          <w:b/>
          <w:bCs/>
        </w:rPr>
        <w:t xml:space="preserve">Gap A-3. No law-enforcement delay basis exists.</w:t>
      </w:r>
      <w:r>
        <w:t xml:space="preserve"> </w:t>
      </w:r>
      <w:r>
        <w:t xml:space="preserve">Item 1.05 permits delayed disclosure only where the U.S. Attorney General (or designee) notifies the SEC that disclosure would pose a substantial risk to national security or public safety. The Company contacted the FBI IC3 on November 20, 2024, but the status report confirms that</w:t>
      </w:r>
      <w:r>
        <w:t xml:space="preserve"> </w:t>
      </w:r>
      <w:r>
        <w:rPr>
          <w:b/>
          <w:bCs/>
        </w:rPr>
        <w:t xml:space="preserve">no law-enforcement request to delay disclosure has been received</w:t>
      </w:r>
      <w:r>
        <w:t xml:space="preserve">. IC3 reporting is a complaint-intake mechanism, not a basis for delaying Item 1.05 disclosure. There is accordingly no lawful basis to defer the 8-K on law-enforcement grounds.</w:t>
      </w:r>
    </w:p>
    <w:p>
      <w:pPr>
        <w:pStyle w:val="BodyText"/>
      </w:pPr>
      <w:r>
        <w:rPr>
          <w:b/>
          <w:bCs/>
        </w:rPr>
        <w:t xml:space="preserve">Gap A-4. No interim disclosure under Item 7.01/8.01 considered.</w:t>
      </w:r>
      <w:r>
        <w:t xml:space="preserve"> </w:t>
      </w:r>
      <w:r>
        <w:t xml:space="preserve">Even where materiality has not yet been determined, many issuers make a voluntary interim disclosure under Item 7.01 (Regulation FD) or Item 8.01 (Other Events) of Form 8-K to (i) manage Regulation FD and insider-trading risk arising from the possession of material nonpublic information by insiders, and (ii) satisfy any</w:t>
      </w:r>
      <w:r>
        <w:t xml:space="preserve"> </w:t>
      </w:r>
      <w:r>
        <w:t xml:space="preserve">“</w:t>
      </w:r>
      <w:r>
        <w:t xml:space="preserve">duty to update</w:t>
      </w:r>
      <w:r>
        <w:t xml:space="preserve">”</w:t>
      </w:r>
      <w:r>
        <w:t xml:space="preserve"> </w:t>
      </w:r>
      <w:r>
        <w:t xml:space="preserve">arising from prior cybersecurity disclosures. The Company has not done so. Given that the Company’s FY2023 10-K Item 1C expressly addressed cybersecurity and stated that no material incident had occurred, the Company should evaluate whether its continued silence renders its prior disclosure and any subsequent investor communications misleading.</w:t>
      </w:r>
    </w:p>
    <w:bookmarkEnd w:id="30"/>
    <w:bookmarkStart w:id="31" w:name="Xd6fa607bbd00d37b29fddee481779b807403225"/>
    <w:p>
      <w:pPr>
        <w:pStyle w:val="Heading3"/>
      </w:pPr>
      <w:r>
        <w:t xml:space="preserve">B. Accuracy of Prior 10-K Item 1C Disclosure —</w:t>
      </w:r>
      <w:r>
        <w:t xml:space="preserve"> </w:t>
      </w:r>
      <w:r>
        <w:rPr>
          <w:b/>
          <w:bCs/>
        </w:rPr>
        <w:t xml:space="preserve">CRITICAL</w:t>
      </w:r>
    </w:p>
    <w:p>
      <w:pPr>
        <w:pStyle w:val="FirstParagraph"/>
      </w:pPr>
      <w:r>
        <w:rPr>
          <w:b/>
          <w:bCs/>
        </w:rPr>
        <w:t xml:space="preserve">Gap B-1. Potential inaccuracy of the MFA disclosure.</w:t>
      </w:r>
      <w:r>
        <w:t xml:space="preserve"> </w:t>
      </w:r>
      <w:r>
        <w:t xml:space="preserve">The FY2023 Form 10-K Item 1C (filed February 28, 2024) states that the Company has implemented</w:t>
      </w:r>
      <w:r>
        <w:t xml:space="preserve"> </w:t>
      </w:r>
      <w:r>
        <w:t xml:space="preserve">“</w:t>
      </w:r>
      <w:r>
        <w:t xml:space="preserve">multi-factor authentication for access to critical information systems, remote access connections, and administrative accounts.</w:t>
      </w:r>
      <w:r>
        <w:t xml:space="preserve">”</w:t>
      </w:r>
      <w:r>
        <w:t xml:space="preserve"> </w:t>
      </w:r>
      <w:r>
        <w:t xml:space="preserve">The CIRP (Section 4.1(d)) likewise states that</w:t>
      </w:r>
      <w:r>
        <w:t xml:space="preserve"> </w:t>
      </w:r>
      <w:r>
        <w:t xml:space="preserve">“</w:t>
      </w:r>
      <w:r>
        <w:t xml:space="preserve">[m]ulti-factor authentication (MFA) is required for all VPN connections.</w:t>
      </w:r>
      <w:r>
        <w:t xml:space="preserve">”</w:t>
      </w:r>
      <w:r>
        <w:t xml:space="preserve"> </w:t>
      </w:r>
      <w:r>
        <w:t xml:space="preserve">However, Thorngate’s root-cause finding and the CISO status report establish that</w:t>
      </w:r>
      <w:r>
        <w:t xml:space="preserve"> </w:t>
      </w:r>
      <w:r>
        <w:rPr>
          <w:b/>
          <w:bCs/>
        </w:rPr>
        <w:t xml:space="preserve">MFA was not universally required for third-party contractor VPN access</w:t>
      </w:r>
      <w:r>
        <w:t xml:space="preserve"> </w:t>
      </w:r>
      <w:r>
        <w:t xml:space="preserve">prior to November 20, 2024. If MFA was not in fact required for all remote-access connections (including third-party contractor VPN) as of the February 28, 2024 filing date, the Item 1C description of this control was inaccurate or materially incomplete, raising Rule 10b-5 and Section 17(a) concerns and undermining the reliability of the Company’s Item 106 risk-management disclosure. The Company should assess whether a corrective disclosure is required and whether the FY2024 10-K Item 1C must be revised to accurately describe the control environment.</w:t>
      </w:r>
    </w:p>
    <w:p>
      <w:pPr>
        <w:pStyle w:val="BodyText"/>
      </w:pPr>
      <w:r>
        <w:rPr>
          <w:b/>
          <w:bCs/>
        </w:rPr>
        <w:t xml:space="preserve">Gap B-2. The</w:t>
      </w:r>
      <w:r>
        <w:rPr>
          <w:b/>
          <w:bCs/>
        </w:rPr>
        <w:t xml:space="preserve"> </w:t>
      </w:r>
      <w:r>
        <w:rPr>
          <w:b/>
          <w:bCs/>
        </w:rPr>
        <w:t xml:space="preserve">“</w:t>
      </w:r>
      <w:r>
        <w:rPr>
          <w:b/>
          <w:bCs/>
        </w:rPr>
        <w:t xml:space="preserve">no material incidents</w:t>
      </w:r>
      <w:r>
        <w:rPr>
          <w:b/>
          <w:bCs/>
        </w:rPr>
        <w:t xml:space="preserve">”</w:t>
      </w:r>
      <w:r>
        <w:rPr>
          <w:b/>
          <w:bCs/>
        </w:rPr>
        <w:t xml:space="preserve"> </w:t>
      </w:r>
      <w:r>
        <w:rPr>
          <w:b/>
          <w:bCs/>
        </w:rPr>
        <w:t xml:space="preserve">statement remains accurate as of the prior filing but requires updating.</w:t>
      </w:r>
      <w:r>
        <w:t xml:space="preserve"> </w:t>
      </w:r>
      <w:r>
        <w:t xml:space="preserve">The FY2023 10-K’s statement that the Company</w:t>
      </w:r>
      <w:r>
        <w:t xml:space="preserve"> </w:t>
      </w:r>
      <w:r>
        <w:t xml:space="preserve">“</w:t>
      </w:r>
      <w:r>
        <w:t xml:space="preserve">has not experienced any cybersecurity incidents that have materially affected, or are reasonably likely to materially affect</w:t>
      </w:r>
      <w:r>
        <w:t xml:space="preserve">”</w:t>
      </w:r>
      <w:r>
        <w:t xml:space="preserve"> </w:t>
      </w:r>
      <w:r>
        <w:t xml:space="preserve">the Company was accurate as of the February 28, 2024 filing date and does not, by itself, require amendment. However, the Company now has a material incident (see Part V) and must disclose it timely via Form 8-K and in its FY2024 10-K (Item 1C, MD&amp;A, and risk factors). The Company should also evaluate whether any statements made in investor communications, earnings calls, or the Kessler transaction materials since November 18, 2024 are rendered misleading by the nondisclosure.</w:t>
      </w:r>
    </w:p>
    <w:p>
      <w:pPr>
        <w:pStyle w:val="BodyText"/>
      </w:pPr>
      <w:r>
        <w:rPr>
          <w:b/>
          <w:bCs/>
        </w:rPr>
        <w:t xml:space="preserve">Gap B-3. CIRP</w:t>
      </w:r>
      <w:r>
        <w:rPr>
          <w:b/>
          <w:bCs/>
        </w:rPr>
        <w:t xml:space="preserve"> </w:t>
      </w:r>
      <w:r>
        <w:rPr>
          <w:b/>
          <w:bCs/>
        </w:rPr>
        <w:t xml:space="preserve">“</w:t>
      </w:r>
      <w:r>
        <w:rPr>
          <w:b/>
          <w:bCs/>
        </w:rPr>
        <w:t xml:space="preserve">review</w:t>
      </w:r>
      <w:r>
        <w:rPr>
          <w:b/>
          <w:bCs/>
        </w:rPr>
        <w:t xml:space="preserve">”</w:t>
      </w:r>
      <w:r>
        <w:rPr>
          <w:b/>
          <w:bCs/>
        </w:rPr>
        <w:t xml:space="preserve"> </w:t>
      </w:r>
      <w:r>
        <w:rPr>
          <w:b/>
          <w:bCs/>
        </w:rPr>
        <w:t xml:space="preserve">characterization may be misleading.</w:t>
      </w:r>
      <w:r>
        <w:t xml:space="preserve"> </w:t>
      </w:r>
      <w:r>
        <w:t xml:space="preserve">Item 1C states the CIRP</w:t>
      </w:r>
      <w:r>
        <w:t xml:space="preserve"> </w:t>
      </w:r>
      <w:r>
        <w:t xml:space="preserve">“</w:t>
      </w:r>
      <w:r>
        <w:t xml:space="preserve">was most recently reviewed in August 2023.</w:t>
      </w:r>
      <w:r>
        <w:t xml:space="preserve">”</w:t>
      </w:r>
      <w:r>
        <w:t xml:space="preserve"> </w:t>
      </w:r>
      <w:r>
        <w:t xml:space="preserve">The CIRP itself discloses that the August 14, 2023 review was</w:t>
      </w:r>
      <w:r>
        <w:t xml:space="preserve"> </w:t>
      </w:r>
      <w:r>
        <w:rPr>
          <w:b/>
          <w:bCs/>
        </w:rPr>
        <w:t xml:space="preserve">administrative only</w:t>
      </w:r>
      <w:r>
        <w:t xml:space="preserve"> </w:t>
      </w:r>
      <w:r>
        <w:t xml:space="preserve">(vendor-contact updates), with no substantive changes since the June 2022 original release, and that</w:t>
      </w:r>
      <w:r>
        <w:t xml:space="preserve"> </w:t>
      </w:r>
      <w:r>
        <w:rPr>
          <w:b/>
          <w:bCs/>
        </w:rPr>
        <w:t xml:space="preserve">no tabletop exercises or simulations have ever been conducted</w:t>
      </w:r>
      <w:r>
        <w:t xml:space="preserve">. The Item 1C description of an</w:t>
      </w:r>
      <w:r>
        <w:t xml:space="preserve"> </w:t>
      </w:r>
      <w:r>
        <w:t xml:space="preserve">“</w:t>
      </w:r>
      <w:r>
        <w:t xml:space="preserve">adaptive</w:t>
      </w:r>
      <w:r>
        <w:t xml:space="preserve">”</w:t>
      </w:r>
      <w:r>
        <w:t xml:space="preserve"> </w:t>
      </w:r>
      <w:r>
        <w:t xml:space="preserve">program that is</w:t>
      </w:r>
      <w:r>
        <w:t xml:space="preserve"> </w:t>
      </w:r>
      <w:r>
        <w:t xml:space="preserve">“</w:t>
      </w:r>
      <w:r>
        <w:t xml:space="preserve">periodically reviewed and updated</w:t>
      </w:r>
      <w:r>
        <w:t xml:space="preserve">”</w:t>
      </w:r>
      <w:r>
        <w:t xml:space="preserve"> </w:t>
      </w:r>
      <w:r>
        <w:t xml:space="preserve">overstates the actual maintenance and testing of the CIRP. The FY2024 10-K should accurately characterize the CIRP’s review history and testing status.</w:t>
      </w:r>
    </w:p>
    <w:bookmarkEnd w:id="31"/>
    <w:bookmarkStart w:id="32" w:name="X7778f36c42eaa9fa7da15b5937756fa83f23b7f"/>
    <w:p>
      <w:pPr>
        <w:pStyle w:val="Heading3"/>
      </w:pPr>
      <w:r>
        <w:t xml:space="preserve">C. Disclosure Controls and Procedures / Internal Control Over Financial Reporting —</w:t>
      </w:r>
      <w:r>
        <w:t xml:space="preserve"> </w:t>
      </w:r>
      <w:r>
        <w:rPr>
          <w:b/>
          <w:bCs/>
        </w:rPr>
        <w:t xml:space="preserve">HIGH</w:t>
      </w:r>
    </w:p>
    <w:p>
      <w:pPr>
        <w:pStyle w:val="FirstParagraph"/>
      </w:pPr>
      <w:r>
        <w:rPr>
          <w:b/>
          <w:bCs/>
        </w:rPr>
        <w:t xml:space="preserve">Gap C-1. Disclosure-controls breakdown in escalation.</w:t>
      </w:r>
      <w:r>
        <w:t xml:space="preserve"> </w:t>
      </w:r>
      <w:r>
        <w:t xml:space="preserve">The chronology reveals multiple disclosure-controls failures: (i) the General Counsel — the Company’s principal disclosure officer — was not informed of the Incident until November 20 (Day 2) because she was traveling; (ii) the Associate General Counsel learned of the Incident on November 19 via</w:t>
      </w:r>
      <w:r>
        <w:t xml:space="preserve"> </w:t>
      </w:r>
      <w:r>
        <w:t xml:space="preserve">“</w:t>
      </w:r>
      <w:r>
        <w:t xml:space="preserve">informal communication from an IT colleague</w:t>
      </w:r>
      <w:r>
        <w:t xml:space="preserve">”</w:t>
      </w:r>
      <w:r>
        <w:t xml:space="preserve"> </w:t>
      </w:r>
      <w:r>
        <w:t xml:space="preserve">rather than through a formal escalation channel; and (iii) the Audit Committee Chair was not informed until December 3 (Day 15). The CIRP’s escalation matrix (Section 10) tops out at the CTO and treats the General Counsel, CEO, and Board as</w:t>
      </w:r>
      <w:r>
        <w:t xml:space="preserve"> </w:t>
      </w:r>
      <w:r>
        <w:t xml:space="preserve">“</w:t>
      </w:r>
      <w:r>
        <w:t xml:space="preserve">optional</w:t>
      </w:r>
      <w:r>
        <w:t xml:space="preserve">”</w:t>
      </w:r>
      <w:r>
        <w:t xml:space="preserve"> </w:t>
      </w:r>
      <w:r>
        <w:t xml:space="preserve">contacts (Appendix B) at the Incident Commander’s discretion. This structure does not ensure that material information reaches the Company’s disclosure decision-makers</w:t>
      </w:r>
      <w:r>
        <w:t xml:space="preserve"> </w:t>
      </w:r>
      <w:r>
        <w:t xml:space="preserve">“</w:t>
      </w:r>
      <w:r>
        <w:t xml:space="preserve">within the time periods specified in the Commission’s rules and forms,</w:t>
      </w:r>
      <w:r>
        <w:t xml:space="preserve">”</w:t>
      </w:r>
      <w:r>
        <w:t xml:space="preserve"> </w:t>
      </w:r>
      <w:r>
        <w:t xml:space="preserve">as required by Rule 13a-15(a).</w:t>
      </w:r>
    </w:p>
    <w:p>
      <w:pPr>
        <w:pStyle w:val="BodyText"/>
      </w:pPr>
      <w:r>
        <w:rPr>
          <w:b/>
          <w:bCs/>
        </w:rPr>
        <w:t xml:space="preserve">Gap C-2. ICFR impact not assessed.</w:t>
      </w:r>
      <w:r>
        <w:t xml:space="preserve"> </w:t>
      </w:r>
      <w:r>
        <w:t xml:space="preserve">The Incident encrypted the ERP finance, procurement, and order-management modules — the systems that support the Company’s core transaction processing, accounts payable and receivable, general ledger, and financial reporting. Thorngate reports that</w:t>
      </w:r>
      <w:r>
        <w:t xml:space="preserve"> </w:t>
      </w:r>
      <w:r>
        <w:t xml:space="preserve">“</w:t>
      </w:r>
      <w:r>
        <w:t xml:space="preserve">certain ERP functions may produce results that require manual verification</w:t>
      </w:r>
      <w:r>
        <w:t xml:space="preserve">”</w:t>
      </w:r>
      <w:r>
        <w:t xml:space="preserve"> </w:t>
      </w:r>
      <w:r>
        <w:t xml:space="preserve">and that data-integrity validation is ongoing. The Company has not assessed whether the Incident created a material weakness or significant deficiency in ICFR. Given that the Company’s fiscal year ends December 31, 2024, and the FY2024 10-K will require Section 302/404 certifications, this assessment is time-critical.</w:t>
      </w:r>
    </w:p>
    <w:p>
      <w:pPr>
        <w:pStyle w:val="BodyText"/>
      </w:pPr>
      <w:r>
        <w:rPr>
          <w:b/>
          <w:bCs/>
        </w:rPr>
        <w:t xml:space="preserve">Gap C-3. No disclosure-controls certification analysis initiated.</w:t>
      </w:r>
      <w:r>
        <w:t xml:space="preserve"> </w:t>
      </w:r>
      <w:r>
        <w:t xml:space="preserve">The CEO and CFO certifications in the FY2024 10-K will require conclusions about the effectiveness of disclosure controls and procedures. The delays and escalation failures identified above may require disclosure of a material weakness or significant deficiency in Item 9A of the FY2024 10-K. The Company should begin this analysis now.</w:t>
      </w:r>
    </w:p>
    <w:bookmarkEnd w:id="32"/>
    <w:bookmarkStart w:id="33" w:name="X01c156d8da38ef81f7312f9daef9ccb4ca798b4"/>
    <w:p>
      <w:pPr>
        <w:pStyle w:val="Heading3"/>
      </w:pPr>
      <w:r>
        <w:t xml:space="preserve">D. Board and Audit Committee Governance — Charter and Oversight —</w:t>
      </w:r>
      <w:r>
        <w:t xml:space="preserve"> </w:t>
      </w:r>
      <w:r>
        <w:rPr>
          <w:b/>
          <w:bCs/>
        </w:rPr>
        <w:t xml:space="preserve">HIGH</w:t>
      </w:r>
    </w:p>
    <w:p>
      <w:pPr>
        <w:pStyle w:val="FirstParagraph"/>
      </w:pPr>
      <w:r>
        <w:rPr>
          <w:b/>
          <w:bCs/>
        </w:rPr>
        <w:t xml:space="preserve">Gap D-1. Audit Committee Charter does not address cybersecurity.</w:t>
      </w:r>
      <w:r>
        <w:t xml:space="preserve"> </w:t>
      </w:r>
      <w:r>
        <w:t xml:space="preserve">The Audit Committee Charter (last amended and restated March 15, 2021) does not mention cybersecurity anywhere. Section V.D (</w:t>
      </w:r>
      <w:r>
        <w:t xml:space="preserve">“</w:t>
      </w:r>
      <w:r>
        <w:t xml:space="preserve">Compliance and Risk Management</w:t>
      </w:r>
      <w:r>
        <w:t xml:space="preserve">”</w:t>
      </w:r>
      <w:r>
        <w:t xml:space="preserve">) addresses</w:t>
      </w:r>
      <w:r>
        <w:t xml:space="preserve"> </w:t>
      </w:r>
      <w:r>
        <w:t xml:space="preserve">“</w:t>
      </w:r>
      <w:r>
        <w:t xml:space="preserve">major financial risk exposures</w:t>
      </w:r>
      <w:r>
        <w:t xml:space="preserve">”</w:t>
      </w:r>
      <w:r>
        <w:t xml:space="preserve"> </w:t>
      </w:r>
      <w:r>
        <w:t xml:space="preserve">but is silent on cybersecurity risk. The Charter predates the SEC’s cybersecurity disclosure rules (effective September 5, 2023) and has not been updated. This is inconsistent with the Item 1C governance disclosure, which states that</w:t>
      </w:r>
      <w:r>
        <w:t xml:space="preserve"> </w:t>
      </w:r>
      <w:r>
        <w:t xml:space="preserve">“</w:t>
      </w:r>
      <w:r>
        <w:t xml:space="preserve">the Board, acting primarily through its Audit Committee, oversees the Company’s cybersecurity risk management program</w:t>
      </w:r>
      <w:r>
        <w:t xml:space="preserve">”</w:t>
      </w:r>
      <w:r>
        <w:t xml:space="preserve"> </w:t>
      </w:r>
      <w:r>
        <w:t xml:space="preserve">and that the Audit Committee</w:t>
      </w:r>
      <w:r>
        <w:t xml:space="preserve"> </w:t>
      </w:r>
      <w:r>
        <w:t xml:space="preserve">“</w:t>
      </w:r>
      <w:r>
        <w:t xml:space="preserve">receives quarterly updates on the Company’s cybersecurity posture.</w:t>
      </w:r>
      <w:r>
        <w:t xml:space="preserve">”</w:t>
      </w:r>
      <w:r>
        <w:t xml:space="preserve"> </w:t>
      </w:r>
      <w:r>
        <w:t xml:space="preserve">The absence of an express charter mandate creates a gap between disclosed governance and documented authority and weakens the Company’s ability to demonstrate Board-level oversight to the SEC, auditors, and plaintiffs.</w:t>
      </w:r>
    </w:p>
    <w:p>
      <w:pPr>
        <w:pStyle w:val="BodyText"/>
      </w:pPr>
      <w:r>
        <w:rPr>
          <w:b/>
          <w:bCs/>
        </w:rPr>
        <w:t xml:space="preserve">Gap D-2. No special Audit Committee meeting called.</w:t>
      </w:r>
      <w:r>
        <w:t xml:space="preserve"> </w:t>
      </w:r>
      <w:r>
        <w:t xml:space="preserve">The Audit Committee Chair was first notified on December 3, 2024 (Day 15). The next regularly scheduled meeting is January 22, 2025 — more than two months after discovery. The General Counsel’s December 3 email suggests the matter be discussed</w:t>
      </w:r>
      <w:r>
        <w:t xml:space="preserve"> </w:t>
      </w:r>
      <w:r>
        <w:t xml:space="preserve">“</w:t>
      </w:r>
      <w:r>
        <w:t xml:space="preserve">at the next scheduled Audit Committee meeting on January 22, 2025, or sooner if you believe a special session is warranted.</w:t>
      </w:r>
      <w:r>
        <w:t xml:space="preserve">”</w:t>
      </w:r>
      <w:r>
        <w:t xml:space="preserve"> </w:t>
      </w:r>
      <w:r>
        <w:t xml:space="preserve">For an incident of this magnitude, deferring Board-level oversight to a routine quarterly meeting is inconsistent with the Item 1C representation that the Board is informed</w:t>
      </w:r>
      <w:r>
        <w:t xml:space="preserve"> </w:t>
      </w:r>
      <w:r>
        <w:t xml:space="preserve">“</w:t>
      </w:r>
      <w:r>
        <w:t xml:space="preserve">in a timely manner</w:t>
      </w:r>
      <w:r>
        <w:t xml:space="preserve">”</w:t>
      </w:r>
      <w:r>
        <w:t xml:space="preserve"> </w:t>
      </w:r>
      <w:r>
        <w:t xml:space="preserve">of significant incidents. A special meeting should be convened promptly.</w:t>
      </w:r>
    </w:p>
    <w:p>
      <w:pPr>
        <w:pStyle w:val="BodyText"/>
      </w:pPr>
      <w:r>
        <w:rPr>
          <w:b/>
          <w:bCs/>
        </w:rPr>
        <w:t xml:space="preserve">Gap D-3. CISO lacks direct reporting access to the Board/Audit Committee.</w:t>
      </w:r>
      <w:r>
        <w:t xml:space="preserve"> </w:t>
      </w:r>
      <w:r>
        <w:t xml:space="preserve">The CISO reports to the CTO, who reports to the CEO; Audit Committee visibility is limited to the CTO’s quarterly technology updates. The Item 1C disclosure describes this structure, but the Incident demonstrates that it contributed to the 15-day delay in Board notification. Item 106(c) governance disclosure and emerging best practices favor direct CISO access to the Audit Committee (or a designated cybersecurity-oversight body) for significant incidents. The Company should consider establishing a direct reporting line or a mandatory escalation trigger for Tier 3 incidents.</w:t>
      </w:r>
    </w:p>
    <w:bookmarkEnd w:id="33"/>
    <w:bookmarkStart w:id="34" w:name="Xd36777617f8be3fa703422544dca8bbed19197a"/>
    <w:p>
      <w:pPr>
        <w:pStyle w:val="Heading3"/>
      </w:pPr>
      <w:r>
        <w:t xml:space="preserve">E. Cybersecurity Incident Response Plan (CIRP) Deficiencies —</w:t>
      </w:r>
      <w:r>
        <w:t xml:space="preserve"> </w:t>
      </w:r>
      <w:r>
        <w:rPr>
          <w:b/>
          <w:bCs/>
        </w:rPr>
        <w:t xml:space="preserve">HIGH</w:t>
      </w:r>
    </w:p>
    <w:p>
      <w:pPr>
        <w:pStyle w:val="FirstParagraph"/>
      </w:pPr>
      <w:r>
        <w:rPr>
          <w:b/>
          <w:bCs/>
        </w:rPr>
        <w:t xml:space="preserve">Gap E-1. Escalation matrix does not mandate notice to the General Counsel, CEO, Audit Committee, or Board.</w:t>
      </w:r>
      <w:r>
        <w:t xml:space="preserve"> </w:t>
      </w:r>
      <w:r>
        <w:t xml:space="preserve">The CIRP escalation matrix (Section 10.1) requires escalation only from the CISO to the CTO. The General Counsel, CEO, and Board are listed in Appendix B as</w:t>
      </w:r>
      <w:r>
        <w:t xml:space="preserve"> </w:t>
      </w:r>
      <w:r>
        <w:t xml:space="preserve">“</w:t>
      </w:r>
      <w:r>
        <w:t xml:space="preserve">optional contacts</w:t>
      </w:r>
      <w:r>
        <w:t xml:space="preserve">”</w:t>
      </w:r>
      <w:r>
        <w:t xml:space="preserve"> </w:t>
      </w:r>
      <w:r>
        <w:t xml:space="preserve">at the Incident Commander’s discretion, with the note that the Incident Commander</w:t>
      </w:r>
      <w:r>
        <w:t xml:space="preserve"> </w:t>
      </w:r>
      <w:r>
        <w:t xml:space="preserve">“</w:t>
      </w:r>
      <w:r>
        <w:t xml:space="preserve">should consult the CTO before engaging optional contacts.</w:t>
      </w:r>
      <w:r>
        <w:t xml:space="preserve">”</w:t>
      </w:r>
      <w:r>
        <w:t xml:space="preserve"> </w:t>
      </w:r>
      <w:r>
        <w:t xml:space="preserve">This design is the proximate cause of the disclosure-controls breakdown: the Company’s principal disclosure officer (the General Counsel) was not in the mandatory notification chain. The CIRP must be revised to mandate prompt notification of the General Counsel (as disclosure officer), the CEO, and the Audit Committee/Board for all Tier 2 and Tier 3 incidents, with defined timeframes.</w:t>
      </w:r>
    </w:p>
    <w:p>
      <w:pPr>
        <w:pStyle w:val="BodyText"/>
      </w:pPr>
      <w:r>
        <w:rPr>
          <w:b/>
          <w:bCs/>
        </w:rPr>
        <w:t xml:space="preserve">Gap E-2. External communications expressly excluded from CIRP scope.</w:t>
      </w:r>
      <w:r>
        <w:t xml:space="preserve"> </w:t>
      </w:r>
      <w:r>
        <w:t xml:space="preserve">CIRP Section 9.3 states that</w:t>
      </w:r>
      <w:r>
        <w:t xml:space="preserve"> </w:t>
      </w:r>
      <w:r>
        <w:t xml:space="preserve">“</w:t>
      </w:r>
      <w:r>
        <w:t xml:space="preserve">[e]xternal communications regarding cybersecurity incidents — including communications to customers, regulators, media, or the public — are outside the scope of this Plan.</w:t>
      </w:r>
      <w:r>
        <w:t xml:space="preserve">”</w:t>
      </w:r>
      <w:r>
        <w:t xml:space="preserve"> </w:t>
      </w:r>
      <w:r>
        <w:t xml:space="preserve">This is a structural deficiency: the CIRP governs the technical response but provides no framework, triggers, or coordination protocol for the customer, regulatory, and public disclosures that a material incident requires. The Plan should be integrated with a disclosure-decision protocol that links severity classification to materiality assessment and external-notification workflows (customer contracts, state breach laws, GDPR, SEC 8-K).</w:t>
      </w:r>
    </w:p>
    <w:p>
      <w:pPr>
        <w:pStyle w:val="BodyText"/>
      </w:pPr>
      <w:r>
        <w:rPr>
          <w:b/>
          <w:bCs/>
        </w:rPr>
        <w:t xml:space="preserve">Gap E-3. No tabletop exercises or simulations conducted.</w:t>
      </w:r>
      <w:r>
        <w:t xml:space="preserve"> </w:t>
      </w:r>
      <w:r>
        <w:t xml:space="preserve">The CIRP (Sections 1.4 and 4.3) expressly acknowledges that</w:t>
      </w:r>
      <w:r>
        <w:t xml:space="preserve"> </w:t>
      </w:r>
      <w:r>
        <w:t xml:space="preserve">“</w:t>
      </w:r>
      <w:r>
        <w:t xml:space="preserve">no tabletop exercises or simulation-based tests of this Plan have been conducted.</w:t>
      </w:r>
      <w:r>
        <w:t xml:space="preserve">”</w:t>
      </w:r>
      <w:r>
        <w:t xml:space="preserve"> </w:t>
      </w:r>
      <w:r>
        <w:t xml:space="preserve">The Item 1C disclosure describes an</w:t>
      </w:r>
      <w:r>
        <w:t xml:space="preserve"> </w:t>
      </w:r>
      <w:r>
        <w:t xml:space="preserve">“</w:t>
      </w:r>
      <w:r>
        <w:t xml:space="preserve">adaptive</w:t>
      </w:r>
      <w:r>
        <w:t xml:space="preserve">”</w:t>
      </w:r>
      <w:r>
        <w:t xml:space="preserve"> </w:t>
      </w:r>
      <w:r>
        <w:t xml:space="preserve">program, but an untested plan cannot credibly be represented as such. The absence of testing also means the escalation and disclosure gaps identified here were never surfaced internally. The Company should implement a regular exercise schedule and document results for the Audit Committee.</w:t>
      </w:r>
    </w:p>
    <w:p>
      <w:pPr>
        <w:pStyle w:val="BodyText"/>
      </w:pPr>
      <w:r>
        <w:rPr>
          <w:b/>
          <w:bCs/>
        </w:rPr>
        <w:t xml:space="preserve">Gap E-4. CIRP not substantively updated since June 2022.</w:t>
      </w:r>
      <w:r>
        <w:t xml:space="preserve"> </w:t>
      </w:r>
      <w:r>
        <w:t xml:space="preserve">The CIRP has had no substantive revision since its June 15, 2022 original release; the August 2023</w:t>
      </w:r>
      <w:r>
        <w:t xml:space="preserve"> </w:t>
      </w:r>
      <w:r>
        <w:t xml:space="preserve">“</w:t>
      </w:r>
      <w:r>
        <w:t xml:space="preserve">review</w:t>
      </w:r>
      <w:r>
        <w:t xml:space="preserve">”</w:t>
      </w:r>
      <w:r>
        <w:t xml:space="preserve"> </w:t>
      </w:r>
      <w:r>
        <w:t xml:space="preserve">was administrative only. The threat landscape, the Company’s environment, and the regulatory framework (including the SEC’s September 2023 rules) have all changed materially. The CIRP should be substantively reviewed and updated, with CTO re-approval, and the Item 1C description should accurately reflect the review cadence.</w:t>
      </w:r>
    </w:p>
    <w:p>
      <w:pPr>
        <w:pStyle w:val="BodyText"/>
      </w:pPr>
      <w:r>
        <w:rPr>
          <w:b/>
          <w:bCs/>
        </w:rPr>
        <w:t xml:space="preserve">Gap E-5. Severity classification is purely technical and does not incorporate materiality or disclosure triggers.</w:t>
      </w:r>
      <w:r>
        <w:t xml:space="preserve"> </w:t>
      </w:r>
      <w:r>
        <w:t xml:space="preserve">The CIRP severity matrix (Section 3.2) classifies incidents solely on technical criteria (endpoint count, downtime, data exfiltration, privileged-credential compromise). It contains no bridge from technical severity to materiality assessment or disclosure obligations. A Tier 3 technical classification does not automatically trigger a materiality analysis. The Plan should incorporate a materiality-assessment step and a disclosure-decision checkpoint for Tier 2/Tier 3 incidents.</w:t>
      </w:r>
    </w:p>
    <w:bookmarkEnd w:id="34"/>
    <w:bookmarkStart w:id="35" w:name="X59004c4c2bec760a44afb860ed5865fa8c2fe39"/>
    <w:p>
      <w:pPr>
        <w:pStyle w:val="Heading3"/>
      </w:pPr>
      <w:r>
        <w:t xml:space="preserve">F. Regulation FD, Selective Disclosure, and Insider Trading —</w:t>
      </w:r>
      <w:r>
        <w:t xml:space="preserve"> </w:t>
      </w:r>
      <w:r>
        <w:rPr>
          <w:b/>
          <w:bCs/>
        </w:rPr>
        <w:t xml:space="preserve">CRITICAL</w:t>
      </w:r>
    </w:p>
    <w:p>
      <w:pPr>
        <w:pStyle w:val="FirstParagraph"/>
      </w:pPr>
      <w:r>
        <w:rPr>
          <w:b/>
          <w:bCs/>
        </w:rPr>
        <w:t xml:space="preserve">Gap F-1. No insider trading blackout implemented.</w:t>
      </w:r>
      <w:r>
        <w:t xml:space="preserve"> </w:t>
      </w:r>
      <w:r>
        <w:t xml:space="preserve">As of December 5, 2024, a defined class of insiders — including the CEO, CTO, CISO, General Counsel, Associate General Counsel, and the Audit Committee Chair — has possessed material nonpublic information about the Incident since on or before November 25, 2024 (and earlier for certain officers). The documents reviewed contain no indication that the Company has imposed a trading blackout, closed any window, or issued insider-trading reminders. If any insider has traded, or trades, in Vantage securities while aware of this information, the Company and the individual face Rule 10b-5 and Section 16 liability risk. A blackout should be implemented immediately and retroactively documented.</w:t>
      </w:r>
    </w:p>
    <w:p>
      <w:pPr>
        <w:pStyle w:val="BodyText"/>
      </w:pPr>
      <w:r>
        <w:rPr>
          <w:b/>
          <w:bCs/>
        </w:rPr>
        <w:t xml:space="preserve">Gap F-2. Selective disclosure risk.</w:t>
      </w:r>
      <w:r>
        <w:t xml:space="preserve"> </w:t>
      </w:r>
      <w:r>
        <w:t xml:space="preserve">Material nonpublic information regarding the Incident has been selectively communicated to the Audit Committee Chair (December 3) and to members of management without any broad public disclosure. While internal communications to directors and officers in their fiduciary capacities are generally outside Regulation FD, the Company should be alert to any communication of this information to outside parties (e.g., lenders, significant shareholders, analysts, or the Kessler counterparty) that would trigger Regulation FD’s simultaneous or prompt-disclosure requirement. The Company should restrict internal circulation on a need-to-know basis and prepare a public disclosure to cure any selective-disclosure exposure.</w:t>
      </w:r>
    </w:p>
    <w:p>
      <w:pPr>
        <w:pStyle w:val="BodyText"/>
      </w:pPr>
      <w:r>
        <w:rPr>
          <w:b/>
          <w:bCs/>
        </w:rPr>
        <w:t xml:space="preserve">Gap F-3. No Regulation FD /</w:t>
      </w:r>
      <w:r>
        <w:rPr>
          <w:b/>
          <w:bCs/>
        </w:rPr>
        <w:t xml:space="preserve"> </w:t>
      </w:r>
      <w:r>
        <w:rPr>
          <w:b/>
          <w:bCs/>
        </w:rPr>
        <w:t xml:space="preserve">“</w:t>
      </w:r>
      <w:r>
        <w:rPr>
          <w:b/>
          <w:bCs/>
        </w:rPr>
        <w:t xml:space="preserve">duty to update</w:t>
      </w:r>
      <w:r>
        <w:rPr>
          <w:b/>
          <w:bCs/>
        </w:rPr>
        <w:t xml:space="preserve">”</w:t>
      </w:r>
      <w:r>
        <w:rPr>
          <w:b/>
          <w:bCs/>
        </w:rPr>
        <w:t xml:space="preserve"> </w:t>
      </w:r>
      <w:r>
        <w:rPr>
          <w:b/>
          <w:bCs/>
        </w:rPr>
        <w:t xml:space="preserve">analysis documented.</w:t>
      </w:r>
      <w:r>
        <w:t xml:space="preserve"> </w:t>
      </w:r>
      <w:r>
        <w:t xml:space="preserve">Because the Company has made public cybersecurity disclosures (Item 1C) and is engaged in a material acquisition, it should analyze whether its continued silence creates a</w:t>
      </w:r>
      <w:r>
        <w:t xml:space="preserve"> </w:t>
      </w:r>
      <w:r>
        <w:t xml:space="preserve">“</w:t>
      </w:r>
      <w:r>
        <w:t xml:space="preserve">duty to update</w:t>
      </w:r>
      <w:r>
        <w:t xml:space="preserve">”</w:t>
      </w:r>
      <w:r>
        <w:t xml:space="preserve"> </w:t>
      </w:r>
      <w:r>
        <w:t xml:space="preserve">risk and whether a voluntary disclosure under Item 7.01/8.01 is advisable to manage Reg FD and insider-trading exposure pending the materiality determination.</w:t>
      </w:r>
    </w:p>
    <w:bookmarkEnd w:id="35"/>
    <w:bookmarkStart w:id="36" w:name="X49208a9a729d0474ef0205a9f77074a922bd7da"/>
    <w:p>
      <w:pPr>
        <w:pStyle w:val="Heading3"/>
      </w:pPr>
      <w:r>
        <w:t xml:space="preserve">G. Customer Contract Notification Obligations —</w:t>
      </w:r>
      <w:r>
        <w:t xml:space="preserve"> </w:t>
      </w:r>
      <w:r>
        <w:rPr>
          <w:b/>
          <w:bCs/>
        </w:rPr>
        <w:t xml:space="preserve">CRITICAL</w:t>
      </w:r>
    </w:p>
    <w:p>
      <w:pPr>
        <w:pStyle w:val="FirstParagraph"/>
      </w:pPr>
      <w:r>
        <w:rPr>
          <w:b/>
          <w:bCs/>
        </w:rPr>
        <w:t xml:space="preserve">Gap G-1. 48-hour notification deadlines missed with three top-ten customers.</w:t>
      </w:r>
      <w:r>
        <w:t xml:space="preserve"> </w:t>
      </w:r>
      <w:r>
        <w:t xml:space="preserve">The Office of the General Counsel’s contract extract (December 5, 2024) confirms that Harmon Defense Solutions, Crestfield Aerospace, and Nexagen Manufacturing each impose a</w:t>
      </w:r>
      <w:r>
        <w:t xml:space="preserve"> </w:t>
      </w:r>
      <w:r>
        <w:rPr>
          <w:b/>
          <w:bCs/>
        </w:rPr>
        <w:t xml:space="preserve">48-hour notification obligation</w:t>
      </w:r>
      <w:r>
        <w:t xml:space="preserve"> </w:t>
      </w:r>
      <w:r>
        <w:t xml:space="preserve">from discovery of a security incident/breach affecting their data. Discovery occurred November 18, 2024; the deadlines expired no later than November 20, 2024.</w:t>
      </w:r>
      <w:r>
        <w:t xml:space="preserve"> </w:t>
      </w:r>
      <w:r>
        <w:rPr>
          <w:b/>
          <w:bCs/>
        </w:rPr>
        <w:t xml:space="preserve">As of December 5, 2024, no notifications have been sent to any of these customers</w:t>
      </w:r>
      <w:r>
        <w:t xml:space="preserve"> </w:t>
      </w:r>
      <w:r>
        <w:t xml:space="preserve">— approximately 15 days late. These three customers are among the Company’s top ten (collectively ~38% of revenue).</w:t>
      </w:r>
    </w:p>
    <w:p>
      <w:pPr>
        <w:pStyle w:val="BodyText"/>
      </w:pPr>
      <w:r>
        <w:rPr>
          <w:b/>
          <w:bCs/>
        </w:rPr>
        <w:t xml:space="preserve">Gap G-2. Material contractual consequences have accrued.</w:t>
      </w:r>
      <w:r>
        <w:t xml:space="preserve"> </w:t>
      </w:r>
      <w:r>
        <w:t xml:space="preserve">The missed deadlines trigger significant contractual remedies: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w:t>
            </w:r>
          </w:p>
        </w:tc>
        <w:tc>
          <w:tcPr/>
          <w:p>
            <w:pPr>
              <w:pStyle w:val="Compact"/>
              <w:jc w:val="left"/>
            </w:pPr>
            <w:r>
              <w:t xml:space="preserve">Liquidated Damages</w:t>
            </w:r>
          </w:p>
        </w:tc>
        <w:tc>
          <w:tcPr/>
          <w:p>
            <w:pPr>
              <w:pStyle w:val="Compact"/>
              <w:jc w:val="left"/>
            </w:pPr>
            <w:r>
              <w:t xml:space="preserve">Termination Right</w:t>
            </w:r>
          </w:p>
        </w:tc>
        <w:tc>
          <w:tcPr/>
          <w:p>
            <w:pPr>
              <w:pStyle w:val="Compact"/>
              <w:jc w:val="left"/>
            </w:pPr>
            <w:r>
              <w:t xml:space="preserve">Other Remedies</w:t>
            </w:r>
          </w:p>
        </w:tc>
      </w:tr>
      <w:tr>
        <w:tc>
          <w:tcPr/>
          <w:p>
            <w:pPr>
              <w:pStyle w:val="Compact"/>
              <w:jc w:val="left"/>
            </w:pPr>
            <w:r>
              <w:t xml:space="preserve">Harmon Defense Solutions</w:t>
            </w:r>
          </w:p>
        </w:tc>
        <w:tc>
          <w:tcPr/>
          <w:p>
            <w:pPr>
              <w:pStyle w:val="Compact"/>
              <w:jc w:val="left"/>
            </w:pPr>
            <w:r>
              <w:rPr>
                <w:b/>
                <w:bCs/>
              </w:rPr>
              <w:t xml:space="preserve">$500,000 per incident</w:t>
            </w:r>
            <w:r>
              <w:t xml:space="preserve"> </w:t>
            </w:r>
            <w:r>
              <w:t xml:space="preserve">for late notification</w:t>
            </w:r>
          </w:p>
        </w:tc>
        <w:tc>
          <w:tcPr/>
          <w:p>
            <w:pPr>
              <w:pStyle w:val="Compact"/>
              <w:jc w:val="left"/>
            </w:pPr>
            <w:r>
              <w:t xml:space="preserve">30 days’ notice</w:t>
            </w:r>
          </w:p>
        </w:tc>
        <w:tc>
          <w:tcPr/>
          <w:p>
            <w:pPr>
              <w:pStyle w:val="Compact"/>
              <w:jc w:val="left"/>
            </w:pPr>
            <w:r>
              <w:t xml:space="preserve">Full indemnity (incl. regulatory-investigation, notification, and credit-monitoring costs); 3-year survival</w:t>
            </w:r>
          </w:p>
        </w:tc>
      </w:tr>
      <w:tr>
        <w:tc>
          <w:tcPr/>
          <w:p>
            <w:pPr>
              <w:pStyle w:val="Compact"/>
              <w:jc w:val="left"/>
            </w:pPr>
            <w:r>
              <w:t xml:space="preserve">Crestfield Aerospace</w:t>
            </w:r>
          </w:p>
        </w:tc>
        <w:tc>
          <w:tcPr/>
          <w:p>
            <w:pPr>
              <w:pStyle w:val="Compact"/>
              <w:jc w:val="left"/>
            </w:pPr>
            <w:r>
              <w:t xml:space="preserve">None specified</w:t>
            </w:r>
          </w:p>
        </w:tc>
        <w:tc>
          <w:tcPr/>
          <w:p>
            <w:pPr>
              <w:pStyle w:val="Compact"/>
              <w:jc w:val="left"/>
            </w:pPr>
            <w:r>
              <w:rPr>
                <w:b/>
                <w:bCs/>
              </w:rPr>
              <w:t xml:space="preserve">Immediate</w:t>
            </w:r>
          </w:p>
        </w:tc>
        <w:tc>
          <w:tcPr/>
          <w:p>
            <w:pPr>
              <w:pStyle w:val="Compact"/>
              <w:jc w:val="left"/>
            </w:pPr>
            <w:r>
              <w:t xml:space="preserve">Payment suspension pending investigation; 12-month audit right at Vantage’s expense; full indemnity + credit monitoring; $10M insurance requirement</w:t>
            </w:r>
          </w:p>
        </w:tc>
      </w:tr>
      <w:tr>
        <w:tc>
          <w:tcPr/>
          <w:p>
            <w:pPr>
              <w:pStyle w:val="Compact"/>
              <w:jc w:val="left"/>
            </w:pPr>
            <w:r>
              <w:t xml:space="preserve">Nexagen Manufacturing</w:t>
            </w:r>
          </w:p>
        </w:tc>
        <w:tc>
          <w:tcPr/>
          <w:p>
            <w:pPr>
              <w:pStyle w:val="Compact"/>
              <w:jc w:val="left"/>
            </w:pPr>
            <w:r>
              <w:t xml:space="preserve">None specified</w:t>
            </w:r>
          </w:p>
        </w:tc>
        <w:tc>
          <w:tcPr/>
          <w:p>
            <w:pPr>
              <w:pStyle w:val="Compact"/>
              <w:jc w:val="left"/>
            </w:pPr>
            <w:r>
              <w:t xml:space="preserve">15 days (immediate if security-standards failure)</w:t>
            </w:r>
          </w:p>
        </w:tc>
        <w:tc>
          <w:tcPr/>
          <w:p>
            <w:pPr>
              <w:pStyle w:val="Compact"/>
              <w:jc w:val="left"/>
            </w:pPr>
            <w:r>
              <w:t xml:space="preserve">Full indemnity + regulatory-compliance costs;</w:t>
            </w:r>
            <w:r>
              <w:t xml:space="preserve"> </w:t>
            </w:r>
            <w:r>
              <w:rPr>
                <w:b/>
                <w:bCs/>
              </w:rPr>
              <w:t xml:space="preserve">up to 24-month exclusion from future business</w:t>
            </w:r>
          </w:p>
        </w:tc>
      </w:tr>
    </w:tbl>
    <w:p>
      <w:pPr>
        <w:pStyle w:val="BodyText"/>
      </w:pPr>
      <w:r>
        <w:rPr>
          <w:b/>
          <w:bCs/>
        </w:rPr>
        <w:t xml:space="preserve">Gap G-3. Revenue-concentration risk.</w:t>
      </w:r>
      <w:r>
        <w:t xml:space="preserve"> </w:t>
      </w:r>
      <w:r>
        <w:t xml:space="preserve">At least six (6) of the top ten customers (representing a substantial portion of the ~$710.6 million in concentrated revenue) are believed to have records in the exfiltrated dataset. The combination of breached notification deadlines, termination rights, payment-suspension rights, and future-business exclusion creates a material risk to revenue that significantly elevates the materiality of the Incident (see Part V) and must be quantified for the materiality determination and for any 8-K disclosure of reasonably likely material impact.</w:t>
      </w:r>
    </w:p>
    <w:p>
      <w:pPr>
        <w:pStyle w:val="BodyText"/>
      </w:pPr>
      <w:r>
        <w:rPr>
          <w:b/>
          <w:bCs/>
        </w:rPr>
        <w:t xml:space="preserve">Gap G-4. Additional customer contracts not yet reviewed.</w:t>
      </w:r>
      <w:r>
        <w:t xml:space="preserve"> </w:t>
      </w:r>
      <w:r>
        <w:t xml:space="preserve">The contract extract notes that only three of the top-twenty customer contracts have been reviewed and that the full review is expected by December 10, 2024. Additional notification obligations and remedies may exist. The Company should expedite the full contract review and triage notification obligations by deadline.</w:t>
      </w:r>
    </w:p>
    <w:p>
      <w:pPr>
        <w:pStyle w:val="BodyText"/>
      </w:pPr>
      <w:r>
        <w:rPr>
          <w:b/>
          <w:bCs/>
        </w:rPr>
        <w:t xml:space="preserve">Gap G-5. Forensic-report-sharing obligations.</w:t>
      </w:r>
      <w:r>
        <w:t xml:space="preserve"> </w:t>
      </w:r>
      <w:r>
        <w:t xml:space="preserve">Crestfield requires delivery of the forensic investigator’s findings within 30 days of the investigation’s conclusion; Nexagen requires a preliminary report within 5 business days and a final report within 60 days of initial notification. The Company should plan to satisfy these obligations (subject to privilege protections) and coordinate with Thorngate and counsel on deliverable scope and timing.</w:t>
      </w:r>
    </w:p>
    <w:bookmarkEnd w:id="36"/>
    <w:bookmarkStart w:id="37" w:name="Xcd5a7e4f2838bfeef67f9641e0e5e418a28a8ee"/>
    <w:p>
      <w:pPr>
        <w:pStyle w:val="Heading3"/>
      </w:pPr>
      <w:r>
        <w:t xml:space="preserve">H. State and International Data-Breach Notification Obligations —</w:t>
      </w:r>
      <w:r>
        <w:t xml:space="preserve"> </w:t>
      </w:r>
      <w:r>
        <w:rPr>
          <w:b/>
          <w:bCs/>
        </w:rPr>
        <w:t xml:space="preserve">HIGH</w:t>
      </w:r>
    </w:p>
    <w:p>
      <w:pPr>
        <w:pStyle w:val="FirstParagraph"/>
      </w:pPr>
      <w:r>
        <w:rPr>
          <w:b/>
          <w:bCs/>
        </w:rPr>
        <w:t xml:space="preserve">Gap H-1. No state notifications commenced.</w:t>
      </w:r>
      <w:r>
        <w:t xml:space="preserve"> </w:t>
      </w:r>
      <w:r>
        <w:t xml:space="preserve">Affected records span at least 38 U.S. states. The exfiltrated data includes financial-account information (ACH routing and account numbers) and PII, which trigger notification obligations under numerous state data-breach notification statutes (typically requiring notice to affected individuals</w:t>
      </w:r>
      <w:r>
        <w:t xml:space="preserve"> </w:t>
      </w:r>
      <w:r>
        <w:t xml:space="preserve">“</w:t>
      </w:r>
      <w:r>
        <w:t xml:space="preserve">without unreasonable delay</w:t>
      </w:r>
      <w:r>
        <w:t xml:space="preserve">”</w:t>
      </w:r>
      <w:r>
        <w:t xml:space="preserve"> </w:t>
      </w:r>
      <w:r>
        <w:t xml:space="preserve">or within 30–60 days, and notice to state attorneys general above defined resident thresholds; several states require notice to credit-reporting agencies where financial-account data of more than a specified number of residents is implicated).</w:t>
      </w:r>
      <w:r>
        <w:t xml:space="preserve"> </w:t>
      </w:r>
      <w:r>
        <w:rPr>
          <w:b/>
          <w:bCs/>
        </w:rPr>
        <w:t xml:space="preserve">No state notifications have been filed as of December 5, 2024.</w:t>
      </w:r>
      <w:r>
        <w:t xml:space="preserve"> </w:t>
      </w:r>
      <w:r>
        <w:t xml:space="preserve">The Company should immediately map affected residents by state, determine applicable deadlines, and commence notifications.</w:t>
      </w:r>
    </w:p>
    <w:p>
      <w:pPr>
        <w:pStyle w:val="BodyText"/>
      </w:pPr>
      <w:r>
        <w:rPr>
          <w:b/>
          <w:bCs/>
        </w:rPr>
        <w:t xml:space="preserve">Gap H-2. GDPR / EU and other international obligations.</w:t>
      </w:r>
      <w:r>
        <w:t xml:space="preserve"> </w:t>
      </w:r>
      <w:r>
        <w:t xml:space="preserve">Affected customers include entities in Germany and the United Kingdom. Under the EU General Data Protection Regulation (</w:t>
      </w:r>
      <w:r>
        <w:t xml:space="preserve">“</w:t>
      </w:r>
      <w:r>
        <w:t xml:space="preserve">GDPR</w:t>
      </w:r>
      <w:r>
        <w:t xml:space="preserve">”</w:t>
      </w:r>
      <w:r>
        <w:t xml:space="preserve">), Article 33 requires notification of a personal-data breach to the competent supervisory authority within</w:t>
      </w:r>
      <w:r>
        <w:t xml:space="preserve"> </w:t>
      </w:r>
      <w:r>
        <w:rPr>
          <w:b/>
          <w:bCs/>
        </w:rPr>
        <w:t xml:space="preserve">72 hours</w:t>
      </w:r>
      <w:r>
        <w:t xml:space="preserve"> </w:t>
      </w:r>
      <w:r>
        <w:t xml:space="preserve">of becoming aware, and Article 34 requires notification of data subjects without undue delay where the breach is likely to result in a high risk to their rights and freedoms. Mexico’s LFPDPPP and Canadian requirements may also apply. The Company became aware of EU-customer data exposure no later than December 1, 2024 (Thorngate interim report), and arguably earlier. The 72-hour GDPR supervisory-authority deadline may have already lapsed or be imminent.</w:t>
      </w:r>
      <w:r>
        <w:t xml:space="preserve"> </w:t>
      </w:r>
      <w:r>
        <w:rPr>
          <w:b/>
          <w:bCs/>
        </w:rPr>
        <w:t xml:space="preserve">No EU or other international notifications have been made.</w:t>
      </w:r>
      <w:r>
        <w:t xml:space="preserve"> </w:t>
      </w:r>
      <w:r>
        <w:t xml:space="preserve">The Company should engage EU privacy counsel immediately.</w:t>
      </w:r>
    </w:p>
    <w:p>
      <w:pPr>
        <w:pStyle w:val="BodyText"/>
      </w:pPr>
      <w:r>
        <w:rPr>
          <w:b/>
          <w:bCs/>
        </w:rPr>
        <w:t xml:space="preserve">Gap H-3. No breach-notification workflow integrated with the CIRP.</w:t>
      </w:r>
      <w:r>
        <w:t xml:space="preserve"> </w:t>
      </w:r>
      <w:r>
        <w:t xml:space="preserve">As noted in Gap E-2, the CIRP excludes external/regulatory communications from its scope. There is no documented workflow connecting the forensic determination of affected data categories and jurisdictions to the applicable breach-notification deadlines. This is a process gap that should be remediated.</w:t>
      </w:r>
    </w:p>
    <w:bookmarkEnd w:id="37"/>
    <w:bookmarkStart w:id="38" w:name="X48f931af954abe209d0a234aa03779e62cea25a"/>
    <w:p>
      <w:pPr>
        <w:pStyle w:val="Heading3"/>
      </w:pPr>
      <w:r>
        <w:t xml:space="preserve">I. Cyber-Insurance Coverage Risks —</w:t>
      </w:r>
      <w:r>
        <w:t xml:space="preserve"> </w:t>
      </w:r>
      <w:r>
        <w:rPr>
          <w:b/>
          <w:bCs/>
        </w:rPr>
        <w:t xml:space="preserve">CRITICAL</w:t>
      </w:r>
    </w:p>
    <w:p>
      <w:pPr>
        <w:pStyle w:val="FirstParagraph"/>
      </w:pPr>
      <w:r>
        <w:rPr>
          <w:b/>
          <w:bCs/>
        </w:rPr>
        <w:t xml:space="preserve">Gap I-1. Late notice to the insurer.</w:t>
      </w:r>
      <w:r>
        <w:t xml:space="preserve"> </w:t>
      </w:r>
      <w:r>
        <w:t xml:space="preserve">Ridgeline Insurance Group was notified on November 21, 2024, approximately</w:t>
      </w:r>
      <w:r>
        <w:t xml:space="preserve"> </w:t>
      </w:r>
      <w:r>
        <w:rPr>
          <w:b/>
          <w:bCs/>
        </w:rPr>
        <w:t xml:space="preserve">73 hours</w:t>
      </w:r>
      <w:r>
        <w:t xml:space="preserve"> </w:t>
      </w:r>
      <w:r>
        <w:t xml:space="preserve">after discovery. Policy CYB-2024-08871 (Section 5.1) requires notice</w:t>
      </w:r>
      <w:r>
        <w:t xml:space="preserve"> </w:t>
      </w:r>
      <w:r>
        <w:t xml:space="preserve">“</w:t>
      </w:r>
      <w:r>
        <w:t xml:space="preserve">in no event later than seventy-two (72) hours after Discovery.</w:t>
      </w:r>
      <w:r>
        <w:t xml:space="preserve">”</w:t>
      </w:r>
      <w:r>
        <w:t xml:space="preserve"> </w:t>
      </w:r>
      <w:r>
        <w:t xml:space="preserve">“</w:t>
      </w:r>
      <w:r>
        <w:t xml:space="preserve">Discovery</w:t>
      </w:r>
      <w:r>
        <w:t xml:space="preserve">”</w:t>
      </w:r>
      <w:r>
        <w:t xml:space="preserve"> </w:t>
      </w:r>
      <w:r>
        <w:t xml:space="preserve">is defined as the point at which the CISO, CIO, CTO, General Counsel, CFO, or any VP-level-or-above officer first becomes aware of facts indicating a Cyber Event. The CISO became aware on November 18, 2024. Notice was therefore late by approximately one hour. Ridgeline has</w:t>
      </w:r>
      <w:r>
        <w:t xml:space="preserve"> </w:t>
      </w:r>
      <w:r>
        <w:rPr>
          <w:b/>
          <w:bCs/>
        </w:rPr>
        <w:t xml:space="preserve">reserved rights on the timeliness of notice</w:t>
      </w:r>
      <w:r>
        <w:t xml:space="preserve">. While the policy contains a notice-prejudice framework in some jurisdictions, in jurisdictions applying strict compliance the late notice is a ground for denial. The Company should document the basis for the timing and prepare a prejudice analysis.</w:t>
      </w:r>
    </w:p>
    <w:p>
      <w:pPr>
        <w:pStyle w:val="BodyText"/>
      </w:pPr>
      <w:r>
        <w:rPr>
          <w:b/>
          <w:bCs/>
        </w:rPr>
        <w:t xml:space="preserve">Gap I-2. Potential application-warranty breach (MFA).</w:t>
      </w:r>
      <w:r>
        <w:t xml:space="preserve"> </w:t>
      </w:r>
      <w:r>
        <w:t xml:space="preserve">The Policy Application (October 15, 2023) warranted that the Company</w:t>
      </w:r>
      <w:r>
        <w:t xml:space="preserve"> </w:t>
      </w:r>
      <w:r>
        <w:t xml:space="preserve">“</w:t>
      </w:r>
      <w:r>
        <w:t xml:space="preserve">employs multi-factor authentication for all remote access to Computer Systems.</w:t>
      </w:r>
      <w:r>
        <w:t xml:space="preserve">”</w:t>
      </w:r>
      <w:r>
        <w:t xml:space="preserve"> </w:t>
      </w:r>
      <w:r>
        <w:t xml:space="preserve">Thorngate’s root-cause finding establishes that the compromised third-party contractor VPN credential was</w:t>
      </w:r>
      <w:r>
        <w:t xml:space="preserve"> </w:t>
      </w:r>
      <w:r>
        <w:rPr>
          <w:b/>
          <w:bCs/>
        </w:rPr>
        <w:t xml:space="preserve">not</w:t>
      </w:r>
      <w:r>
        <w:t xml:space="preserve"> </w:t>
      </w:r>
      <w:r>
        <w:t xml:space="preserve">MFA-protected, and the CISO status report confirms that</w:t>
      </w:r>
      <w:r>
        <w:t xml:space="preserve"> </w:t>
      </w:r>
      <w:r>
        <w:t xml:space="preserve">“</w:t>
      </w:r>
      <w:r>
        <w:t xml:space="preserve">MFA was not universally required for third-party contractor VPN access</w:t>
      </w:r>
      <w:r>
        <w:t xml:space="preserve">”</w:t>
      </w:r>
      <w:r>
        <w:t xml:space="preserve"> </w:t>
      </w:r>
      <w:r>
        <w:t xml:space="preserve">prior to November 20, 2024. If MFA was not in fact employed for all remote access as of the application date and policy inception (January 1, 2024), the warranty was inaccurate, and the policy states that</w:t>
      </w:r>
      <w:r>
        <w:t xml:space="preserve"> </w:t>
      </w:r>
      <w:r>
        <w:t xml:space="preserve">“</w:t>
      </w:r>
      <w:r>
        <w:t xml:space="preserve">[m]aterial misrepresentations in the Policy Application may void coverage ab initio.</w:t>
      </w:r>
      <w:r>
        <w:t xml:space="preserve">”</w:t>
      </w:r>
      <w:r>
        <w:t xml:space="preserve"> </w:t>
      </w:r>
      <w:r>
        <w:t xml:space="preserve">This is a</w:t>
      </w:r>
      <w:r>
        <w:t xml:space="preserve"> </w:t>
      </w:r>
      <w:r>
        <w:rPr>
          <w:b/>
          <w:bCs/>
        </w:rPr>
        <w:t xml:space="preserve">material coverage risk</w:t>
      </w:r>
      <w:r>
        <w:t xml:space="preserve"> </w:t>
      </w:r>
      <w:r>
        <w:t xml:space="preserve">that could eliminate the ~$2.0 million of recoverable loss above the $2.5 million SIR and the full $15 million aggregate limit.</w:t>
      </w:r>
    </w:p>
    <w:p>
      <w:pPr>
        <w:pStyle w:val="BodyText"/>
      </w:pPr>
      <w:r>
        <w:rPr>
          <w:b/>
          <w:bCs/>
        </w:rPr>
        <w:t xml:space="preserve">Gap I-3. Potential</w:t>
      </w:r>
      <w:r>
        <w:rPr>
          <w:b/>
          <w:bCs/>
        </w:rPr>
        <w:t xml:space="preserve"> </w:t>
      </w:r>
      <w:r>
        <w:rPr>
          <w:b/>
          <w:bCs/>
        </w:rPr>
        <w:t xml:space="preserve">“</w:t>
      </w:r>
      <w:r>
        <w:rPr>
          <w:b/>
          <w:bCs/>
        </w:rPr>
        <w:t xml:space="preserve">failure to maintain minimum security standards</w:t>
      </w:r>
      <w:r>
        <w:rPr>
          <w:b/>
          <w:bCs/>
        </w:rPr>
        <w:t xml:space="preserve">”</w:t>
      </w:r>
      <w:r>
        <w:rPr>
          <w:b/>
          <w:bCs/>
        </w:rPr>
        <w:t xml:space="preserve"> </w:t>
      </w:r>
      <w:r>
        <w:rPr>
          <w:b/>
          <w:bCs/>
        </w:rPr>
        <w:t xml:space="preserve">exclusion.</w:t>
      </w:r>
      <w:r>
        <w:t xml:space="preserve"> </w:t>
      </w:r>
      <w:r>
        <w:t xml:space="preserve">Exclusion (i) excludes loss arising from the Company’s failure to maintain security controls substantially consistent with those represented in the application, where the failure materially contributed to the Cyber Event. The MFA failure was the root cause of the Incident and therefore materially contributed to it. Ridgeline may invoke this exclusion independently of the warranty analysis. The Company should develop the factual record (e.g., evidence of MFA deployment scope, any partial MFA implementation) to defend against this exclusion.</w:t>
      </w:r>
    </w:p>
    <w:p>
      <w:pPr>
        <w:pStyle w:val="BodyText"/>
      </w:pPr>
      <w:r>
        <w:rPr>
          <w:b/>
          <w:bCs/>
        </w:rPr>
        <w:t xml:space="preserve">Gap I-4. Contractual-liability exclusion may bar customer-claim coverage.</w:t>
      </w:r>
      <w:r>
        <w:t xml:space="preserve"> </w:t>
      </w:r>
      <w:r>
        <w:t xml:space="preserve">Exclusion (g) excludes loss</w:t>
      </w:r>
      <w:r>
        <w:t xml:space="preserve"> </w:t>
      </w:r>
      <w:r>
        <w:t xml:space="preserve">“</w:t>
      </w:r>
      <w:r>
        <w:t xml:space="preserve">arising solely from breach of contractual notification or indemnification clauses — where no independent tort liability exists.</w:t>
      </w:r>
      <w:r>
        <w:t xml:space="preserve">”</w:t>
      </w:r>
      <w:r>
        <w:t xml:space="preserve"> </w:t>
      </w:r>
      <w:r>
        <w:t xml:space="preserve">The Harmon liquidated damages ($500,000), the Crestfield payment-suspension and audit-cost obligations, and the Nexagen indemnification and future-business-exclusion remedies arise principally from breached contractual notification clauses. To the extent these claims rest solely on contract (without independent tort liability), they may be</w:t>
      </w:r>
      <w:r>
        <w:t xml:space="preserve"> </w:t>
      </w:r>
      <w:r>
        <w:rPr>
          <w:b/>
          <w:bCs/>
        </w:rPr>
        <w:t xml:space="preserve">uninsured</w:t>
      </w:r>
      <w:r>
        <w:t xml:space="preserve">. The Company should not assume the $15 million aggregate will absorb customer-contract exposure.</w:t>
      </w:r>
    </w:p>
    <w:p>
      <w:pPr>
        <w:pStyle w:val="BodyText"/>
      </w:pPr>
      <w:r>
        <w:rPr>
          <w:b/>
          <w:bCs/>
        </w:rPr>
        <w:t xml:space="preserve">Gap I-5. Consent-to-incur-costs compliance.</w:t>
      </w:r>
      <w:r>
        <w:t xml:space="preserve"> </w:t>
      </w:r>
      <w:r>
        <w:t xml:space="preserve">Section 7.2 requires the insurer’s prior written consent for first-party losses exceeding $50,000 individually or $150,000 in the aggregate (with an emergency exception requiring notice within 48 hours of incurring costs). The Company has incurred ~$1.4 million in incident-response costs. The Company should confirm that the emergency-exception notice was timely given and that vendor selections (Thorngate is on the pre-approved panel, which is favorable) comply with the consent provisions to preserve coverage.</w:t>
      </w:r>
    </w:p>
    <w:bookmarkEnd w:id="38"/>
    <w:bookmarkStart w:id="39" w:name="j.-pending-kessler-acquisition-high"/>
    <w:p>
      <w:pPr>
        <w:pStyle w:val="Heading3"/>
      </w:pPr>
      <w:r>
        <w:t xml:space="preserve">J. Pending Kessler Acquisition —</w:t>
      </w:r>
      <w:r>
        <w:t xml:space="preserve"> </w:t>
      </w:r>
      <w:r>
        <w:rPr>
          <w:b/>
          <w:bCs/>
        </w:rPr>
        <w:t xml:space="preserve">HIGH</w:t>
      </w:r>
    </w:p>
    <w:p>
      <w:pPr>
        <w:pStyle w:val="FirstParagraph"/>
      </w:pPr>
      <w:r>
        <w:rPr>
          <w:b/>
          <w:bCs/>
        </w:rPr>
        <w:t xml:space="preserve">Gap J-1. Transaction counterparty and financial advisor not notified.</w:t>
      </w:r>
      <w:r>
        <w:t xml:space="preserve"> </w:t>
      </w:r>
      <w:r>
        <w:t xml:space="preserve">The Company is negotiating the $425 million acquisition of Kessler Precision Systems GmbH. As of December 5, 2024,</w:t>
      </w:r>
      <w:r>
        <w:t xml:space="preserve"> </w:t>
      </w:r>
      <w:r>
        <w:rPr>
          <w:b/>
          <w:bCs/>
        </w:rPr>
        <w:t xml:space="preserve">neither Kessler nor the Company’s financial advisor (Canfield Cromdale Consulting &amp; Co.) has been notified</w:t>
      </w:r>
      <w:r>
        <w:t xml:space="preserve"> </w:t>
      </w:r>
      <w:r>
        <w:t xml:space="preserve">of the Incident, and</w:t>
      </w:r>
      <w:r>
        <w:t xml:space="preserve"> </w:t>
      </w:r>
      <w:r>
        <w:t xml:space="preserve">“</w:t>
      </w:r>
      <w:r>
        <w:t xml:space="preserve">the potential impact of this cybersecurity incident on the pending acquisition … has not been evaluated.</w:t>
      </w:r>
      <w:r>
        <w:t xml:space="preserve">”</w:t>
      </w:r>
      <w:r>
        <w:t xml:space="preserve"> </w:t>
      </w:r>
      <w:r>
        <w:t xml:space="preserve">The Incident may affect (i) representations and warranties in the acquisition agreement (including any cyber-incident, data-breach, or compliance reps), (ii) material-adverse-change provisions, (iii) counterparty confidence and deal timeline, and (iv) any financing arrangements. Failure to disclose a material cyber incident to a transaction counterparty creates litigation and indemnity risk and may itself be a breach of any existing agreement.</w:t>
      </w:r>
    </w:p>
    <w:p>
      <w:pPr>
        <w:pStyle w:val="BodyText"/>
      </w:pPr>
      <w:r>
        <w:rPr>
          <w:b/>
          <w:bCs/>
        </w:rPr>
        <w:t xml:space="preserve">Gap J-2. SEC disclosure implications for the transaction.</w:t>
      </w:r>
      <w:r>
        <w:t xml:space="preserve"> </w:t>
      </w:r>
      <w:r>
        <w:t xml:space="preserve">If the Company prepares any SEC disclosure in connection with the acquisition (e.g., a proxy statement, Form S-4, or Form 8-K under Item 1.01/2.01/9.01), the cybersecurity incident is a material fact that must be disclosed. The Company should ensure that transaction disclosure documents address the Incident and its reasonably likely material impact. The General Counsel has appropriately flagged the need to coordinate with outside counsel (Hollister Marsh) on the intersection of the Incident and the transaction; this analysis should be expedited.</w:t>
      </w:r>
    </w:p>
    <w:p>
      <w:pPr>
        <w:pStyle w:val="BodyText"/>
      </w:pPr>
      <w:r>
        <w:rPr>
          <w:b/>
          <w:bCs/>
        </w:rPr>
        <w:t xml:space="preserve">Gap J-3. No assessment of MAC/financing impact.</w:t>
      </w:r>
      <w:r>
        <w:t xml:space="preserve"> </w:t>
      </w:r>
      <w:r>
        <w:t xml:space="preserve">The Company has not assessed whether the Incident constitutes or could be argued to constitute a material adverse change under any financing or transaction document, or whether lenders or other financing sources must be notified. This assessment should be undertaken promptly.</w:t>
      </w:r>
    </w:p>
    <w:bookmarkEnd w:id="39"/>
    <w:bookmarkStart w:id="40" w:name="k.-independent-auditor-notification-high"/>
    <w:p>
      <w:pPr>
        <w:pStyle w:val="Heading3"/>
      </w:pPr>
      <w:r>
        <w:t xml:space="preserve">K. Independent Auditor Notification —</w:t>
      </w:r>
      <w:r>
        <w:t xml:space="preserve"> </w:t>
      </w:r>
      <w:r>
        <w:rPr>
          <w:b/>
          <w:bCs/>
        </w:rPr>
        <w:t xml:space="preserve">HIGH</w:t>
      </w:r>
    </w:p>
    <w:p>
      <w:pPr>
        <w:pStyle w:val="FirstParagraph"/>
      </w:pPr>
      <w:r>
        <w:rPr>
          <w:b/>
          <w:bCs/>
        </w:rPr>
        <w:t xml:space="preserve">Gap K-1. Independent auditor not notified.</w:t>
      </w:r>
      <w:r>
        <w:t xml:space="preserve"> </w:t>
      </w:r>
      <w:r>
        <w:t xml:space="preserve">Greystone &amp; Associates LLP, the Company’s independent auditor, has not been notified of the Incident. The FY2024 audit cycle has not commenced, but the Incident directly implicates the audit because: (i) the ERP finance, procurement, and order-management modules were encrypted and remain subject to data-integrity validation; (ii) the Incident may have created a material weakness or significant deficiency in ICFR; (iii) the Incident may give rise to loss contingencies requiring evaluation under ASC 450 and disclosure in the financial statements; and (iv) subsequent-event considerations apply. Under PCAOB standards and the auditor’s professional responsibilities, the auditor should be informed of the Incident promptly so that it can plan the FY2024 audit, evaluate ICFR, and consider disclosure and contingent-liability implications. The Company should notify Greystone without further delay.</w:t>
      </w:r>
    </w:p>
    <w:p>
      <w:pPr>
        <w:pStyle w:val="BodyText"/>
      </w:pPr>
      <w:r>
        <w:rPr>
          <w:b/>
          <w:bCs/>
        </w:rPr>
        <w:t xml:space="preserve">Gap K-2. No loss-contingency analysis initiated.</w:t>
      </w:r>
      <w:r>
        <w:t xml:space="preserve"> </w:t>
      </w:r>
      <w:r>
        <w:t xml:space="preserve">The Company has not commenced an analysis of whether the Incident gives rise to accrued or disclosed loss contingencies under ASC 450-20 (including the Harmon liquidated damages, customer indemnification claims, regulatory exposure, and litigation risk). This analysis is necessary for both the 8-K (if material) and the FY2024 financial statements and should be undertaken with the auditor and counsel.</w:t>
      </w:r>
    </w:p>
    <w:p>
      <w:r>
        <w:pict>
          <v:rect style="width:0;height:1.5pt" o:hralign="center" o:hrstd="t" o:hr="t"/>
        </w:pict>
      </w:r>
    </w:p>
    <w:bookmarkEnd w:id="40"/>
    <w:bookmarkEnd w:id="41"/>
    <w:bookmarkStart w:id="42" w:name="v.-preliminary-materiality-assessment"/>
    <w:p>
      <w:pPr>
        <w:pStyle w:val="Heading2"/>
      </w:pPr>
      <w:r>
        <w:t xml:space="preserve">V. Preliminary Materiality Assessment</w:t>
      </w:r>
    </w:p>
    <w:p>
      <w:pPr>
        <w:pStyle w:val="FirstParagraph"/>
      </w:pPr>
      <w:r>
        <w:t xml:space="preserve">The formal materiality determination is the responsibility of management, with the advice of counsel and the oversight of the Audit Committee. The following preliminary assessment is provided to frame the urgency of that determination and is based on the information available as of December 5, 2024.</w:t>
      </w:r>
    </w:p>
    <w:p>
      <w:pPr>
        <w:pStyle w:val="BodyText"/>
      </w:pPr>
      <w:r>
        <w:rPr>
          <w:b/>
          <w:bCs/>
        </w:rPr>
        <w:t xml:space="preserve">Quantitative factors (favoring immateriality, but not dispositive):</w:t>
      </w:r>
    </w:p>
    <w:p>
      <w:pPr>
        <w:pStyle w:val="Compact"/>
        <w:numPr>
          <w:ilvl w:val="0"/>
          <w:numId w:val="1005"/>
        </w:numPr>
      </w:pPr>
      <w:r>
        <w:t xml:space="preserve">Estimated direct costs of ~$4.5 million represent ~1.45% of projected FY2024 EBITDA and a smaller fraction of projected revenue (~$1.87 billion). On cost alone, the Incident may not meet a purely quantitative materiality threshold.</w:t>
      </w:r>
    </w:p>
    <w:p>
      <w:pPr>
        <w:pStyle w:val="Compact"/>
        <w:numPr>
          <w:ilvl w:val="0"/>
          <w:numId w:val="1005"/>
        </w:numPr>
      </w:pPr>
      <w:r>
        <w:t xml:space="preserve">The ransom (~$2.03 million) has not been and will not be paid.</w:t>
      </w:r>
    </w:p>
    <w:p>
      <w:pPr>
        <w:pStyle w:val="FirstParagraph"/>
      </w:pPr>
      <w:r>
        <w:rPr>
          <w:b/>
          <w:bCs/>
        </w:rPr>
        <w:t xml:space="preserve">Qualitative factors (strongly favoring materiality):</w:t>
      </w:r>
    </w:p>
    <w:p>
      <w:pPr>
        <w:pStyle w:val="Compact"/>
        <w:numPr>
          <w:ilvl w:val="0"/>
          <w:numId w:val="1006"/>
        </w:numPr>
      </w:pPr>
      <w:r>
        <w:rPr>
          <w:b/>
          <w:bCs/>
        </w:rPr>
        <w:t xml:space="preserve">Nature and sensitivity of exfiltrated data.</w:t>
      </w:r>
      <w:r>
        <w:t xml:space="preserve"> </w:t>
      </w:r>
      <w:r>
        <w:t xml:space="preserve">Unencrypted ACH routing and account numbers and procurement-contact PII for ~4,200 customer accounts. Banking data is especially sensitive and creates a heightened risk of fraudulent fund transfers and downstream harm to customers.</w:t>
      </w:r>
    </w:p>
    <w:p>
      <w:pPr>
        <w:pStyle w:val="Compact"/>
        <w:numPr>
          <w:ilvl w:val="0"/>
          <w:numId w:val="1006"/>
        </w:numPr>
      </w:pPr>
      <w:r>
        <w:rPr>
          <w:b/>
          <w:bCs/>
        </w:rPr>
        <w:t xml:space="preserve">Customer concentration and contractual breach.</w:t>
      </w:r>
      <w:r>
        <w:t xml:space="preserve"> </w:t>
      </w:r>
      <w:r>
        <w:t xml:space="preserve">At least six of the top ten customers (~38% of revenue) are affected; 48-hour notification deadlines with three top customers have been breached, exposing the Company to a $500,000 liquidated-damages claim (Harmon), immediate termination rights (Crestfield), payment suspension, a 12-month audit right at the Company’s expense, and up to 24-month exclusion from future business (Nexagen). The reasonably likely impact on revenue and customer relationships is material.</w:t>
      </w:r>
    </w:p>
    <w:p>
      <w:pPr>
        <w:pStyle w:val="Compact"/>
        <w:numPr>
          <w:ilvl w:val="0"/>
          <w:numId w:val="1006"/>
        </w:numPr>
      </w:pPr>
      <w:r>
        <w:rPr>
          <w:b/>
          <w:bCs/>
        </w:rPr>
        <w:t xml:space="preserve">Pending $425 million acquisition.</w:t>
      </w:r>
      <w:r>
        <w:t xml:space="preserve"> </w:t>
      </w:r>
      <w:r>
        <w:t xml:space="preserve">The Incident may affect representations, the deal timeline, counterparty confidence, and financing. A material cyber incident during a pending acquisition of this size is the type of development a reasonable investor would consider important.</w:t>
      </w:r>
    </w:p>
    <w:p>
      <w:pPr>
        <w:pStyle w:val="Compact"/>
        <w:numPr>
          <w:ilvl w:val="0"/>
          <w:numId w:val="1006"/>
        </w:numPr>
      </w:pPr>
      <w:r>
        <w:rPr>
          <w:b/>
          <w:bCs/>
        </w:rPr>
        <w:t xml:space="preserve">Control-environment and disclosure-accuracy implications.</w:t>
      </w:r>
      <w:r>
        <w:t xml:space="preserve"> </w:t>
      </w:r>
      <w:r>
        <w:t xml:space="preserve">The MFA root cause calls into question the accuracy of the Company’s prior Item 1C disclosure and its insurance-application warranty, which in turn affects the reliability of the Company’s public cybersecurity disclosures and its insurance recovery.</w:t>
      </w:r>
    </w:p>
    <w:p>
      <w:pPr>
        <w:pStyle w:val="Compact"/>
        <w:numPr>
          <w:ilvl w:val="0"/>
          <w:numId w:val="1006"/>
        </w:numPr>
      </w:pPr>
      <w:r>
        <w:rPr>
          <w:b/>
          <w:bCs/>
        </w:rPr>
        <w:t xml:space="preserve">Regulatory and litigation exposure.</w:t>
      </w:r>
      <w:r>
        <w:t xml:space="preserve"> </w:t>
      </w:r>
      <w:r>
        <w:t xml:space="preserve">Breach-notification obligations across 38+ states and the EU (GDPR), potential SEC disclosure-violation exposure, and likely customer and possibly class-action litigation.</w:t>
      </w:r>
    </w:p>
    <w:p>
      <w:pPr>
        <w:pStyle w:val="Compact"/>
        <w:numPr>
          <w:ilvl w:val="0"/>
          <w:numId w:val="1006"/>
        </w:numPr>
      </w:pPr>
      <w:r>
        <w:rPr>
          <w:b/>
          <w:bCs/>
        </w:rPr>
        <w:t xml:space="preserve">Reputational harm.</w:t>
      </w:r>
      <w:r>
        <w:t xml:space="preserve"> </w:t>
      </w:r>
      <w:r>
        <w:t xml:space="preserve">The Company serves defense and aerospace customers (Harmon Defense Solutions, Crestfield Aerospace); a breach involving defense-sector customer data may carry heightened reputational and possibly regulatory (e.g., CFIUS, defense-industrial-base) consequences.</w:t>
      </w:r>
    </w:p>
    <w:p>
      <w:pPr>
        <w:pStyle w:val="Compact"/>
        <w:numPr>
          <w:ilvl w:val="0"/>
          <w:numId w:val="1006"/>
        </w:numPr>
      </w:pPr>
      <w:r>
        <w:rPr>
          <w:b/>
          <w:bCs/>
        </w:rPr>
        <w:t xml:space="preserve">Insurance recovery uncertainty.</w:t>
      </w:r>
      <w:r>
        <w:t xml:space="preserve"> </w:t>
      </w:r>
      <w:r>
        <w:t xml:space="preserve">Late notice and the potential warranty/exclusion issues place ~$2.0 million of expected recovery (and the full $15 million aggregate) at risk, increasing net exposure.</w:t>
      </w:r>
    </w:p>
    <w:p>
      <w:pPr>
        <w:pStyle w:val="FirstParagraph"/>
      </w:pPr>
      <w:r>
        <w:rPr>
          <w:b/>
          <w:bCs/>
        </w:rPr>
        <w:t xml:space="preserve">Preliminary conclusion.</w:t>
      </w:r>
      <w:r>
        <w:t xml:space="preserve"> </w:t>
      </w:r>
      <w:r>
        <w:t xml:space="preserve">Based on the qualitative factors, which the SEC’s adopting release confirms are properly considered in the cybersecurity-incident materiality analysis,</w:t>
      </w:r>
      <w:r>
        <w:t xml:space="preserve"> </w:t>
      </w:r>
      <w:r>
        <w:rPr>
          <w:b/>
          <w:bCs/>
        </w:rPr>
        <w:t xml:space="preserve">the Incident is likely material</w:t>
      </w:r>
      <w:r>
        <w:t xml:space="preserve"> </w:t>
      </w:r>
      <w:r>
        <w:t xml:space="preserve">under the</w:t>
      </w:r>
      <w:r>
        <w:t xml:space="preserve"> </w:t>
      </w:r>
      <w:r>
        <w:rPr>
          <w:i/>
          <w:iCs/>
        </w:rPr>
        <w:t xml:space="preserve">TSC Industries</w:t>
      </w:r>
      <w:r>
        <w:t xml:space="preserve"> </w:t>
      </w:r>
      <w:r>
        <w:t xml:space="preserve">/</w:t>
      </w:r>
      <w:r>
        <w:t xml:space="preserve"> </w:t>
      </w:r>
      <w:r>
        <w:rPr>
          <w:i/>
          <w:iCs/>
        </w:rPr>
        <w:t xml:space="preserve">Basic</w:t>
      </w:r>
      <w:r>
        <w:t xml:space="preserve"> </w:t>
      </w:r>
      <w:r>
        <w:t xml:space="preserve">standard. The reasonably likely material impact on the Company’s customer relationships, revenue concentration, the pending acquisition, and the reliability of its prior disclosures — independent of the modest direct cost — supports a materiality conclusion. The Company should not rely on the 1.45%-of-EBITDA figure alone. We recommend that management, with counsel, convene a documented materiality determination promptly and, if material (as we expect), file a Form 8-K under Item 1.05 within four business days of that determination.</w:t>
      </w:r>
    </w:p>
    <w:p>
      <w:r>
        <w:pict>
          <v:rect style="width:0;height:1.5pt" o:hralign="center" o:hrstd="t" o:hr="t"/>
        </w:pict>
      </w:r>
    </w:p>
    <w:bookmarkEnd w:id="42"/>
    <w:bookmarkStart w:id="43" w:name="vi.-consolidated-gap-summary"/>
    <w:p>
      <w:pPr>
        <w:pStyle w:val="Heading2"/>
      </w:pPr>
      <w:r>
        <w:t xml:space="preserve">VI. Consolidated Gap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Subject Area</w:t>
            </w:r>
          </w:p>
        </w:tc>
        <w:tc>
          <w:tcPr/>
          <w:p>
            <w:pPr>
              <w:pStyle w:val="Compact"/>
              <w:jc w:val="left"/>
            </w:pPr>
            <w:r>
              <w:t xml:space="preserve">Severity</w:t>
            </w:r>
          </w:p>
        </w:tc>
        <w:tc>
          <w:tcPr/>
          <w:p>
            <w:pPr>
              <w:pStyle w:val="Compact"/>
              <w:jc w:val="left"/>
            </w:pPr>
            <w:r>
              <w:t xml:space="preserve">Primary SEC/Regulatory Hook</w:t>
            </w:r>
          </w:p>
        </w:tc>
      </w:tr>
      <w:tr>
        <w:tc>
          <w:tcPr/>
          <w:p>
            <w:pPr>
              <w:pStyle w:val="Compact"/>
              <w:jc w:val="left"/>
            </w:pPr>
            <w:r>
              <w:t xml:space="preserve">A-1</w:t>
            </w:r>
          </w:p>
        </w:tc>
        <w:tc>
          <w:tcPr/>
          <w:p>
            <w:pPr>
              <w:pStyle w:val="Compact"/>
              <w:jc w:val="left"/>
            </w:pPr>
            <w:r>
              <w:t xml:space="preserve">No formal materiality determination conducted (Day 17)</w:t>
            </w:r>
          </w:p>
        </w:tc>
        <w:tc>
          <w:tcPr/>
          <w:p>
            <w:pPr>
              <w:pStyle w:val="Compact"/>
              <w:jc w:val="left"/>
            </w:pPr>
            <w:r>
              <w:t xml:space="preserve">8-K disclosure</w:t>
            </w:r>
          </w:p>
        </w:tc>
        <w:tc>
          <w:tcPr/>
          <w:p>
            <w:pPr>
              <w:pStyle w:val="Compact"/>
              <w:jc w:val="left"/>
            </w:pPr>
            <w:r>
              <w:t xml:space="preserve">CRITICAL</w:t>
            </w:r>
          </w:p>
        </w:tc>
        <w:tc>
          <w:tcPr/>
          <w:p>
            <w:pPr>
              <w:pStyle w:val="Compact"/>
              <w:jc w:val="left"/>
            </w:pPr>
            <w:r>
              <w:t xml:space="preserve">Item 1.05 instruction; Rule 13a-15</w:t>
            </w:r>
          </w:p>
        </w:tc>
      </w:tr>
      <w:tr>
        <w:tc>
          <w:tcPr/>
          <w:p>
            <w:pPr>
              <w:pStyle w:val="Compact"/>
              <w:jc w:val="left"/>
            </w:pPr>
            <w:r>
              <w:t xml:space="preserve">A-2</w:t>
            </w:r>
          </w:p>
        </w:tc>
        <w:tc>
          <w:tcPr/>
          <w:p>
            <w:pPr>
              <w:pStyle w:val="Compact"/>
              <w:jc w:val="left"/>
            </w:pPr>
            <w:r>
              <w:t xml:space="preserve">No Form 8-K filed</w:t>
            </w:r>
          </w:p>
        </w:tc>
        <w:tc>
          <w:tcPr/>
          <w:p>
            <w:pPr>
              <w:pStyle w:val="Compact"/>
              <w:jc w:val="left"/>
            </w:pPr>
            <w:r>
              <w:t xml:space="preserve">8-K disclosure</w:t>
            </w:r>
          </w:p>
        </w:tc>
        <w:tc>
          <w:tcPr/>
          <w:p>
            <w:pPr>
              <w:pStyle w:val="Compact"/>
              <w:jc w:val="left"/>
            </w:pPr>
            <w:r>
              <w:t xml:space="preserve">CRITICAL</w:t>
            </w:r>
          </w:p>
        </w:tc>
        <w:tc>
          <w:tcPr/>
          <w:p>
            <w:pPr>
              <w:pStyle w:val="Compact"/>
              <w:jc w:val="left"/>
            </w:pPr>
            <w:r>
              <w:t xml:space="preserve">Item 1.05 of Form 8-K</w:t>
            </w:r>
          </w:p>
        </w:tc>
      </w:tr>
      <w:tr>
        <w:tc>
          <w:tcPr/>
          <w:p>
            <w:pPr>
              <w:pStyle w:val="Compact"/>
              <w:jc w:val="left"/>
            </w:pPr>
            <w:r>
              <w:t xml:space="preserve">A-3</w:t>
            </w:r>
          </w:p>
        </w:tc>
        <w:tc>
          <w:tcPr/>
          <w:p>
            <w:pPr>
              <w:pStyle w:val="Compact"/>
              <w:jc w:val="left"/>
            </w:pPr>
            <w:r>
              <w:t xml:space="preserve">No law-enforcement delay basis</w:t>
            </w:r>
          </w:p>
        </w:tc>
        <w:tc>
          <w:tcPr/>
          <w:p>
            <w:pPr>
              <w:pStyle w:val="Compact"/>
              <w:jc w:val="left"/>
            </w:pPr>
            <w:r>
              <w:t xml:space="preserve">8-K disclosure</w:t>
            </w:r>
          </w:p>
        </w:tc>
        <w:tc>
          <w:tcPr/>
          <w:p>
            <w:pPr>
              <w:pStyle w:val="Compact"/>
              <w:jc w:val="left"/>
            </w:pPr>
            <w:r>
              <w:t xml:space="preserve">CRITICAL</w:t>
            </w:r>
          </w:p>
        </w:tc>
        <w:tc>
          <w:tcPr/>
          <w:p>
            <w:pPr>
              <w:pStyle w:val="Compact"/>
              <w:jc w:val="left"/>
            </w:pPr>
            <w:r>
              <w:t xml:space="preserve">Item 1.05(d)</w:t>
            </w:r>
          </w:p>
        </w:tc>
      </w:tr>
      <w:tr>
        <w:tc>
          <w:tcPr/>
          <w:p>
            <w:pPr>
              <w:pStyle w:val="Compact"/>
              <w:jc w:val="left"/>
            </w:pPr>
            <w:r>
              <w:t xml:space="preserve">A-4</w:t>
            </w:r>
          </w:p>
        </w:tc>
        <w:tc>
          <w:tcPr/>
          <w:p>
            <w:pPr>
              <w:pStyle w:val="Compact"/>
              <w:jc w:val="left"/>
            </w:pPr>
            <w:r>
              <w:t xml:space="preserve">No interim Item 7.01/8.01 disclosure considered</w:t>
            </w:r>
          </w:p>
        </w:tc>
        <w:tc>
          <w:tcPr/>
          <w:p>
            <w:pPr>
              <w:pStyle w:val="Compact"/>
              <w:jc w:val="left"/>
            </w:pPr>
            <w:r>
              <w:t xml:space="preserve">8-K disclosure</w:t>
            </w:r>
          </w:p>
        </w:tc>
        <w:tc>
          <w:tcPr/>
          <w:p>
            <w:pPr>
              <w:pStyle w:val="Compact"/>
              <w:jc w:val="left"/>
            </w:pPr>
            <w:r>
              <w:t xml:space="preserve">HIGH</w:t>
            </w:r>
          </w:p>
        </w:tc>
        <w:tc>
          <w:tcPr/>
          <w:p>
            <w:pPr>
              <w:pStyle w:val="Compact"/>
              <w:jc w:val="left"/>
            </w:pPr>
            <w:r>
              <w:t xml:space="preserve">Reg FD; duty to update</w:t>
            </w:r>
          </w:p>
        </w:tc>
      </w:tr>
      <w:tr>
        <w:tc>
          <w:tcPr/>
          <w:p>
            <w:pPr>
              <w:pStyle w:val="Compact"/>
              <w:jc w:val="left"/>
            </w:pPr>
            <w:r>
              <w:t xml:space="preserve">B-1</w:t>
            </w:r>
          </w:p>
        </w:tc>
        <w:tc>
          <w:tcPr/>
          <w:p>
            <w:pPr>
              <w:pStyle w:val="Compact"/>
              <w:jc w:val="left"/>
            </w:pPr>
            <w:r>
              <w:t xml:space="preserve">MFA disclosure in Item 1C potentially inaccurate</w:t>
            </w:r>
          </w:p>
        </w:tc>
        <w:tc>
          <w:tcPr/>
          <w:p>
            <w:pPr>
              <w:pStyle w:val="Compact"/>
              <w:jc w:val="left"/>
            </w:pPr>
            <w:r>
              <w:t xml:space="preserve">Prior disclosure accuracy</w:t>
            </w:r>
          </w:p>
        </w:tc>
        <w:tc>
          <w:tcPr/>
          <w:p>
            <w:pPr>
              <w:pStyle w:val="Compact"/>
              <w:jc w:val="left"/>
            </w:pPr>
            <w:r>
              <w:t xml:space="preserve">CRITICAL</w:t>
            </w:r>
          </w:p>
        </w:tc>
        <w:tc>
          <w:tcPr/>
          <w:p>
            <w:pPr>
              <w:pStyle w:val="Compact"/>
              <w:jc w:val="left"/>
            </w:pPr>
            <w:r>
              <w:t xml:space="preserve">Item 106; Rule 10b-5</w:t>
            </w:r>
          </w:p>
        </w:tc>
      </w:tr>
      <w:tr>
        <w:tc>
          <w:tcPr/>
          <w:p>
            <w:pPr>
              <w:pStyle w:val="Compact"/>
              <w:jc w:val="left"/>
            </w:pPr>
            <w:r>
              <w:t xml:space="preserve">B-2</w:t>
            </w:r>
          </w:p>
        </w:tc>
        <w:tc>
          <w:tcPr/>
          <w:p>
            <w:pPr>
              <w:pStyle w:val="Compact"/>
              <w:jc w:val="left"/>
            </w:pPr>
            <w:r>
              <w:t xml:space="preserve">Prior</w:t>
            </w:r>
            <w:r>
              <w:t xml:space="preserve"> </w:t>
            </w:r>
            <w:r>
              <w:t xml:space="preserve">“</w:t>
            </w:r>
            <w:r>
              <w:t xml:space="preserve">no material incidents</w:t>
            </w:r>
            <w:r>
              <w:t xml:space="preserve">”</w:t>
            </w:r>
            <w:r>
              <w:t xml:space="preserve"> </w:t>
            </w:r>
            <w:r>
              <w:t xml:space="preserve">statement requires updating</w:t>
            </w:r>
          </w:p>
        </w:tc>
        <w:tc>
          <w:tcPr/>
          <w:p>
            <w:pPr>
              <w:pStyle w:val="Compact"/>
              <w:jc w:val="left"/>
            </w:pPr>
            <w:r>
              <w:t xml:space="preserve">Prior disclosure accuracy</w:t>
            </w:r>
          </w:p>
        </w:tc>
        <w:tc>
          <w:tcPr/>
          <w:p>
            <w:pPr>
              <w:pStyle w:val="Compact"/>
              <w:jc w:val="left"/>
            </w:pPr>
            <w:r>
              <w:t xml:space="preserve">HIGH</w:t>
            </w:r>
          </w:p>
        </w:tc>
        <w:tc>
          <w:tcPr/>
          <w:p>
            <w:pPr>
              <w:pStyle w:val="Compact"/>
              <w:jc w:val="left"/>
            </w:pPr>
            <w:r>
              <w:t xml:space="preserve">Item 106; Section 13(a)</w:t>
            </w:r>
          </w:p>
        </w:tc>
      </w:tr>
      <w:tr>
        <w:tc>
          <w:tcPr/>
          <w:p>
            <w:pPr>
              <w:pStyle w:val="Compact"/>
              <w:jc w:val="left"/>
            </w:pPr>
            <w:r>
              <w:t xml:space="preserve">B-3</w:t>
            </w:r>
          </w:p>
        </w:tc>
        <w:tc>
          <w:tcPr/>
          <w:p>
            <w:pPr>
              <w:pStyle w:val="Compact"/>
              <w:jc w:val="left"/>
            </w:pPr>
            <w:r>
              <w:t xml:space="preserve">CIRP</w:t>
            </w:r>
            <w:r>
              <w:t xml:space="preserve"> </w:t>
            </w:r>
            <w:r>
              <w:t xml:space="preserve">“</w:t>
            </w:r>
            <w:r>
              <w:t xml:space="preserve">review</w:t>
            </w:r>
            <w:r>
              <w:t xml:space="preserve">”</w:t>
            </w:r>
            <w:r>
              <w:t xml:space="preserve">/</w:t>
            </w:r>
            <w:r>
              <w:t xml:space="preserve">“</w:t>
            </w:r>
            <w:r>
              <w:t xml:space="preserve">adaptive</w:t>
            </w:r>
            <w:r>
              <w:t xml:space="preserve">”</w:t>
            </w:r>
            <w:r>
              <w:t xml:space="preserve"> </w:t>
            </w:r>
            <w:r>
              <w:t xml:space="preserve">characterization overstated</w:t>
            </w:r>
          </w:p>
        </w:tc>
        <w:tc>
          <w:tcPr/>
          <w:p>
            <w:pPr>
              <w:pStyle w:val="Compact"/>
              <w:jc w:val="left"/>
            </w:pPr>
            <w:r>
              <w:t xml:space="preserve">Prior disclosure accuracy</w:t>
            </w:r>
          </w:p>
        </w:tc>
        <w:tc>
          <w:tcPr/>
          <w:p>
            <w:pPr>
              <w:pStyle w:val="Compact"/>
              <w:jc w:val="left"/>
            </w:pPr>
            <w:r>
              <w:t xml:space="preserve">MEDIUM</w:t>
            </w:r>
          </w:p>
        </w:tc>
        <w:tc>
          <w:tcPr/>
          <w:p>
            <w:pPr>
              <w:pStyle w:val="Compact"/>
              <w:jc w:val="left"/>
            </w:pPr>
            <w:r>
              <w:t xml:space="preserve">Item 106</w:t>
            </w:r>
          </w:p>
        </w:tc>
      </w:tr>
      <w:tr>
        <w:tc>
          <w:tcPr/>
          <w:p>
            <w:pPr>
              <w:pStyle w:val="Compact"/>
              <w:jc w:val="left"/>
            </w:pPr>
            <w:r>
              <w:t xml:space="preserve">C-1</w:t>
            </w:r>
          </w:p>
        </w:tc>
        <w:tc>
          <w:tcPr/>
          <w:p>
            <w:pPr>
              <w:pStyle w:val="Compact"/>
              <w:jc w:val="left"/>
            </w:pPr>
            <w:r>
              <w:t xml:space="preserve">Disclosure-controls escalation breakdown</w:t>
            </w:r>
          </w:p>
        </w:tc>
        <w:tc>
          <w:tcPr/>
          <w:p>
            <w:pPr>
              <w:pStyle w:val="Compact"/>
              <w:jc w:val="left"/>
            </w:pPr>
            <w:r>
              <w:t xml:space="preserve">Controls</w:t>
            </w:r>
          </w:p>
        </w:tc>
        <w:tc>
          <w:tcPr/>
          <w:p>
            <w:pPr>
              <w:pStyle w:val="Compact"/>
              <w:jc w:val="left"/>
            </w:pPr>
            <w:r>
              <w:t xml:space="preserve">HIGH</w:t>
            </w:r>
          </w:p>
        </w:tc>
        <w:tc>
          <w:tcPr/>
          <w:p>
            <w:pPr>
              <w:pStyle w:val="Compact"/>
              <w:jc w:val="left"/>
            </w:pPr>
            <w:r>
              <w:t xml:space="preserve">Rule 13a-15(a)</w:t>
            </w:r>
          </w:p>
        </w:tc>
      </w:tr>
      <w:tr>
        <w:tc>
          <w:tcPr/>
          <w:p>
            <w:pPr>
              <w:pStyle w:val="Compact"/>
              <w:jc w:val="left"/>
            </w:pPr>
            <w:r>
              <w:t xml:space="preserve">C-2</w:t>
            </w:r>
          </w:p>
        </w:tc>
        <w:tc>
          <w:tcPr/>
          <w:p>
            <w:pPr>
              <w:pStyle w:val="Compact"/>
              <w:jc w:val="left"/>
            </w:pPr>
            <w:r>
              <w:t xml:space="preserve">ICFR impact not assessed</w:t>
            </w:r>
          </w:p>
        </w:tc>
        <w:tc>
          <w:tcPr/>
          <w:p>
            <w:pPr>
              <w:pStyle w:val="Compact"/>
              <w:jc w:val="left"/>
            </w:pPr>
            <w:r>
              <w:t xml:space="preserve">Controls</w:t>
            </w:r>
          </w:p>
        </w:tc>
        <w:tc>
          <w:tcPr/>
          <w:p>
            <w:pPr>
              <w:pStyle w:val="Compact"/>
              <w:jc w:val="left"/>
            </w:pPr>
            <w:r>
              <w:t xml:space="preserve">HIGH</w:t>
            </w:r>
          </w:p>
        </w:tc>
        <w:tc>
          <w:tcPr/>
          <w:p>
            <w:pPr>
              <w:pStyle w:val="Compact"/>
              <w:jc w:val="left"/>
            </w:pPr>
            <w:r>
              <w:t xml:space="preserve">Rules 13a-15(f), 13a-15(a); SOX 404</w:t>
            </w:r>
          </w:p>
        </w:tc>
      </w:tr>
      <w:tr>
        <w:tc>
          <w:tcPr/>
          <w:p>
            <w:pPr>
              <w:pStyle w:val="Compact"/>
              <w:jc w:val="left"/>
            </w:pPr>
            <w:r>
              <w:t xml:space="preserve">C-3</w:t>
            </w:r>
          </w:p>
        </w:tc>
        <w:tc>
          <w:tcPr/>
          <w:p>
            <w:pPr>
              <w:pStyle w:val="Compact"/>
              <w:jc w:val="left"/>
            </w:pPr>
            <w:r>
              <w:t xml:space="preserve">No disclosure-controls certification analysis</w:t>
            </w:r>
          </w:p>
        </w:tc>
        <w:tc>
          <w:tcPr/>
          <w:p>
            <w:pPr>
              <w:pStyle w:val="Compact"/>
              <w:jc w:val="left"/>
            </w:pPr>
            <w:r>
              <w:t xml:space="preserve">Controls</w:t>
            </w:r>
          </w:p>
        </w:tc>
        <w:tc>
          <w:tcPr/>
          <w:p>
            <w:pPr>
              <w:pStyle w:val="Compact"/>
              <w:jc w:val="left"/>
            </w:pPr>
            <w:r>
              <w:t xml:space="preserve">HIGH</w:t>
            </w:r>
          </w:p>
        </w:tc>
        <w:tc>
          <w:tcPr/>
          <w:p>
            <w:pPr>
              <w:pStyle w:val="Compact"/>
              <w:jc w:val="left"/>
            </w:pPr>
            <w:r>
              <w:t xml:space="preserve">SOX 302; Item 9A</w:t>
            </w:r>
          </w:p>
        </w:tc>
      </w:tr>
      <w:tr>
        <w:tc>
          <w:tcPr/>
          <w:p>
            <w:pPr>
              <w:pStyle w:val="Compact"/>
              <w:jc w:val="left"/>
            </w:pPr>
            <w:r>
              <w:t xml:space="preserve">D-1</w:t>
            </w:r>
          </w:p>
        </w:tc>
        <w:tc>
          <w:tcPr/>
          <w:p>
            <w:pPr>
              <w:pStyle w:val="Compact"/>
              <w:jc w:val="left"/>
            </w:pPr>
            <w:r>
              <w:t xml:space="preserve">Audit Committee Charter silent on cybersecurity</w:t>
            </w:r>
          </w:p>
        </w:tc>
        <w:tc>
          <w:tcPr/>
          <w:p>
            <w:pPr>
              <w:pStyle w:val="Compact"/>
              <w:jc w:val="left"/>
            </w:pPr>
            <w:r>
              <w:t xml:space="preserve">Governance</w:t>
            </w:r>
          </w:p>
        </w:tc>
        <w:tc>
          <w:tcPr/>
          <w:p>
            <w:pPr>
              <w:pStyle w:val="Compact"/>
              <w:jc w:val="left"/>
            </w:pPr>
            <w:r>
              <w:t xml:space="preserve">HIGH</w:t>
            </w:r>
          </w:p>
        </w:tc>
        <w:tc>
          <w:tcPr/>
          <w:p>
            <w:pPr>
              <w:pStyle w:val="Compact"/>
              <w:jc w:val="left"/>
            </w:pPr>
            <w:r>
              <w:t xml:space="preserve">Item 106(c)</w:t>
            </w:r>
          </w:p>
        </w:tc>
      </w:tr>
      <w:tr>
        <w:tc>
          <w:tcPr/>
          <w:p>
            <w:pPr>
              <w:pStyle w:val="Compact"/>
              <w:jc w:val="left"/>
            </w:pPr>
            <w:r>
              <w:t xml:space="preserve">D-2</w:t>
            </w:r>
          </w:p>
        </w:tc>
        <w:tc>
          <w:tcPr/>
          <w:p>
            <w:pPr>
              <w:pStyle w:val="Compact"/>
              <w:jc w:val="left"/>
            </w:pPr>
            <w:r>
              <w:t xml:space="preserve">No special Audit Committee meeting called</w:t>
            </w:r>
          </w:p>
        </w:tc>
        <w:tc>
          <w:tcPr/>
          <w:p>
            <w:pPr>
              <w:pStyle w:val="Compact"/>
              <w:jc w:val="left"/>
            </w:pPr>
            <w:r>
              <w:t xml:space="preserve">Governance</w:t>
            </w:r>
          </w:p>
        </w:tc>
        <w:tc>
          <w:tcPr/>
          <w:p>
            <w:pPr>
              <w:pStyle w:val="Compact"/>
              <w:jc w:val="left"/>
            </w:pPr>
            <w:r>
              <w:t xml:space="preserve">HIGH</w:t>
            </w:r>
          </w:p>
        </w:tc>
        <w:tc>
          <w:tcPr/>
          <w:p>
            <w:pPr>
              <w:pStyle w:val="Compact"/>
              <w:jc w:val="left"/>
            </w:pPr>
            <w:r>
              <w:t xml:space="preserve">Item 106(c)</w:t>
            </w:r>
          </w:p>
        </w:tc>
      </w:tr>
      <w:tr>
        <w:tc>
          <w:tcPr/>
          <w:p>
            <w:pPr>
              <w:pStyle w:val="Compact"/>
              <w:jc w:val="left"/>
            </w:pPr>
            <w:r>
              <w:t xml:space="preserve">D-3</w:t>
            </w:r>
          </w:p>
        </w:tc>
        <w:tc>
          <w:tcPr/>
          <w:p>
            <w:pPr>
              <w:pStyle w:val="Compact"/>
              <w:jc w:val="left"/>
            </w:pPr>
            <w:r>
              <w:t xml:space="preserve">CISO lacks direct Board/Audit Committee access</w:t>
            </w:r>
          </w:p>
        </w:tc>
        <w:tc>
          <w:tcPr/>
          <w:p>
            <w:pPr>
              <w:pStyle w:val="Compact"/>
              <w:jc w:val="left"/>
            </w:pPr>
            <w:r>
              <w:t xml:space="preserve">Governance</w:t>
            </w:r>
          </w:p>
        </w:tc>
        <w:tc>
          <w:tcPr/>
          <w:p>
            <w:pPr>
              <w:pStyle w:val="Compact"/>
              <w:jc w:val="left"/>
            </w:pPr>
            <w:r>
              <w:t xml:space="preserve">MEDIUM</w:t>
            </w:r>
          </w:p>
        </w:tc>
        <w:tc>
          <w:tcPr/>
          <w:p>
            <w:pPr>
              <w:pStyle w:val="Compact"/>
              <w:jc w:val="left"/>
            </w:pPr>
            <w:r>
              <w:t xml:space="preserve">Item 106(c)</w:t>
            </w:r>
          </w:p>
        </w:tc>
      </w:tr>
      <w:tr>
        <w:tc>
          <w:tcPr/>
          <w:p>
            <w:pPr>
              <w:pStyle w:val="Compact"/>
              <w:jc w:val="left"/>
            </w:pPr>
            <w:r>
              <w:t xml:space="preserve">E-1</w:t>
            </w:r>
          </w:p>
        </w:tc>
        <w:tc>
          <w:tcPr/>
          <w:p>
            <w:pPr>
              <w:pStyle w:val="Compact"/>
              <w:jc w:val="left"/>
            </w:pPr>
            <w:r>
              <w:t xml:space="preserve">CIRP escalation does not mandate GC/CEO/Board notice</w:t>
            </w:r>
          </w:p>
        </w:tc>
        <w:tc>
          <w:tcPr/>
          <w:p>
            <w:pPr>
              <w:pStyle w:val="Compact"/>
              <w:jc w:val="left"/>
            </w:pPr>
            <w:r>
              <w:t xml:space="preserve">Incident response</w:t>
            </w:r>
          </w:p>
        </w:tc>
        <w:tc>
          <w:tcPr/>
          <w:p>
            <w:pPr>
              <w:pStyle w:val="Compact"/>
              <w:jc w:val="left"/>
            </w:pPr>
            <w:r>
              <w:t xml:space="preserve">HIGH</w:t>
            </w:r>
          </w:p>
        </w:tc>
        <w:tc>
          <w:tcPr/>
          <w:p>
            <w:pPr>
              <w:pStyle w:val="Compact"/>
              <w:jc w:val="left"/>
            </w:pPr>
            <w:r>
              <w:t xml:space="preserve">Rule 13a-15; Item 106(a)</w:t>
            </w:r>
          </w:p>
        </w:tc>
      </w:tr>
      <w:tr>
        <w:tc>
          <w:tcPr/>
          <w:p>
            <w:pPr>
              <w:pStyle w:val="Compact"/>
              <w:jc w:val="left"/>
            </w:pPr>
            <w:r>
              <w:t xml:space="preserve">E-2</w:t>
            </w:r>
          </w:p>
        </w:tc>
        <w:tc>
          <w:tcPr/>
          <w:p>
            <w:pPr>
              <w:pStyle w:val="Compact"/>
              <w:jc w:val="left"/>
            </w:pPr>
            <w:r>
              <w:t xml:space="preserve">External communications excluded from CIRP scope</w:t>
            </w:r>
          </w:p>
        </w:tc>
        <w:tc>
          <w:tcPr/>
          <w:p>
            <w:pPr>
              <w:pStyle w:val="Compact"/>
              <w:jc w:val="left"/>
            </w:pPr>
            <w:r>
              <w:t xml:space="preserve">Incident response</w:t>
            </w:r>
          </w:p>
        </w:tc>
        <w:tc>
          <w:tcPr/>
          <w:p>
            <w:pPr>
              <w:pStyle w:val="Compact"/>
              <w:jc w:val="left"/>
            </w:pPr>
            <w:r>
              <w:t xml:space="preserve">HIGH</w:t>
            </w:r>
          </w:p>
        </w:tc>
        <w:tc>
          <w:tcPr/>
          <w:p>
            <w:pPr>
              <w:pStyle w:val="Compact"/>
              <w:jc w:val="left"/>
            </w:pPr>
            <w:r>
              <w:t xml:space="preserve">Item 106(a)</w:t>
            </w:r>
          </w:p>
        </w:tc>
      </w:tr>
      <w:tr>
        <w:tc>
          <w:tcPr/>
          <w:p>
            <w:pPr>
              <w:pStyle w:val="Compact"/>
              <w:jc w:val="left"/>
            </w:pPr>
            <w:r>
              <w:t xml:space="preserve">E-3</w:t>
            </w:r>
          </w:p>
        </w:tc>
        <w:tc>
          <w:tcPr/>
          <w:p>
            <w:pPr>
              <w:pStyle w:val="Compact"/>
              <w:jc w:val="left"/>
            </w:pPr>
            <w:r>
              <w:t xml:space="preserve">No tabletop exercises/simulations ever conducted</w:t>
            </w:r>
          </w:p>
        </w:tc>
        <w:tc>
          <w:tcPr/>
          <w:p>
            <w:pPr>
              <w:pStyle w:val="Compact"/>
              <w:jc w:val="left"/>
            </w:pPr>
            <w:r>
              <w:t xml:space="preserve">Incident response</w:t>
            </w:r>
          </w:p>
        </w:tc>
        <w:tc>
          <w:tcPr/>
          <w:p>
            <w:pPr>
              <w:pStyle w:val="Compact"/>
              <w:jc w:val="left"/>
            </w:pPr>
            <w:r>
              <w:t xml:space="preserve">MEDIUM</w:t>
            </w:r>
          </w:p>
        </w:tc>
        <w:tc>
          <w:tcPr/>
          <w:p>
            <w:pPr>
              <w:pStyle w:val="Compact"/>
              <w:jc w:val="left"/>
            </w:pPr>
            <w:r>
              <w:t xml:space="preserve">Item 106(a)</w:t>
            </w:r>
          </w:p>
        </w:tc>
      </w:tr>
      <w:tr>
        <w:tc>
          <w:tcPr/>
          <w:p>
            <w:pPr>
              <w:pStyle w:val="Compact"/>
              <w:jc w:val="left"/>
            </w:pPr>
            <w:r>
              <w:t xml:space="preserve">E-4</w:t>
            </w:r>
          </w:p>
        </w:tc>
        <w:tc>
          <w:tcPr/>
          <w:p>
            <w:pPr>
              <w:pStyle w:val="Compact"/>
              <w:jc w:val="left"/>
            </w:pPr>
            <w:r>
              <w:t xml:space="preserve">CIRP not substantively updated since June 2022</w:t>
            </w:r>
          </w:p>
        </w:tc>
        <w:tc>
          <w:tcPr/>
          <w:p>
            <w:pPr>
              <w:pStyle w:val="Compact"/>
              <w:jc w:val="left"/>
            </w:pPr>
            <w:r>
              <w:t xml:space="preserve">Incident response</w:t>
            </w:r>
          </w:p>
        </w:tc>
        <w:tc>
          <w:tcPr/>
          <w:p>
            <w:pPr>
              <w:pStyle w:val="Compact"/>
              <w:jc w:val="left"/>
            </w:pPr>
            <w:r>
              <w:t xml:space="preserve">MEDIUM</w:t>
            </w:r>
          </w:p>
        </w:tc>
        <w:tc>
          <w:tcPr/>
          <w:p>
            <w:pPr>
              <w:pStyle w:val="Compact"/>
              <w:jc w:val="left"/>
            </w:pPr>
            <w:r>
              <w:t xml:space="preserve">Item 106(a)</w:t>
            </w:r>
          </w:p>
        </w:tc>
      </w:tr>
      <w:tr>
        <w:tc>
          <w:tcPr/>
          <w:p>
            <w:pPr>
              <w:pStyle w:val="Compact"/>
              <w:jc w:val="left"/>
            </w:pPr>
            <w:r>
              <w:t xml:space="preserve">E-5</w:t>
            </w:r>
          </w:p>
        </w:tc>
        <w:tc>
          <w:tcPr/>
          <w:p>
            <w:pPr>
              <w:pStyle w:val="Compact"/>
              <w:jc w:val="left"/>
            </w:pPr>
            <w:r>
              <w:t xml:space="preserve">Severity matrix lacks materiality/disclosure bridge</w:t>
            </w:r>
          </w:p>
        </w:tc>
        <w:tc>
          <w:tcPr/>
          <w:p>
            <w:pPr>
              <w:pStyle w:val="Compact"/>
              <w:jc w:val="left"/>
            </w:pPr>
            <w:r>
              <w:t xml:space="preserve">Incident response</w:t>
            </w:r>
          </w:p>
        </w:tc>
        <w:tc>
          <w:tcPr/>
          <w:p>
            <w:pPr>
              <w:pStyle w:val="Compact"/>
              <w:jc w:val="left"/>
            </w:pPr>
            <w:r>
              <w:t xml:space="preserve">MEDIUM</w:t>
            </w:r>
          </w:p>
        </w:tc>
        <w:tc>
          <w:tcPr/>
          <w:p>
            <w:pPr>
              <w:pStyle w:val="Compact"/>
              <w:jc w:val="left"/>
            </w:pPr>
            <w:r>
              <w:t xml:space="preserve">Item 106(a)</w:t>
            </w:r>
          </w:p>
        </w:tc>
      </w:tr>
      <w:tr>
        <w:tc>
          <w:tcPr/>
          <w:p>
            <w:pPr>
              <w:pStyle w:val="Compact"/>
              <w:jc w:val="left"/>
            </w:pPr>
            <w:r>
              <w:t xml:space="preserve">F-1</w:t>
            </w:r>
          </w:p>
        </w:tc>
        <w:tc>
          <w:tcPr/>
          <w:p>
            <w:pPr>
              <w:pStyle w:val="Compact"/>
              <w:jc w:val="left"/>
            </w:pPr>
            <w:r>
              <w:t xml:space="preserve">No insider trading blackout implemented</w:t>
            </w:r>
          </w:p>
        </w:tc>
        <w:tc>
          <w:tcPr/>
          <w:p>
            <w:pPr>
              <w:pStyle w:val="Compact"/>
              <w:jc w:val="left"/>
            </w:pPr>
            <w:r>
              <w:t xml:space="preserve">Insider trading</w:t>
            </w:r>
          </w:p>
        </w:tc>
        <w:tc>
          <w:tcPr/>
          <w:p>
            <w:pPr>
              <w:pStyle w:val="Compact"/>
              <w:jc w:val="left"/>
            </w:pPr>
            <w:r>
              <w:t xml:space="preserve">CRITICAL</w:t>
            </w:r>
          </w:p>
        </w:tc>
        <w:tc>
          <w:tcPr/>
          <w:p>
            <w:pPr>
              <w:pStyle w:val="Compact"/>
              <w:jc w:val="left"/>
            </w:pPr>
            <w:r>
              <w:t xml:space="preserve">Rule 10b-5; Section 16</w:t>
            </w:r>
          </w:p>
        </w:tc>
      </w:tr>
      <w:tr>
        <w:tc>
          <w:tcPr/>
          <w:p>
            <w:pPr>
              <w:pStyle w:val="Compact"/>
              <w:jc w:val="left"/>
            </w:pPr>
            <w:r>
              <w:t xml:space="preserve">F-2</w:t>
            </w:r>
          </w:p>
        </w:tc>
        <w:tc>
          <w:tcPr/>
          <w:p>
            <w:pPr>
              <w:pStyle w:val="Compact"/>
              <w:jc w:val="left"/>
            </w:pPr>
            <w:r>
              <w:t xml:space="preserve">Selective disclosure risk to outside parties</w:t>
            </w:r>
          </w:p>
        </w:tc>
        <w:tc>
          <w:tcPr/>
          <w:p>
            <w:pPr>
              <w:pStyle w:val="Compact"/>
              <w:jc w:val="left"/>
            </w:pPr>
            <w:r>
              <w:t xml:space="preserve">Reg FD</w:t>
            </w:r>
          </w:p>
        </w:tc>
        <w:tc>
          <w:tcPr/>
          <w:p>
            <w:pPr>
              <w:pStyle w:val="Compact"/>
              <w:jc w:val="left"/>
            </w:pPr>
            <w:r>
              <w:t xml:space="preserve">HIGH</w:t>
            </w:r>
          </w:p>
        </w:tc>
        <w:tc>
          <w:tcPr/>
          <w:p>
            <w:pPr>
              <w:pStyle w:val="Compact"/>
              <w:jc w:val="left"/>
            </w:pPr>
            <w:r>
              <w:t xml:space="preserve">Regulation FD</w:t>
            </w:r>
          </w:p>
        </w:tc>
      </w:tr>
      <w:tr>
        <w:tc>
          <w:tcPr/>
          <w:p>
            <w:pPr>
              <w:pStyle w:val="Compact"/>
              <w:jc w:val="left"/>
            </w:pPr>
            <w:r>
              <w:t xml:space="preserve">F-3</w:t>
            </w:r>
          </w:p>
        </w:tc>
        <w:tc>
          <w:tcPr/>
          <w:p>
            <w:pPr>
              <w:pStyle w:val="Compact"/>
              <w:jc w:val="left"/>
            </w:pPr>
            <w:r>
              <w:t xml:space="preserve">No Reg FD / duty-to-update analysis documented</w:t>
            </w:r>
          </w:p>
        </w:tc>
        <w:tc>
          <w:tcPr/>
          <w:p>
            <w:pPr>
              <w:pStyle w:val="Compact"/>
              <w:jc w:val="left"/>
            </w:pPr>
            <w:r>
              <w:t xml:space="preserve">Reg FD</w:t>
            </w:r>
          </w:p>
        </w:tc>
        <w:tc>
          <w:tcPr/>
          <w:p>
            <w:pPr>
              <w:pStyle w:val="Compact"/>
              <w:jc w:val="left"/>
            </w:pPr>
            <w:r>
              <w:t xml:space="preserve">MEDIUM</w:t>
            </w:r>
          </w:p>
        </w:tc>
        <w:tc>
          <w:tcPr/>
          <w:p>
            <w:pPr>
              <w:pStyle w:val="Compact"/>
              <w:jc w:val="left"/>
            </w:pPr>
            <w:r>
              <w:t xml:space="preserve">Regulation FD</w:t>
            </w:r>
          </w:p>
        </w:tc>
      </w:tr>
      <w:tr>
        <w:tc>
          <w:tcPr/>
          <w:p>
            <w:pPr>
              <w:pStyle w:val="Compact"/>
              <w:jc w:val="left"/>
            </w:pPr>
            <w:r>
              <w:t xml:space="preserve">G-1</w:t>
            </w:r>
          </w:p>
        </w:tc>
        <w:tc>
          <w:tcPr/>
          <w:p>
            <w:pPr>
              <w:pStyle w:val="Compact"/>
              <w:jc w:val="left"/>
            </w:pPr>
            <w:r>
              <w:t xml:space="preserve">48-hour customer notification deadlines missed (3 top customers)</w:t>
            </w:r>
          </w:p>
        </w:tc>
        <w:tc>
          <w:tcPr/>
          <w:p>
            <w:pPr>
              <w:pStyle w:val="Compact"/>
              <w:jc w:val="left"/>
            </w:pPr>
            <w:r>
              <w:t xml:space="preserve">Customer contracts</w:t>
            </w:r>
          </w:p>
        </w:tc>
        <w:tc>
          <w:tcPr/>
          <w:p>
            <w:pPr>
              <w:pStyle w:val="Compact"/>
              <w:jc w:val="left"/>
            </w:pPr>
            <w:r>
              <w:t xml:space="preserve">CRITICAL</w:t>
            </w:r>
          </w:p>
        </w:tc>
        <w:tc>
          <w:tcPr/>
          <w:p>
            <w:pPr>
              <w:pStyle w:val="Compact"/>
              <w:jc w:val="left"/>
            </w:pPr>
            <w:r>
              <w:t xml:space="preserve">(Contractual; materiality input)</w:t>
            </w:r>
          </w:p>
        </w:tc>
      </w:tr>
      <w:tr>
        <w:tc>
          <w:tcPr/>
          <w:p>
            <w:pPr>
              <w:pStyle w:val="Compact"/>
              <w:jc w:val="left"/>
            </w:pPr>
            <w:r>
              <w:t xml:space="preserve">G-2</w:t>
            </w:r>
          </w:p>
        </w:tc>
        <w:tc>
          <w:tcPr/>
          <w:p>
            <w:pPr>
              <w:pStyle w:val="Compact"/>
              <w:jc w:val="left"/>
            </w:pPr>
            <w:r>
              <w:t xml:space="preserve">Contractual remedies accrued (LDs, termination, suspension, exclusion)</w:t>
            </w:r>
          </w:p>
        </w:tc>
        <w:tc>
          <w:tcPr/>
          <w:p>
            <w:pPr>
              <w:pStyle w:val="Compact"/>
              <w:jc w:val="left"/>
            </w:pPr>
            <w:r>
              <w:t xml:space="preserve">Customer contracts</w:t>
            </w:r>
          </w:p>
        </w:tc>
        <w:tc>
          <w:tcPr/>
          <w:p>
            <w:pPr>
              <w:pStyle w:val="Compact"/>
              <w:jc w:val="left"/>
            </w:pPr>
            <w:r>
              <w:t xml:space="preserve">CRITICAL</w:t>
            </w:r>
          </w:p>
        </w:tc>
        <w:tc>
          <w:tcPr/>
          <w:p>
            <w:pPr>
              <w:pStyle w:val="Compact"/>
              <w:jc w:val="left"/>
            </w:pPr>
            <w:r>
              <w:t xml:space="preserve">(Contractual; materiality input)</w:t>
            </w:r>
          </w:p>
        </w:tc>
      </w:tr>
      <w:tr>
        <w:tc>
          <w:tcPr/>
          <w:p>
            <w:pPr>
              <w:pStyle w:val="Compact"/>
              <w:jc w:val="left"/>
            </w:pPr>
            <w:r>
              <w:t xml:space="preserve">G-3</w:t>
            </w:r>
          </w:p>
        </w:tc>
        <w:tc>
          <w:tcPr/>
          <w:p>
            <w:pPr>
              <w:pStyle w:val="Compact"/>
              <w:jc w:val="left"/>
            </w:pPr>
            <w:r>
              <w:t xml:space="preserve">Revenue-concentration risk (top-10 customers)</w:t>
            </w:r>
          </w:p>
        </w:tc>
        <w:tc>
          <w:tcPr/>
          <w:p>
            <w:pPr>
              <w:pStyle w:val="Compact"/>
              <w:jc w:val="left"/>
            </w:pPr>
            <w:r>
              <w:t xml:space="preserve">Customer contracts</w:t>
            </w:r>
          </w:p>
        </w:tc>
        <w:tc>
          <w:tcPr/>
          <w:p>
            <w:pPr>
              <w:pStyle w:val="Compact"/>
              <w:jc w:val="left"/>
            </w:pPr>
            <w:r>
              <w:t xml:space="preserve">CRITICAL</w:t>
            </w:r>
          </w:p>
        </w:tc>
        <w:tc>
          <w:tcPr/>
          <w:p>
            <w:pPr>
              <w:pStyle w:val="Compact"/>
              <w:jc w:val="left"/>
            </w:pPr>
            <w:r>
              <w:t xml:space="preserve">(Materiality input)</w:t>
            </w:r>
          </w:p>
        </w:tc>
      </w:tr>
      <w:tr>
        <w:tc>
          <w:tcPr/>
          <w:p>
            <w:pPr>
              <w:pStyle w:val="Compact"/>
              <w:jc w:val="left"/>
            </w:pPr>
            <w:r>
              <w:t xml:space="preserve">G-4</w:t>
            </w:r>
          </w:p>
        </w:tc>
        <w:tc>
          <w:tcPr/>
          <w:p>
            <w:pPr>
              <w:pStyle w:val="Compact"/>
              <w:jc w:val="left"/>
            </w:pPr>
            <w:r>
              <w:t xml:space="preserve">Additional customer contracts not yet reviewed</w:t>
            </w:r>
          </w:p>
        </w:tc>
        <w:tc>
          <w:tcPr/>
          <w:p>
            <w:pPr>
              <w:pStyle w:val="Compact"/>
              <w:jc w:val="left"/>
            </w:pPr>
            <w:r>
              <w:t xml:space="preserve">Customer contracts</w:t>
            </w:r>
          </w:p>
        </w:tc>
        <w:tc>
          <w:tcPr/>
          <w:p>
            <w:pPr>
              <w:pStyle w:val="Compact"/>
              <w:jc w:val="left"/>
            </w:pPr>
            <w:r>
              <w:t xml:space="preserve">HIGH</w:t>
            </w:r>
          </w:p>
        </w:tc>
        <w:tc>
          <w:tcPr/>
          <w:p>
            <w:pPr>
              <w:pStyle w:val="Compact"/>
              <w:jc w:val="left"/>
            </w:pPr>
            <w:r>
              <w:t xml:space="preserve">(Contractual)</w:t>
            </w:r>
          </w:p>
        </w:tc>
      </w:tr>
      <w:tr>
        <w:tc>
          <w:tcPr/>
          <w:p>
            <w:pPr>
              <w:pStyle w:val="Compact"/>
              <w:jc w:val="left"/>
            </w:pPr>
            <w:r>
              <w:t xml:space="preserve">G-5</w:t>
            </w:r>
          </w:p>
        </w:tc>
        <w:tc>
          <w:tcPr/>
          <w:p>
            <w:pPr>
              <w:pStyle w:val="Compact"/>
              <w:jc w:val="left"/>
            </w:pPr>
            <w:r>
              <w:t xml:space="preserve">Forensic-report-sharing obligations not planned</w:t>
            </w:r>
          </w:p>
        </w:tc>
        <w:tc>
          <w:tcPr/>
          <w:p>
            <w:pPr>
              <w:pStyle w:val="Compact"/>
              <w:jc w:val="left"/>
            </w:pPr>
            <w:r>
              <w:t xml:space="preserve">Customer contracts</w:t>
            </w:r>
          </w:p>
        </w:tc>
        <w:tc>
          <w:tcPr/>
          <w:p>
            <w:pPr>
              <w:pStyle w:val="Compact"/>
              <w:jc w:val="left"/>
            </w:pPr>
            <w:r>
              <w:t xml:space="preserve">MEDIUM</w:t>
            </w:r>
          </w:p>
        </w:tc>
        <w:tc>
          <w:tcPr/>
          <w:p>
            <w:pPr>
              <w:pStyle w:val="Compact"/>
              <w:jc w:val="left"/>
            </w:pPr>
            <w:r>
              <w:t xml:space="preserve">(Contractual)</w:t>
            </w:r>
          </w:p>
        </w:tc>
      </w:tr>
      <w:tr>
        <w:tc>
          <w:tcPr/>
          <w:p>
            <w:pPr>
              <w:pStyle w:val="Compact"/>
              <w:jc w:val="left"/>
            </w:pPr>
            <w:r>
              <w:t xml:space="preserve">H-1</w:t>
            </w:r>
          </w:p>
        </w:tc>
        <w:tc>
          <w:tcPr/>
          <w:p>
            <w:pPr>
              <w:pStyle w:val="Compact"/>
              <w:jc w:val="left"/>
            </w:pPr>
            <w:r>
              <w:t xml:space="preserve">No state data-breach notifications commenced</w:t>
            </w:r>
          </w:p>
        </w:tc>
        <w:tc>
          <w:tcPr/>
          <w:p>
            <w:pPr>
              <w:pStyle w:val="Compact"/>
              <w:jc w:val="left"/>
            </w:pPr>
            <w:r>
              <w:t xml:space="preserve">Breach notification</w:t>
            </w:r>
          </w:p>
        </w:tc>
        <w:tc>
          <w:tcPr/>
          <w:p>
            <w:pPr>
              <w:pStyle w:val="Compact"/>
              <w:jc w:val="left"/>
            </w:pPr>
            <w:r>
              <w:t xml:space="preserve">HIGH</w:t>
            </w:r>
          </w:p>
        </w:tc>
        <w:tc>
          <w:tcPr/>
          <w:p>
            <w:pPr>
              <w:pStyle w:val="Compact"/>
              <w:jc w:val="left"/>
            </w:pPr>
            <w:r>
              <w:t xml:space="preserve">State breach statutes</w:t>
            </w:r>
          </w:p>
        </w:tc>
      </w:tr>
      <w:tr>
        <w:tc>
          <w:tcPr/>
          <w:p>
            <w:pPr>
              <w:pStyle w:val="Compact"/>
              <w:jc w:val="left"/>
            </w:pPr>
            <w:r>
              <w:t xml:space="preserve">H-2</w:t>
            </w:r>
          </w:p>
        </w:tc>
        <w:tc>
          <w:tcPr/>
          <w:p>
            <w:pPr>
              <w:pStyle w:val="Compact"/>
              <w:jc w:val="left"/>
            </w:pPr>
            <w:r>
              <w:t xml:space="preserve">No GDPR/EU/international notifications; 72-hour clock at risk</w:t>
            </w:r>
          </w:p>
        </w:tc>
        <w:tc>
          <w:tcPr/>
          <w:p>
            <w:pPr>
              <w:pStyle w:val="Compact"/>
              <w:jc w:val="left"/>
            </w:pPr>
            <w:r>
              <w:t xml:space="preserve">Breach notification</w:t>
            </w:r>
          </w:p>
        </w:tc>
        <w:tc>
          <w:tcPr/>
          <w:p>
            <w:pPr>
              <w:pStyle w:val="Compact"/>
              <w:jc w:val="left"/>
            </w:pPr>
            <w:r>
              <w:t xml:space="preserve">HIGH</w:t>
            </w:r>
          </w:p>
        </w:tc>
        <w:tc>
          <w:tcPr/>
          <w:p>
            <w:pPr>
              <w:pStyle w:val="Compact"/>
              <w:jc w:val="left"/>
            </w:pPr>
            <w:r>
              <w:t xml:space="preserve">GDPR Arts. 33–34; LFPDPPP</w:t>
            </w:r>
          </w:p>
        </w:tc>
      </w:tr>
      <w:tr>
        <w:tc>
          <w:tcPr/>
          <w:p>
            <w:pPr>
              <w:pStyle w:val="Compact"/>
              <w:jc w:val="left"/>
            </w:pPr>
            <w:r>
              <w:t xml:space="preserve">H-3</w:t>
            </w:r>
          </w:p>
        </w:tc>
        <w:tc>
          <w:tcPr/>
          <w:p>
            <w:pPr>
              <w:pStyle w:val="Compact"/>
              <w:jc w:val="left"/>
            </w:pPr>
            <w:r>
              <w:t xml:space="preserve">No breach-notification workflow integrated with CIRP</w:t>
            </w:r>
          </w:p>
        </w:tc>
        <w:tc>
          <w:tcPr/>
          <w:p>
            <w:pPr>
              <w:pStyle w:val="Compact"/>
              <w:jc w:val="left"/>
            </w:pPr>
            <w:r>
              <w:t xml:space="preserve">Breach notification</w:t>
            </w:r>
          </w:p>
        </w:tc>
        <w:tc>
          <w:tcPr/>
          <w:p>
            <w:pPr>
              <w:pStyle w:val="Compact"/>
              <w:jc w:val="left"/>
            </w:pPr>
            <w:r>
              <w:t xml:space="preserve">MEDIUM</w:t>
            </w:r>
          </w:p>
        </w:tc>
        <w:tc>
          <w:tcPr/>
          <w:p>
            <w:pPr>
              <w:pStyle w:val="Compact"/>
              <w:jc w:val="left"/>
            </w:pPr>
            <w:r>
              <w:t xml:space="preserve">State/EU law</w:t>
            </w:r>
          </w:p>
        </w:tc>
      </w:tr>
      <w:tr>
        <w:tc>
          <w:tcPr/>
          <w:p>
            <w:pPr>
              <w:pStyle w:val="Compact"/>
              <w:jc w:val="left"/>
            </w:pPr>
            <w:r>
              <w:t xml:space="preserve">I-1</w:t>
            </w:r>
          </w:p>
        </w:tc>
        <w:tc>
          <w:tcPr/>
          <w:p>
            <w:pPr>
              <w:pStyle w:val="Compact"/>
              <w:jc w:val="left"/>
            </w:pPr>
            <w:r>
              <w:t xml:space="preserve">Late notice to cyber insurer (~73 hrs vs. 72-hr requirement)</w:t>
            </w:r>
          </w:p>
        </w:tc>
        <w:tc>
          <w:tcPr/>
          <w:p>
            <w:pPr>
              <w:pStyle w:val="Compact"/>
              <w:jc w:val="left"/>
            </w:pPr>
            <w:r>
              <w:t xml:space="preserve">Insurance</w:t>
            </w:r>
          </w:p>
        </w:tc>
        <w:tc>
          <w:tcPr/>
          <w:p>
            <w:pPr>
              <w:pStyle w:val="Compact"/>
              <w:jc w:val="left"/>
            </w:pPr>
            <w:r>
              <w:t xml:space="preserve">CRITICAL</w:t>
            </w:r>
          </w:p>
        </w:tc>
        <w:tc>
          <w:tcPr/>
          <w:p>
            <w:pPr>
              <w:pStyle w:val="Compact"/>
              <w:jc w:val="left"/>
            </w:pPr>
            <w:r>
              <w:t xml:space="preserve">Policy terms</w:t>
            </w:r>
          </w:p>
        </w:tc>
      </w:tr>
      <w:tr>
        <w:tc>
          <w:tcPr/>
          <w:p>
            <w:pPr>
              <w:pStyle w:val="Compact"/>
              <w:jc w:val="left"/>
            </w:pPr>
            <w:r>
              <w:t xml:space="preserve">I-2</w:t>
            </w:r>
          </w:p>
        </w:tc>
        <w:tc>
          <w:tcPr/>
          <w:p>
            <w:pPr>
              <w:pStyle w:val="Compact"/>
              <w:jc w:val="left"/>
            </w:pPr>
            <w:r>
              <w:t xml:space="preserve">Potential MFA application-warranty breach (voiding risk)</w:t>
            </w:r>
          </w:p>
        </w:tc>
        <w:tc>
          <w:tcPr/>
          <w:p>
            <w:pPr>
              <w:pStyle w:val="Compact"/>
              <w:jc w:val="left"/>
            </w:pPr>
            <w:r>
              <w:t xml:space="preserve">Insurance</w:t>
            </w:r>
          </w:p>
        </w:tc>
        <w:tc>
          <w:tcPr/>
          <w:p>
            <w:pPr>
              <w:pStyle w:val="Compact"/>
              <w:jc w:val="left"/>
            </w:pPr>
            <w:r>
              <w:t xml:space="preserve">CRITICAL</w:t>
            </w:r>
          </w:p>
        </w:tc>
        <w:tc>
          <w:tcPr/>
          <w:p>
            <w:pPr>
              <w:pStyle w:val="Compact"/>
              <w:jc w:val="left"/>
            </w:pPr>
            <w:r>
              <w:t xml:space="preserve">Policy terms</w:t>
            </w:r>
          </w:p>
        </w:tc>
      </w:tr>
      <w:tr>
        <w:tc>
          <w:tcPr/>
          <w:p>
            <w:pPr>
              <w:pStyle w:val="Compact"/>
              <w:jc w:val="left"/>
            </w:pPr>
            <w:r>
              <w:t xml:space="preserve">I-3</w:t>
            </w:r>
          </w:p>
        </w:tc>
        <w:tc>
          <w:tcPr/>
          <w:p>
            <w:pPr>
              <w:pStyle w:val="Compact"/>
              <w:jc w:val="left"/>
            </w:pPr>
            <w:r>
              <w:t xml:space="preserve">Potential</w:t>
            </w:r>
            <w:r>
              <w:t xml:space="preserve"> </w:t>
            </w:r>
            <w:r>
              <w:t xml:space="preserve">“</w:t>
            </w:r>
            <w:r>
              <w:t xml:space="preserve">failure to maintain security standards</w:t>
            </w:r>
            <w:r>
              <w:t xml:space="preserve">”</w:t>
            </w:r>
            <w:r>
              <w:t xml:space="preserve"> </w:t>
            </w:r>
            <w:r>
              <w:t xml:space="preserve">exclusion</w:t>
            </w:r>
          </w:p>
        </w:tc>
        <w:tc>
          <w:tcPr/>
          <w:p>
            <w:pPr>
              <w:pStyle w:val="Compact"/>
              <w:jc w:val="left"/>
            </w:pPr>
            <w:r>
              <w:t xml:space="preserve">Insurance</w:t>
            </w:r>
          </w:p>
        </w:tc>
        <w:tc>
          <w:tcPr/>
          <w:p>
            <w:pPr>
              <w:pStyle w:val="Compact"/>
              <w:jc w:val="left"/>
            </w:pPr>
            <w:r>
              <w:t xml:space="preserve">CRITICAL</w:t>
            </w:r>
          </w:p>
        </w:tc>
        <w:tc>
          <w:tcPr/>
          <w:p>
            <w:pPr>
              <w:pStyle w:val="Compact"/>
              <w:jc w:val="left"/>
            </w:pPr>
            <w:r>
              <w:t xml:space="preserve">Policy Exclusion (i)</w:t>
            </w:r>
          </w:p>
        </w:tc>
      </w:tr>
      <w:tr>
        <w:tc>
          <w:tcPr/>
          <w:p>
            <w:pPr>
              <w:pStyle w:val="Compact"/>
              <w:jc w:val="left"/>
            </w:pPr>
            <w:r>
              <w:t xml:space="preserve">I-4</w:t>
            </w:r>
          </w:p>
        </w:tc>
        <w:tc>
          <w:tcPr/>
          <w:p>
            <w:pPr>
              <w:pStyle w:val="Compact"/>
              <w:jc w:val="left"/>
            </w:pPr>
            <w:r>
              <w:t xml:space="preserve">Contractual-liability exclusion may bar customer-claim coverage</w:t>
            </w:r>
          </w:p>
        </w:tc>
        <w:tc>
          <w:tcPr/>
          <w:p>
            <w:pPr>
              <w:pStyle w:val="Compact"/>
              <w:jc w:val="left"/>
            </w:pPr>
            <w:r>
              <w:t xml:space="preserve">Insurance</w:t>
            </w:r>
          </w:p>
        </w:tc>
        <w:tc>
          <w:tcPr/>
          <w:p>
            <w:pPr>
              <w:pStyle w:val="Compact"/>
              <w:jc w:val="left"/>
            </w:pPr>
            <w:r>
              <w:t xml:space="preserve">HIGH</w:t>
            </w:r>
          </w:p>
        </w:tc>
        <w:tc>
          <w:tcPr/>
          <w:p>
            <w:pPr>
              <w:pStyle w:val="Compact"/>
              <w:jc w:val="left"/>
            </w:pPr>
            <w:r>
              <w:t xml:space="preserve">Policy Exclusion (g)</w:t>
            </w:r>
          </w:p>
        </w:tc>
      </w:tr>
      <w:tr>
        <w:tc>
          <w:tcPr/>
          <w:p>
            <w:pPr>
              <w:pStyle w:val="Compact"/>
              <w:jc w:val="left"/>
            </w:pPr>
            <w:r>
              <w:t xml:space="preserve">I-5</w:t>
            </w:r>
          </w:p>
        </w:tc>
        <w:tc>
          <w:tcPr/>
          <w:p>
            <w:pPr>
              <w:pStyle w:val="Compact"/>
              <w:jc w:val="left"/>
            </w:pPr>
            <w:r>
              <w:t xml:space="preserve">Consent-to-incur-costs compliance unconfirmed</w:t>
            </w:r>
          </w:p>
        </w:tc>
        <w:tc>
          <w:tcPr/>
          <w:p>
            <w:pPr>
              <w:pStyle w:val="Compact"/>
              <w:jc w:val="left"/>
            </w:pPr>
            <w:r>
              <w:t xml:space="preserve">Insurance</w:t>
            </w:r>
          </w:p>
        </w:tc>
        <w:tc>
          <w:tcPr/>
          <w:p>
            <w:pPr>
              <w:pStyle w:val="Compact"/>
              <w:jc w:val="left"/>
            </w:pPr>
            <w:r>
              <w:t xml:space="preserve">MEDIUM</w:t>
            </w:r>
          </w:p>
        </w:tc>
        <w:tc>
          <w:tcPr/>
          <w:p>
            <w:pPr>
              <w:pStyle w:val="Compact"/>
              <w:jc w:val="left"/>
            </w:pPr>
            <w:r>
              <w:t xml:space="preserve">Policy Section 7.2</w:t>
            </w:r>
          </w:p>
        </w:tc>
      </w:tr>
      <w:tr>
        <w:tc>
          <w:tcPr/>
          <w:p>
            <w:pPr>
              <w:pStyle w:val="Compact"/>
              <w:jc w:val="left"/>
            </w:pPr>
            <w:r>
              <w:t xml:space="preserve">J-1</w:t>
            </w:r>
          </w:p>
        </w:tc>
        <w:tc>
          <w:tcPr/>
          <w:p>
            <w:pPr>
              <w:pStyle w:val="Compact"/>
              <w:jc w:val="left"/>
            </w:pPr>
            <w:r>
              <w:t xml:space="preserve">Kessler counterparty and financial advisor not notified</w:t>
            </w:r>
          </w:p>
        </w:tc>
        <w:tc>
          <w:tcPr/>
          <w:p>
            <w:pPr>
              <w:pStyle w:val="Compact"/>
              <w:jc w:val="left"/>
            </w:pPr>
            <w:r>
              <w:t xml:space="preserve">M&amp;A</w:t>
            </w:r>
          </w:p>
        </w:tc>
        <w:tc>
          <w:tcPr/>
          <w:p>
            <w:pPr>
              <w:pStyle w:val="Compact"/>
              <w:jc w:val="left"/>
            </w:pPr>
            <w:r>
              <w:t xml:space="preserve">HIGH</w:t>
            </w:r>
          </w:p>
        </w:tc>
        <w:tc>
          <w:tcPr/>
          <w:p>
            <w:pPr>
              <w:pStyle w:val="Compact"/>
              <w:jc w:val="left"/>
            </w:pPr>
            <w:r>
              <w:t xml:space="preserve">(Contractual; disclosure)</w:t>
            </w:r>
          </w:p>
        </w:tc>
      </w:tr>
      <w:tr>
        <w:tc>
          <w:tcPr/>
          <w:p>
            <w:pPr>
              <w:pStyle w:val="Compact"/>
              <w:jc w:val="left"/>
            </w:pPr>
            <w:r>
              <w:t xml:space="preserve">J-2</w:t>
            </w:r>
          </w:p>
        </w:tc>
        <w:tc>
          <w:tcPr/>
          <w:p>
            <w:pPr>
              <w:pStyle w:val="Compact"/>
              <w:jc w:val="left"/>
            </w:pPr>
            <w:r>
              <w:t xml:space="preserve">SEC disclosure for transaction not addressed</w:t>
            </w:r>
          </w:p>
        </w:tc>
        <w:tc>
          <w:tcPr/>
          <w:p>
            <w:pPr>
              <w:pStyle w:val="Compact"/>
              <w:jc w:val="left"/>
            </w:pPr>
            <w:r>
              <w:t xml:space="preserve">M&amp;A</w:t>
            </w:r>
          </w:p>
        </w:tc>
        <w:tc>
          <w:tcPr/>
          <w:p>
            <w:pPr>
              <w:pStyle w:val="Compact"/>
              <w:jc w:val="left"/>
            </w:pPr>
            <w:r>
              <w:t xml:space="preserve">HIGH</w:t>
            </w:r>
          </w:p>
        </w:tc>
        <w:tc>
          <w:tcPr/>
          <w:p>
            <w:pPr>
              <w:pStyle w:val="Compact"/>
              <w:jc w:val="left"/>
            </w:pPr>
            <w:r>
              <w:t xml:space="preserve">Item 1.01/9.01; proxy/S-4</w:t>
            </w:r>
          </w:p>
        </w:tc>
      </w:tr>
      <w:tr>
        <w:tc>
          <w:tcPr/>
          <w:p>
            <w:pPr>
              <w:pStyle w:val="Compact"/>
              <w:jc w:val="left"/>
            </w:pPr>
            <w:r>
              <w:t xml:space="preserve">J-3</w:t>
            </w:r>
          </w:p>
        </w:tc>
        <w:tc>
          <w:tcPr/>
          <w:p>
            <w:pPr>
              <w:pStyle w:val="Compact"/>
              <w:jc w:val="left"/>
            </w:pPr>
            <w:r>
              <w:t xml:space="preserve">No MAC/financing-impact assessment</w:t>
            </w:r>
          </w:p>
        </w:tc>
        <w:tc>
          <w:tcPr/>
          <w:p>
            <w:pPr>
              <w:pStyle w:val="Compact"/>
              <w:jc w:val="left"/>
            </w:pPr>
            <w:r>
              <w:t xml:space="preserve">M&amp;A</w:t>
            </w:r>
          </w:p>
        </w:tc>
        <w:tc>
          <w:tcPr/>
          <w:p>
            <w:pPr>
              <w:pStyle w:val="Compact"/>
              <w:jc w:val="left"/>
            </w:pPr>
            <w:r>
              <w:t xml:space="preserve">MEDIUM</w:t>
            </w:r>
          </w:p>
        </w:tc>
        <w:tc>
          <w:tcPr/>
          <w:p>
            <w:pPr>
              <w:pStyle w:val="Compact"/>
              <w:jc w:val="left"/>
            </w:pPr>
            <w:r>
              <w:t xml:space="preserve">(Contractual)</w:t>
            </w:r>
          </w:p>
        </w:tc>
      </w:tr>
      <w:tr>
        <w:tc>
          <w:tcPr/>
          <w:p>
            <w:pPr>
              <w:pStyle w:val="Compact"/>
              <w:jc w:val="left"/>
            </w:pPr>
            <w:r>
              <w:t xml:space="preserve">K-1</w:t>
            </w:r>
          </w:p>
        </w:tc>
        <w:tc>
          <w:tcPr/>
          <w:p>
            <w:pPr>
              <w:pStyle w:val="Compact"/>
              <w:jc w:val="left"/>
            </w:pPr>
            <w:r>
              <w:t xml:space="preserve">Independent auditor not notified</w:t>
            </w:r>
          </w:p>
        </w:tc>
        <w:tc>
          <w:tcPr/>
          <w:p>
            <w:pPr>
              <w:pStyle w:val="Compact"/>
              <w:jc w:val="left"/>
            </w:pPr>
            <w:r>
              <w:t xml:space="preserve">Financial reporting</w:t>
            </w:r>
          </w:p>
        </w:tc>
        <w:tc>
          <w:tcPr/>
          <w:p>
            <w:pPr>
              <w:pStyle w:val="Compact"/>
              <w:jc w:val="left"/>
            </w:pPr>
            <w:r>
              <w:t xml:space="preserve">HIGH</w:t>
            </w:r>
          </w:p>
        </w:tc>
        <w:tc>
          <w:tcPr/>
          <w:p>
            <w:pPr>
              <w:pStyle w:val="Compact"/>
              <w:jc w:val="left"/>
            </w:pPr>
            <w:r>
              <w:t xml:space="preserve">PCAOB; ASC 450; SOX 404</w:t>
            </w:r>
          </w:p>
        </w:tc>
      </w:tr>
      <w:tr>
        <w:tc>
          <w:tcPr/>
          <w:p>
            <w:pPr>
              <w:pStyle w:val="Compact"/>
              <w:jc w:val="left"/>
            </w:pPr>
            <w:r>
              <w:t xml:space="preserve">K-2</w:t>
            </w:r>
          </w:p>
        </w:tc>
        <w:tc>
          <w:tcPr/>
          <w:p>
            <w:pPr>
              <w:pStyle w:val="Compact"/>
              <w:jc w:val="left"/>
            </w:pPr>
            <w:r>
              <w:t xml:space="preserve">No loss-contingency analysis initiated</w:t>
            </w:r>
          </w:p>
        </w:tc>
        <w:tc>
          <w:tcPr/>
          <w:p>
            <w:pPr>
              <w:pStyle w:val="Compact"/>
              <w:jc w:val="left"/>
            </w:pPr>
            <w:r>
              <w:t xml:space="preserve">Financial reporting</w:t>
            </w:r>
          </w:p>
        </w:tc>
        <w:tc>
          <w:tcPr/>
          <w:p>
            <w:pPr>
              <w:pStyle w:val="Compact"/>
              <w:jc w:val="left"/>
            </w:pPr>
            <w:r>
              <w:t xml:space="preserve">HIGH</w:t>
            </w:r>
          </w:p>
        </w:tc>
        <w:tc>
          <w:tcPr/>
          <w:p>
            <w:pPr>
              <w:pStyle w:val="Compact"/>
              <w:jc w:val="left"/>
            </w:pPr>
            <w:r>
              <w:t xml:space="preserve">ASC 450-20</w:t>
            </w:r>
          </w:p>
        </w:tc>
      </w:tr>
    </w:tbl>
    <w:p>
      <w:r>
        <w:pict>
          <v:rect style="width:0;height:1.5pt" o:hralign="center" o:hrstd="t" o:hr="t"/>
        </w:pict>
      </w:r>
    </w:p>
    <w:bookmarkEnd w:id="43"/>
    <w:bookmarkStart w:id="47" w:name="vii.-recommended-remediation-actions"/>
    <w:p>
      <w:pPr>
        <w:pStyle w:val="Heading2"/>
      </w:pPr>
      <w:r>
        <w:t xml:space="preserve">VII. Recommended Remediation Actions</w:t>
      </w:r>
    </w:p>
    <w:p>
      <w:pPr>
        <w:pStyle w:val="FirstParagraph"/>
      </w:pPr>
      <w:r>
        <w:t xml:space="preserve">The following actions are prioritized by urgency.</w:t>
      </w:r>
      <w:r>
        <w:t xml:space="preserve"> </w:t>
      </w:r>
      <w:r>
        <w:t xml:space="preserve">“</w:t>
      </w:r>
      <w:r>
        <w:t xml:space="preserve">Immediate</w:t>
      </w:r>
      <w:r>
        <w:t xml:space="preserve">”</w:t>
      </w:r>
      <w:r>
        <w:t xml:space="preserve"> </w:t>
      </w:r>
      <w:r>
        <w:t xml:space="preserve">actions should be undertaken within the next one to four business days.</w:t>
      </w:r>
    </w:p>
    <w:bookmarkStart w:id="44" w:name="tier-1-immediate-04-business-days"/>
    <w:p>
      <w:pPr>
        <w:pStyle w:val="Heading3"/>
      </w:pPr>
      <w:r>
        <w:t xml:space="preserve">Tier 1 — Immediate (0–4 business days)</w:t>
      </w:r>
    </w:p>
    <w:p>
      <w:pPr>
        <w:pStyle w:val="Compact"/>
        <w:numPr>
          <w:ilvl w:val="0"/>
          <w:numId w:val="1007"/>
        </w:numPr>
      </w:pPr>
      <w:r>
        <w:rPr>
          <w:b/>
          <w:bCs/>
        </w:rPr>
        <w:t xml:space="preserve">Convene a documented materiality determination.</w:t>
      </w:r>
      <w:r>
        <w:t xml:space="preserve"> </w:t>
      </w:r>
      <w:r>
        <w:t xml:space="preserve">Management, with disclosure counsel, should conduct and document a formal materiality analysis (quantitative and qualitative) immediately. Document the participants, the analysis, the conclusion, and the date/time of the determination. (Addresses A-1; Part V.)</w:t>
      </w:r>
    </w:p>
    <w:p>
      <w:pPr>
        <w:pStyle w:val="Compact"/>
        <w:numPr>
          <w:ilvl w:val="0"/>
          <w:numId w:val="1007"/>
        </w:numPr>
      </w:pPr>
      <w:r>
        <w:rPr>
          <w:b/>
          <w:bCs/>
        </w:rPr>
        <w:t xml:space="preserve">Prepare and file Form 8-K Item 1.05 if material.</w:t>
      </w:r>
      <w:r>
        <w:t xml:space="preserve"> </w:t>
      </w:r>
      <w:r>
        <w:t xml:space="preserve">If the determination is material (as we preliminarily conclude), draft and file the 8-K within four business days of the determination, addressing the nature, scope, and timing of the Incident; the material or reasonably likely material impact; remediation status; and the absence of any law-enforcement delay request. (Addresses A-2, A-3.)</w:t>
      </w:r>
    </w:p>
    <w:p>
      <w:pPr>
        <w:pStyle w:val="Compact"/>
        <w:numPr>
          <w:ilvl w:val="0"/>
          <w:numId w:val="1007"/>
        </w:numPr>
      </w:pPr>
      <w:r>
        <w:rPr>
          <w:b/>
          <w:bCs/>
        </w:rPr>
        <w:t xml:space="preserve">Implement an insider trading blackout.</w:t>
      </w:r>
      <w:r>
        <w:t xml:space="preserve"> </w:t>
      </w:r>
      <w:r>
        <w:t xml:space="preserve">Close all trading windows for directors, officers, and other insiders aware of the Incident; issue written reminders; and document the blackout effective date (retroactive to the date material nonpublic information arose). (Addresses F-1.)</w:t>
      </w:r>
    </w:p>
    <w:p>
      <w:pPr>
        <w:pStyle w:val="Compact"/>
        <w:numPr>
          <w:ilvl w:val="0"/>
          <w:numId w:val="1007"/>
        </w:numPr>
      </w:pPr>
      <w:r>
        <w:rPr>
          <w:b/>
          <w:bCs/>
        </w:rPr>
        <w:t xml:space="preserve">Notify the independent auditor (Greystone &amp; Associates LLP).</w:t>
      </w:r>
      <w:r>
        <w:t xml:space="preserve"> </w:t>
      </w:r>
      <w:r>
        <w:t xml:space="preserve">Provide a briefing on the Incident, its impact on the ERP financial systems, and the ICFR/disclosure-controls implications. (Addresses K-1, C-2.)</w:t>
      </w:r>
    </w:p>
    <w:p>
      <w:pPr>
        <w:pStyle w:val="Compact"/>
        <w:numPr>
          <w:ilvl w:val="0"/>
          <w:numId w:val="1007"/>
        </w:numPr>
      </w:pPr>
      <w:r>
        <w:rPr>
          <w:b/>
          <w:bCs/>
        </w:rPr>
        <w:t xml:space="preserve">Notify the Kessler transaction counterparty and financial advisor.</w:t>
      </w:r>
      <w:r>
        <w:t xml:space="preserve"> </w:t>
      </w:r>
      <w:r>
        <w:t xml:space="preserve">Coordinate with transaction counsel on the timing, scope, and form of notice, and assess MAC, reps-and-warranties, and financing implications. (Addresses J-1, J-3.)</w:t>
      </w:r>
    </w:p>
    <w:p>
      <w:pPr>
        <w:pStyle w:val="Compact"/>
        <w:numPr>
          <w:ilvl w:val="0"/>
          <w:numId w:val="1007"/>
        </w:numPr>
      </w:pPr>
      <w:r>
        <w:rPr>
          <w:b/>
          <w:bCs/>
        </w:rPr>
        <w:t xml:space="preserve">Issue overdue customer notifications.</w:t>
      </w:r>
      <w:r>
        <w:t xml:space="preserve"> </w:t>
      </w:r>
      <w:r>
        <w:t xml:space="preserve">Send notifications to Harmon, Crestfield, and Nexagen (and other affected customers as identified) without further delay to mitigate liquidated-damages, termination, and exclusion exposure, even though the 48-hour deadlines have passed. Coordinate content with counsel to preserve privilege and satisfy contractual content requirements. (Addresses G-1, G-2.)</w:t>
      </w:r>
    </w:p>
    <w:p>
      <w:pPr>
        <w:pStyle w:val="Compact"/>
        <w:numPr>
          <w:ilvl w:val="0"/>
          <w:numId w:val="1007"/>
        </w:numPr>
      </w:pPr>
      <w:r>
        <w:rPr>
          <w:b/>
          <w:bCs/>
        </w:rPr>
        <w:t xml:space="preserve">Commence state and international breach-notification analysis.</w:t>
      </w:r>
      <w:r>
        <w:t xml:space="preserve"> </w:t>
      </w:r>
      <w:r>
        <w:t xml:space="preserve">Map affected residents by jurisdiction; engage EU privacy counsel for GDPR Arts. 33–34 compliance; determine state AG and individual-notification deadlines; and begin filings. (Addresses H-1, H-2.)</w:t>
      </w:r>
    </w:p>
    <w:p>
      <w:pPr>
        <w:pStyle w:val="Compact"/>
        <w:numPr>
          <w:ilvl w:val="0"/>
          <w:numId w:val="1007"/>
        </w:numPr>
      </w:pPr>
      <w:r>
        <w:rPr>
          <w:b/>
          <w:bCs/>
        </w:rPr>
        <w:t xml:space="preserve">Call a special Audit Committee meeting.</w:t>
      </w:r>
      <w:r>
        <w:t xml:space="preserve"> </w:t>
      </w:r>
      <w:r>
        <w:t xml:space="preserve">Do not defer Board-level oversight to the January 22, 2025 routine meeting. Provide the Audit Committee with the materiality analysis, the 8-K draft, and the remediation plan. (Addresses D-2.)</w:t>
      </w:r>
    </w:p>
    <w:p>
      <w:pPr>
        <w:pStyle w:val="Compact"/>
        <w:numPr>
          <w:ilvl w:val="0"/>
          <w:numId w:val="1007"/>
        </w:numPr>
      </w:pPr>
      <w:r>
        <w:rPr>
          <w:b/>
          <w:bCs/>
        </w:rPr>
        <w:t xml:space="preserve">Engage Ridgeline on coverage.</w:t>
      </w:r>
      <w:r>
        <w:t xml:space="preserve"> </w:t>
      </w:r>
      <w:r>
        <w:t xml:space="preserve">Provide a detailed claim submission; address the late-notice issue with a prejudice analysis; and develop the factual record on MFA deployment to defend against the warranty and exclusion positions. (Addresses I-1, I-2, I-3, I-5.)</w:t>
      </w:r>
    </w:p>
    <w:bookmarkEnd w:id="44"/>
    <w:bookmarkStart w:id="45" w:name="tier-2-near-term-14-weeks"/>
    <w:p>
      <w:pPr>
        <w:pStyle w:val="Heading3"/>
      </w:pPr>
      <w:r>
        <w:t xml:space="preserve">Tier 2 — Near-term (1–4 weeks)</w:t>
      </w:r>
    </w:p>
    <w:p>
      <w:pPr>
        <w:pStyle w:val="Compact"/>
        <w:numPr>
          <w:ilvl w:val="0"/>
          <w:numId w:val="1008"/>
        </w:numPr>
      </w:pPr>
      <w:r>
        <w:rPr>
          <w:b/>
          <w:bCs/>
        </w:rPr>
        <w:t xml:space="preserve">Update the Audit Committee Charter</w:t>
      </w:r>
      <w:r>
        <w:t xml:space="preserve"> </w:t>
      </w:r>
      <w:r>
        <w:t xml:space="preserve">to expressly address cybersecurity-risk oversight, including the Committee’s responsibility for oversight of cybersecurity risk management, materiality-determination processes, and incident-reporting protocols. Obtain Board approval. (Addresses D-1.)</w:t>
      </w:r>
    </w:p>
    <w:p>
      <w:pPr>
        <w:pStyle w:val="Compact"/>
        <w:numPr>
          <w:ilvl w:val="0"/>
          <w:numId w:val="1008"/>
        </w:numPr>
      </w:pPr>
      <w:r>
        <w:rPr>
          <w:b/>
          <w:bCs/>
        </w:rPr>
        <w:t xml:space="preserve">Revise the CIRP</w:t>
      </w:r>
      <w:r>
        <w:t xml:space="preserve"> </w:t>
      </w:r>
      <w:r>
        <w:t xml:space="preserve">to (i) mandate prompt notification of the General Counsel, CEO, and Audit Committee/Board for all Tier 2 and Tier 3 incidents with defined timeframes; (ii) incorporate a materiality-assessment and disclosure-decision checkpoint; (iii) bring external communications (customer, regulator, public) within scope or integrate a companion disclosure protocol; and (iv) require periodic tabletop exercises. Obtain CTO re-approval. (Addresses E-1, E-2, E-5.)</w:t>
      </w:r>
    </w:p>
    <w:p>
      <w:pPr>
        <w:pStyle w:val="Compact"/>
        <w:numPr>
          <w:ilvl w:val="0"/>
          <w:numId w:val="1008"/>
        </w:numPr>
      </w:pPr>
      <w:r>
        <w:rPr>
          <w:b/>
          <w:bCs/>
        </w:rPr>
        <w:t xml:space="preserve">Assess disclosure controls and ICFR.</w:t>
      </w:r>
      <w:r>
        <w:t xml:space="preserve"> </w:t>
      </w:r>
      <w:r>
        <w:t xml:space="preserve">Evaluate whether the escalation failures constitute a material weakness or significant deficiency; document the assessment for the FY2024 10-K Item 9A and Section 302/404 certifications. (Addresses C-1, C-2, C-3.)</w:t>
      </w:r>
    </w:p>
    <w:p>
      <w:pPr>
        <w:pStyle w:val="Compact"/>
        <w:numPr>
          <w:ilvl w:val="0"/>
          <w:numId w:val="1008"/>
        </w:numPr>
      </w:pPr>
      <w:r>
        <w:rPr>
          <w:b/>
          <w:bCs/>
        </w:rPr>
        <w:t xml:space="preserve">Complete the customer-contract review</w:t>
      </w:r>
      <w:r>
        <w:t xml:space="preserve"> </w:t>
      </w:r>
      <w:r>
        <w:t xml:space="preserve">(top-twenty and beyond) and triage all notification obligations and remedies. (Addresses G-4, G-5.)</w:t>
      </w:r>
    </w:p>
    <w:p>
      <w:pPr>
        <w:pStyle w:val="Compact"/>
        <w:numPr>
          <w:ilvl w:val="0"/>
          <w:numId w:val="1008"/>
        </w:numPr>
      </w:pPr>
      <w:r>
        <w:rPr>
          <w:b/>
          <w:bCs/>
        </w:rPr>
        <w:t xml:space="preserve">Implement MFA universally</w:t>
      </w:r>
      <w:r>
        <w:t xml:space="preserve"> </w:t>
      </w:r>
      <w:r>
        <w:t xml:space="preserve">for all remote access (internal and third-party) and implement encryption at rest for sensitive data (per Thorngate’s recommendation), prioritizing ACH/banking fields. (Addresses B-1 control remediation; I-2/I-3 mitigation.)</w:t>
      </w:r>
    </w:p>
    <w:p>
      <w:pPr>
        <w:pStyle w:val="Compact"/>
        <w:numPr>
          <w:ilvl w:val="0"/>
          <w:numId w:val="1008"/>
        </w:numPr>
      </w:pPr>
      <w:r>
        <w:rPr>
          <w:b/>
          <w:bCs/>
        </w:rPr>
        <w:t xml:space="preserve">Establish a direct CISO reporting line or escalation trigger</w:t>
      </w:r>
      <w:r>
        <w:t xml:space="preserve"> </w:t>
      </w:r>
      <w:r>
        <w:t xml:space="preserve">to the Audit Committee for significant incidents. (Addresses D-3.)</w:t>
      </w:r>
    </w:p>
    <w:p>
      <w:pPr>
        <w:pStyle w:val="Compact"/>
        <w:numPr>
          <w:ilvl w:val="0"/>
          <w:numId w:val="1008"/>
        </w:numPr>
      </w:pPr>
      <w:r>
        <w:rPr>
          <w:b/>
          <w:bCs/>
        </w:rPr>
        <w:t xml:space="preserve">Evaluate a corrective/interim disclosure</w:t>
      </w:r>
      <w:r>
        <w:t xml:space="preserve"> </w:t>
      </w:r>
      <w:r>
        <w:t xml:space="preserve">regarding the MFA control description and any investor communications made since November 18, 2024. (Addresses B-1, B-2, A-4, F-3.)</w:t>
      </w:r>
    </w:p>
    <w:bookmarkEnd w:id="45"/>
    <w:bookmarkStart w:id="46" w:name="tier-3-ongoing"/>
    <w:p>
      <w:pPr>
        <w:pStyle w:val="Heading3"/>
      </w:pPr>
      <w:r>
        <w:t xml:space="preserve">Tier 3 — Ongoing</w:t>
      </w:r>
    </w:p>
    <w:p>
      <w:pPr>
        <w:pStyle w:val="Compact"/>
        <w:numPr>
          <w:ilvl w:val="0"/>
          <w:numId w:val="1009"/>
        </w:numPr>
      </w:pPr>
      <w:r>
        <w:rPr>
          <w:b/>
          <w:bCs/>
        </w:rPr>
        <w:t xml:space="preserve">Prepare FY2024 10-K disclosures</w:t>
      </w:r>
      <w:r>
        <w:t xml:space="preserve"> </w:t>
      </w:r>
      <w:r>
        <w:t xml:space="preserve">— Item 1C (accurate risk-management, strategy, and governance description, including the Incident and the MFA correction), MD&amp;A (impact and known trends/uncertainties), risk factors, and Item 9A (controls). (Addresses B-1, B-2, B-3, C-3.)</w:t>
      </w:r>
    </w:p>
    <w:p>
      <w:pPr>
        <w:pStyle w:val="Compact"/>
        <w:numPr>
          <w:ilvl w:val="0"/>
          <w:numId w:val="1009"/>
        </w:numPr>
      </w:pPr>
      <w:r>
        <w:rPr>
          <w:b/>
          <w:bCs/>
        </w:rPr>
        <w:t xml:space="preserve">Conduct and document tabletop exercises</w:t>
      </w:r>
      <w:r>
        <w:t xml:space="preserve"> </w:t>
      </w:r>
      <w:r>
        <w:t xml:space="preserve">and report results to the Audit Committee. (Addresses E-3, E-4.)</w:t>
      </w:r>
    </w:p>
    <w:p>
      <w:pPr>
        <w:pStyle w:val="Compact"/>
        <w:numPr>
          <w:ilvl w:val="0"/>
          <w:numId w:val="1009"/>
        </w:numPr>
      </w:pPr>
      <w:r>
        <w:rPr>
          <w:b/>
          <w:bCs/>
        </w:rPr>
        <w:t xml:space="preserve">Complete the CIRP Phase 5 post-incident review</w:t>
      </w:r>
      <w:r>
        <w:t xml:space="preserve"> </w:t>
      </w:r>
      <w:r>
        <w:t xml:space="preserve">and track remediation actions to closure in ServiceNow. (Addresses E-4.)</w:t>
      </w:r>
    </w:p>
    <w:p>
      <w:pPr>
        <w:pStyle w:val="Compact"/>
        <w:numPr>
          <w:ilvl w:val="0"/>
          <w:numId w:val="1009"/>
        </w:numPr>
      </w:pPr>
      <w:r>
        <w:rPr>
          <w:b/>
          <w:bCs/>
        </w:rPr>
        <w:t xml:space="preserve">Monitor dark web</w:t>
      </w:r>
      <w:r>
        <w:t xml:space="preserve"> </w:t>
      </w:r>
      <w:r>
        <w:t xml:space="preserve">for exfiltrated data and maintain enhanced detection for LockStar 3.0 IOCs. (Operational; supports loss mitigation and disclosure accuracy.)</w:t>
      </w:r>
    </w:p>
    <w:p>
      <w:pPr>
        <w:pStyle w:val="Compact"/>
        <w:numPr>
          <w:ilvl w:val="0"/>
          <w:numId w:val="1009"/>
        </w:numPr>
      </w:pPr>
      <w:r>
        <w:rPr>
          <w:b/>
          <w:bCs/>
        </w:rPr>
        <w:t xml:space="preserve">Initiate loss-contingency analysis</w:t>
      </w:r>
      <w:r>
        <w:t xml:space="preserve"> </w:t>
      </w:r>
      <w:r>
        <w:t xml:space="preserve">under ASC 450-20 with the auditor and counsel for the FY2024 financial statements. (Addresses K-2.)</w:t>
      </w:r>
    </w:p>
    <w:p>
      <w:pPr>
        <w:pStyle w:val="Compact"/>
        <w:numPr>
          <w:ilvl w:val="0"/>
          <w:numId w:val="1009"/>
        </w:numPr>
      </w:pPr>
      <w:r>
        <w:rPr>
          <w:b/>
          <w:bCs/>
        </w:rPr>
        <w:t xml:space="preserve">Restrict internal circulation</w:t>
      </w:r>
      <w:r>
        <w:t xml:space="preserve"> </w:t>
      </w:r>
      <w:r>
        <w:t xml:space="preserve">of Incident information to a need-to-know basis and prepare a public-disclosure plan to cure any selective-disclosure exposure. (Addresses F-2.)</w:t>
      </w:r>
    </w:p>
    <w:p>
      <w:pPr>
        <w:pStyle w:val="Compact"/>
        <w:numPr>
          <w:ilvl w:val="0"/>
          <w:numId w:val="1009"/>
        </w:numPr>
      </w:pPr>
      <w:r>
        <w:rPr>
          <w:b/>
          <w:bCs/>
        </w:rPr>
        <w:t xml:space="preserve">Coordinate transaction disclosure</w:t>
      </w:r>
      <w:r>
        <w:t xml:space="preserve"> </w:t>
      </w:r>
      <w:r>
        <w:t xml:space="preserve">for the Kessler acquisition to address the Incident in any proxy, S-4, or 8-K. (Addresses J-2.)</w:t>
      </w:r>
    </w:p>
    <w:p>
      <w:r>
        <w:pict>
          <v:rect style="width:0;height:1.5pt" o:hralign="center" o:hrstd="t" o:hr="t"/>
        </w:pict>
      </w:r>
    </w:p>
    <w:bookmarkEnd w:id="46"/>
    <w:bookmarkEnd w:id="47"/>
    <w:bookmarkStart w:id="48" w:name="viii.-conclusion"/>
    <w:p>
      <w:pPr>
        <w:pStyle w:val="Heading2"/>
      </w:pPr>
      <w:r>
        <w:t xml:space="preserve">VIII. Conclusion</w:t>
      </w:r>
    </w:p>
    <w:p>
      <w:pPr>
        <w:pStyle w:val="FirstParagraph"/>
      </w:pPr>
      <w:r>
        <w:t xml:space="preserve">The November 18, 2024 ransomware and data-exfiltration Incident presents a serious and time-sensitive SEC cybersecurity-disclosure compliance challenge. The most significant gap — the absence of a formal materiality determination and any SEC filing seventeen days after discovery — should be closed immediately. Our preliminary assessment is that the Incident is likely material based on qualitative factors, particularly the exfiltration of unencrypted customer banking data, the breach of 48-hour notification deadlines with top customers representing a substantial portion of concentrated revenue, the potential inaccuracy of the Company’s prior MFA disclosure, and the implications for the pending $425 million acquisition. The Company should convene a documented materiality determination without further delay, implement an insider trading blackout, notify the independent auditor and the Kessler counterparty, issue the overdue customer notifications, commence state and international breach notifications, and call a special Audit Committee meeting. Concurrently, the Company should remediate the structural governance and incident-response gaps — including the Audit Committee Charter, the CIRP escalation and external-communications scope, and the disclosure-controls breakdown — that this Incident has exposed, and should prepare accurate FY2024 10-K disclosures.</w:t>
      </w:r>
    </w:p>
    <w:p>
      <w:pPr>
        <w:pStyle w:val="BodyText"/>
      </w:pPr>
      <w:r>
        <w:t xml:space="preserve">We are available to assist with the materiality determination, the Form 8-K drafting, the customer and regulatory notification strategy, the insurance-coverage analysis, and the CIRP and charter revisions. This memorandum is privileged and confidential and should not be distributed outside the Office of the General Counsel without prior authorization.</w:t>
      </w:r>
    </w:p>
    <w:p>
      <w:r>
        <w:pict>
          <v:rect style="width:0;height:1.5pt" o:hralign="center" o:hrstd="t" o:hr="t"/>
        </w:pict>
      </w:r>
    </w:p>
    <w:p>
      <w:pPr>
        <w:pStyle w:val="FirstParagraph"/>
      </w:pPr>
      <w:r>
        <w:rPr>
          <w:b/>
          <w:bCs/>
        </w:rPr>
        <w:t xml:space="preserve">Hollister Marsh LLP</w:t>
      </w:r>
    </w:p>
    <w:p>
      <w:pPr>
        <w:pStyle w:val="BodyText"/>
      </w:pPr>
      <w:r>
        <w:t xml:space="preserve">Jonathan Beckett, Lead Partner</w:t>
      </w:r>
      <w:r>
        <w:t xml:space="preserve"> </w:t>
      </w:r>
      <w:r>
        <w:t xml:space="preserve">Securities Law &amp; Disclosure Counsel</w:t>
      </w:r>
      <w:r>
        <w:t xml:space="preserve"> </w:t>
      </w:r>
      <w:r>
        <w:t xml:space="preserve">700 K Street NW, Washington, D.C. 20001</w:t>
      </w:r>
    </w:p>
    <w:p>
      <w:pPr>
        <w:pStyle w:val="BodyText"/>
      </w:pPr>
      <w:r>
        <w:rPr>
          <w:i/>
          <w:iCs/>
        </w:rPr>
        <w:t xml:space="preserve">This memorandum constitutes legal advice and is protected by the attorney-client privilege and the attorney work-product doctrine. It was prepared at the direction of Priya Raghavan, General Counsel &amp; Corporate Secretary of Vantage Industrial Technologies, Inc., in connection with the cybersecurity incident disclosed herein.</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2026-06-23T05:20:37Z</dcterms:created>
  <dcterms:modified xsi:type="dcterms:W3CDTF">2026-06-23T05:20:37Z</dcterms:modified>
</cp:coreProperties>
</file>

<file path=docProps/custom.xml><?xml version="1.0" encoding="utf-8"?>
<Properties xmlns="http://schemas.openxmlformats.org/officeDocument/2006/custom-properties" xmlns:vt="http://schemas.openxmlformats.org/officeDocument/2006/docPropsVTypes"/>
</file>