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a9315d5a5ce90e31781b1e19809559ca9017d4"/>
    <w:p>
      <w:pPr>
        <w:pStyle w:val="Heading1"/>
      </w:pPr>
      <w:r>
        <w:t xml:space="preserve">PRIVILEGED &amp; CONFIDENTIAL — ATTORNEY-CLIENT PRIVILEGE / ATTORNEY WORK PRODUCT</w:t>
      </w:r>
    </w:p>
    <w:bookmarkEnd w:id="20"/>
    <w:bookmarkStart w:id="93" w:name="X8d03f62ba9203a5a0034f1980fae195183ab521"/>
    <w:p>
      <w:pPr>
        <w:pStyle w:val="Heading1"/>
      </w:pPr>
      <w:r>
        <w:t xml:space="preserve">Cybersecurity Incident SEC Compliance Gap Analysis</w:t>
      </w:r>
    </w:p>
    <w:bookmarkStart w:id="21" w:name="Xafb422124bf4de167c6d4471f99861121e08b1e"/>
    <w:p>
      <w:pPr>
        <w:pStyle w:val="Heading2"/>
      </w:pPr>
      <w:r>
        <w:t xml:space="preserve">Vantage Industrial Technologies, Inc. (NASDAQ: VTIQ)</w:t>
      </w:r>
    </w:p>
    <w:p>
      <w:pPr>
        <w:pStyle w:val="FirstParagraph"/>
      </w:pPr>
      <w:r>
        <w:rPr>
          <w:b/>
          <w:bCs/>
        </w:rPr>
        <w:t xml:space="preserve">Prepared at the direction of counsel in anticipation of litigation and for the purpose of providing legal advice. Do not distribute outside the Office of the General Counsel without prior authorization.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Priya Raghavan, General Counsel &amp; Corporate Secretary; Dr. Helen Ostrowski, Chair, Audit Committee</w:t>
            </w:r>
          </w:p>
        </w:tc>
      </w:tr>
      <w:tr>
        <w:tc>
          <w:tcPr/>
          <w:p>
            <w:pPr>
              <w:pStyle w:val="Compact"/>
              <w:jc w:val="left"/>
            </w:pPr>
            <w:r>
              <w:rPr>
                <w:b/>
                <w:bCs/>
              </w:rPr>
              <w:t xml:space="preserve">From</w:t>
            </w:r>
          </w:p>
        </w:tc>
        <w:tc>
          <w:tcPr/>
          <w:p>
            <w:pPr>
              <w:pStyle w:val="Compact"/>
              <w:jc w:val="left"/>
            </w:pPr>
            <w:r>
              <w:t xml:space="preserve">Office of the General Counsel / Outside Securities Counsel (Hollister Marsh LLP)</w:t>
            </w:r>
          </w:p>
        </w:tc>
      </w:tr>
      <w:tr>
        <w:tc>
          <w:tcPr/>
          <w:p>
            <w:pPr>
              <w:pStyle w:val="Compact"/>
              <w:jc w:val="left"/>
            </w:pPr>
            <w:r>
              <w:rPr>
                <w:b/>
                <w:bCs/>
              </w:rPr>
              <w:t xml:space="preserve">Re</w:t>
            </w:r>
          </w:p>
        </w:tc>
        <w:tc>
          <w:tcPr/>
          <w:p>
            <w:pPr>
              <w:pStyle w:val="Compact"/>
              <w:jc w:val="left"/>
            </w:pPr>
            <w:r>
              <w:t xml:space="preserve">SEC Compliance Gap Analysis — Cybersecurity Incident INC-2024-0047 (LockStar 3.0 ransomware and data exfiltration, detected November 18, 2024)</w:t>
            </w:r>
          </w:p>
        </w:tc>
      </w:tr>
      <w:tr>
        <w:tc>
          <w:tcPr/>
          <w:p>
            <w:pPr>
              <w:pStyle w:val="Compact"/>
              <w:jc w:val="left"/>
            </w:pPr>
            <w:r>
              <w:rPr>
                <w:b/>
                <w:bCs/>
              </w:rPr>
              <w:t xml:space="preserve">Date</w:t>
            </w:r>
          </w:p>
        </w:tc>
        <w:tc>
          <w:tcPr/>
          <w:p>
            <w:pPr>
              <w:pStyle w:val="Compact"/>
              <w:jc w:val="left"/>
            </w:pPr>
            <w:r>
              <w:t xml:space="preserve">December 6, 2024</w:t>
            </w:r>
          </w:p>
        </w:tc>
      </w:tr>
      <w:tr>
        <w:tc>
          <w:tcPr/>
          <w:p>
            <w:pPr>
              <w:pStyle w:val="Compact"/>
              <w:jc w:val="left"/>
            </w:pPr>
            <w:r>
              <w:rPr>
                <w:b/>
                <w:bCs/>
              </w:rPr>
              <w:t xml:space="preserve">Status as of</w:t>
            </w:r>
          </w:p>
        </w:tc>
        <w:tc>
          <w:tcPr/>
          <w:p>
            <w:pPr>
              <w:pStyle w:val="Compact"/>
              <w:jc w:val="left"/>
            </w:pPr>
            <w:r>
              <w:t xml:space="preserve">December 5, 2024 (Day 17 post-detection)</w:t>
            </w:r>
          </w:p>
        </w:tc>
      </w:tr>
    </w:tbl>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On November 18, 2024, Vantage Industrial Technologies,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detected a ransomware and data-exfiltration incident (Incident INC-2024-0047) in which a threat actor used a compromised third-party maintenance contractor VPN credential — which was</w:t>
      </w:r>
      <w:r>
        <w:t xml:space="preserve"> </w:t>
      </w:r>
      <w:r>
        <w:rPr>
          <w:b/>
          <w:bCs/>
        </w:rPr>
        <w:t xml:space="preserve">not</w:t>
      </w:r>
      <w:r>
        <w:t xml:space="preserve"> </w:t>
      </w:r>
      <w:r>
        <w:t xml:space="preserve">protected by multi-factor authentication (</w:t>
      </w:r>
      <w:r>
        <w:t xml:space="preserve">“</w:t>
      </w:r>
      <w:r>
        <w:t xml:space="preserve">MFA</w:t>
      </w:r>
      <w:r>
        <w:t xml:space="preserve">”</w:t>
      </w:r>
      <w:r>
        <w:t xml:space="preserve">) — to exfiltrate approximately 83 GB of data and then deploy LockStar 3.0 ransomware across 347 of the Company’s approximately 2,100 networked endpoints, encrypting the finance, procurement, and order management modules of the Company’s enterprise resource planning (</w:t>
      </w:r>
      <w:r>
        <w:t xml:space="preserve">“</w:t>
      </w:r>
      <w:r>
        <w:t xml:space="preserve">ERP</w:t>
      </w:r>
      <w:r>
        <w:t xml:space="preserve">”</w:t>
      </w:r>
      <w:r>
        <w:t xml:space="preserve">) system. Thorngate Forensic Solutions, Inc. (</w:t>
      </w:r>
      <w:r>
        <w:t xml:space="preserve">“</w:t>
      </w:r>
      <w:r>
        <w:t xml:space="preserve">Thorngate</w:t>
      </w:r>
      <w:r>
        <w:t xml:space="preserve">”</w:t>
      </w:r>
      <w:r>
        <w:t xml:space="preserve">) has reported with</w:t>
      </w:r>
      <w:r>
        <w:t xml:space="preserve"> </w:t>
      </w:r>
      <w:r>
        <w:t xml:space="preserve">“</w:t>
      </w:r>
      <w:r>
        <w:t xml:space="preserve">high confidence</w:t>
      </w:r>
      <w:r>
        <w:t xml:space="preserve">”</w:t>
      </w:r>
      <w:r>
        <w:t xml:space="preserve"> </w:t>
      </w:r>
      <w:r>
        <w:t xml:space="preserve">that the exfiltrated data includes customer banking information (ACH routing and account numbers, stored</w:t>
      </w:r>
      <w:r>
        <w:t xml:space="preserve"> </w:t>
      </w:r>
      <w:r>
        <w:rPr>
          <w:b/>
          <w:bCs/>
        </w:rPr>
        <w:t xml:space="preserve">unencrypted</w:t>
      </w:r>
      <w:r>
        <w:t xml:space="preserve"> </w:t>
      </w:r>
      <w:r>
        <w:t xml:space="preserve">at rest), procurement-contact personally identifiable information (</w:t>
      </w:r>
      <w:r>
        <w:t xml:space="preserve">“</w:t>
      </w:r>
      <w:r>
        <w:t xml:space="preserve">PII</w:t>
      </w:r>
      <w:r>
        <w:t xml:space="preserve">”</w:t>
      </w:r>
      <w:r>
        <w:t xml:space="preserve">), and contract pricing data for approximately 4,200 corporate customer accounts, including at least six of the Company’s top ten customers (which collectively represent approximately 38% of revenue, or approximately $710.6 million of $1.87 billion in projected FY2024 revenue).</w:t>
      </w:r>
    </w:p>
    <w:p>
      <w:pPr>
        <w:pStyle w:val="BodyText"/>
      </w:pPr>
      <w:r>
        <w:t xml:space="preserve">As of December 5, 2024 — seventeen days after detection —</w:t>
      </w:r>
      <w:r>
        <w:t xml:space="preserve"> </w:t>
      </w:r>
      <w:r>
        <w:rPr>
          <w:b/>
          <w:bCs/>
        </w:rPr>
        <w:t xml:space="preserve">no Form 8-K or other public disclosure has been filed with the Securities and Exchange Commission (the</w:t>
      </w:r>
      <w:r>
        <w:rPr>
          <w:b/>
          <w:bCs/>
        </w:rPr>
        <w:t xml:space="preserve"> </w:t>
      </w:r>
      <w:r>
        <w:rPr>
          <w:b/>
          <w:bCs/>
        </w:rPr>
        <w:t xml:space="preserve">“</w:t>
      </w:r>
      <w:r>
        <w:rPr>
          <w:b/>
          <w:bCs/>
        </w:rPr>
        <w:t xml:space="preserve">SEC</w:t>
      </w:r>
      <w:r>
        <w:rPr>
          <w:b/>
          <w:bCs/>
        </w:rPr>
        <w:t xml:space="preserve">”</w:t>
      </w:r>
      <w:r>
        <w:rPr>
          <w:b/>
          <w:bCs/>
        </w:rPr>
        <w:t xml:space="preserve">), and no formal materiality determination has been conducted.</w:t>
      </w:r>
      <w:r>
        <w:t xml:space="preserve"> </w:t>
      </w:r>
      <w:r>
        <w:t xml:space="preserve">This is the central SEC compliance gap identified in this analysis. The Company is subject to</w:t>
      </w:r>
      <w:r>
        <w:t xml:space="preserve"> </w:t>
      </w:r>
      <w:r>
        <w:rPr>
          <w:b/>
          <w:bCs/>
        </w:rPr>
        <w:t xml:space="preserve">Item 1.05 of Form 8-K</w:t>
      </w:r>
      <w:r>
        <w:t xml:space="preserve">, which requires disclosure of a material cybersecurity incident within four business days after the registrant determines that the incident is material, with that determination required to be made</w:t>
      </w:r>
      <w:r>
        <w:t xml:space="preserve"> </w:t>
      </w:r>
      <w:r>
        <w:t xml:space="preserve">“</w:t>
      </w:r>
      <w:r>
        <w:t xml:space="preserve">without unreasonable delay</w:t>
      </w:r>
      <w:r>
        <w:t xml:space="preserve">”</w:t>
      </w:r>
      <w:r>
        <w:t xml:space="preserve"> </w:t>
      </w:r>
      <w:r>
        <w:t xml:space="preserve">after discovery of the incident. The Company has not made that determination, has no documented process for making it, and has not triggered any disclosure-controls protocol to evaluate it — despite having engaged outside securities counsel on November 20, 2024 and having received a high-confidence forensic interim report on December 1, 2024.</w:t>
      </w:r>
    </w:p>
    <w:p>
      <w:pPr>
        <w:pStyle w:val="BodyText"/>
      </w:pPr>
      <w:r>
        <w:t xml:space="preserve">The factual record contains multiple strong indicators that the incident is, or is reasonably likely to be, material under the</w:t>
      </w:r>
      <w:r>
        <w:t xml:space="preserve"> </w:t>
      </w:r>
      <w:r>
        <w:rPr>
          <w:i/>
          <w:iCs/>
        </w:rPr>
        <w:t xml:space="preserve">TSC Industries v. Northway</w:t>
      </w:r>
      <w:r>
        <w:t xml:space="preserve"> </w:t>
      </w:r>
      <w:r>
        <w:t xml:space="preserve">/</w:t>
      </w:r>
      <w:r>
        <w:t xml:space="preserve"> </w:t>
      </w:r>
      <w:r>
        <w:rPr>
          <w:i/>
          <w:iCs/>
        </w:rPr>
        <w:t xml:space="preserve">Basic v. Levinson</w:t>
      </w:r>
      <w:r>
        <w:t xml:space="preserve"> </w:t>
      </w:r>
      <w:r>
        <w:t xml:space="preserve">standard the SEC has adopted for these disclosures, including: (i) exfiltration of sensitive, unencrypted customer banking data affecting the Company’s largest revenue relationships; (ii) breach of 48-hour cybersecurity notification obligations under at least three top-ten customer contracts, exposing the Company to liquidated damages, immediate termination, payment suspension, and indemnity claims; (iii) disruption of the ERP finance module and ongoing data-integrity validation that implicates internal control over financial reporting (</w:t>
      </w:r>
      <w:r>
        <w:t xml:space="preserve">“</w:t>
      </w:r>
      <w:r>
        <w:t xml:space="preserve">ICFR</w:t>
      </w:r>
      <w:r>
        <w:t xml:space="preserve">”</w:t>
      </w:r>
      <w:r>
        <w:t xml:space="preserve">); (iv) a cyber-insurance coverage posture that is materially at risk (late notice, a potentially false application warranty regarding MFA, and a</w:t>
      </w:r>
      <w:r>
        <w:t xml:space="preserve"> </w:t>
      </w:r>
      <w:r>
        <w:t xml:space="preserve">“</w:t>
      </w:r>
      <w:r>
        <w:t xml:space="preserve">failure to maintain minimum security standards</w:t>
      </w:r>
      <w:r>
        <w:t xml:space="preserve">”</w:t>
      </w:r>
      <w:r>
        <w:t xml:space="preserve"> </w:t>
      </w:r>
      <w:r>
        <w:t xml:space="preserve">exclusion that the MFA gap appears to trigger); (v) a pending $425 million acquisition (Kessler Precision Systems GmbH) whose counterparty and financial advisor have not been notified; and (vi) exposure to state and international data-breach notification obligations across at least 38 U.S. states and four foreign jurisdictions.</w:t>
      </w:r>
    </w:p>
    <w:p>
      <w:pPr>
        <w:pStyle w:val="BodyText"/>
      </w:pPr>
      <w:r>
        <w:t xml:space="preserve">This memo also identifies a series of disclosure-accuracy and governance gaps between the Company’s</w:t>
      </w:r>
      <w:r>
        <w:t xml:space="preserve"> </w:t>
      </w:r>
      <w:r>
        <w:rPr>
          <w:b/>
          <w:bCs/>
        </w:rPr>
        <w:t xml:space="preserve">FY2023 Form 10-K, Item 1C</w:t>
      </w:r>
      <w:r>
        <w:t xml:space="preserve"> </w:t>
      </w:r>
      <w:r>
        <w:t xml:space="preserve">(filed February 28, 2024), its</w:t>
      </w:r>
      <w:r>
        <w:t xml:space="preserve"> </w:t>
      </w:r>
      <w:r>
        <w:rPr>
          <w:b/>
          <w:bCs/>
        </w:rPr>
        <w:t xml:space="preserve">Cybersecurity Incident Response Plan</w:t>
      </w:r>
      <w:r>
        <w:t xml:space="preserve"> </w:t>
      </w:r>
      <w:r>
        <w:t xml:space="preserve">(the</w:t>
      </w:r>
      <w:r>
        <w:t xml:space="preserve"> </w:t>
      </w:r>
      <w:r>
        <w:t xml:space="preserve">“</w:t>
      </w:r>
      <w:r>
        <w:t xml:space="preserve">CIRP</w:t>
      </w:r>
      <w:r>
        <w:t xml:space="preserve">”</w:t>
      </w:r>
      <w:r>
        <w:t xml:space="preserve">), and its</w:t>
      </w:r>
      <w:r>
        <w:t xml:space="preserve"> </w:t>
      </w:r>
      <w:r>
        <w:rPr>
          <w:b/>
          <w:bCs/>
        </w:rPr>
        <w:t xml:space="preserve">Audit Committee Charter</w:t>
      </w:r>
      <w:r>
        <w:t xml:space="preserve">, on the one hand, and the actual controls and escalation behavior revealed by the incident, on the other. Most notably, the 10-K’s representation that the Company has implemented</w:t>
      </w:r>
      <w:r>
        <w:t xml:space="preserve"> </w:t>
      </w:r>
      <w:r>
        <w:t xml:space="preserve">“</w:t>
      </w:r>
      <w:r>
        <w:t xml:space="preserve">multi-factor authentication for access to critical information systems, remote access connections, and administrative accounts</w:t>
      </w:r>
      <w:r>
        <w:t xml:space="preserve">”</w:t>
      </w:r>
      <w:r>
        <w:t xml:space="preserve"> </w:t>
      </w:r>
      <w:r>
        <w:t xml:space="preserve">is directly contradicted by Thorngate’s finding that the compromised third-party contractor VPN credential was not MFA-protected — a representation that is also repeated as a warranty in the Company’s cyber-insurance application and that may jeopardize coverage.</w:t>
      </w:r>
    </w:p>
    <w:p>
      <w:pPr>
        <w:pStyle w:val="BodyText"/>
      </w:pPr>
      <w:r>
        <w:t xml:space="preserve">A consolidated gap register with severity ratings and a prioritized remediation roadmap appear in Sections XI and XII.</w:t>
      </w:r>
    </w:p>
    <w:p>
      <w:r>
        <w:pict>
          <v:rect style="width:0;height:1.5pt" o:hralign="center" o:hrstd="t" o:hr="t"/>
        </w:pict>
      </w:r>
    </w:p>
    <w:bookmarkEnd w:id="22"/>
    <w:bookmarkStart w:id="23" w:name="ii.-factual-background"/>
    <w:p>
      <w:pPr>
        <w:pStyle w:val="Heading2"/>
      </w:pPr>
      <w:r>
        <w:t xml:space="preserve">II. Factual Background</w:t>
      </w:r>
    </w:p>
    <w:p>
      <w:pPr>
        <w:pStyle w:val="FirstParagraph"/>
      </w:pPr>
      <w:r>
        <w:t xml:space="preserve">The following summary is drawn from the eight documents reviewed (listed in Section III) and is limited to facts material to the SEC compliance analysis.</w:t>
      </w:r>
    </w:p>
    <w:p>
      <w:pPr>
        <w:pStyle w:val="BodyText"/>
      </w:pPr>
      <w:r>
        <w:rPr>
          <w:b/>
          <w:bCs/>
        </w:rPr>
        <w:t xml:space="preserve">The Company.</w:t>
      </w:r>
      <w:r>
        <w:t xml:space="preserve"> </w:t>
      </w:r>
      <w:r>
        <w:t xml:space="preserve">Vantage is a Delaware corporation, headquartered in Columbus, Ohio, listed on Nasdaq (symbol VTIQ), with approximately 6,800 employees and 14 manufacturing facilities across the United States, Germany, and Mexico. Projected FY2024 revenue is approximately $1.87 billion and projected FY2024 EBITDA is approximately $310 million. The Company is an accelerated filer. (10-K Item 1C; Incident Status Report § 4.)</w:t>
      </w:r>
    </w:p>
    <w:p>
      <w:pPr>
        <w:pStyle w:val="BodyText"/>
      </w:pPr>
      <w:r>
        <w:rPr>
          <w:b/>
          <w:bCs/>
        </w:rPr>
        <w:t xml:space="preserve">The incident.</w:t>
      </w:r>
      <w:r>
        <w:t xml:space="preserve"> </w:t>
      </w:r>
      <w:r>
        <w:t xml:space="preserve">On November 18, 2024, at approximately 2:17 a.m. EST, the Security Operations Center (</w:t>
      </w:r>
      <w:r>
        <w:t xml:space="preserve">“</w:t>
      </w:r>
      <w:r>
        <w:t xml:space="preserve">SOC</w:t>
      </w:r>
      <w:r>
        <w:t xml:space="preserve">”</w:t>
      </w:r>
      <w:r>
        <w:t xml:space="preserve">) detected anomalous network activity originating from a VPN session authenticated with a credential belonging to a third-party maintenance contractor. Forensic reconstruction shows that the threat actor exfiltrated approximately 83 GB of data between approximately 1:30 a.m. and 2:15 a.m. EST (before the ransomware deployment), then deployed the LockStar 3.0 ransomware variant across 347 of approximately 2,100 networked endpoints by approximately 4:45 a.m. EST, encrypting the ERP finance, procurement, and order management modules. A ransom demand of 45 Bitcoin (approximately $2,029,500) was made; the Company has not paid and does not intend to pay. Operational technology (</w:t>
      </w:r>
      <w:r>
        <w:t xml:space="preserve">“</w:t>
      </w:r>
      <w:r>
        <w:t xml:space="preserve">OT</w:t>
      </w:r>
      <w:r>
        <w:t xml:space="preserve">”</w:t>
      </w:r>
      <w:r>
        <w:t xml:space="preserve">) and SCADA systems were not affected; the IT/OT air-gap held. (Incident Status Report §§ 1–3; Thorngate Interim Report §§ 1, 3–4; GC-to-Audit-Chair Email.)</w:t>
      </w:r>
    </w:p>
    <w:p>
      <w:pPr>
        <w:pStyle w:val="BodyText"/>
      </w:pPr>
      <w:r>
        <w:rPr>
          <w:b/>
          <w:bCs/>
        </w:rPr>
        <w:t xml:space="preserve">Root cause / control failure.</w:t>
      </w:r>
      <w:r>
        <w:t xml:space="preserve"> </w:t>
      </w:r>
      <w:r>
        <w:t xml:space="preserve">Thorngate’s preliminary root-cause finding is that the compromised third-party contractor VPN credential was</w:t>
      </w:r>
      <w:r>
        <w:t xml:space="preserve"> </w:t>
      </w:r>
      <w:r>
        <w:rPr>
          <w:b/>
          <w:bCs/>
        </w:rPr>
        <w:t xml:space="preserve">not protected by MFA</w:t>
      </w:r>
      <w:r>
        <w:t xml:space="preserve">, which permitted authentication without a secondary factor. Thorngate further found that the customer banking information (ACH routing and account numbers) was stored</w:t>
      </w:r>
      <w:r>
        <w:t xml:space="preserve"> </w:t>
      </w:r>
      <w:r>
        <w:rPr>
          <w:b/>
          <w:bCs/>
        </w:rPr>
        <w:t xml:space="preserve">unencrypted (in plaintext)</w:t>
      </w:r>
      <w:r>
        <w:t xml:space="preserve"> </w:t>
      </w:r>
      <w:r>
        <w:t xml:space="preserve">at rest in the ERP database, and that MFA was not</w:t>
      </w:r>
      <w:r>
        <w:t xml:space="preserve"> </w:t>
      </w:r>
      <w:r>
        <w:t xml:space="preserve">“</w:t>
      </w:r>
      <w:r>
        <w:t xml:space="preserve">universally required for third-party contractor VPN access</w:t>
      </w:r>
      <w:r>
        <w:t xml:space="preserve">”</w:t>
      </w:r>
      <w:r>
        <w:t xml:space="preserve"> </w:t>
      </w:r>
      <w:r>
        <w:t xml:space="preserve">prior to November 20, 2024. (Thorngate Interim Report §§ 3.1, 4.4, 6.2; Incident Status Report § 3.)</w:t>
      </w:r>
    </w:p>
    <w:p>
      <w:pPr>
        <w:pStyle w:val="BodyText"/>
      </w:pPr>
      <w:r>
        <w:rPr>
          <w:b/>
          <w:bCs/>
        </w:rPr>
        <w:t xml:space="preserve">Data exfiltrated.</w:t>
      </w:r>
      <w:r>
        <w:t xml:space="preserve"> </w:t>
      </w:r>
      <w:r>
        <w:t xml:space="preserve">With</w:t>
      </w:r>
      <w:r>
        <w:t xml:space="preserve"> </w:t>
      </w:r>
      <w:r>
        <w:t xml:space="preserve">“</w:t>
      </w:r>
      <w:r>
        <w:t xml:space="preserve">high confidence,</w:t>
      </w:r>
      <w:r>
        <w:t xml:space="preserve">”</w:t>
      </w:r>
      <w:r>
        <w:t xml:space="preserve"> </w:t>
      </w:r>
      <w:r>
        <w:t xml:space="preserve">the exfiltrated data includes: customer master records for approximately 4,200 corporate accounts; procurement-contact PII (names, emails, phone numbers, titles); contract pricing data; and ACH routing and account numbers (unencrypted). Affected records span at least 38 U.S. states and Germany, Mexico, Canada, and the United Kingdom, and include several of the Company’s largest accounts, including Harmon Defense Solutions, Crestfield Aerospace, and Nexagen Manufacturing. At least six of the top ten customers (38% of revenue) are believed to be in the exfiltrated dataset. (Thorngate Interim Report §§ 4.2–4.5; Incident Status Report § 5.3; Customer Contract Excerpts, Preparer’s Note.)</w:t>
      </w:r>
    </w:p>
    <w:p>
      <w:pPr>
        <w:pStyle w:val="BodyText"/>
      </w:pPr>
      <w:r>
        <w:rPr>
          <w:b/>
          <w:bCs/>
        </w:rPr>
        <w:t xml:space="preserve">Financial impact.</w:t>
      </w:r>
      <w:r>
        <w:t xml:space="preserve"> </w:t>
      </w:r>
      <w:r>
        <w:t xml:space="preserve">Estimated costs as of December 5, 2024 total approximately $4.5 million ($1.4M incident response; $2.8M business disruption; $0.3M customer-notification preparation), or approximately 1.45% of projected EBITDA. These figures do not include potential customer claims, regulatory penalties, litigation, or reputational impact, and are likely to increase. (Incident Status Report § 4.)</w:t>
      </w:r>
    </w:p>
    <w:p>
      <w:pPr>
        <w:pStyle w:val="BodyText"/>
      </w:pPr>
      <w:r>
        <w:rPr>
          <w:b/>
          <w:bCs/>
        </w:rPr>
        <w:t xml:space="preserve">Key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Nov 18, ~2:17 a.m.</w:t>
            </w:r>
          </w:p>
        </w:tc>
        <w:tc>
          <w:tcPr/>
          <w:p>
            <w:pPr>
              <w:pStyle w:val="Compact"/>
              <w:jc w:val="left"/>
            </w:pPr>
            <w:r>
              <w:t xml:space="preserve">SOC detection; data exfiltration already complete (~1:30–2:15 a.m.)</w:t>
            </w:r>
          </w:p>
        </w:tc>
      </w:tr>
      <w:tr>
        <w:tc>
          <w:tcPr/>
          <w:p>
            <w:pPr>
              <w:pStyle w:val="Compact"/>
              <w:jc w:val="left"/>
            </w:pPr>
            <w:r>
              <w:t xml:space="preserve">Nov 18, ~4:45 a.m.</w:t>
            </w:r>
          </w:p>
        </w:tc>
        <w:tc>
          <w:tcPr/>
          <w:p>
            <w:pPr>
              <w:pStyle w:val="Compact"/>
              <w:jc w:val="left"/>
            </w:pPr>
            <w:r>
              <w:t xml:space="preserve">Ransomware deployment across 347 endpoints complete</w:t>
            </w:r>
          </w:p>
        </w:tc>
      </w:tr>
      <w:tr>
        <w:tc>
          <w:tcPr/>
          <w:p>
            <w:pPr>
              <w:pStyle w:val="Compact"/>
              <w:jc w:val="left"/>
            </w:pPr>
            <w:r>
              <w:t xml:space="preserve">Nov 18, 5:00 a.m.</w:t>
            </w:r>
          </w:p>
        </w:tc>
        <w:tc>
          <w:tcPr/>
          <w:p>
            <w:pPr>
              <w:pStyle w:val="Compact"/>
              <w:jc w:val="left"/>
            </w:pPr>
            <w:r>
              <w:t xml:space="preserve">IRT activated, Tier 3 classification</w:t>
            </w:r>
          </w:p>
        </w:tc>
      </w:tr>
      <w:tr>
        <w:tc>
          <w:tcPr/>
          <w:p>
            <w:pPr>
              <w:pStyle w:val="Compact"/>
              <w:jc w:val="left"/>
            </w:pPr>
            <w:r>
              <w:t xml:space="preserve">Nov 18, 11:00 a.m.</w:t>
            </w:r>
          </w:p>
        </w:tc>
        <w:tc>
          <w:tcPr/>
          <w:p>
            <w:pPr>
              <w:pStyle w:val="Compact"/>
              <w:jc w:val="left"/>
            </w:pPr>
            <w:r>
              <w:t xml:space="preserve">CTO verbally informed (≈6 hours after IRT activation)</w:t>
            </w:r>
          </w:p>
        </w:tc>
      </w:tr>
      <w:tr>
        <w:tc>
          <w:tcPr/>
          <w:p>
            <w:pPr>
              <w:pStyle w:val="Compact"/>
              <w:jc w:val="left"/>
            </w:pPr>
            <w:r>
              <w:t xml:space="preserve">Nov 19</w:t>
            </w:r>
          </w:p>
        </w:tc>
        <w:tc>
          <w:tcPr/>
          <w:p>
            <w:pPr>
              <w:pStyle w:val="Compact"/>
              <w:jc w:val="left"/>
            </w:pPr>
            <w:r>
              <w:t xml:space="preserve">Thorngate retained; Associate GC Daniel Ito learns informally from an IT colleague; GC traveling internationally, not informed</w:t>
            </w:r>
          </w:p>
        </w:tc>
      </w:tr>
      <w:tr>
        <w:tc>
          <w:tcPr/>
          <w:p>
            <w:pPr>
              <w:pStyle w:val="Compact"/>
              <w:jc w:val="left"/>
            </w:pPr>
            <w:r>
              <w:t xml:space="preserve">Nov 20</w:t>
            </w:r>
          </w:p>
        </w:tc>
        <w:tc>
          <w:tcPr/>
          <w:p>
            <w:pPr>
              <w:pStyle w:val="Compact"/>
              <w:jc w:val="left"/>
            </w:pPr>
            <w:r>
              <w:t xml:space="preserve">GC Priya Raghavan learns upon return; Hollister Marsh LLP engaged; FBI IC3 contacted</w:t>
            </w:r>
          </w:p>
        </w:tc>
      </w:tr>
      <w:tr>
        <w:tc>
          <w:tcPr/>
          <w:p>
            <w:pPr>
              <w:pStyle w:val="Compact"/>
              <w:jc w:val="left"/>
            </w:pPr>
            <w:r>
              <w:t xml:space="preserve">Nov 21</w:t>
            </w:r>
          </w:p>
        </w:tc>
        <w:tc>
          <w:tcPr/>
          <w:p>
            <w:pPr>
              <w:pStyle w:val="Compact"/>
              <w:jc w:val="left"/>
            </w:pPr>
            <w:r>
              <w:t xml:space="preserve">Ridgeline Insurance Group notified (≈73 hours post-discovery; policy requires 72 hours)</w:t>
            </w:r>
          </w:p>
        </w:tc>
      </w:tr>
      <w:tr>
        <w:tc>
          <w:tcPr/>
          <w:p>
            <w:pPr>
              <w:pStyle w:val="Compact"/>
              <w:jc w:val="left"/>
            </w:pPr>
            <w:r>
              <w:t xml:space="preserve">Nov 25</w:t>
            </w:r>
          </w:p>
        </w:tc>
        <w:tc>
          <w:tcPr/>
          <w:p>
            <w:pPr>
              <w:pStyle w:val="Compact"/>
              <w:jc w:val="left"/>
            </w:pPr>
            <w:r>
              <w:t xml:space="preserve">CEO Marcus Ellsworth briefed (Day 7)</w:t>
            </w:r>
          </w:p>
        </w:tc>
      </w:tr>
      <w:tr>
        <w:tc>
          <w:tcPr/>
          <w:p>
            <w:pPr>
              <w:pStyle w:val="Compact"/>
              <w:jc w:val="left"/>
            </w:pPr>
            <w:r>
              <w:t xml:space="preserve">Dec 1</w:t>
            </w:r>
          </w:p>
        </w:tc>
        <w:tc>
          <w:tcPr/>
          <w:p>
            <w:pPr>
              <w:pStyle w:val="Compact"/>
              <w:jc w:val="left"/>
            </w:pPr>
            <w:r>
              <w:t xml:space="preserve">Thorngate interim report confirms customer banking data exfiltrated</w:t>
            </w:r>
          </w:p>
        </w:tc>
      </w:tr>
      <w:tr>
        <w:tc>
          <w:tcPr/>
          <w:p>
            <w:pPr>
              <w:pStyle w:val="Compact"/>
              <w:jc w:val="left"/>
            </w:pPr>
            <w:r>
              <w:t xml:space="preserve">Dec 3</w:t>
            </w:r>
          </w:p>
        </w:tc>
        <w:tc>
          <w:tcPr/>
          <w:p>
            <w:pPr>
              <w:pStyle w:val="Compact"/>
              <w:jc w:val="left"/>
            </w:pPr>
            <w:r>
              <w:t xml:space="preserve">Audit Committee Chair Dr. Ostrowski emailed — first Board-level notice (Day 15)</w:t>
            </w:r>
          </w:p>
        </w:tc>
      </w:tr>
      <w:tr>
        <w:tc>
          <w:tcPr/>
          <w:p>
            <w:pPr>
              <w:pStyle w:val="Compact"/>
              <w:jc w:val="left"/>
            </w:pPr>
            <w:r>
              <w:t xml:space="preserve">Dec 5</w:t>
            </w:r>
          </w:p>
        </w:tc>
        <w:tc>
          <w:tcPr/>
          <w:p>
            <w:pPr>
              <w:pStyle w:val="Compact"/>
              <w:jc w:val="left"/>
            </w:pPr>
            <w:r>
              <w:t xml:space="preserve">Status report date; customer-contract excerpts prepared;</w:t>
            </w:r>
            <w:r>
              <w:t xml:space="preserve"> </w:t>
            </w:r>
            <w:r>
              <w:rPr>
                <w:b/>
                <w:bCs/>
              </w:rPr>
              <w:t xml:space="preserve">no 8-K filed; no materiality determination conducted</w:t>
            </w:r>
          </w:p>
        </w:tc>
      </w:tr>
      <w:tr>
        <w:tc>
          <w:tcPr/>
          <w:p>
            <w:pPr>
              <w:pStyle w:val="Compact"/>
              <w:jc w:val="left"/>
            </w:pPr>
            <w:r>
              <w:t xml:space="preserve">Jan 22, 2025</w:t>
            </w:r>
          </w:p>
        </w:tc>
        <w:tc>
          <w:tcPr/>
          <w:p>
            <w:pPr>
              <w:pStyle w:val="Compact"/>
              <w:jc w:val="left"/>
            </w:pPr>
            <w:r>
              <w:t xml:space="preserve">Next regularly scheduled Audit Committee meeting</w:t>
            </w:r>
          </w:p>
        </w:tc>
      </w:tr>
    </w:tbl>
    <w:p>
      <w:pPr>
        <w:pStyle w:val="BodyText"/>
      </w:pPr>
      <w:r>
        <w:t xml:space="preserve">(Incident Status Report § 2; GC-to-Audit-Chair Email; Thorngate Interim Report § 3.5.)</w:t>
      </w:r>
    </w:p>
    <w:p>
      <w:pPr>
        <w:pStyle w:val="BodyText"/>
      </w:pPr>
      <w:r>
        <w:rPr>
          <w:b/>
          <w:bCs/>
        </w:rPr>
        <w:t xml:space="preserve">Pending M&amp;A.</w:t>
      </w:r>
      <w:r>
        <w:t xml:space="preserve"> </w:t>
      </w:r>
      <w:r>
        <w:t xml:space="preserve">The Company is in active negotiations for the $425 million acquisition of Kessler Precision Systems GmbH, with Canfield Cromdale Consulting &amp; Co. advising. As of December 5, 2024, neither the counterparty nor the advisor has been notified of the incident. (Incident Status Report § 5.9; GC-to-Audit-Chair Email.)</w:t>
      </w:r>
    </w:p>
    <w:p>
      <w:r>
        <w:pict>
          <v:rect style="width:0;height:1.5pt" o:hralign="center" o:hrstd="t" o:hr="t"/>
        </w:pict>
      </w:r>
    </w:p>
    <w:bookmarkEnd w:id="23"/>
    <w:bookmarkStart w:id="24" w:name="X2586cb4e0cc61d0e5bda2bb76f3c35e7cbf93ab"/>
    <w:p>
      <w:pPr>
        <w:pStyle w:val="Heading2"/>
      </w:pPr>
      <w:r>
        <w:t xml:space="preserve">III. Scope, Documents Reviewed, and Legal Framework</w:t>
      </w:r>
    </w:p>
    <w:p>
      <w:pPr>
        <w:pStyle w:val="FirstParagraph"/>
      </w:pPr>
      <w:r>
        <w:rPr>
          <w:b/>
          <w:bCs/>
        </w:rPr>
        <w:t xml:space="preserve">Documents reviewed.</w:t>
      </w:r>
      <w:r>
        <w:t xml:space="preserve"> </w:t>
      </w:r>
      <w:r>
        <w:t xml:space="preserve">(1) Form 10-K, Part I, Item 1C, FY2023 (filed Feb. 28, 2024); (2) Charter of the Audit Committee (last amended Mar. 15, 2021); (3) Cybersecurity Incident Response Plan, v1.0.1 (eff. June 15, 2022; admin. review Aug. 14, 2023); (4) Extracted Cybersecurity and Data Protection Provisions — Customer Master Agreements (Dec. 5, 2024); (5) Email, GC to Audit Committee Chair (Dec. 3, 2024); (6) Cybersecurity Incident Status Report, INC-2024-0047 (Dec. 5, 2024); (7) Ridgeline Insurance Group Cyber Liability Policy Summary, CYB-2024-08871; (8) Thorngate Forensic Solutions Interim Status Report, TFS-2024-IR-0847 (Dec. 1, 2024).</w:t>
      </w:r>
    </w:p>
    <w:p>
      <w:pPr>
        <w:pStyle w:val="BodyText"/>
      </w:pPr>
      <w:r>
        <w:rPr>
          <w:b/>
          <w:bCs/>
        </w:rPr>
        <w:t xml:space="preserve">Legal framework applied.</w:t>
      </w:r>
    </w:p>
    <w:p>
      <w:pPr>
        <w:pStyle w:val="Compact"/>
        <w:numPr>
          <w:ilvl w:val="0"/>
          <w:numId w:val="1001"/>
        </w:numPr>
      </w:pPr>
      <w:r>
        <w:rPr>
          <w:b/>
          <w:bCs/>
        </w:rPr>
        <w:t xml:space="preserve">Item 1.05 of Form 8-K</w:t>
      </w:r>
      <w:r>
        <w:t xml:space="preserve"> </w:t>
      </w:r>
      <w:r>
        <w:t xml:space="preserve">— disclosure of a material cybersecurity incident within four business days after the registrant determines the incident is material; determination to be made</w:t>
      </w:r>
      <w:r>
        <w:t xml:space="preserve"> </w:t>
      </w:r>
      <w:r>
        <w:t xml:space="preserve">“</w:t>
      </w:r>
      <w:r>
        <w:t xml:space="preserve">without unreasonable delay</w:t>
      </w:r>
      <w:r>
        <w:t xml:space="preserve">”</w:t>
      </w:r>
      <w:r>
        <w:t xml:space="preserve"> </w:t>
      </w:r>
      <w:r>
        <w:t xml:space="preserve">after discovery; delayed disclosure of specified details permitted only upon law-enforcement request (Item 1.05(c)). Effective December 18, 2023.</w:t>
      </w:r>
    </w:p>
    <w:p>
      <w:pPr>
        <w:pStyle w:val="Compact"/>
        <w:numPr>
          <w:ilvl w:val="0"/>
          <w:numId w:val="1001"/>
        </w:numPr>
      </w:pPr>
      <w:r>
        <w:rPr>
          <w:b/>
          <w:bCs/>
        </w:rPr>
        <w:t xml:space="preserve">Item 106 of Regulation S-K / Item 1C of Form 10-K</w:t>
      </w:r>
      <w:r>
        <w:t xml:space="preserve"> </w:t>
      </w:r>
      <w:r>
        <w:t xml:space="preserve">— annual disclosure of cybersecurity risk management, strategy, and governance, including processes for assessing, identifying, and managing material risks and the governance of those risks. Effective for annual reports for fiscal years ending on or after December 15, 2023.</w:t>
      </w:r>
    </w:p>
    <w:p>
      <w:pPr>
        <w:pStyle w:val="Compact"/>
        <w:numPr>
          <w:ilvl w:val="0"/>
          <w:numId w:val="1001"/>
        </w:numPr>
      </w:pPr>
      <w:r>
        <w:rPr>
          <w:b/>
          <w:bCs/>
        </w:rPr>
        <w:t xml:space="preserve">Items 1A (Risk Factors), 7 (MD&amp;A), and 9A (Controls and Procedures) of Form 10-K</w:t>
      </w:r>
      <w:r>
        <w:t xml:space="preserve">;</w:t>
      </w:r>
      <w:r>
        <w:t xml:space="preserve"> </w:t>
      </w:r>
      <w:r>
        <w:rPr>
          <w:b/>
          <w:bCs/>
        </w:rPr>
        <w:t xml:space="preserve">Exchange Act Rules 13a-15(a)/(b)</w:t>
      </w:r>
      <w:r>
        <w:t xml:space="preserve"> </w:t>
      </w:r>
      <w:r>
        <w:t xml:space="preserve">(disclosure controls and procedures; ICFR);</w:t>
      </w:r>
      <w:r>
        <w:t xml:space="preserve"> </w:t>
      </w:r>
      <w:r>
        <w:rPr>
          <w:b/>
          <w:bCs/>
        </w:rPr>
        <w:t xml:space="preserve">Sections 302 and 906 certifications</w:t>
      </w:r>
      <w:r>
        <w:t xml:space="preserve">.</w:t>
      </w:r>
    </w:p>
    <w:p>
      <w:pPr>
        <w:pStyle w:val="Compact"/>
        <w:numPr>
          <w:ilvl w:val="0"/>
          <w:numId w:val="1001"/>
        </w:numPr>
      </w:pPr>
      <w:r>
        <w:rPr>
          <w:b/>
          <w:bCs/>
        </w:rPr>
        <w:t xml:space="preserve">Section 13(a)</w:t>
      </w:r>
      <w:r>
        <w:t xml:space="preserve"> </w:t>
      </w:r>
      <w:r>
        <w:t xml:space="preserve">of the Exchange Act (failure to file required reports);</w:t>
      </w:r>
      <w:r>
        <w:t xml:space="preserve"> </w:t>
      </w:r>
      <w:r>
        <w:rPr>
          <w:b/>
          <w:bCs/>
        </w:rPr>
        <w:t xml:space="preserve">Section 10(b) and Rule 10b-5</w:t>
      </w:r>
      <w:r>
        <w:t xml:space="preserve"> </w:t>
      </w:r>
      <w:r>
        <w:t xml:space="preserve">(antifraud; misleading statements/omissions);</w:t>
      </w:r>
      <w:r>
        <w:t xml:space="preserve"> </w:t>
      </w:r>
      <w:r>
        <w:rPr>
          <w:b/>
          <w:bCs/>
        </w:rPr>
        <w:t xml:space="preserve">Regulation FD</w:t>
      </w:r>
      <w:r>
        <w:t xml:space="preserve"> </w:t>
      </w:r>
      <w:r>
        <w:t xml:space="preserve">(selective disclosure);</w:t>
      </w:r>
      <w:r>
        <w:t xml:space="preserve"> </w:t>
      </w:r>
      <w:r>
        <w:rPr>
          <w:b/>
          <w:bCs/>
        </w:rPr>
        <w:t xml:space="preserve">Section 18</w:t>
      </w:r>
      <w:r>
        <w:t xml:space="preserve"> </w:t>
      </w:r>
      <w:r>
        <w:t xml:space="preserve">(liability for false registration statements/reports).</w:t>
      </w:r>
    </w:p>
    <w:p>
      <w:pPr>
        <w:pStyle w:val="Compact"/>
        <w:numPr>
          <w:ilvl w:val="0"/>
          <w:numId w:val="1001"/>
        </w:numPr>
      </w:pPr>
      <w:r>
        <w:rPr>
          <w:b/>
          <w:bCs/>
        </w:rPr>
        <w:t xml:space="preserve">Materiality standard</w:t>
      </w:r>
      <w:r>
        <w:t xml:space="preserve"> </w:t>
      </w:r>
      <w:r>
        <w:t xml:space="preserve">of</w:t>
      </w:r>
      <w:r>
        <w:t xml:space="preserve"> </w:t>
      </w:r>
      <w:r>
        <w:rPr>
          <w:i/>
          <w:iCs/>
        </w:rPr>
        <w:t xml:space="preserve">TSC Industries, Inc. v. Northway, Inc.</w:t>
      </w:r>
      <w:r>
        <w:t xml:space="preserve"> </w:t>
      </w:r>
      <w:r>
        <w:t xml:space="preserve">and</w:t>
      </w:r>
      <w:r>
        <w:t xml:space="preserve"> </w:t>
      </w:r>
      <w:r>
        <w:rPr>
          <w:i/>
          <w:iCs/>
        </w:rPr>
        <w:t xml:space="preserve">Basic Inc. v. Levinson</w:t>
      </w:r>
      <w:r>
        <w:t xml:space="preserve">, as applied to cybersecurity incidents in SEC Release No. 33-11221.</w:t>
      </w:r>
    </w:p>
    <w:p>
      <w:pPr>
        <w:pStyle w:val="FirstParagraph"/>
      </w:pPr>
      <w:r>
        <w:t xml:space="preserve">This memo addresses SEC compliance gaps. Related gaps in customer-contract compliance, state and international breach-notification law, insurance coverage, and M&amp;A disclosure are addressed where they bear on SEC materiality or disclosure obligations.</w:t>
      </w:r>
    </w:p>
    <w:p>
      <w:r>
        <w:pict>
          <v:rect style="width:0;height:1.5pt" o:hralign="center" o:hrstd="t" o:hr="t"/>
        </w:pict>
      </w:r>
    </w:p>
    <w:bookmarkEnd w:id="24"/>
    <w:bookmarkStart w:id="30" w:name="X0285a7e3fd1a046aba9fa0171ce3ed1e7a44e2f"/>
    <w:p>
      <w:pPr>
        <w:pStyle w:val="Heading2"/>
      </w:pPr>
      <w:r>
        <w:t xml:space="preserve">IV. Gap Analysis — Form 8-K, Item 1.05 (Material Cybersecurity Incident)</w:t>
      </w:r>
    </w:p>
    <w:bookmarkStart w:id="25" w:name="Xf71f6cf580435987ee3cdb237a9f322900500b5"/>
    <w:p>
      <w:pPr>
        <w:pStyle w:val="Heading3"/>
      </w:pPr>
      <w:r>
        <w:t xml:space="preserve">A.1 No materiality determination has been conducted (unreasonable-delay risk)</w:t>
      </w:r>
    </w:p>
    <w:p>
      <w:pPr>
        <w:pStyle w:val="FirstParagraph"/>
      </w:pPr>
      <w:r>
        <w:rPr>
          <w:b/>
          <w:bCs/>
        </w:rPr>
        <w:t xml:space="preserve">Issue.</w:t>
      </w:r>
      <w:r>
        <w:t xml:space="preserve"> </w:t>
      </w:r>
      <w:r>
        <w:t xml:space="preserve">The Incident Status Report expressly states that</w:t>
      </w:r>
      <w:r>
        <w:t xml:space="preserve"> </w:t>
      </w:r>
      <w:r>
        <w:t xml:space="preserve">“</w:t>
      </w:r>
      <w:r>
        <w:t xml:space="preserve">[n]o formal materiality determination has been conducted</w:t>
      </w:r>
      <w:r>
        <w:t xml:space="preserve">”</w:t>
      </w:r>
      <w:r>
        <w:t xml:space="preserve"> </w:t>
      </w:r>
      <w:r>
        <w:t xml:space="preserve">as of December 5, 2024 — Day 17 after detection. (Incident Status Report §§ 1, 5.4, 7.5.) Outside securities counsel (Hollister Marsh LLP) was engaged on November 20, 2024, and a high-confidence forensic interim report was received December 1, 2024, yet no determination has been made or documented.</w:t>
      </w:r>
    </w:p>
    <w:p>
      <w:pPr>
        <w:pStyle w:val="BodyText"/>
      </w:pPr>
      <w:r>
        <w:rPr>
          <w:b/>
          <w:bCs/>
        </w:rPr>
        <w:t xml:space="preserve">Why it matters.</w:t>
      </w:r>
      <w:r>
        <w:t xml:space="preserve"> </w:t>
      </w:r>
      <w:r>
        <w:t xml:space="preserve">Item 1.05’s four-business-day disclosure clock runs from the date the registrant</w:t>
      </w:r>
      <w:r>
        <w:t xml:space="preserve"> </w:t>
      </w:r>
      <w:r>
        <w:rPr>
          <w:b/>
          <w:bCs/>
        </w:rPr>
        <w:t xml:space="preserve">determines</w:t>
      </w:r>
      <w:r>
        <w:t xml:space="preserve"> </w:t>
      </w:r>
      <w:r>
        <w:t xml:space="preserve">the incident is material — but the SEC’s adopting release (Release No. 33-11221) makes clear that the determination must be made</w:t>
      </w:r>
      <w:r>
        <w:t xml:space="preserve"> </w:t>
      </w:r>
      <w:r>
        <w:t xml:space="preserve">“</w:t>
      </w:r>
      <w:r>
        <w:t xml:space="preserve">without unreasonable delay</w:t>
      </w:r>
      <w:r>
        <w:t xml:space="preserve">”</w:t>
      </w:r>
      <w:r>
        <w:t xml:space="preserve"> </w:t>
      </w:r>
      <w:r>
        <w:t xml:space="preserve">after discovery, and that an ongoing investigation does not, by itself, justify deferral. A seventeen-day interval with no documented determination — despite the availability of counsel and a high-confidence forensic report — creates exposure to a finding that the Company unreasonably delayed its determination, which the SEC may treat as constructively having occurred earlier, rendering any later 8-K untimely. Failure to file a required 8-K is a Section 13(a) violation and may expose the Company to enforcement action and private litigation under Section 21D.</w:t>
      </w:r>
    </w:p>
    <w:p>
      <w:pPr>
        <w:pStyle w:val="BodyText"/>
      </w:pPr>
      <w:r>
        <w:rPr>
          <w:b/>
          <w:bCs/>
        </w:rPr>
        <w:t xml:space="preserve">Recommendation.</w:t>
      </w:r>
      <w:r>
        <w:t xml:space="preserve"> </w:t>
      </w:r>
      <w:r>
        <w:t xml:space="preserve">Immediately convene a documented materiality-determination process under the direction of the General Counsel and outside securities counsel, with input from the CISO, CTO, CFO, and Thorngate. The determination should be recorded in writing (date, participants, analysis, conclusion). If material, file the Item 1.05 8-K within four business days of that determination. If the conclusion is</w:t>
      </w:r>
      <w:r>
        <w:t xml:space="preserve"> </w:t>
      </w:r>
      <w:r>
        <w:t xml:space="preserve">“</w:t>
      </w:r>
      <w:r>
        <w:t xml:space="preserve">not material,</w:t>
      </w:r>
      <w:r>
        <w:t xml:space="preserve">”</w:t>
      </w:r>
      <w:r>
        <w:t xml:space="preserve"> </w:t>
      </w:r>
      <w:r>
        <w:t xml:space="preserve">document the quantitative and qualitative analysis supporting that conclusion with equal rigor, recognizing that the record contains substantial indicators of materiality (see A.3).</w:t>
      </w:r>
    </w:p>
    <w:bookmarkEnd w:id="25"/>
    <w:bookmarkStart w:id="26" w:name="Xcf3d225214211e9035d3d88a7f24872ae2a6cc6"/>
    <w:p>
      <w:pPr>
        <w:pStyle w:val="Heading3"/>
      </w:pPr>
      <w:r>
        <w:t xml:space="preserve">A.2 No Form 8-K or other public disclosure has been filed</w:t>
      </w:r>
    </w:p>
    <w:p>
      <w:pPr>
        <w:pStyle w:val="FirstParagraph"/>
      </w:pPr>
      <w:r>
        <w:rPr>
          <w:b/>
          <w:bCs/>
        </w:rPr>
        <w:t xml:space="preserve">Issue.</w:t>
      </w:r>
      <w:r>
        <w:t xml:space="preserve"> </w:t>
      </w:r>
      <w:r>
        <w:t xml:space="preserve">As of December 5, 2024,</w:t>
      </w:r>
      <w:r>
        <w:t xml:space="preserve"> </w:t>
      </w:r>
      <w:r>
        <w:t xml:space="preserve">“</w:t>
      </w:r>
      <w:r>
        <w:t xml:space="preserve">[n]o Form 8-K or other public disclosure has been filed with the Securities and Exchange Commission regarding this incident.</w:t>
      </w:r>
      <w:r>
        <w:t xml:space="preserve">”</w:t>
      </w:r>
      <w:r>
        <w:t xml:space="preserve"> </w:t>
      </w:r>
      <w:r>
        <w:t xml:space="preserve">No press release or public statement has been issued. (Incident Status Report §§ 1, 5.4, 5.7.)</w:t>
      </w:r>
    </w:p>
    <w:p>
      <w:pPr>
        <w:pStyle w:val="BodyText"/>
      </w:pPr>
      <w:r>
        <w:rPr>
          <w:b/>
          <w:bCs/>
        </w:rPr>
        <w:t xml:space="preserve">Why it matters.</w:t>
      </w:r>
      <w:r>
        <w:t xml:space="preserve"> </w:t>
      </w:r>
      <w:r>
        <w:t xml:space="preserve">If the incident is material (or reasonably likely to be material), the absence of an 8-K is the operative SEC violation. Even pending a final materiality determination, the Company should be positioned to file promptly; the current posture leaves the Company unable to demonstrate compliance with Item 1.05’s timing regime.</w:t>
      </w:r>
    </w:p>
    <w:p>
      <w:pPr>
        <w:pStyle w:val="BodyText"/>
      </w:pPr>
      <w:r>
        <w:rPr>
          <w:b/>
          <w:bCs/>
        </w:rPr>
        <w:t xml:space="preserve">Recommendation.</w:t>
      </w:r>
      <w:r>
        <w:t xml:space="preserve"> </w:t>
      </w:r>
      <w:r>
        <w:t xml:space="preserve">Prepare a draft Item 1.05 disclosure now so that it can be filed within four business days of the materiality determination. The disclosure must describe (i) the material aspects of the nature, scope, and timing of the incident, and (ii) the material impact or reasonably likely material impact on the Company, including financial and operational impact. Most of the required factual content is already available from the Thorngate interim report and the Incident Status Report.</w:t>
      </w:r>
    </w:p>
    <w:bookmarkEnd w:id="26"/>
    <w:bookmarkStart w:id="27" w:name="X68328ab90b472a74400cd6ec53c018551a9a01c"/>
    <w:p>
      <w:pPr>
        <w:pStyle w:val="Heading3"/>
      </w:pPr>
      <w:r>
        <w:t xml:space="preserve">A.3 Strong indicators of materiality (quantitative and qualitative)</w:t>
      </w:r>
    </w:p>
    <w:p>
      <w:pPr>
        <w:pStyle w:val="FirstParagraph"/>
      </w:pPr>
      <w:r>
        <w:rPr>
          <w:b/>
          <w:bCs/>
        </w:rPr>
        <w:t xml:space="preserve">Issue.</w:t>
      </w:r>
      <w:r>
        <w:t xml:space="preserve"> </w:t>
      </w:r>
      <w:r>
        <w:t xml:space="preserve">Although the direct quantified cost ($4.5M, ≈1.45% of EBITDA and ≈0.24% of revenue) is, in isolation, arguably below a bright-line materiality threshold, the qualitative and reasonably-likely-impact factors are substantial and, in the aggregate, strongly support a conclusion of materiality:</w:t>
      </w:r>
    </w:p>
    <w:p>
      <w:pPr>
        <w:pStyle w:val="Compact"/>
        <w:numPr>
          <w:ilvl w:val="0"/>
          <w:numId w:val="1002"/>
        </w:numPr>
      </w:pPr>
      <w:r>
        <w:rPr>
          <w:b/>
          <w:bCs/>
        </w:rPr>
        <w:t xml:space="preserve">Sensitive data exfiltration affecting core revenue relationships.</w:t>
      </w:r>
      <w:r>
        <w:t xml:space="preserve"> </w:t>
      </w:r>
      <w:r>
        <w:t xml:space="preserve">Unencrypted ACH banking data, procurement PII, and contract pricing for ~4,200 customers, including at least six of the top ten customers (38% of revenue / ~$710.6M). (Thorngate Interim Report § 4; Incident Status Report § 5.3.)</w:t>
      </w:r>
    </w:p>
    <w:p>
      <w:pPr>
        <w:pStyle w:val="Compact"/>
        <w:numPr>
          <w:ilvl w:val="0"/>
          <w:numId w:val="1002"/>
        </w:numPr>
      </w:pPr>
      <w:r>
        <w:rPr>
          <w:b/>
          <w:bCs/>
        </w:rPr>
        <w:t xml:space="preserve">Customer-contract breaches with severe remedies.</w:t>
      </w:r>
      <w:r>
        <w:t xml:space="preserve"> </w:t>
      </w:r>
      <w:r>
        <w:t xml:space="preserve">48-hour notification deadlines under the Harmon, Crestfield, and Nexagen agreements expired no later than November 20, 2024, with no notifications sent. Remedies include $500,000 liquidated damages (Harmon), immediate termination and payment suspension (Crestfield), and termination plus a 24-month future-business exclusion (Nexagen). (Customer Contract Excerpts §§ 1–3, Preparer’s Note.)</w:t>
      </w:r>
    </w:p>
    <w:p>
      <w:pPr>
        <w:pStyle w:val="Compact"/>
        <w:numPr>
          <w:ilvl w:val="0"/>
          <w:numId w:val="1002"/>
        </w:numPr>
      </w:pPr>
      <w:r>
        <w:rPr>
          <w:b/>
          <w:bCs/>
        </w:rPr>
        <w:t xml:space="preserve">ICFR impact.</w:t>
      </w:r>
      <w:r>
        <w:t xml:space="preserve"> </w:t>
      </w:r>
      <w:r>
        <w:t xml:space="preserve">Encryption of the ERP finance module (accounts payable, accounts receivable, general ledger, financial reporting) and ongoing, incomplete data-integrity validation. (Incident Status Report § 3; Thorngate Interim Report § 6.4.)</w:t>
      </w:r>
    </w:p>
    <w:p>
      <w:pPr>
        <w:pStyle w:val="Compact"/>
        <w:numPr>
          <w:ilvl w:val="0"/>
          <w:numId w:val="1002"/>
        </w:numPr>
      </w:pPr>
      <w:r>
        <w:rPr>
          <w:b/>
          <w:bCs/>
        </w:rPr>
        <w:t xml:space="preserve">Insurance coverage at material risk.</w:t>
      </w:r>
      <w:r>
        <w:t xml:space="preserve"> </w:t>
      </w:r>
      <w:r>
        <w:t xml:space="preserve">Late notice (73 vs. 72 hours), a potentially false MFA warranty in the policy application, and a</w:t>
      </w:r>
      <w:r>
        <w:t xml:space="preserve"> </w:t>
      </w:r>
      <w:r>
        <w:t xml:space="preserve">“</w:t>
      </w:r>
      <w:r>
        <w:t xml:space="preserve">failure to maintain minimum security standards</w:t>
      </w:r>
      <w:r>
        <w:t xml:space="preserve">”</w:t>
      </w:r>
      <w:r>
        <w:t xml:space="preserve"> </w:t>
      </w:r>
      <w:r>
        <w:t xml:space="preserve">exclusion that the MFA gap appears to trigger — potentially jeopardizing recovery of up to $15 million in aggregate coverage. (Ridgeline Policy Summary §§ 5, 6(i), 9; Thorngate Interim Report § 6.2.)</w:t>
      </w:r>
    </w:p>
    <w:p>
      <w:pPr>
        <w:pStyle w:val="Compact"/>
        <w:numPr>
          <w:ilvl w:val="0"/>
          <w:numId w:val="1002"/>
        </w:numPr>
      </w:pPr>
      <w:r>
        <w:rPr>
          <w:b/>
          <w:bCs/>
        </w:rPr>
        <w:t xml:space="preserve">Pending $425 million acquisition.</w:t>
      </w:r>
      <w:r>
        <w:t xml:space="preserve"> </w:t>
      </w:r>
      <w:r>
        <w:t xml:space="preserve">Potential effects on representations, warranties, deal timeline, and counterparty confidence; counterparty and advisor unnotified. (Incident Status Report § 5.9.)</w:t>
      </w:r>
    </w:p>
    <w:p>
      <w:pPr>
        <w:pStyle w:val="Compact"/>
        <w:numPr>
          <w:ilvl w:val="0"/>
          <w:numId w:val="1002"/>
        </w:numPr>
      </w:pPr>
      <w:r>
        <w:rPr>
          <w:b/>
          <w:bCs/>
        </w:rPr>
        <w:t xml:space="preserve">Regulatory exposure.</w:t>
      </w:r>
      <w:r>
        <w:t xml:space="preserve"> </w:t>
      </w:r>
      <w:r>
        <w:t xml:space="preserve">State breach-notification obligations across 38+ states and four foreign jurisdictions, with no encryption safe harbor available. (Thorngate Interim Report § 4.4–4.5.)</w:t>
      </w:r>
    </w:p>
    <w:p>
      <w:pPr>
        <w:pStyle w:val="Compact"/>
        <w:numPr>
          <w:ilvl w:val="0"/>
          <w:numId w:val="1002"/>
        </w:numPr>
      </w:pPr>
      <w:r>
        <w:rPr>
          <w:b/>
          <w:bCs/>
        </w:rPr>
        <w:t xml:space="preserve">Control deficiencies suggesting broader vulnerability.</w:t>
      </w:r>
      <w:r>
        <w:t xml:space="preserve"> </w:t>
      </w:r>
      <w:r>
        <w:t xml:space="preserve">The MFA and encryption-at-rest failures are systemic, not isolated, and bear on the accuracy of the Company’s Item 1C disclosures (see Section VI).</w:t>
      </w:r>
    </w:p>
    <w:p>
      <w:pPr>
        <w:pStyle w:val="FirstParagraph"/>
      </w:pPr>
      <w:r>
        <w:rPr>
          <w:b/>
          <w:bCs/>
        </w:rPr>
        <w:t xml:space="preserve">Why it matters.</w:t>
      </w:r>
      <w:r>
        <w:t xml:space="preserve"> </w:t>
      </w:r>
      <w:r>
        <w:t xml:space="preserve">Item 1.05 requires disclosure where the incident is material</w:t>
      </w:r>
      <w:r>
        <w:t xml:space="preserve"> </w:t>
      </w:r>
      <w:r>
        <w:rPr>
          <w:b/>
          <w:bCs/>
        </w:rPr>
        <w:t xml:space="preserve">or reasonably likely to materially affect</w:t>
      </w:r>
      <w:r>
        <w:t xml:space="preserve"> </w:t>
      </w:r>
      <w:r>
        <w:t xml:space="preserve">the Company. The SEC has emphasized that materiality for cybersecurity incidents is not limited to direct, quantified costs and must consider qualitative factors and reasonably likely future effects (e.g., customer loss, litigation, regulatory action, reputational harm). The reasonably-likely-impact prong is independently sufficient here.</w:t>
      </w:r>
    </w:p>
    <w:p>
      <w:pPr>
        <w:pStyle w:val="BodyText"/>
      </w:pPr>
      <w:r>
        <w:rPr>
          <w:b/>
          <w:bCs/>
        </w:rPr>
        <w:t xml:space="preserve">Recommendation.</w:t>
      </w:r>
      <w:r>
        <w:t xml:space="preserve"> </w:t>
      </w:r>
      <w:r>
        <w:t xml:space="preserve">The materiality analysis must expressly evaluate the qualitative and reasonably-likely factors above, not merely the $4.5M figure. Document the analysis of each factor and its potential financial/operational consequence. Treat the customer-contract exposure, insurance-coverage risk, and M&amp;A impact as materiality drivers in their own right.</w:t>
      </w:r>
    </w:p>
    <w:bookmarkEnd w:id="27"/>
    <w:bookmarkStart w:id="28" w:name="X584e5bf7fc875cac56f647464eb0c1264b1846b"/>
    <w:p>
      <w:pPr>
        <w:pStyle w:val="Heading3"/>
      </w:pPr>
      <w:r>
        <w:t xml:space="preserve">A.4 No basis to invoke the law-enforcement delay exception</w:t>
      </w:r>
    </w:p>
    <w:p>
      <w:pPr>
        <w:pStyle w:val="FirstParagraph"/>
      </w:pPr>
      <w:r>
        <w:rPr>
          <w:b/>
          <w:bCs/>
        </w:rPr>
        <w:t xml:space="preserve">Issue.</w:t>
      </w:r>
      <w:r>
        <w:t xml:space="preserve"> </w:t>
      </w:r>
      <w:r>
        <w:t xml:space="preserve">Item 1.05(c) permits delayed disclosure of specified details only upon a written request from the U.S. Attorney General or a designee (law enforcement) stating that disclosure would impair an investigation. The Incident Status Report confirms that</w:t>
      </w:r>
      <w:r>
        <w:t xml:space="preserve"> </w:t>
      </w:r>
      <w:r>
        <w:t xml:space="preserve">“</w:t>
      </w:r>
      <w:r>
        <w:t xml:space="preserve">[n]o request has been made by law enforcement to delay any public disclosure related to this incident.</w:t>
      </w:r>
      <w:r>
        <w:t xml:space="preserve">”</w:t>
      </w:r>
      <w:r>
        <w:t xml:space="preserve"> </w:t>
      </w:r>
      <w:r>
        <w:t xml:space="preserve">(Incident Status Report §§ 1, 5.1.)</w:t>
      </w:r>
    </w:p>
    <w:p>
      <w:pPr>
        <w:pStyle w:val="BodyText"/>
      </w:pPr>
      <w:r>
        <w:rPr>
          <w:b/>
          <w:bCs/>
        </w:rPr>
        <w:t xml:space="preserve">Why it matters.</w:t>
      </w:r>
      <w:r>
        <w:t xml:space="preserve"> </w:t>
      </w:r>
      <w:r>
        <w:t xml:space="preserve">The Company cannot rely on the law-enforcement exception to defer Item 1.05 disclosure. The FBI IC3 contact (November 20) was a report by the Company, not a request to the Company to delay disclosure.</w:t>
      </w:r>
    </w:p>
    <w:p>
      <w:pPr>
        <w:pStyle w:val="BodyText"/>
      </w:pPr>
      <w:r>
        <w:rPr>
          <w:b/>
          <w:bCs/>
        </w:rPr>
        <w:t xml:space="preserve">Recommendation.</w:t>
      </w:r>
      <w:r>
        <w:t xml:space="preserve"> </w:t>
      </w:r>
      <w:r>
        <w:t xml:space="preserve">Do not treat the FBI IC3 contact as a basis for any disclosure delay. If law enforcement later requests delay, obtain the request in writing and consult counsel on the scope and duration permitted under Item 1.05(c).</w:t>
      </w:r>
    </w:p>
    <w:bookmarkEnd w:id="28"/>
    <w:bookmarkStart w:id="29" w:name="X38aabe2bb11cabf6429a8f44238599dbe75bdc5"/>
    <w:p>
      <w:pPr>
        <w:pStyle w:val="Heading3"/>
      </w:pPr>
      <w:r>
        <w:t xml:space="preserve">A.5 Disclosure content is largely available; no informational basis to defer</w:t>
      </w:r>
    </w:p>
    <w:p>
      <w:pPr>
        <w:pStyle w:val="FirstParagraph"/>
      </w:pPr>
      <w:r>
        <w:rPr>
          <w:b/>
          <w:bCs/>
        </w:rPr>
        <w:t xml:space="preserve">Issue.</w:t>
      </w:r>
      <w:r>
        <w:t xml:space="preserve"> </w:t>
      </w:r>
      <w:r>
        <w:t xml:space="preserve">The Thorngate interim report (December 1) and the Incident Status Report (December 5) already provide the nature, scope, timing, and impact information that Item 1.05 requires. Thorngate’s full preliminary findings report is due December 20, 2024, but the Company is not required to wait for it.</w:t>
      </w:r>
    </w:p>
    <w:p>
      <w:pPr>
        <w:pStyle w:val="BodyText"/>
      </w:pPr>
      <w:r>
        <w:rPr>
          <w:b/>
          <w:bCs/>
        </w:rPr>
        <w:t xml:space="preserve">Why it matters.</w:t>
      </w:r>
      <w:r>
        <w:t xml:space="preserve"> </w:t>
      </w:r>
      <w:r>
        <w:t xml:space="preserve">Item 1.05 permits a registrant to disclose only information that is determined to be material and not subject to law-enforcement delay, and to update via additional 8-Ks as the investigation develops. The Company has sufficient information to make an initial material determination and disclosure now, with later amendments/updates as warranted.</w:t>
      </w:r>
    </w:p>
    <w:p>
      <w:pPr>
        <w:pStyle w:val="BodyText"/>
      </w:pPr>
      <w:r>
        <w:rPr>
          <w:b/>
          <w:bCs/>
        </w:rPr>
        <w:t xml:space="preserve">Recommendation.</w:t>
      </w:r>
      <w:r>
        <w:t xml:space="preserve"> </w:t>
      </w:r>
      <w:r>
        <w:t xml:space="preserve">File an initial Item 1.05 disclosure based on currently available information; file supplemental 8-Ks within four business days of any later determination of additional material facts (e.g., final affected-record count, customer terminations, coverage denial, regulatory action).</w:t>
      </w:r>
    </w:p>
    <w:p>
      <w:r>
        <w:pict>
          <v:rect style="width:0;height:1.5pt" o:hralign="center" o:hrstd="t" o:hr="t"/>
        </w:pict>
      </w:r>
    </w:p>
    <w:bookmarkEnd w:id="29"/>
    <w:bookmarkEnd w:id="30"/>
    <w:bookmarkStart w:id="33" w:name="Xb61f0a62a56ed6cd44fb48532fed2eadfacb705"/>
    <w:p>
      <w:pPr>
        <w:pStyle w:val="Heading2"/>
      </w:pPr>
      <w:r>
        <w:t xml:space="preserve">V. Gap Analysis — Materiality-Determination Process (Item 106(b) and Disclosure Controls)</w:t>
      </w:r>
    </w:p>
    <w:bookmarkStart w:id="31" w:name="Xb10274cbea3daeef1e7689706bebf67d7942201"/>
    <w:p>
      <w:pPr>
        <w:pStyle w:val="Heading3"/>
      </w:pPr>
      <w:r>
        <w:t xml:space="preserve">B.1 No documented securities-materiality assessment process</w:t>
      </w:r>
    </w:p>
    <w:p>
      <w:pPr>
        <w:pStyle w:val="FirstParagraph"/>
      </w:pPr>
      <w:r>
        <w:rPr>
          <w:b/>
          <w:bCs/>
        </w:rPr>
        <w:t xml:space="preserve">Issue.</w:t>
      </w:r>
      <w:r>
        <w:t xml:space="preserve"> </w:t>
      </w:r>
      <w:r>
        <w:t xml:space="preserve">The CIRP’s severity-classification matrix (Section 3.2) is a</w:t>
      </w:r>
      <w:r>
        <w:t xml:space="preserve"> </w:t>
      </w:r>
      <w:r>
        <w:rPr>
          <w:b/>
          <w:bCs/>
        </w:rPr>
        <w:t xml:space="preserve">technical</w:t>
      </w:r>
      <w:r>
        <w:t xml:space="preserve"> </w:t>
      </w:r>
      <w:r>
        <w:t xml:space="preserve">severity framework (Tier 1/2/3, based on endpoint counts, downtime, and attack characteristics). It is not a securities-law materiality assessment. The CIRP contains no process for bridging from technical severity to SEC materiality, and the FY2023 10-K Item 1C does not describe a materiality-assessment process for cybersecurity incidents. (CIRP § 3.2; 10-K Item 1C.)</w:t>
      </w:r>
    </w:p>
    <w:p>
      <w:pPr>
        <w:pStyle w:val="BodyText"/>
      </w:pPr>
      <w:r>
        <w:rPr>
          <w:b/>
          <w:bCs/>
        </w:rPr>
        <w:t xml:space="preserve">Why it matters.</w:t>
      </w:r>
      <w:r>
        <w:t xml:space="preserve"> </w:t>
      </w:r>
      <w:r>
        <w:t xml:space="preserve">Item 106(b) requires disclosure of the registrant’s processes for assessing, identifying, and managing material risks from cybersecurity threats, and the incident-determination process is integral to Item 1.05 compliance. The absence of a documented process is both a disclosure gap (the FY2024 10-K must describe the actual process) and a root cause of the unreasonable-delay exposure in Section IV.</w:t>
      </w:r>
    </w:p>
    <w:p>
      <w:pPr>
        <w:pStyle w:val="BodyText"/>
      </w:pPr>
      <w:r>
        <w:rPr>
          <w:b/>
          <w:bCs/>
        </w:rPr>
        <w:t xml:space="preserve">Recommendation.</w:t>
      </w:r>
      <w:r>
        <w:t xml:space="preserve"> </w:t>
      </w:r>
      <w:r>
        <w:t xml:space="preserve">Adopt and document a written cybersecurity-incident materiality-assessment protocol that (i) is triggered automatically upon Tier 2/Tier 3 classification, (ii) convenes the disclosure committee (CEO, CFO, GC, CISO, CTO, outside securities counsel), (iii) applies the</w:t>
      </w:r>
      <w:r>
        <w:t xml:space="preserve"> </w:t>
      </w:r>
      <w:r>
        <w:rPr>
          <w:i/>
          <w:iCs/>
        </w:rPr>
        <w:t xml:space="preserve">TSC Industries/Basic</w:t>
      </w:r>
      <w:r>
        <w:t xml:space="preserve"> </w:t>
      </w:r>
      <w:r>
        <w:t xml:space="preserve">standard with quantitative and qualitative factors, (iv) records the determination in writing, and (v) drives the 8-K decision. Disclose this process in the FY2024 10-K Item 1C.</w:t>
      </w:r>
    </w:p>
    <w:bookmarkEnd w:id="31"/>
    <w:bookmarkStart w:id="32" w:name="X76e1138001653c0e77956439ef9bd93db2e5248"/>
    <w:p>
      <w:pPr>
        <w:pStyle w:val="Heading3"/>
      </w:pPr>
      <w:r>
        <w:t xml:space="preserve">B.2 Risk of conflating technical severity with securities materiality</w:t>
      </w:r>
    </w:p>
    <w:p>
      <w:pPr>
        <w:pStyle w:val="FirstParagraph"/>
      </w:pPr>
      <w:r>
        <w:rPr>
          <w:b/>
          <w:bCs/>
        </w:rPr>
        <w:t xml:space="preserve">Issue.</w:t>
      </w:r>
      <w:r>
        <w:t xml:space="preserve"> </w:t>
      </w:r>
      <w:r>
        <w:t xml:space="preserve">The Incident Status Report repeatedly frames the incident by its CIRP</w:t>
      </w:r>
      <w:r>
        <w:t xml:space="preserve"> </w:t>
      </w:r>
      <w:r>
        <w:t xml:space="preserve">“</w:t>
      </w:r>
      <w:r>
        <w:t xml:space="preserve">Tier 3</w:t>
      </w:r>
      <w:r>
        <w:t xml:space="preserve">”</w:t>
      </w:r>
      <w:r>
        <w:t xml:space="preserve"> </w:t>
      </w:r>
      <w:r>
        <w:t xml:space="preserve">technical classification. There is no evidence that anyone has performed the separate securities-materiality analysis. (Incident Status Report §§ 1, 2, Appendix A.)</w:t>
      </w:r>
    </w:p>
    <w:p>
      <w:pPr>
        <w:pStyle w:val="BodyText"/>
      </w:pPr>
      <w:r>
        <w:rPr>
          <w:b/>
          <w:bCs/>
        </w:rPr>
        <w:t xml:space="preserve">Why it matters.</w:t>
      </w:r>
      <w:r>
        <w:t xml:space="preserve"> </w:t>
      </w:r>
      <w:r>
        <w:t xml:space="preserve">A Tier 3 technical incident is not necessarily a material SEC event, and a material SEC event is not necessarily Tier 3. Conflating the two risks either over- or under-disclosing. Here, the technical classification was made within hours, but the securities analysis has not been made at all — the more dangerous error.</w:t>
      </w:r>
    </w:p>
    <w:p>
      <w:pPr>
        <w:pStyle w:val="BodyText"/>
      </w:pPr>
      <w:r>
        <w:rPr>
          <w:b/>
          <w:bCs/>
        </w:rPr>
        <w:t xml:space="preserve">Recommendation.</w:t>
      </w:r>
      <w:r>
        <w:t xml:space="preserve"> </w:t>
      </w:r>
      <w:r>
        <w:t xml:space="preserve">Separate the two analyses in policy and practice. The technical classification drives operational response; the securities-materiality analysis drives disclosure. Both must be documented.</w:t>
      </w:r>
    </w:p>
    <w:p>
      <w:r>
        <w:pict>
          <v:rect style="width:0;height:1.5pt" o:hralign="center" o:hrstd="t" o:hr="t"/>
        </w:pict>
      </w:r>
    </w:p>
    <w:bookmarkEnd w:id="32"/>
    <w:bookmarkEnd w:id="33"/>
    <w:bookmarkStart w:id="40" w:name="Xac826508d3bb17a417a4c046ba2ac9e9364a59b"/>
    <w:p>
      <w:pPr>
        <w:pStyle w:val="Heading2"/>
      </w:pPr>
      <w:r>
        <w:t xml:space="preserve">VI. Gap Analysis — Item 106 / Item 1C Disclosure Accuracy (FY2023 10-K and FY2024 10-K Implications)</w:t>
      </w:r>
    </w:p>
    <w:bookmarkStart w:id="34" w:name="X0687cbb76480599448e5f5df4b565bf0639dccb"/>
    <w:p>
      <w:pPr>
        <w:pStyle w:val="Heading3"/>
      </w:pPr>
      <w:r>
        <w:t xml:space="preserve">C.1 MFA representation contradicted by forensic findings (potential antifraud exposure)</w:t>
      </w:r>
    </w:p>
    <w:p>
      <w:pPr>
        <w:pStyle w:val="FirstParagraph"/>
      </w:pPr>
      <w:r>
        <w:rPr>
          <w:b/>
          <w:bCs/>
        </w:rPr>
        <w:t xml:space="preserve">Issue.</w:t>
      </w:r>
      <w:r>
        <w:t xml:space="preserve"> </w:t>
      </w:r>
      <w:r>
        <w:t xml:space="preserve">The FY2023 10-K Item 1C states that the Company</w:t>
      </w:r>
      <w:r>
        <w:t xml:space="preserve"> </w:t>
      </w:r>
      <w:r>
        <w:t xml:space="preserve">“</w:t>
      </w:r>
      <w:r>
        <w:t xml:space="preserve">has implemented access management controls, including role-based access controls, privileged access management, and</w:t>
      </w:r>
      <w:r>
        <w:t xml:space="preserve"> </w:t>
      </w:r>
      <w:r>
        <w:rPr>
          <w:b/>
          <w:bCs/>
        </w:rPr>
        <w:t xml:space="preserve">multi-factor authentication for access to critical information systems, remote access connections, and administrative accounts</w:t>
      </w:r>
      <w:r>
        <w:t xml:space="preserve">.</w:t>
      </w:r>
      <w:r>
        <w:t xml:space="preserve">”</w:t>
      </w:r>
      <w:r>
        <w:t xml:space="preserve"> </w:t>
      </w:r>
      <w:r>
        <w:t xml:space="preserve">The CIRP (Section 4.1(d)) similarly represents that</w:t>
      </w:r>
      <w:r>
        <w:t xml:space="preserve"> </w:t>
      </w:r>
      <w:r>
        <w:t xml:space="preserve">“</w:t>
      </w:r>
      <w:r>
        <w:t xml:space="preserve">[m]ulti-factor authentication (MFA) is required for all VPN connections.</w:t>
      </w:r>
      <w:r>
        <w:t xml:space="preserve">”</w:t>
      </w:r>
      <w:r>
        <w:t xml:space="preserve"> </w:t>
      </w:r>
      <w:r>
        <w:t xml:space="preserve">Thorngate’s interim report finds, however, that the compromised third-party contractor VPN credential</w:t>
      </w:r>
      <w:r>
        <w:t xml:space="preserve"> </w:t>
      </w:r>
      <w:r>
        <w:t xml:space="preserve">“</w:t>
      </w:r>
      <w:r>
        <w:t xml:space="preserve">was not protected by multi-factor authentication</w:t>
      </w:r>
      <w:r>
        <w:t xml:space="preserve">”</w:t>
      </w:r>
      <w:r>
        <w:t xml:space="preserve"> </w:t>
      </w:r>
      <w:r>
        <w:t xml:space="preserve">and that</w:t>
      </w:r>
      <w:r>
        <w:t xml:space="preserve"> </w:t>
      </w:r>
      <w:r>
        <w:t xml:space="preserve">“</w:t>
      </w:r>
      <w:r>
        <w:t xml:space="preserve">MFA was not universally required for third-party contractor VPN access</w:t>
      </w:r>
      <w:r>
        <w:t xml:space="preserve">”</w:t>
      </w:r>
      <w:r>
        <w:t xml:space="preserve"> </w:t>
      </w:r>
      <w:r>
        <w:t xml:space="preserve">prior to November 20, 2024. (10-K Item 1C; CIRP § 4.1(d); Thorngate Interim Report §§ 3.1, 4.4, 6.2; Incident Status Report § 3.)</w:t>
      </w:r>
    </w:p>
    <w:p>
      <w:pPr>
        <w:pStyle w:val="BodyText"/>
      </w:pPr>
      <w:r>
        <w:rPr>
          <w:b/>
          <w:bCs/>
        </w:rPr>
        <w:t xml:space="preserve">Why it matters.</w:t>
      </w:r>
      <w:r>
        <w:t xml:space="preserve"> </w:t>
      </w:r>
      <w:r>
        <w:t xml:space="preserve">This is a direct contradiction between a specific, affirmative disclosure in a filed SEC report and the actual control environment. If the MFA gap existed at the time the 10-K was filed (February 28, 2024) — a question that must be investigated — the disclosure was inaccurate when made, creating potential exposure under Section 10(b) and Rule 10b-5 (material misstatement/omission) and Section 18 (liability for false statements in filed reports). Even if the gap arose after filing, the FY2024 10-K must not repeat the inaccurate representation and must accurately describe the control deficiency and remediation. The same representation is also a warranty in the Company’s cyber-insurance application (see Section IX), compounding the exposure.</w:t>
      </w:r>
    </w:p>
    <w:p>
      <w:pPr>
        <w:pStyle w:val="BodyText"/>
      </w:pPr>
      <w:r>
        <w:rPr>
          <w:b/>
          <w:bCs/>
        </w:rPr>
        <w:t xml:space="preserve">Recommendation.</w:t>
      </w:r>
      <w:r>
        <w:t xml:space="preserve"> </w:t>
      </w:r>
      <w:r>
        <w:t xml:space="preserve">(i) Investigate when the third-party VPN MFA gap arose and whether it existed at the 10-K filing date. (ii) Ensure the FY2024 10-K Item 1C accurately describes the actual MFA posture (including the historical gap and remediation). (iii) Do not repeat the unqualified MFA representation. (iv) Coordinate with disclosure counsel on whether any corrective disclosure is warranted before the FY2024 10-K. (v) Preserve documents relevant to the original MFA representation.</w:t>
      </w:r>
    </w:p>
    <w:bookmarkEnd w:id="34"/>
    <w:bookmarkStart w:id="35" w:name="X47c6ad6c43917fa1ba2deedf4b338b9d34b45fb"/>
    <w:p>
      <w:pPr>
        <w:pStyle w:val="Heading3"/>
      </w:pPr>
      <w:r>
        <w:t xml:space="preserve">C.2</w:t>
      </w:r>
      <w:r>
        <w:t xml:space="preserve"> </w:t>
      </w:r>
      <w:r>
        <w:t xml:space="preserve">“</w:t>
      </w:r>
      <w:r>
        <w:t xml:space="preserve">No material incidents</w:t>
      </w:r>
      <w:r>
        <w:t xml:space="preserve">”</w:t>
      </w:r>
      <w:r>
        <w:t xml:space="preserve"> </w:t>
      </w:r>
      <w:r>
        <w:t xml:space="preserve">statement requires FY2024 update</w:t>
      </w:r>
    </w:p>
    <w:p>
      <w:pPr>
        <w:pStyle w:val="FirstParagraph"/>
      </w:pPr>
      <w:r>
        <w:rPr>
          <w:b/>
          <w:bCs/>
        </w:rPr>
        <w:t xml:space="preserve">Issue.</w:t>
      </w:r>
      <w:r>
        <w:t xml:space="preserve"> </w:t>
      </w:r>
      <w:r>
        <w:t xml:space="preserve">The FY2023 10-K Item 1C states that</w:t>
      </w:r>
      <w:r>
        <w:t xml:space="preserve"> </w:t>
      </w:r>
      <w:r>
        <w:t xml:space="preserve">“</w:t>
      </w:r>
      <w:r>
        <w:t xml:space="preserve">[a]s of the date of this filing, the Company has not experienced any cybersecurity incidents that have materially affected, or are reasonably likely to materially affect, the Company’s business strategy, results of operations, or financial condition.</w:t>
      </w:r>
      <w:r>
        <w:t xml:space="preserve">”</w:t>
      </w:r>
      <w:r>
        <w:t xml:space="preserve"> </w:t>
      </w:r>
      <w:r>
        <w:t xml:space="preserve">This statement was accurate as of the February 28, 2024 filing date (the incident occurred November 18, 2024). (10-K Item 1C.)</w:t>
      </w:r>
    </w:p>
    <w:p>
      <w:pPr>
        <w:pStyle w:val="BodyText"/>
      </w:pPr>
      <w:r>
        <w:rPr>
          <w:b/>
          <w:bCs/>
        </w:rPr>
        <w:t xml:space="preserve">Why it matters.</w:t>
      </w:r>
      <w:r>
        <w:t xml:space="preserve"> </w:t>
      </w:r>
      <w:r>
        <w:t xml:space="preserve">The FY2024 10-K Item 1C must update this disclosure to address Incident INC-2024-0047 if material, including its nature, scope, timing, and material or reasonably likely material impact. A failure to update would itself be misleading.</w:t>
      </w:r>
    </w:p>
    <w:p>
      <w:pPr>
        <w:pStyle w:val="BodyText"/>
      </w:pPr>
      <w:r>
        <w:rPr>
          <w:b/>
          <w:bCs/>
        </w:rPr>
        <w:t xml:space="preserve">Recommendation.</w:t>
      </w:r>
      <w:r>
        <w:t xml:space="preserve"> </w:t>
      </w:r>
      <w:r>
        <w:t xml:space="preserve">Draft the FY2024 Item 1C update now, consistent with any Item 1.05 8-K disclosure, and ensure consistency between the 8-K and the 10-K narratives.</w:t>
      </w:r>
    </w:p>
    <w:bookmarkEnd w:id="35"/>
    <w:bookmarkStart w:id="36" w:name="Xb4e0b2b497eaaf19cb9de15b874bd77264f2e99"/>
    <w:p>
      <w:pPr>
        <w:pStyle w:val="Heading3"/>
      </w:pPr>
      <w:r>
        <w:t xml:space="preserve">C.3 CIRP</w:t>
      </w:r>
      <w:r>
        <w:t xml:space="preserve"> </w:t>
      </w:r>
      <w:r>
        <w:t xml:space="preserve">“</w:t>
      </w:r>
      <w:r>
        <w:t xml:space="preserve">most recently reviewed in August 2023</w:t>
      </w:r>
      <w:r>
        <w:t xml:space="preserve">”</w:t>
      </w:r>
      <w:r>
        <w:t xml:space="preserve"> </w:t>
      </w:r>
      <w:r>
        <w:t xml:space="preserve">is misleading; untested plan not disclosed</w:t>
      </w:r>
    </w:p>
    <w:p>
      <w:pPr>
        <w:pStyle w:val="FirstParagraph"/>
      </w:pPr>
      <w:r>
        <w:rPr>
          <w:b/>
          <w:bCs/>
        </w:rPr>
        <w:t xml:space="preserve">Issue.</w:t>
      </w:r>
      <w:r>
        <w:t xml:space="preserve"> </w:t>
      </w:r>
      <w:r>
        <w:t xml:space="preserve">The 10-K states the CIRP</w:t>
      </w:r>
      <w:r>
        <w:t xml:space="preserve"> </w:t>
      </w:r>
      <w:r>
        <w:t xml:space="preserve">“</w:t>
      </w:r>
      <w:r>
        <w:t xml:space="preserve">was initially developed in June 2022 and was most recently reviewed in August 2023.</w:t>
      </w:r>
      <w:r>
        <w:t xml:space="preserve">”</w:t>
      </w:r>
      <w:r>
        <w:t xml:space="preserve"> </w:t>
      </w:r>
      <w:r>
        <w:t xml:space="preserve">The CIRP itself discloses that the August 14, 2023 review was</w:t>
      </w:r>
      <w:r>
        <w:t xml:space="preserve"> </w:t>
      </w:r>
      <w:r>
        <w:rPr>
          <w:b/>
          <w:bCs/>
        </w:rPr>
        <w:t xml:space="preserve">administrative only</w:t>
      </w:r>
      <w:r>
        <w:t xml:space="preserve"> </w:t>
      </w:r>
      <w:r>
        <w:t xml:space="preserve">—</w:t>
      </w:r>
      <w:r>
        <w:t xml:space="preserve"> </w:t>
      </w:r>
      <w:r>
        <w:t xml:space="preserve">“</w:t>
      </w:r>
      <w:r>
        <w:t xml:space="preserve">vendor contact information updated; no substantive changes</w:t>
      </w:r>
      <w:r>
        <w:t xml:space="preserve">”</w:t>
      </w:r>
      <w:r>
        <w:t xml:space="preserve"> </w:t>
      </w:r>
      <w:r>
        <w:t xml:space="preserve">— with no changes to procedures, governance, classification, or communications, and that</w:t>
      </w:r>
      <w:r>
        <w:t xml:space="preserve"> </w:t>
      </w:r>
      <w:r>
        <w:rPr>
          <w:b/>
          <w:bCs/>
        </w:rPr>
        <w:t xml:space="preserve">“</w:t>
      </w:r>
      <w:r>
        <w:rPr>
          <w:b/>
          <w:bCs/>
        </w:rPr>
        <w:t xml:space="preserve">[n]o tabletop exercises or simulation-based tests of this Plan have been conducted.</w:t>
      </w:r>
      <w:r>
        <w:rPr>
          <w:b/>
          <w:bCs/>
        </w:rPr>
        <w:t xml:space="preserve">”</w:t>
      </w:r>
      <w:r>
        <w:t xml:space="preserve"> </w:t>
      </w:r>
      <w:r>
        <w:t xml:space="preserve">The 10-K does not disclose that the CIRP has never been tested. (10-K Item 1C; CIRP §§ 1.4, 4.3, Version History.)</w:t>
      </w:r>
    </w:p>
    <w:p>
      <w:pPr>
        <w:pStyle w:val="BodyText"/>
      </w:pPr>
      <w:r>
        <w:rPr>
          <w:b/>
          <w:bCs/>
        </w:rPr>
        <w:t xml:space="preserve">Why it matters.</w:t>
      </w:r>
      <w:r>
        <w:t xml:space="preserve"> </w:t>
      </w:r>
      <w:r>
        <w:t xml:space="preserve">The</w:t>
      </w:r>
      <w:r>
        <w:t xml:space="preserve"> </w:t>
      </w:r>
      <w:r>
        <w:t xml:space="preserve">“</w:t>
      </w:r>
      <w:r>
        <w:t xml:space="preserve">most recently reviewed in August 2023</w:t>
      </w:r>
      <w:r>
        <w:t xml:space="preserve">”</w:t>
      </w:r>
      <w:r>
        <w:t xml:space="preserve"> </w:t>
      </w:r>
      <w:r>
        <w:t xml:space="preserve">statement, while literally true, is misleading by omission: it implies substantive review and testing that did not occur. Item 106 requires disclosure of the processes for managing cybersecurity risks; an untested incident-response plan is a material limitation on the effectiveness of those processes and should be disclosed. The incident itself revealed the consequences: the CIRP’s escalation framework failed to reach the Board, the General Counsel, or the disclosure function in a timely way (see Sections VII–VIII).</w:t>
      </w:r>
    </w:p>
    <w:p>
      <w:pPr>
        <w:pStyle w:val="BodyText"/>
      </w:pPr>
      <w:r>
        <w:rPr>
          <w:b/>
          <w:bCs/>
        </w:rPr>
        <w:t xml:space="preserve">Recommendation.</w:t>
      </w:r>
      <w:r>
        <w:t xml:space="preserve"> </w:t>
      </w:r>
      <w:r>
        <w:t xml:space="preserve">In the FY2024 10-K, accurately characterize the CIRP review history and disclose that the plan had not been tested as of the incident date, together with remediation (scheduled tabletop exercises). Avoid the unqualified</w:t>
      </w:r>
      <w:r>
        <w:t xml:space="preserve"> </w:t>
      </w:r>
      <w:r>
        <w:t xml:space="preserve">“</w:t>
      </w:r>
      <w:r>
        <w:t xml:space="preserve">most recently reviewed</w:t>
      </w:r>
      <w:r>
        <w:t xml:space="preserve">”</w:t>
      </w:r>
      <w:r>
        <w:t xml:space="preserve"> </w:t>
      </w:r>
      <w:r>
        <w:t xml:space="preserve">formulation.</w:t>
      </w:r>
    </w:p>
    <w:bookmarkEnd w:id="36"/>
    <w:bookmarkStart w:id="37" w:name="Xae853ffde0f3c285fffa83f7fd74261a491828c"/>
    <w:p>
      <w:pPr>
        <w:pStyle w:val="Heading3"/>
      </w:pPr>
      <w:r>
        <w:t xml:space="preserve">C.4 Board-escalation</w:t>
      </w:r>
      <w:r>
        <w:t xml:space="preserve"> </w:t>
      </w:r>
      <w:r>
        <w:t xml:space="preserve">“</w:t>
      </w:r>
      <w:r>
        <w:t xml:space="preserve">in a timely manner</w:t>
      </w:r>
      <w:r>
        <w:t xml:space="preserve">”</w:t>
      </w:r>
      <w:r>
        <w:t xml:space="preserve"> </w:t>
      </w:r>
      <w:r>
        <w:t xml:space="preserve">representation contradicted by the record</w:t>
      </w:r>
    </w:p>
    <w:p>
      <w:pPr>
        <w:pStyle w:val="FirstParagraph"/>
      </w:pPr>
      <w:r>
        <w:rPr>
          <w:b/>
          <w:bCs/>
        </w:rPr>
        <w:t xml:space="preserve">Issue.</w:t>
      </w:r>
      <w:r>
        <w:t xml:space="preserve"> </w:t>
      </w:r>
      <w:r>
        <w:t xml:space="preserve">The 10-K states that</w:t>
      </w:r>
      <w:r>
        <w:t xml:space="preserve"> </w:t>
      </w:r>
      <w:r>
        <w:t xml:space="preserve">“</w:t>
      </w:r>
      <w:r>
        <w:t xml:space="preserve">[i]n the event of a significant cybersecurity incident, the Company’s processes provide for escalation to the Board of Directors and, as appropriate, the Audit Committee, to ensure that the Board is informed</w:t>
      </w:r>
      <w:r>
        <w:t xml:space="preserve"> </w:t>
      </w:r>
      <w:r>
        <w:rPr>
          <w:b/>
          <w:bCs/>
        </w:rPr>
        <w:t xml:space="preserve">in a timely manner</w:t>
      </w:r>
      <w:r>
        <w:t xml:space="preserve"> </w:t>
      </w:r>
      <w:r>
        <w:t xml:space="preserve">of developments that may affect the Company’s operations, financial condition, or public disclosure obligations.</w:t>
      </w:r>
      <w:r>
        <w:t xml:space="preserve">”</w:t>
      </w:r>
      <w:r>
        <w:t xml:space="preserve"> </w:t>
      </w:r>
      <w:r>
        <w:t xml:space="preserve">In fact, the Audit Committee Chair was not informed until Day 15 (December 3, by email), the CEO until Day 7, and the General Counsel until Day 2 (and only because she returned from travel; the Associate GC learned informally on Day 1). The CIRP escalation matrix (Section 10) does not provide for any escalation above the CTO. (10-K Item 1C; Incident Status Report §§ 2, 5.5; CIRP § 10.)</w:t>
      </w:r>
    </w:p>
    <w:p>
      <w:pPr>
        <w:pStyle w:val="BodyText"/>
      </w:pPr>
      <w:r>
        <w:rPr>
          <w:b/>
          <w:bCs/>
        </w:rPr>
        <w:t xml:space="preserve">Why it matters.</w:t>
      </w:r>
      <w:r>
        <w:t xml:space="preserve"> </w:t>
      </w:r>
      <w:r>
        <w:t xml:space="preserve">The disclosed governance process was not followed and, as written in the CIRP, does not actually provide for Board/Audit Committee escalation. This is both a disclosure-accuracy gap (the FY2024 10-K must describe the actual escalation process) and a disclosure-controls failure (the incident did not reach the disclosure decision-makers in a timely way).</w:t>
      </w:r>
    </w:p>
    <w:p>
      <w:pPr>
        <w:pStyle w:val="BodyText"/>
      </w:pPr>
      <w:r>
        <w:rPr>
          <w:b/>
          <w:bCs/>
        </w:rPr>
        <w:t xml:space="preserve">Recommendation.</w:t>
      </w:r>
      <w:r>
        <w:t xml:space="preserve"> </w:t>
      </w:r>
      <w:r>
        <w:t xml:space="preserve">(i) Remediate the CIRP escalation matrix to include mandatory triggers for CEO, General Counsel, and Audit Committee/Board notification (see Section VIII). (ii) In the FY2024 10-K, describe the actual escalation process, including the changes made in response to the incident. (iii) Consider whether the FY2023 representation requires correction.</w:t>
      </w:r>
    </w:p>
    <w:bookmarkEnd w:id="37"/>
    <w:bookmarkStart w:id="38" w:name="X7c0bf1f80c4fbe39d4a8c25b8b620bafbda1b25"/>
    <w:p>
      <w:pPr>
        <w:pStyle w:val="Heading3"/>
      </w:pPr>
      <w:r>
        <w:t xml:space="preserve">C.5 Third-party risk-management representation vs. actual third-party access deficiency</w:t>
      </w:r>
    </w:p>
    <w:p>
      <w:pPr>
        <w:pStyle w:val="FirstParagraph"/>
      </w:pPr>
      <w:r>
        <w:rPr>
          <w:b/>
          <w:bCs/>
        </w:rPr>
        <w:t xml:space="preserve">Issue.</w:t>
      </w:r>
      <w:r>
        <w:t xml:space="preserve"> </w:t>
      </w:r>
      <w:r>
        <w:t xml:space="preserve">The 10-K describes the Company’s third-party risk management as comprising</w:t>
      </w:r>
      <w:r>
        <w:t xml:space="preserve"> </w:t>
      </w:r>
      <w:r>
        <w:t xml:space="preserve">“</w:t>
      </w:r>
      <w:r>
        <w:t xml:space="preserve">vendor due diligence, contractual protections, and ongoing monitoring,</w:t>
      </w:r>
      <w:r>
        <w:t xml:space="preserve">”</w:t>
      </w:r>
      <w:r>
        <w:t xml:space="preserve"> </w:t>
      </w:r>
      <w:r>
        <w:t xml:space="preserve">and the CIRP represents that</w:t>
      </w:r>
      <w:r>
        <w:t xml:space="preserve"> </w:t>
      </w:r>
      <w:r>
        <w:t xml:space="preserve">“</w:t>
      </w:r>
      <w:r>
        <w:t xml:space="preserve">[m]ulti-factor authentication (MFA) is required for all VPN connections</w:t>
      </w:r>
      <w:r>
        <w:t xml:space="preserve">”</w:t>
      </w:r>
      <w:r>
        <w:t xml:space="preserve"> </w:t>
      </w:r>
      <w:r>
        <w:t xml:space="preserve">and that</w:t>
      </w:r>
      <w:r>
        <w:t xml:space="preserve"> </w:t>
      </w:r>
      <w:r>
        <w:t xml:space="preserve">“</w:t>
      </w:r>
      <w:r>
        <w:t xml:space="preserve">VPN credentials are reviewed quarterly.</w:t>
      </w:r>
      <w:r>
        <w:t xml:space="preserve">”</w:t>
      </w:r>
      <w:r>
        <w:t xml:space="preserve"> </w:t>
      </w:r>
      <w:r>
        <w:t xml:space="preserve">The attack vector was a compromised third-party contractor VPN credential without MFA, with anomalous logins from an Eastern European IP beginning November 14 — four days of undetected reconnaissance. (10-K Item 1C; CIRP § 4.1(d); Thorngate Interim Report §§ 3.1, 7.2.)</w:t>
      </w:r>
    </w:p>
    <w:p>
      <w:pPr>
        <w:pStyle w:val="BodyText"/>
      </w:pPr>
      <w:r>
        <w:rPr>
          <w:b/>
          <w:bCs/>
        </w:rPr>
        <w:t xml:space="preserve">Why it matters.</w:t>
      </w:r>
      <w:r>
        <w:t xml:space="preserve"> </w:t>
      </w:r>
      <w:r>
        <w:t xml:space="preserve">The disclosed third-party access controls were not effectively implemented or monitored for the contractor population. This bears on the accuracy of the Item 1C disclosure and on the Company’s risk-factor disclosures.</w:t>
      </w:r>
    </w:p>
    <w:p>
      <w:pPr>
        <w:pStyle w:val="BodyText"/>
      </w:pPr>
      <w:r>
        <w:rPr>
          <w:b/>
          <w:bCs/>
        </w:rPr>
        <w:t xml:space="preserve">Recommendation.</w:t>
      </w:r>
      <w:r>
        <w:t xml:space="preserve"> </w:t>
      </w:r>
      <w:r>
        <w:t xml:space="preserve">Conduct the third-party access-management review Thorngate recommends (Interim Report § 7.2) and update the FY2024 Item 1C and risk-factor disclosures to accurately reflect the controls and the remediation.</w:t>
      </w:r>
    </w:p>
    <w:bookmarkEnd w:id="38"/>
    <w:bookmarkStart w:id="39" w:name="X14b4fb10df3bbd4790b945bb6c2eb3232354de5"/>
    <w:p>
      <w:pPr>
        <w:pStyle w:val="Heading3"/>
      </w:pPr>
      <w:r>
        <w:t xml:space="preserve">C.6 NIST CSF</w:t>
      </w:r>
      <w:r>
        <w:t xml:space="preserve"> </w:t>
      </w:r>
      <w:r>
        <w:t xml:space="preserve">“</w:t>
      </w:r>
      <w:r>
        <w:t xml:space="preserve">alignment</w:t>
      </w:r>
      <w:r>
        <w:t xml:space="preserve">”</w:t>
      </w:r>
      <w:r>
        <w:t xml:space="preserve"> </w:t>
      </w:r>
      <w:r>
        <w:t xml:space="preserve">claim vs. control deficiencies</w:t>
      </w:r>
    </w:p>
    <w:p>
      <w:pPr>
        <w:pStyle w:val="FirstParagraph"/>
      </w:pPr>
      <w:r>
        <w:rPr>
          <w:b/>
          <w:bCs/>
        </w:rPr>
        <w:t xml:space="preserve">Issue.</w:t>
      </w:r>
      <w:r>
        <w:t xml:space="preserve"> </w:t>
      </w:r>
      <w:r>
        <w:t xml:space="preserve">The 10-K states the Company</w:t>
      </w:r>
      <w:r>
        <w:t xml:space="preserve"> </w:t>
      </w:r>
      <w:r>
        <w:t xml:space="preserve">“</w:t>
      </w:r>
      <w:r>
        <w:t xml:space="preserve">periodically evaluates its cybersecurity program against industry frameworks, including the NIST Cybersecurity Framework (CSF).</w:t>
      </w:r>
      <w:r>
        <w:t xml:space="preserve">”</w:t>
      </w:r>
      <w:r>
        <w:t xml:space="preserve"> </w:t>
      </w:r>
      <w:r>
        <w:t xml:space="preserve">The MFA and encryption-at-rest failures, the untested CIRP, and the detection gap (four days of reconnaissance undetected) indicate material gaps against the CSF’s Protect and Detect functions. (10-K Item 1C; Thorngate Interim Report §§ 3.1, 4.4.)</w:t>
      </w:r>
    </w:p>
    <w:p>
      <w:pPr>
        <w:pStyle w:val="BodyText"/>
      </w:pPr>
      <w:r>
        <w:rPr>
          <w:b/>
          <w:bCs/>
        </w:rPr>
        <w:t xml:space="preserve">Why it matters.</w:t>
      </w:r>
      <w:r>
        <w:t xml:space="preserve"> </w:t>
      </w:r>
      <w:r>
        <w:t xml:space="preserve">Overstating framework alignment is a disclosure-accuracy risk. The FY2024 10-K should temper or qualify the alignment claim and describe the remediation underway.</w:t>
      </w:r>
    </w:p>
    <w:p>
      <w:pPr>
        <w:pStyle w:val="BodyText"/>
      </w:pPr>
      <w:r>
        <w:rPr>
          <w:b/>
          <w:bCs/>
        </w:rPr>
        <w:t xml:space="preserve">Recommendation.</w:t>
      </w:r>
      <w:r>
        <w:t xml:space="preserve"> </w:t>
      </w:r>
      <w:r>
        <w:t xml:space="preserve">Re-baseline the program against NIST CSF, document the gaps, and disclose accurately in the FY2024 10-K.</w:t>
      </w:r>
    </w:p>
    <w:p>
      <w:r>
        <w:pict>
          <v:rect style="width:0;height:1.5pt" o:hralign="center" o:hrstd="t" o:hr="t"/>
        </w:pict>
      </w:r>
    </w:p>
    <w:bookmarkEnd w:id="39"/>
    <w:bookmarkEnd w:id="40"/>
    <w:bookmarkStart w:id="46" w:name="X548256b5dc7e9638c7d2fbbe4ca685ed8cb6335"/>
    <w:p>
      <w:pPr>
        <w:pStyle w:val="Heading2"/>
      </w:pPr>
      <w:r>
        <w:t xml:space="preserve">VII. Gap Analysis — Disclosure Controls &amp; Procedures and ICFR</w:t>
      </w:r>
    </w:p>
    <w:bookmarkStart w:id="41" w:name="Xf447c76d029ddd000a750d3bff2d372333dc01e"/>
    <w:p>
      <w:pPr>
        <w:pStyle w:val="Heading3"/>
      </w:pPr>
      <w:r>
        <w:t xml:space="preserve">D.1 Disclosure-controls failure: incident not escalated to the disclosure function</w:t>
      </w:r>
    </w:p>
    <w:p>
      <w:pPr>
        <w:pStyle w:val="FirstParagraph"/>
      </w:pPr>
      <w:r>
        <w:rPr>
          <w:b/>
          <w:bCs/>
        </w:rPr>
        <w:t xml:space="preserve">Issue.</w:t>
      </w:r>
      <w:r>
        <w:t xml:space="preserve"> </w:t>
      </w:r>
      <w:r>
        <w:t xml:space="preserve">Exchange Act Rules 13a-15(a) and (b) require disclosure controls and procedures designed to ensure that material information is accumulated and communicated to management (including the principal executive and financial officers) to allow timely decisions regarding required disclosure. Here, the incident was detected November 18, but the General Counsel was not informed until November 20 (Day 2, and only upon her return from travel), the CEO until November 25 (Day 7), and the Audit Committee Chair until December 3 (Day 15). The CFO is not identified anywhere in the incident record as having been informed. No disclosure-committee or 8-K-evaluation process was triggered. (Incident Status Report §§ 2, 5; GC-to-Audit-Chair Email.)</w:t>
      </w:r>
    </w:p>
    <w:p>
      <w:pPr>
        <w:pStyle w:val="BodyText"/>
      </w:pPr>
      <w:r>
        <w:rPr>
          <w:b/>
          <w:bCs/>
        </w:rPr>
        <w:t xml:space="preserve">Why it matters.</w:t>
      </w:r>
      <w:r>
        <w:t xml:space="preserve"> </w:t>
      </w:r>
      <w:r>
        <w:t xml:space="preserve">This is a disclosure-controls-and-procedures deficiency. The CEO and CFO must certify (Sections 302 and 906) the effectiveness of disclosure controls in the FY2024 10-K; they must evaluate and disclose any material weakness or significant deficiency in disclosure controls revealed by this incident. The failure to route a material event to the disclosure decision-makers is precisely the failure the rules are designed to prevent.</w:t>
      </w:r>
    </w:p>
    <w:p>
      <w:pPr>
        <w:pStyle w:val="BodyText"/>
      </w:pPr>
      <w:r>
        <w:rPr>
          <w:b/>
          <w:bCs/>
        </w:rPr>
        <w:t xml:space="preserve">Recommendation.</w:t>
      </w:r>
      <w:r>
        <w:t xml:space="preserve"> </w:t>
      </w:r>
      <w:r>
        <w:t xml:space="preserve">(i) Convene the disclosure committee immediately. (ii) Evaluate and document whether the incident revealed a disclosure-controls deficiency (likely yes) and its severity. (iii) Reflect this evaluation in the FY2024 10-K Item 9A and the CEO/CFO certifications. (iv) Remediate by hard-wiring Tier 2/Tier 3 incidents into the disclosure-committee process (see Section VIII).</w:t>
      </w:r>
    </w:p>
    <w:bookmarkEnd w:id="41"/>
    <w:bookmarkStart w:id="42" w:name="d.2-cfo-involvement-not-evident"/>
    <w:p>
      <w:pPr>
        <w:pStyle w:val="Heading3"/>
      </w:pPr>
      <w:r>
        <w:t xml:space="preserve">D.2 CFO involvement not evident</w:t>
      </w:r>
    </w:p>
    <w:p>
      <w:pPr>
        <w:pStyle w:val="FirstParagraph"/>
      </w:pPr>
      <w:r>
        <w:rPr>
          <w:b/>
          <w:bCs/>
        </w:rPr>
        <w:t xml:space="preserve">Issue.</w:t>
      </w:r>
      <w:r>
        <w:t xml:space="preserve"> </w:t>
      </w:r>
      <w:r>
        <w:t xml:space="preserve">The Incident Status Report distribution and timeline do not identify the Chief Financial Officer as informed or involved, despite the CFO’s role as a co-certifying officer and as a</w:t>
      </w:r>
      <w:r>
        <w:t xml:space="preserve"> </w:t>
      </w:r>
      <w:r>
        <w:t xml:space="preserve">“</w:t>
      </w:r>
      <w:r>
        <w:t xml:space="preserve">qualifying officer</w:t>
      </w:r>
      <w:r>
        <w:t xml:space="preserve">”</w:t>
      </w:r>
      <w:r>
        <w:t xml:space="preserve"> </w:t>
      </w:r>
      <w:r>
        <w:t xml:space="preserve">for insurance</w:t>
      </w:r>
      <w:r>
        <w:t xml:space="preserve"> </w:t>
      </w:r>
      <w:r>
        <w:t xml:space="preserve">“</w:t>
      </w:r>
      <w:r>
        <w:t xml:space="preserve">Discovery</w:t>
      </w:r>
      <w:r>
        <w:t xml:space="preserve">”</w:t>
      </w:r>
      <w:r>
        <w:t xml:space="preserve"> </w:t>
      </w:r>
      <w:r>
        <w:t xml:space="preserve">purposes. (Incident Status Report cover page, § 2; Ridgeline Policy Summary § 2 (</w:t>
      </w:r>
      <w:r>
        <w:t xml:space="preserve">“</w:t>
      </w:r>
      <w:r>
        <w:t xml:space="preserve">Discovery</w:t>
      </w:r>
      <w:r>
        <w:t xml:space="preserve">”</w:t>
      </w:r>
      <w:r>
        <w:t xml:space="preserve">).)</w:t>
      </w:r>
    </w:p>
    <w:p>
      <w:pPr>
        <w:pStyle w:val="BodyText"/>
      </w:pPr>
      <w:r>
        <w:rPr>
          <w:b/>
          <w:bCs/>
        </w:rPr>
        <w:t xml:space="preserve">Why it matters.</w:t>
      </w:r>
      <w:r>
        <w:t xml:space="preserve"> </w:t>
      </w:r>
      <w:r>
        <w:t xml:space="preserve">The CFO is a principal disclosure officer and co-certifies disclosure controls and ICFR. The CFO is also a named officer whose awareness triggers insurance</w:t>
      </w:r>
      <w:r>
        <w:t xml:space="preserve"> </w:t>
      </w:r>
      <w:r>
        <w:t xml:space="preserve">“</w:t>
      </w:r>
      <w:r>
        <w:t xml:space="preserve">Discovery.</w:t>
      </w:r>
      <w:r>
        <w:t xml:space="preserve">”</w:t>
      </w:r>
      <w:r>
        <w:t xml:space="preserve"> </w:t>
      </w:r>
      <w:r>
        <w:t xml:space="preserve">The apparent absence of CFO involvement is both a disclosure-controls gap and a potential insurance-notice timing issue (though the CISO’s earlier awareness already triggered Discovery).</w:t>
      </w:r>
    </w:p>
    <w:p>
      <w:pPr>
        <w:pStyle w:val="BodyText"/>
      </w:pPr>
      <w:r>
        <w:rPr>
          <w:b/>
          <w:bCs/>
        </w:rPr>
        <w:t xml:space="preserve">Recommendation.</w:t>
      </w:r>
      <w:r>
        <w:t xml:space="preserve"> </w:t>
      </w:r>
      <w:r>
        <w:t xml:space="preserve">Immediately brief the CFO; involve the CFO in the materiality determination, financial-impact assessment, ICFR evaluation, and insurance coordination. Document the CFO’s involvement.</w:t>
      </w:r>
    </w:p>
    <w:bookmarkEnd w:id="42"/>
    <w:bookmarkStart w:id="43" w:name="Xb666cc5ae7e05922935a38408e2d079f3ae5bc2"/>
    <w:p>
      <w:pPr>
        <w:pStyle w:val="Heading3"/>
      </w:pPr>
      <w:r>
        <w:t xml:space="preserve">D.3 ICFR impact from ERP finance-module disruption</w:t>
      </w:r>
    </w:p>
    <w:p>
      <w:pPr>
        <w:pStyle w:val="FirstParagraph"/>
      </w:pPr>
      <w:r>
        <w:rPr>
          <w:b/>
          <w:bCs/>
        </w:rPr>
        <w:t xml:space="preserve">Issue.</w:t>
      </w:r>
      <w:r>
        <w:t xml:space="preserve"> </w:t>
      </w:r>
      <w:r>
        <w:t xml:space="preserve">The ransomware encrypted the ERP finance module (accounts payable, accounts receivable, general ledger, financial reporting), requiring manual workarounds since November 18. Thorngate reports the ERP modules are</w:t>
      </w:r>
      <w:r>
        <w:t xml:space="preserve"> </w:t>
      </w:r>
      <w:r>
        <w:t xml:space="preserve">“</w:t>
      </w:r>
      <w:r>
        <w:t xml:space="preserve">partially operational,</w:t>
      </w:r>
      <w:r>
        <w:t xml:space="preserve">”</w:t>
      </w:r>
      <w:r>
        <w:t xml:space="preserve"> </w:t>
      </w:r>
      <w:r>
        <w:t xml:space="preserve">with</w:t>
      </w:r>
      <w:r>
        <w:t xml:space="preserve"> </w:t>
      </w:r>
      <w:r>
        <w:t xml:space="preserve">“</w:t>
      </w:r>
      <w:r>
        <w:t xml:space="preserve">data integrity validation … ongoing</w:t>
      </w:r>
      <w:r>
        <w:t xml:space="preserve">”</w:t>
      </w:r>
      <w:r>
        <w:t xml:space="preserve"> </w:t>
      </w:r>
      <w:r>
        <w:t xml:space="preserve">and</w:t>
      </w:r>
      <w:r>
        <w:t xml:space="preserve"> </w:t>
      </w:r>
      <w:r>
        <w:t xml:space="preserve">“</w:t>
      </w:r>
      <w:r>
        <w:t xml:space="preserve">certain ERP functions may produce results that require manual verification.</w:t>
      </w:r>
      <w:r>
        <w:t xml:space="preserve">”</w:t>
      </w:r>
      <w:r>
        <w:t xml:space="preserve"> </w:t>
      </w:r>
      <w:r>
        <w:t xml:space="preserve">(Incident Status Report § 3; Thorngate Interim Report § 6.4.)</w:t>
      </w:r>
    </w:p>
    <w:p>
      <w:pPr>
        <w:pStyle w:val="BodyText"/>
      </w:pPr>
      <w:r>
        <w:rPr>
          <w:b/>
          <w:bCs/>
        </w:rPr>
        <w:t xml:space="preserve">Why it matters.</w:t>
      </w:r>
      <w:r>
        <w:t xml:space="preserve"> </w:t>
      </w:r>
      <w:r>
        <w:t xml:space="preserve">Disruption of the general ledger and financial-reporting system, with manual workarounds and unvalidated data integrity, directly implicates ICFR. A control deficiency — potentially a material weakness — must be evaluated for the FY2024 10-K Item 9A and the Section 404 attestation. The Audit Committee Charter (Section V.A.6) charges the Committee with reviewing the adequacy and effectiveness of disclosure controls and ICFR, including significant deficiencies and material weaknesses.</w:t>
      </w:r>
    </w:p>
    <w:p>
      <w:pPr>
        <w:pStyle w:val="BodyText"/>
      </w:pPr>
      <w:r>
        <w:rPr>
          <w:b/>
          <w:bCs/>
        </w:rPr>
        <w:t xml:space="preserve">Recommendation.</w:t>
      </w:r>
      <w:r>
        <w:t xml:space="preserve"> </w:t>
      </w:r>
      <w:r>
        <w:t xml:space="preserve">(i) Assess ICFR impact with management and the independent auditor; determine whether a deficiency, significant deficiency, or material weakness exists. (ii) Document the assessment and remediation. (iii) Reflect conclusions in the FY2024 10-K Item 9A. (iv) Engage the Audit Committee on this assessment.</w:t>
      </w:r>
    </w:p>
    <w:bookmarkEnd w:id="43"/>
    <w:bookmarkStart w:id="44" w:name="d.4-independent-auditor-not-notified"/>
    <w:p>
      <w:pPr>
        <w:pStyle w:val="Heading3"/>
      </w:pPr>
      <w:r>
        <w:t xml:space="preserve">D.4 Independent auditor not notified</w:t>
      </w:r>
    </w:p>
    <w:p>
      <w:pPr>
        <w:pStyle w:val="FirstParagraph"/>
      </w:pPr>
      <w:r>
        <w:rPr>
          <w:b/>
          <w:bCs/>
        </w:rPr>
        <w:t xml:space="preserve">Issue.</w:t>
      </w:r>
      <w:r>
        <w:t xml:space="preserve"> </w:t>
      </w:r>
      <w:r>
        <w:t xml:space="preserve">Greystone &amp; Associates LLP, the independent auditor,</w:t>
      </w:r>
      <w:r>
        <w:t xml:space="preserve"> </w:t>
      </w:r>
      <w:r>
        <w:t xml:space="preserve">“</w:t>
      </w:r>
      <w:r>
        <w:t xml:space="preserve">has not been notified of the incident. The FY2024 audit cycle has not yet commenced.</w:t>
      </w:r>
      <w:r>
        <w:t xml:space="preserve">”</w:t>
      </w:r>
      <w:r>
        <w:t xml:space="preserve"> </w:t>
      </w:r>
      <w:r>
        <w:t xml:space="preserve">(Incident Status Report § 5.8.) The CIRP Appendix C lists Greystone as a contact for matters affecting the financial audit, ICFR, or financial reporting, but the contact was not made.</w:t>
      </w:r>
    </w:p>
    <w:p>
      <w:pPr>
        <w:pStyle w:val="BodyText"/>
      </w:pPr>
      <w:r>
        <w:rPr>
          <w:b/>
          <w:bCs/>
        </w:rPr>
        <w:t xml:space="preserve">Why it matters.</w:t>
      </w:r>
      <w:r>
        <w:t xml:space="preserve"> </w:t>
      </w:r>
      <w:r>
        <w:t xml:space="preserve">The auditor must consider subsequent events and ICFR; the ERP disruption and incident costs are relevant to the FY2024 audit and the Section 404 attestation. Early notification enables proper audit planning.</w:t>
      </w:r>
    </w:p>
    <w:p>
      <w:pPr>
        <w:pStyle w:val="BodyText"/>
      </w:pPr>
      <w:r>
        <w:rPr>
          <w:b/>
          <w:bCs/>
        </w:rPr>
        <w:t xml:space="preserve">Recommendation.</w:t>
      </w:r>
      <w:r>
        <w:t xml:space="preserve"> </w:t>
      </w:r>
      <w:r>
        <w:t xml:space="preserve">Notify Greystone promptly under appropriate privilege protections; involve the auditor in the ICFR assessment; provide information needed for subsequent-event analysis.</w:t>
      </w:r>
    </w:p>
    <w:bookmarkEnd w:id="44"/>
    <w:bookmarkStart w:id="45" w:name="Xe2eda7ce24fe16dbbed5321db851f460ff7b701"/>
    <w:p>
      <w:pPr>
        <w:pStyle w:val="Heading3"/>
      </w:pPr>
      <w:r>
        <w:t xml:space="preserve">D.5 Section 302/906 certification implications</w:t>
      </w:r>
    </w:p>
    <w:p>
      <w:pPr>
        <w:pStyle w:val="FirstParagraph"/>
      </w:pPr>
      <w:r>
        <w:rPr>
          <w:b/>
          <w:bCs/>
        </w:rPr>
        <w:t xml:space="preserve">Issue.</w:t>
      </w:r>
      <w:r>
        <w:t xml:space="preserve"> </w:t>
      </w:r>
      <w:r>
        <w:t xml:space="preserve">The FY2024 10-K will require CEO and CFO certifications of disclosure controls (Section 302) and the accuracy of the report (Section 906).</w:t>
      </w:r>
    </w:p>
    <w:p>
      <w:pPr>
        <w:pStyle w:val="BodyText"/>
      </w:pPr>
      <w:r>
        <w:rPr>
          <w:b/>
          <w:bCs/>
        </w:rPr>
        <w:t xml:space="preserve">Why it matters.</w:t>
      </w:r>
      <w:r>
        <w:t xml:space="preserve"> </w:t>
      </w:r>
      <w:r>
        <w:t xml:space="preserve">The certifying officers must have a basis for their certifications. The disclosure-controls failure (D.1) and ICFR impact (D.3) must be evaluated and disclosed; certifying without doing so creates personal liability exposure for the CEO and CFO.</w:t>
      </w:r>
    </w:p>
    <w:p>
      <w:pPr>
        <w:pStyle w:val="BodyText"/>
      </w:pPr>
      <w:r>
        <w:rPr>
          <w:b/>
          <w:bCs/>
        </w:rPr>
        <w:t xml:space="preserve">Recommendation.</w:t>
      </w:r>
      <w:r>
        <w:t xml:space="preserve"> </w:t>
      </w:r>
      <w:r>
        <w:t xml:space="preserve">Ensure the CEO and CFO are fully briefed, lead the disclosure-controls and ICFR evaluations, and are supported by counsel and the auditor in preparing certifications.</w:t>
      </w:r>
    </w:p>
    <w:p>
      <w:r>
        <w:pict>
          <v:rect style="width:0;height:1.5pt" o:hralign="center" o:hrstd="t" o:hr="t"/>
        </w:pict>
      </w:r>
    </w:p>
    <w:bookmarkEnd w:id="45"/>
    <w:bookmarkEnd w:id="46"/>
    <w:bookmarkStart w:id="52" w:name="X05dcdcad077bf058d29be79da0ecae0b8b54a6b"/>
    <w:p>
      <w:pPr>
        <w:pStyle w:val="Heading2"/>
      </w:pPr>
      <w:r>
        <w:t xml:space="preserve">VIII. Gap Analysis — Board and Audit Committee Governance</w:t>
      </w:r>
    </w:p>
    <w:bookmarkStart w:id="47" w:name="X9891780ebe738366176b237ad1479b6313d67f2"/>
    <w:p>
      <w:pPr>
        <w:pStyle w:val="Heading3"/>
      </w:pPr>
      <w:r>
        <w:t xml:space="preserve">E.1 Audit Committee Charter does not address cybersecurity oversight</w:t>
      </w:r>
    </w:p>
    <w:p>
      <w:pPr>
        <w:pStyle w:val="FirstParagraph"/>
      </w:pPr>
      <w:r>
        <w:rPr>
          <w:b/>
          <w:bCs/>
        </w:rPr>
        <w:t xml:space="preserve">Issue.</w:t>
      </w:r>
      <w:r>
        <w:t xml:space="preserve"> </w:t>
      </w:r>
      <w:r>
        <w:t xml:space="preserve">The Audit Committee Charter (last amended March 15, 2021) predates the SEC cybersecurity rules and contains</w:t>
      </w:r>
      <w:r>
        <w:t xml:space="preserve"> </w:t>
      </w:r>
      <w:r>
        <w:rPr>
          <w:b/>
          <w:bCs/>
        </w:rPr>
        <w:t xml:space="preserve">no provision addressing cybersecurity risk oversight, cybersecurity-incident escalation, or materiality-determination oversight.</w:t>
      </w:r>
      <w:r>
        <w:t xml:space="preserve"> </w:t>
      </w:r>
      <w:r>
        <w:t xml:space="preserve">The Charter’s compliance and risk-management section (V.D) is directed at financial risk, financial reporting, and securities-law compliance, not cybersecurity. Yet the 10-K represents that the Board,</w:t>
      </w:r>
      <w:r>
        <w:t xml:space="preserve"> </w:t>
      </w:r>
      <w:r>
        <w:t xml:space="preserve">“</w:t>
      </w:r>
      <w:r>
        <w:t xml:space="preserve">acting primarily through its Audit Committee, oversees the Company’s cybersecurity risk management program.</w:t>
      </w:r>
      <w:r>
        <w:t xml:space="preserve">”</w:t>
      </w:r>
      <w:r>
        <w:t xml:space="preserve"> </w:t>
      </w:r>
      <w:r>
        <w:t xml:space="preserve">(Audit Committee Charter; 10-K Item 1C.)</w:t>
      </w:r>
    </w:p>
    <w:p>
      <w:pPr>
        <w:pStyle w:val="BodyText"/>
      </w:pPr>
      <w:r>
        <w:rPr>
          <w:b/>
          <w:bCs/>
        </w:rPr>
        <w:t xml:space="preserve">Why it matters.</w:t>
      </w:r>
      <w:r>
        <w:t xml:space="preserve"> </w:t>
      </w:r>
      <w:r>
        <w:t xml:space="preserve">There is a gap between the disclosed governance structure (Audit Committee oversees cybersecurity) and the Charter that defines the Committee’s responsibilities. Item 106(c) requires disclosure of the board’s oversight of cybersecurity risks; the Charter should expressly reflect that oversight, including incident escalation and materiality-determination oversight, to align disclosure with governance reality.</w:t>
      </w:r>
    </w:p>
    <w:p>
      <w:pPr>
        <w:pStyle w:val="BodyText"/>
      </w:pPr>
      <w:r>
        <w:rPr>
          <w:b/>
          <w:bCs/>
        </w:rPr>
        <w:t xml:space="preserve">Recommendation.</w:t>
      </w:r>
      <w:r>
        <w:t xml:space="preserve"> </w:t>
      </w:r>
      <w:r>
        <w:t xml:space="preserve">Amend the Audit Committee Charter to expressly assign: (i) oversight of the cybersecurity risk-management program; (ii) oversight of the cybersecurity-incident materiality-determination and disclosure process; (iii) receipt of timely escalation of material cybersecurity incidents (with defined triggers and timeframes); and (iv) coordination with the disclosure committee. Reflect the amended Charter in the FY2024 10-K governance disclosures.</w:t>
      </w:r>
    </w:p>
    <w:bookmarkEnd w:id="47"/>
    <w:bookmarkStart w:id="48" w:name="Xa1922064646951ac98ff2a1a0c62d95abdb8be0"/>
    <w:p>
      <w:pPr>
        <w:pStyle w:val="Heading3"/>
      </w:pPr>
      <w:r>
        <w:t xml:space="preserve">E.2 Delayed and informal Board/Audit Committee notification</w:t>
      </w:r>
    </w:p>
    <w:p>
      <w:pPr>
        <w:pStyle w:val="FirstParagraph"/>
      </w:pPr>
      <w:r>
        <w:rPr>
          <w:b/>
          <w:bCs/>
        </w:rPr>
        <w:t xml:space="preserve">Issue.</w:t>
      </w:r>
      <w:r>
        <w:t xml:space="preserve"> </w:t>
      </w:r>
      <w:r>
        <w:t xml:space="preserve">The first Board-level communication was an email from the General Counsel to the Audit Committee Chair on December 3, 2024 (Day 15). No special meeting was called. (Incident Status Report § 5.5; GC-to-Audit-Chair Email.)</w:t>
      </w:r>
    </w:p>
    <w:p>
      <w:pPr>
        <w:pStyle w:val="BodyText"/>
      </w:pPr>
      <w:r>
        <w:rPr>
          <w:b/>
          <w:bCs/>
        </w:rPr>
        <w:t xml:space="preserve">Why it matters.</w:t>
      </w:r>
      <w:r>
        <w:t xml:space="preserve"> </w:t>
      </w:r>
      <w:r>
        <w:t xml:space="preserve">For a Tier 3 ransomware event with confirmed exfiltration of customer banking data, Day-15, email-only notice to only the Committee Chair is inconsistent with the 10-K’s</w:t>
      </w:r>
      <w:r>
        <w:t xml:space="preserve"> </w:t>
      </w:r>
      <w:r>
        <w:t xml:space="preserve">“</w:t>
      </w:r>
      <w:r>
        <w:t xml:space="preserve">timely manner</w:t>
      </w:r>
      <w:r>
        <w:t xml:space="preserve">”</w:t>
      </w:r>
      <w:r>
        <w:t xml:space="preserve"> </w:t>
      </w:r>
      <w:r>
        <w:t xml:space="preserve">representation and with sound governance. The Audit Committee’s ability to oversee the materiality determination and disclosure process was effectively bypassed during the critical first two weeks.</w:t>
      </w:r>
    </w:p>
    <w:p>
      <w:pPr>
        <w:pStyle w:val="BodyText"/>
      </w:pPr>
      <w:r>
        <w:rPr>
          <w:b/>
          <w:bCs/>
        </w:rPr>
        <w:t xml:space="preserve">Recommendation.</w:t>
      </w:r>
      <w:r>
        <w:t xml:space="preserve"> </w:t>
      </w:r>
      <w:r>
        <w:t xml:space="preserve">Convene a special Audit Committee meeting promptly (do not wait until January 22, 2025). Provide the full incident briefing, the materiality-determination status, the disclosure plan, and the remediation status. Establish a cadence of updates until the matter is resolved.</w:t>
      </w:r>
    </w:p>
    <w:bookmarkEnd w:id="48"/>
    <w:bookmarkStart w:id="49" w:name="X71a7d5adaf21a437b7987f3e131a4d78dc85055"/>
    <w:p>
      <w:pPr>
        <w:pStyle w:val="Heading3"/>
      </w:pPr>
      <w:r>
        <w:t xml:space="preserve">E.3 CIRP escalation matrix stops at the CTO; no Board/CEO/GC trigger</w:t>
      </w:r>
    </w:p>
    <w:p>
      <w:pPr>
        <w:pStyle w:val="FirstParagraph"/>
      </w:pPr>
      <w:r>
        <w:rPr>
          <w:b/>
          <w:bCs/>
        </w:rPr>
        <w:t xml:space="preserve">Issue.</w:t>
      </w:r>
      <w:r>
        <w:t xml:space="preserve"> </w:t>
      </w:r>
      <w:r>
        <w:t xml:space="preserve">The CIRP escalation matrix (Section 10.1) provides only: Tier 2/3 → CISO → CTO (Lauren Hessler), with the CTO’s further escalation</w:t>
      </w:r>
      <w:r>
        <w:t xml:space="preserve"> </w:t>
      </w:r>
      <w:r>
        <w:t xml:space="preserve">“</w:t>
      </w:r>
      <w:r>
        <w:t xml:space="preserve">at her sole discretion</w:t>
      </w:r>
      <w:r>
        <w:t xml:space="preserve">”</w:t>
      </w:r>
      <w:r>
        <w:t xml:space="preserve"> </w:t>
      </w:r>
      <w:r>
        <w:t xml:space="preserve">and the Plan prescribing</w:t>
      </w:r>
      <w:r>
        <w:t xml:space="preserve"> </w:t>
      </w:r>
      <w:r>
        <w:t xml:space="preserve">“</w:t>
      </w:r>
      <w:r>
        <w:t xml:space="preserve">no specific triggers, recipients, or timelines for escalation beyond the CTO.</w:t>
      </w:r>
      <w:r>
        <w:t xml:space="preserve">”</w:t>
      </w:r>
      <w:r>
        <w:t xml:space="preserve"> </w:t>
      </w:r>
      <w:r>
        <w:t xml:space="preserve">The General Counsel is listed only in Appendix B as an</w:t>
      </w:r>
      <w:r>
        <w:t xml:space="preserve"> </w:t>
      </w:r>
      <w:r>
        <w:rPr>
          <w:b/>
          <w:bCs/>
        </w:rPr>
        <w:t xml:space="preserve">“</w:t>
      </w:r>
      <w:r>
        <w:rPr>
          <w:b/>
          <w:bCs/>
        </w:rPr>
        <w:t xml:space="preserve">optional</w:t>
      </w:r>
      <w:r>
        <w:rPr>
          <w:b/>
          <w:bCs/>
        </w:rPr>
        <w:t xml:space="preserve">”</w:t>
      </w:r>
      <w:r>
        <w:t xml:space="preserve"> </w:t>
      </w:r>
      <w:r>
        <w:t xml:space="preserve">contact, to be informed</w:t>
      </w:r>
      <w:r>
        <w:t xml:space="preserve"> </w:t>
      </w:r>
      <w:r>
        <w:t xml:space="preserve">“</w:t>
      </w:r>
      <w:r>
        <w:t xml:space="preserve">at the discretion of the Incident Commander when the incident may involve legal liability or regulatory implications.</w:t>
      </w:r>
      <w:r>
        <w:t xml:space="preserve">”</w:t>
      </w:r>
      <w:r>
        <w:t xml:space="preserve"> </w:t>
      </w:r>
      <w:r>
        <w:t xml:space="preserve">(CIRP §§ 9.3, 10, Appendix B.)</w:t>
      </w:r>
    </w:p>
    <w:p>
      <w:pPr>
        <w:pStyle w:val="BodyText"/>
      </w:pPr>
      <w:r>
        <w:rPr>
          <w:b/>
          <w:bCs/>
        </w:rPr>
        <w:t xml:space="preserve">Why it matters.</w:t>
      </w:r>
      <w:r>
        <w:t xml:space="preserve"> </w:t>
      </w:r>
      <w:r>
        <w:t xml:space="preserve">This structure is the root cause of the delayed GC, CEO, and Board notifications. For a Tier 3 incident with data exfiltration, legal/regulatory/disclosure counsel should be a</w:t>
      </w:r>
      <w:r>
        <w:t xml:space="preserve"> </w:t>
      </w:r>
      <w:r>
        <w:rPr>
          <w:b/>
          <w:bCs/>
        </w:rPr>
        <w:t xml:space="preserve">mandatory</w:t>
      </w:r>
      <w:r>
        <w:t xml:space="preserve">, immediate escalation — not optional. The CIRP also expressly excludes external and regulatory communications (including SEC disclosure) from its scope (Section 9.3), leaving no internal process to drive the Company’s SEC disclosure obligations.</w:t>
      </w:r>
    </w:p>
    <w:p>
      <w:pPr>
        <w:pStyle w:val="BodyText"/>
      </w:pPr>
      <w:r>
        <w:rPr>
          <w:b/>
          <w:bCs/>
        </w:rPr>
        <w:t xml:space="preserve">Recommendation.</w:t>
      </w:r>
      <w:r>
        <w:t xml:space="preserve"> </w:t>
      </w:r>
      <w:r>
        <w:t xml:space="preserve">Revise the CIRP to: (i) make General Counsel notification mandatory and immediate for all Tier 2/Tier 3 incidents; (ii) add mandatory CEO and Audit Committee/Board notification triggers with timeframes for Tier 3 incidents; (iii) add a disclosure-protocol section that activates the disclosure committee and the 8-K evaluation process; (iv) remove or narrow the Section 9.3 exclusion of external/regulatory communications so that the CIRP interfaces with the disclosure and breach-notification processes.</w:t>
      </w:r>
    </w:p>
    <w:bookmarkEnd w:id="49"/>
    <w:bookmarkStart w:id="50" w:name="Xe43fb741c4e264479acf43635b8140a4c499b76"/>
    <w:p>
      <w:pPr>
        <w:pStyle w:val="Heading3"/>
      </w:pPr>
      <w:r>
        <w:t xml:space="preserve">E.4 CIRP’s own CTO-notification timeframe was violated</w:t>
      </w:r>
    </w:p>
    <w:p>
      <w:pPr>
        <w:pStyle w:val="FirstParagraph"/>
      </w:pPr>
      <w:r>
        <w:rPr>
          <w:b/>
          <w:bCs/>
        </w:rPr>
        <w:t xml:space="preserve">Issue.</w:t>
      </w:r>
      <w:r>
        <w:t xml:space="preserve"> </w:t>
      </w:r>
      <w:r>
        <w:t xml:space="preserve">The CIRP requires that for Tier 3 incidents the CTO be notified</w:t>
      </w:r>
      <w:r>
        <w:t xml:space="preserve"> </w:t>
      </w:r>
      <w:r>
        <w:t xml:space="preserve">“</w:t>
      </w:r>
      <w:r>
        <w:t xml:space="preserve">within 2 hours of IRT activation.</w:t>
      </w:r>
      <w:r>
        <w:t xml:space="preserve">”</w:t>
      </w:r>
      <w:r>
        <w:t xml:space="preserve"> </w:t>
      </w:r>
      <w:r>
        <w:t xml:space="preserve">IRT activation was 5:00 a.m. on November 18; the CTO was verbally informed at 11:00 a.m. — approximately six hours later, exceeding the CIRP requirement by four hours. (CIRP § 10.1; Incident Status Report § 2.)</w:t>
      </w:r>
    </w:p>
    <w:p>
      <w:pPr>
        <w:pStyle w:val="BodyText"/>
      </w:pPr>
      <w:r>
        <w:rPr>
          <w:b/>
          <w:bCs/>
        </w:rPr>
        <w:t xml:space="preserve">Why it matters.</w:t>
      </w:r>
      <w:r>
        <w:t xml:space="preserve"> </w:t>
      </w:r>
      <w:r>
        <w:t xml:space="preserve">Even the limited escalation the CIRP mandates was not met, evidencing both a plan-execution failure and the consequences of an untested plan.</w:t>
      </w:r>
    </w:p>
    <w:p>
      <w:pPr>
        <w:pStyle w:val="BodyText"/>
      </w:pPr>
      <w:r>
        <w:rPr>
          <w:b/>
          <w:bCs/>
        </w:rPr>
        <w:t xml:space="preserve">Recommendation.</w:t>
      </w:r>
      <w:r>
        <w:t xml:space="preserve"> </w:t>
      </w:r>
      <w:r>
        <w:t xml:space="preserve">Investigate the cause of the delay; reinforce escalation timeframes in CIRP training and tabletop exercises; consider automated alerting to the CTO and GC upon Tier 3 classification.</w:t>
      </w:r>
    </w:p>
    <w:bookmarkEnd w:id="50"/>
    <w:bookmarkStart w:id="51" w:name="Xa1325377d855935b420408f15bd182f6372db78"/>
    <w:p>
      <w:pPr>
        <w:pStyle w:val="Heading3"/>
      </w:pPr>
      <w:r>
        <w:t xml:space="preserve">E.5 Quarterly-only Audit Committee updates inadequate for a material incident</w:t>
      </w:r>
    </w:p>
    <w:p>
      <w:pPr>
        <w:pStyle w:val="FirstParagraph"/>
      </w:pPr>
      <w:r>
        <w:rPr>
          <w:b/>
          <w:bCs/>
        </w:rPr>
        <w:t xml:space="preserve">Issue.</w:t>
      </w:r>
      <w:r>
        <w:t xml:space="preserve"> </w:t>
      </w:r>
      <w:r>
        <w:t xml:space="preserve">The 10-K states the Audit Committee</w:t>
      </w:r>
      <w:r>
        <w:t xml:space="preserve"> </w:t>
      </w:r>
      <w:r>
        <w:t xml:space="preserve">“</w:t>
      </w:r>
      <w:r>
        <w:t xml:space="preserve">receives quarterly updates on the Company’s cybersecurity posture,</w:t>
      </w:r>
      <w:r>
        <w:t xml:space="preserve">”</w:t>
      </w:r>
      <w:r>
        <w:t xml:space="preserve"> </w:t>
      </w:r>
      <w:r>
        <w:t xml:space="preserve">and the CTO</w:t>
      </w:r>
      <w:r>
        <w:t xml:space="preserve"> </w:t>
      </w:r>
      <w:r>
        <w:t xml:space="preserve">“</w:t>
      </w:r>
      <w:r>
        <w:t xml:space="preserve">incorporates cybersecurity matters into the technology updates provided to the Audit Committee as part of the CTO’s quarterly reporting.</w:t>
      </w:r>
      <w:r>
        <w:t xml:space="preserve">”</w:t>
      </w:r>
      <w:r>
        <w:t xml:space="preserve"> </w:t>
      </w:r>
      <w:r>
        <w:t xml:space="preserve">The next scheduled meeting is January 22, 2025. (10-K Item 1C; Incident Status Report § 5.5.)</w:t>
      </w:r>
    </w:p>
    <w:p>
      <w:pPr>
        <w:pStyle w:val="BodyText"/>
      </w:pPr>
      <w:r>
        <w:rPr>
          <w:b/>
          <w:bCs/>
        </w:rPr>
        <w:t xml:space="preserve">Why it matters.</w:t>
      </w:r>
      <w:r>
        <w:t xml:space="preserve"> </w:t>
      </w:r>
      <w:r>
        <w:t xml:space="preserve">A quarterly cadence is appropriate for routine posture reporting but not for a material incident. The governance design lacks an out-of-cycle escalation mechanism, which the incident exposed.</w:t>
      </w:r>
    </w:p>
    <w:p>
      <w:pPr>
        <w:pStyle w:val="BodyText"/>
      </w:pPr>
      <w:r>
        <w:rPr>
          <w:b/>
          <w:bCs/>
        </w:rPr>
        <w:t xml:space="preserve">Recommendation.</w:t>
      </w:r>
      <w:r>
        <w:t xml:space="preserve"> </w:t>
      </w:r>
      <w:r>
        <w:t xml:space="preserve">Establish an out-of-cycle incident-reporting protocol to the Audit Committee for material cybersecurity events, independent of the quarterly cadence.</w:t>
      </w:r>
    </w:p>
    <w:p>
      <w:r>
        <w:pict>
          <v:rect style="width:0;height:1.5pt" o:hralign="center" o:hrstd="t" o:hr="t"/>
        </w:pict>
      </w:r>
    </w:p>
    <w:bookmarkEnd w:id="51"/>
    <w:bookmarkEnd w:id="52"/>
    <w:bookmarkStart w:id="59" w:name="X77bf48c86b46dccca7dbef5ffd435e2fbd9977b"/>
    <w:p>
      <w:pPr>
        <w:pStyle w:val="Heading2"/>
      </w:pPr>
      <w:r>
        <w:t xml:space="preserve">IX. Gap Analysis — CIRP Deficiencies Bearing on Item 106 Disclosures</w:t>
      </w:r>
    </w:p>
    <w:bookmarkStart w:id="53" w:name="Xe89669c6364c03c72e3a3d5894a95df6e938a31"/>
    <w:p>
      <w:pPr>
        <w:pStyle w:val="Heading3"/>
      </w:pPr>
      <w:r>
        <w:t xml:space="preserve">F.1 No external, regulatory, or SEC-disclosure process in the CIRP</w:t>
      </w:r>
    </w:p>
    <w:p>
      <w:pPr>
        <w:pStyle w:val="FirstParagraph"/>
      </w:pPr>
      <w:r>
        <w:rPr>
          <w:b/>
          <w:bCs/>
        </w:rPr>
        <w:t xml:space="preserve">Issue.</w:t>
      </w:r>
      <w:r>
        <w:t xml:space="preserve"> </w:t>
      </w:r>
      <w:r>
        <w:t xml:space="preserve">CIRP Section 9.3 states that</w:t>
      </w:r>
      <w:r>
        <w:t xml:space="preserve"> </w:t>
      </w:r>
      <w:r>
        <w:t xml:space="preserve">“</w:t>
      </w:r>
      <w:r>
        <w:t xml:space="preserve">[e]xternal communications regarding cybersecurity incidents — including communications to customers, regulators, media, or the public — are outside the scope of this Plan.</w:t>
      </w:r>
      <w:r>
        <w:t xml:space="preserve">”</w:t>
      </w:r>
      <w:r>
        <w:t xml:space="preserve"> </w:t>
      </w:r>
      <w:r>
        <w:t xml:space="preserve">The Plan thus contains no process for customer notification, state breach notification, SEC disclosure, or regulator engagement. (CIRP § 9.3.)</w:t>
      </w:r>
    </w:p>
    <w:p>
      <w:pPr>
        <w:pStyle w:val="BodyText"/>
      </w:pPr>
      <w:r>
        <w:rPr>
          <w:b/>
          <w:bCs/>
        </w:rPr>
        <w:t xml:space="preserve">Why it matters.</w:t>
      </w:r>
      <w:r>
        <w:t xml:space="preserve"> </w:t>
      </w:r>
      <w:r>
        <w:t xml:space="preserve">Item 106 requires disclosure of the registrant’s processes for managing cybersecurity risks, including incident response. A CIRP that expressly excludes the disclosure and notification processes leaves the Company without an internal mechanism to satisfy its SEC, customer-contract, and statutory notification obligations — exactly the processes at issue here. This is a material program gap that should be disclosed and remediated.</w:t>
      </w:r>
    </w:p>
    <w:p>
      <w:pPr>
        <w:pStyle w:val="BodyText"/>
      </w:pPr>
      <w:r>
        <w:rPr>
          <w:b/>
          <w:bCs/>
        </w:rPr>
        <w:t xml:space="preserve">Recommendation.</w:t>
      </w:r>
      <w:r>
        <w:t xml:space="preserve"> </w:t>
      </w:r>
      <w:r>
        <w:t xml:space="preserve">Add CIRP sections (or a companion disclosure-and-notification protocol) governing: SEC disclosure (Item 1.05) evaluation; customer-contract notification tracking and execution; state and international breach-notification compliance; regulator engagement; and public/media communications, each with defined owners, triggers, and timeframes.</w:t>
      </w:r>
    </w:p>
    <w:bookmarkEnd w:id="53"/>
    <w:bookmarkStart w:id="54" w:name="X50b92d46a5ee83e0e06da76135a130f36cf4503"/>
    <w:p>
      <w:pPr>
        <w:pStyle w:val="Heading3"/>
      </w:pPr>
      <w:r>
        <w:t xml:space="preserve">F.2 No securities-materiality process (see B.1)</w:t>
      </w:r>
    </w:p>
    <w:p>
      <w:pPr>
        <w:pStyle w:val="FirstParagraph"/>
      </w:pPr>
      <w:r>
        <w:t xml:space="preserve">Addressed in Section V. The CIRP’s technical severity matrix is not a substitute for a securities-materiality determination.</w:t>
      </w:r>
    </w:p>
    <w:bookmarkEnd w:id="54"/>
    <w:bookmarkStart w:id="55" w:name="f.3-cirp-never-tested-see-c.3"/>
    <w:p>
      <w:pPr>
        <w:pStyle w:val="Heading3"/>
      </w:pPr>
      <w:r>
        <w:t xml:space="preserve">F.3 CIRP never tested (see C.3)</w:t>
      </w:r>
    </w:p>
    <w:p>
      <w:pPr>
        <w:pStyle w:val="FirstParagraph"/>
      </w:pPr>
      <w:r>
        <w:t xml:space="preserve">The CIRP expressly states no tabletop exercises have been conducted or scheduled. This must be remediated and disclosed.</w:t>
      </w:r>
    </w:p>
    <w:bookmarkEnd w:id="55"/>
    <w:bookmarkStart w:id="56" w:name="X7c1a9e96c7ab760db8781a710c57fb7d1f2f2ad"/>
    <w:p>
      <w:pPr>
        <w:pStyle w:val="Heading3"/>
      </w:pPr>
      <w:r>
        <w:t xml:space="preserve">F.4 General Counsel treated as</w:t>
      </w:r>
      <w:r>
        <w:t xml:space="preserve"> </w:t>
      </w:r>
      <w:r>
        <w:t xml:space="preserve">“</w:t>
      </w:r>
      <w:r>
        <w:t xml:space="preserve">optional</w:t>
      </w:r>
      <w:r>
        <w:t xml:space="preserve">”</w:t>
      </w:r>
      <w:r>
        <w:t xml:space="preserve"> </w:t>
      </w:r>
      <w:r>
        <w:t xml:space="preserve">(see E.3)</w:t>
      </w:r>
    </w:p>
    <w:p>
      <w:pPr>
        <w:pStyle w:val="FirstParagraph"/>
      </w:pPr>
      <w:r>
        <w:t xml:space="preserve">The CIRP’s treatment of legal counsel as a discretionary contact for Tier 3 incidents is a structural defect.</w:t>
      </w:r>
    </w:p>
    <w:bookmarkEnd w:id="56"/>
    <w:bookmarkStart w:id="57" w:name="X383bec26e52cca0713715745f1151d4b297d986"/>
    <w:p>
      <w:pPr>
        <w:pStyle w:val="Heading3"/>
      </w:pPr>
      <w:r>
        <w:t xml:space="preserve">F.5 IRT composition and documentation discrepancies</w:t>
      </w:r>
    </w:p>
    <w:p>
      <w:pPr>
        <w:pStyle w:val="FirstParagraph"/>
      </w:pPr>
      <w:r>
        <w:rPr>
          <w:b/>
          <w:bCs/>
        </w:rPr>
        <w:t xml:space="preserve">Issue.</w:t>
      </w:r>
      <w:r>
        <w:t xml:space="preserve"> </w:t>
      </w:r>
      <w:r>
        <w:t xml:space="preserve">The CIRP Section 2.3 designates the IRT as: Incident Commander (CISO), IT Infrastructure Lead, Network Security Analyst, Endpoint Security Analyst, Facilities Coordinator, and HR Representative. The Incident Status Report (Appendix A) lists the activated members as: Incident Commander, IT Infrastructure Lead,</w:t>
      </w:r>
      <w:r>
        <w:t xml:space="preserve"> </w:t>
      </w:r>
      <w:r>
        <w:rPr>
          <w:b/>
          <w:bCs/>
        </w:rPr>
        <w:t xml:space="preserve">“</w:t>
      </w:r>
      <w:r>
        <w:rPr>
          <w:b/>
          <w:bCs/>
        </w:rPr>
        <w:t xml:space="preserve">IT Security Lead,</w:t>
      </w:r>
      <w:r>
        <w:rPr>
          <w:b/>
          <w:bCs/>
        </w:rPr>
        <w:t xml:space="preserve">”</w:t>
      </w:r>
      <w:r>
        <w:t xml:space="preserve"> </w:t>
      </w:r>
      <w:r>
        <w:t xml:space="preserve">Facilities Representative, and HR Representative — a role (</w:t>
      </w:r>
      <w:r>
        <w:t xml:space="preserve">“</w:t>
      </w:r>
      <w:r>
        <w:t xml:space="preserve">IT Security Lead</w:t>
      </w:r>
      <w:r>
        <w:t xml:space="preserve">”</w:t>
      </w:r>
      <w:r>
        <w:t xml:space="preserve">) that does not appear in the CIRP, and omitting the Network Security Analyst and Endpoint Security Analyst roles. The Status Report also cites</w:t>
      </w:r>
      <w:r>
        <w:t xml:space="preserve"> </w:t>
      </w:r>
      <w:r>
        <w:t xml:space="preserve">“</w:t>
      </w:r>
      <w:r>
        <w:t xml:space="preserve">CIRP Section 3.2 (Incident Response Team Roster),</w:t>
      </w:r>
      <w:r>
        <w:t xml:space="preserve">”</w:t>
      </w:r>
      <w:r>
        <w:t xml:space="preserve"> </w:t>
      </w:r>
      <w:r>
        <w:t xml:space="preserve">but the roster is in Section 2.3; Section 3.2 is the severity-classification matrix. (CIRP § 2.3; Incident Status Report § 2, Appendix A.)</w:t>
      </w:r>
    </w:p>
    <w:p>
      <w:pPr>
        <w:pStyle w:val="BodyText"/>
      </w:pPr>
      <w:r>
        <w:rPr>
          <w:b/>
          <w:bCs/>
        </w:rPr>
        <w:t xml:space="preserve">Why it matters.</w:t>
      </w:r>
      <w:r>
        <w:t xml:space="preserve"> </w:t>
      </w:r>
      <w:r>
        <w:t xml:space="preserve">Documentation inconsistencies undermine the integrity of the incident record, complicate post-incident review, and may create evidentiary and audit-trail issues. They also suggest the CIRP was not followed as written.</w:t>
      </w:r>
    </w:p>
    <w:p>
      <w:pPr>
        <w:pStyle w:val="BodyText"/>
      </w:pPr>
      <w:r>
        <w:rPr>
          <w:b/>
          <w:bCs/>
        </w:rPr>
        <w:t xml:space="preserve">Recommendation.</w:t>
      </w:r>
      <w:r>
        <w:t xml:space="preserve"> </w:t>
      </w:r>
      <w:r>
        <w:t xml:space="preserve">Reconcile the IRT roster and activation record; correct cross-references; ensure future activations follow the CIRP as written or document approved deviations.</w:t>
      </w:r>
    </w:p>
    <w:bookmarkEnd w:id="57"/>
    <w:bookmarkStart w:id="58" w:name="X813f9495fa6803a4bb5bb1e634719a23a473647"/>
    <w:p>
      <w:pPr>
        <w:pStyle w:val="Heading3"/>
      </w:pPr>
      <w:r>
        <w:t xml:space="preserve">F.6 MFA representation in the CIRP contradicted (see C.1)</w:t>
      </w:r>
    </w:p>
    <w:p>
      <w:pPr>
        <w:pStyle w:val="FirstParagraph"/>
      </w:pPr>
      <w:r>
        <w:t xml:space="preserve">The CIRP’s representation that MFA is required for all VPN connections is contradicted by the forensic findings and must be corrected.</w:t>
      </w:r>
    </w:p>
    <w:p>
      <w:r>
        <w:pict>
          <v:rect style="width:0;height:1.5pt" o:hralign="center" o:hrstd="t" o:hr="t"/>
        </w:pict>
      </w:r>
    </w:p>
    <w:bookmarkEnd w:id="58"/>
    <w:bookmarkEnd w:id="59"/>
    <w:bookmarkStart w:id="66" w:name="X2730f94d6218329066e1088cbe93ca8299e9252"/>
    <w:p>
      <w:pPr>
        <w:pStyle w:val="Heading2"/>
      </w:pPr>
      <w:r>
        <w:t xml:space="preserve">X. Gap Analysis — Customer-Contractual Notification Breaches (Materiality and Disclosure Implications)</w:t>
      </w:r>
    </w:p>
    <w:bookmarkStart w:id="60" w:name="Xf5ba478993935f7cc8329f40c736b20eb62e904"/>
    <w:p>
      <w:pPr>
        <w:pStyle w:val="Heading3"/>
      </w:pPr>
      <w:r>
        <w:t xml:space="preserve">G.1 48-hour notification deadlines missed for three top-ten customers</w:t>
      </w:r>
    </w:p>
    <w:p>
      <w:pPr>
        <w:pStyle w:val="FirstParagraph"/>
      </w:pPr>
      <w:r>
        <w:rPr>
          <w:b/>
          <w:bCs/>
        </w:rPr>
        <w:t xml:space="preserve">Issue.</w:t>
      </w:r>
      <w:r>
        <w:t xml:space="preserve"> </w:t>
      </w:r>
      <w:r>
        <w:t xml:space="preserve">The Harmon MSA (§ 9.4), the Crestfield GTCP (§ 12.2), and the Nexagen VISA (§ 7.8) each require written notification within 48 hours of discovery of a security incident/breach affecting the customer’s data. The Preparer’s Note confirms that</w:t>
      </w:r>
      <w:r>
        <w:t xml:space="preserve"> </w:t>
      </w:r>
      <w:r>
        <w:t xml:space="preserve">“</w:t>
      </w:r>
      <w:r>
        <w:t xml:space="preserve">[a]s of December 5, 2024, no notifications have been sent to Harmon Defense Solutions, Crestfield Aerospace, or Nexagen Manufacturing under any of the above provisions</w:t>
      </w:r>
      <w:r>
        <w:t xml:space="preserve">”</w:t>
      </w:r>
      <w:r>
        <w:t xml:space="preserve"> </w:t>
      </w:r>
      <w:r>
        <w:t xml:space="preserve">and that</w:t>
      </w:r>
      <w:r>
        <w:t xml:space="preserve"> </w:t>
      </w:r>
      <w:r>
        <w:t xml:space="preserve">“</w:t>
      </w:r>
      <w:r>
        <w:t xml:space="preserve">[t]he forty-eight (48) hour notification deadline under each agreement expired no later than November 20, 2024.</w:t>
      </w:r>
      <w:r>
        <w:t xml:space="preserve">”</w:t>
      </w:r>
      <w:r>
        <w:t xml:space="preserve"> </w:t>
      </w:r>
      <w:r>
        <w:t xml:space="preserve">(Customer Contract Excerpts §§ 1–3, Preparer’s Note.)</w:t>
      </w:r>
    </w:p>
    <w:p>
      <w:pPr>
        <w:pStyle w:val="BodyText"/>
      </w:pPr>
      <w:r>
        <w:rPr>
          <w:b/>
          <w:bCs/>
        </w:rPr>
        <w:t xml:space="preserve">Why it matters.</w:t>
      </w:r>
      <w:r>
        <w:t xml:space="preserve"> </w:t>
      </w:r>
      <w:r>
        <w:t xml:space="preserve">The Company is in breach of three material customer contracts. These breaches are independently material to SEC disclosure because they expose the Company to termination of relationships representing a substantial portion of revenue and to significant monetary liability (see G.2–G.4). The breach status itself, and the potential loss of ~38% of revenue, may require disclosure under Item 1.05 (as part of the incident’s material impact) and/or Item 8.01.</w:t>
      </w:r>
    </w:p>
    <w:p>
      <w:pPr>
        <w:pStyle w:val="BodyText"/>
      </w:pPr>
      <w:r>
        <w:rPr>
          <w:b/>
          <w:bCs/>
        </w:rPr>
        <w:t xml:space="preserve">Recommendation.</w:t>
      </w:r>
      <w:r>
        <w:t xml:space="preserve"> </w:t>
      </w:r>
      <w:r>
        <w:t xml:space="preserve">Issue notifications to all three customers immediately, even though the contractual deadlines have passed, to mitigate further breach consequences and preserve the relationships. Coordinate content with counsel. Track and document all notifications.</w:t>
      </w:r>
    </w:p>
    <w:bookmarkEnd w:id="60"/>
    <w:bookmarkStart w:id="61" w:name="Xf95d395fd3f4601bfac07ff45be85dc625388f6"/>
    <w:p>
      <w:pPr>
        <w:pStyle w:val="Heading3"/>
      </w:pPr>
      <w:r>
        <w:t xml:space="preserve">G.2 Harmon Defense Solutions — liquidated damages, termination, indemnity</w:t>
      </w:r>
    </w:p>
    <w:p>
      <w:pPr>
        <w:pStyle w:val="FirstParagraph"/>
      </w:pPr>
      <w:r>
        <w:rPr>
          <w:b/>
          <w:bCs/>
        </w:rPr>
        <w:t xml:space="preserve">Issue.</w:t>
      </w:r>
      <w:r>
        <w:t xml:space="preserve"> </w:t>
      </w:r>
      <w:r>
        <w:t xml:space="preserve">Under Harmon MSA § 9.5, failure to provide the 48-hour notification triggers liquidated damages of</w:t>
      </w:r>
      <w:r>
        <w:t xml:space="preserve"> </w:t>
      </w:r>
      <w:r>
        <w:rPr>
          <w:b/>
          <w:bCs/>
        </w:rPr>
        <w:t xml:space="preserve">$500,000 per Security Incident</w:t>
      </w:r>
      <w:r>
        <w:t xml:space="preserve">, plus Harmon’s right to terminate on 30 days’ notice, plus a broad defense and indemnity obligation (including regulatory-investigation, notification, and credit-monitoring costs), with obligations surviving three years. (Customer Contract Excerpts § 1.)</w:t>
      </w:r>
    </w:p>
    <w:p>
      <w:pPr>
        <w:pStyle w:val="BodyText"/>
      </w:pPr>
      <w:r>
        <w:rPr>
          <w:b/>
          <w:bCs/>
        </w:rPr>
        <w:t xml:space="preserve">Why it matters.</w:t>
      </w:r>
      <w:r>
        <w:t xml:space="preserve"> </w:t>
      </w:r>
      <w:r>
        <w:t xml:space="preserve">The $500,000 liquidated damages exposure is certain if Harmon enforces it; termination of Harmon (a top-ten customer) would be material. Indemnity exposure could substantially exceed the $4.5M current estimate.</w:t>
      </w:r>
    </w:p>
    <w:p>
      <w:pPr>
        <w:pStyle w:val="BodyText"/>
      </w:pPr>
      <w:r>
        <w:rPr>
          <w:b/>
          <w:bCs/>
        </w:rPr>
        <w:t xml:space="preserve">Recommendation.</w:t>
      </w:r>
      <w:r>
        <w:t xml:space="preserve"> </w:t>
      </w:r>
      <w:r>
        <w:t xml:space="preserve">Quantify Harmon exposure; consider whether the liquidated-damages clause is enforceable (counsel review); prepare for potential termination notice; assess indemnity reserves.</w:t>
      </w:r>
    </w:p>
    <w:bookmarkEnd w:id="61"/>
    <w:bookmarkStart w:id="62" w:name="Xeb32851a77a9aafcbaee18c1ef91f8a68aaea36"/>
    <w:p>
      <w:pPr>
        <w:pStyle w:val="Heading3"/>
      </w:pPr>
      <w:r>
        <w:t xml:space="preserve">G.3 Crestfield Aerospace — immediate termination, payment suspension, audit, insurance</w:t>
      </w:r>
    </w:p>
    <w:p>
      <w:pPr>
        <w:pStyle w:val="FirstParagraph"/>
      </w:pPr>
      <w:r>
        <w:rPr>
          <w:b/>
          <w:bCs/>
        </w:rPr>
        <w:t xml:space="preserve">Issue.</w:t>
      </w:r>
      <w:r>
        <w:t xml:space="preserve"> </w:t>
      </w:r>
      <w:r>
        <w:t xml:space="preserve">Under Crestfield GTCP § 12.3, upon a material Cybersecurity Event or failure to notify, Crestfield may</w:t>
      </w:r>
      <w:r>
        <w:t xml:space="preserve"> </w:t>
      </w:r>
      <w:r>
        <w:rPr>
          <w:b/>
          <w:bCs/>
        </w:rPr>
        <w:t xml:space="preserve">immediately terminate</w:t>
      </w:r>
      <w:r>
        <w:t xml:space="preserve"> </w:t>
      </w:r>
      <w:r>
        <w:t xml:space="preserve">and/or</w:t>
      </w:r>
      <w:r>
        <w:t xml:space="preserve"> </w:t>
      </w:r>
      <w:r>
        <w:rPr>
          <w:b/>
          <w:bCs/>
        </w:rPr>
        <w:t xml:space="preserve">suspend all payments</w:t>
      </w:r>
      <w:r>
        <w:t xml:space="preserve"> </w:t>
      </w:r>
      <w:r>
        <w:t xml:space="preserve">pending completion of a forensic investigation; Crestfield also has a 12-month audit right at Vantage’s expense, and Vantage must maintain</w:t>
      </w:r>
      <w:r>
        <w:t xml:space="preserve"> </w:t>
      </w:r>
      <w:r>
        <w:rPr>
          <w:b/>
          <w:bCs/>
        </w:rPr>
        <w:t xml:space="preserve">$10 million</w:t>
      </w:r>
      <w:r>
        <w:t xml:space="preserve"> </w:t>
      </w:r>
      <w:r>
        <w:t xml:space="preserve">cybersecurity insurance per occurrence. Crestfield also requires a forensic-investigator report within 30 days of investigation conclusion. (Customer Contract Excerpts § 2.)</w:t>
      </w:r>
    </w:p>
    <w:p>
      <w:pPr>
        <w:pStyle w:val="BodyText"/>
      </w:pPr>
      <w:r>
        <w:rPr>
          <w:b/>
          <w:bCs/>
        </w:rPr>
        <w:t xml:space="preserve">Why it matters.</w:t>
      </w:r>
      <w:r>
        <w:t xml:space="preserve"> </w:t>
      </w:r>
      <w:r>
        <w:t xml:space="preserve">Immediate termination and payment-suspension rights create acute revenue and liquidity risk. The $10M-per-occurrence insurance requirement should be verified against the Ridgeline policy (the policy’s per-occurrence limit is $15M shared with the aggregate, which facially satisfies $10M, but coverage is at risk — see Section IX). The 30-day forensic-report obligation must be tracked against the Thorngate timeline.</w:t>
      </w:r>
    </w:p>
    <w:p>
      <w:pPr>
        <w:pStyle w:val="BodyText"/>
      </w:pPr>
      <w:r>
        <w:rPr>
          <w:b/>
          <w:bCs/>
        </w:rPr>
        <w:t xml:space="preserve">Recommendation.</w:t>
      </w:r>
      <w:r>
        <w:t xml:space="preserve"> </w:t>
      </w:r>
      <w:r>
        <w:t xml:space="preserve">Verify the $10M insurance requirement is met (and that coverage is not jeopardized); prepare the forensic-report deliverable for Crestfield; assess termination/payment-suspension risk; engage Crestfield proactively.</w:t>
      </w:r>
    </w:p>
    <w:bookmarkEnd w:id="62"/>
    <w:bookmarkStart w:id="63" w:name="Xb75849becc62e0a61ac903cc847985968c6cd75"/>
    <w:p>
      <w:pPr>
        <w:pStyle w:val="Heading3"/>
      </w:pPr>
      <w:r>
        <w:t xml:space="preserve">G.4 Nexagen Manufacturing — termination and 24-month future-business exclusion; broad trigger</w:t>
      </w:r>
    </w:p>
    <w:p>
      <w:pPr>
        <w:pStyle w:val="FirstParagraph"/>
      </w:pPr>
      <w:r>
        <w:rPr>
          <w:b/>
          <w:bCs/>
        </w:rPr>
        <w:t xml:space="preserve">Issue.</w:t>
      </w:r>
      <w:r>
        <w:t xml:space="preserve"> </w:t>
      </w:r>
      <w:r>
        <w:t xml:space="preserve">Under Nexagen VISA § 7.8(a), a</w:t>
      </w:r>
      <w:r>
        <w:t xml:space="preserve"> </w:t>
      </w:r>
      <w:r>
        <w:t xml:space="preserve">“</w:t>
      </w:r>
      <w:r>
        <w:t xml:space="preserve">Security Breach</w:t>
      </w:r>
      <w:r>
        <w:t xml:space="preserve">”</w:t>
      </w:r>
      <w:r>
        <w:t xml:space="preserve"> </w:t>
      </w:r>
      <w:r>
        <w:t xml:space="preserve">includes</w:t>
      </w:r>
      <w:r>
        <w:t xml:space="preserve"> </w:t>
      </w:r>
      <w:r>
        <w:t xml:space="preserve">“</w:t>
      </w:r>
      <w:r>
        <w:t xml:space="preserve">any ransomware or malware event that affects systems storing or processing Nexagen Data …</w:t>
      </w:r>
      <w:r>
        <w:t xml:space="preserve"> </w:t>
      </w:r>
      <w:r>
        <w:rPr>
          <w:b/>
          <w:bCs/>
        </w:rPr>
        <w:t xml:space="preserve">regardless of whether Nexagen Data is confirmed to have been accessed or exfiltrated</w:t>
      </w:r>
      <w:r>
        <w:t xml:space="preserve">.</w:t>
      </w:r>
      <w:r>
        <w:t xml:space="preserve">”</w:t>
      </w:r>
      <w:r>
        <w:t xml:space="preserve"> </w:t>
      </w:r>
      <w:r>
        <w:t xml:space="preserve">The trigger is therefore plainly met. Under § 7.9, Nexagen may terminate on 15 days’ notice (immediately, with no cure period, if attributable to a failure to comply with the addendum’s security standards), and may exclude Vantage from future bid opportunities for up to 24 months. Nexagen also requires a preliminary report within 5 business days and a final report within 60 days. (Customer Contract Excerpts § 3.)</w:t>
      </w:r>
    </w:p>
    <w:p>
      <w:pPr>
        <w:pStyle w:val="BodyText"/>
      </w:pPr>
      <w:r>
        <w:rPr>
          <w:b/>
          <w:bCs/>
        </w:rPr>
        <w:t xml:space="preserve">Why it matters.</w:t>
      </w:r>
      <w:r>
        <w:t xml:space="preserve"> </w:t>
      </w:r>
      <w:r>
        <w:t xml:space="preserve">The</w:t>
      </w:r>
      <w:r>
        <w:t xml:space="preserve"> </w:t>
      </w:r>
      <w:r>
        <w:t xml:space="preserve">“</w:t>
      </w:r>
      <w:r>
        <w:t xml:space="preserve">security standards failure</w:t>
      </w:r>
      <w:r>
        <w:t xml:space="preserve">”</w:t>
      </w:r>
      <w:r>
        <w:t xml:space="preserve"> </w:t>
      </w:r>
      <w:r>
        <w:t xml:space="preserve">immediate-termination path is a real risk given the MFA and encryption-at-rest deficiencies. The 24-month exclusion could foreclose a material revenue stream. The 5-business-day and 60-day report deadlines are now in motion (or already missed).</w:t>
      </w:r>
    </w:p>
    <w:p>
      <w:pPr>
        <w:pStyle w:val="BodyText"/>
      </w:pPr>
      <w:r>
        <w:rPr>
          <w:b/>
          <w:bCs/>
        </w:rPr>
        <w:t xml:space="preserve">Recommendation.</w:t>
      </w:r>
      <w:r>
        <w:t xml:space="preserve"> </w:t>
      </w:r>
      <w:r>
        <w:t xml:space="preserve">Issue the Nexagen notification and preliminary report immediately; assess the</w:t>
      </w:r>
      <w:r>
        <w:t xml:space="preserve"> </w:t>
      </w:r>
      <w:r>
        <w:t xml:space="preserve">“</w:t>
      </w:r>
      <w:r>
        <w:t xml:space="preserve">security standards failure</w:t>
      </w:r>
      <w:r>
        <w:t xml:space="preserve">”</w:t>
      </w:r>
      <w:r>
        <w:t xml:space="preserve"> </w:t>
      </w:r>
      <w:r>
        <w:t xml:space="preserve">termination risk; prepare the 60-day final report; engage Nexagen proactively.</w:t>
      </w:r>
    </w:p>
    <w:bookmarkEnd w:id="63"/>
    <w:bookmarkStart w:id="64" w:name="X08653fbfd3b2d5ae6f3515dd6275b69ea6e2428"/>
    <w:p>
      <w:pPr>
        <w:pStyle w:val="Heading3"/>
      </w:pPr>
      <w:r>
        <w:t xml:space="preserve">G.5 Additional customer contracts under review</w:t>
      </w:r>
    </w:p>
    <w:p>
      <w:pPr>
        <w:pStyle w:val="FirstParagraph"/>
      </w:pPr>
      <w:r>
        <w:rPr>
          <w:b/>
          <w:bCs/>
        </w:rPr>
        <w:t xml:space="preserve">Issue.</w:t>
      </w:r>
      <w:r>
        <w:t xml:space="preserve"> </w:t>
      </w:r>
      <w:r>
        <w:t xml:space="preserve">The contract excerpts note that</w:t>
      </w:r>
      <w:r>
        <w:t xml:space="preserve"> </w:t>
      </w:r>
      <w:r>
        <w:t xml:space="preserve">“</w:t>
      </w:r>
      <w:r>
        <w:t xml:space="preserve">[a]dditional customer agreements are under review for similar cybersecurity notification and incident response provisions. Results of the full contract review are expected by December 10, 2024.</w:t>
      </w:r>
      <w:r>
        <w:t xml:space="preserve">”</w:t>
      </w:r>
      <w:r>
        <w:t xml:space="preserve"> </w:t>
      </w:r>
      <w:r>
        <w:t xml:space="preserve">(Customer Contract Excerpts, Preparer’s Note.)</w:t>
      </w:r>
    </w:p>
    <w:p>
      <w:pPr>
        <w:pStyle w:val="BodyText"/>
      </w:pPr>
      <w:r>
        <w:rPr>
          <w:b/>
          <w:bCs/>
        </w:rPr>
        <w:t xml:space="preserve">Why it matters.</w:t>
      </w:r>
      <w:r>
        <w:t xml:space="preserve"> </w:t>
      </w:r>
      <w:r>
        <w:t xml:space="preserve">The notification-breach exposure may extend beyond these three customers, increasing the materiality of the customer-relationship impact.</w:t>
      </w:r>
    </w:p>
    <w:p>
      <w:pPr>
        <w:pStyle w:val="BodyText"/>
      </w:pPr>
      <w:r>
        <w:rPr>
          <w:b/>
          <w:bCs/>
        </w:rPr>
        <w:t xml:space="preserve">Recommendation.</w:t>
      </w:r>
      <w:r>
        <w:t xml:space="preserve"> </w:t>
      </w:r>
      <w:r>
        <w:t xml:space="preserve">Complete the contract review by December 10; triage notification obligations by deadline; execute notifications in priority order; feed the results into the materiality determination.</w:t>
      </w:r>
    </w:p>
    <w:bookmarkEnd w:id="64"/>
    <w:bookmarkStart w:id="65" w:name="X5f812211aec40a1b8ebe7205b24ed3eb162ae84"/>
    <w:p>
      <w:pPr>
        <w:pStyle w:val="Heading3"/>
      </w:pPr>
      <w:r>
        <w:t xml:space="preserve">G.6 Materiality and independent-disclosure consideration</w:t>
      </w:r>
    </w:p>
    <w:p>
      <w:pPr>
        <w:pStyle w:val="FirstParagraph"/>
      </w:pPr>
      <w:r>
        <w:rPr>
          <w:b/>
          <w:bCs/>
        </w:rPr>
        <w:t xml:space="preserve">Issue.</w:t>
      </w:r>
      <w:r>
        <w:t xml:space="preserve"> </w:t>
      </w:r>
      <w:r>
        <w:t xml:space="preserve">The customer-contract breaches and potential terminations affect ~38% of revenue relationships.</w:t>
      </w:r>
    </w:p>
    <w:p>
      <w:pPr>
        <w:pStyle w:val="BodyText"/>
      </w:pPr>
      <w:r>
        <w:rPr>
          <w:b/>
          <w:bCs/>
        </w:rPr>
        <w:t xml:space="preserve">Why it matters.</w:t>
      </w:r>
      <w:r>
        <w:t xml:space="preserve"> </w:t>
      </w:r>
      <w:r>
        <w:t xml:space="preserve">Even setting aside the cybersecurity incident’s direct materiality, the potential loss of top-customer relationships and the associated liabilities may independently require 8-K disclosure (Item 1.05 impact disclosure and/or Item 8.01 / Item 2.05 for material costs/obligations).</w:t>
      </w:r>
    </w:p>
    <w:p>
      <w:pPr>
        <w:pStyle w:val="BodyText"/>
      </w:pPr>
      <w:r>
        <w:rPr>
          <w:b/>
          <w:bCs/>
        </w:rPr>
        <w:t xml:space="preserve">Recommendation.</w:t>
      </w:r>
      <w:r>
        <w:t xml:space="preserve"> </w:t>
      </w:r>
      <w:r>
        <w:t xml:space="preserve">Include the customer-contract exposure in the Item 1.05 material-impact disclosure; evaluate whether a separate Item 8.01/2.05 disclosure is warranted as the exposure crystallizes.</w:t>
      </w:r>
    </w:p>
    <w:p>
      <w:r>
        <w:pict>
          <v:rect style="width:0;height:1.5pt" o:hralign="center" o:hrstd="t" o:hr="t"/>
        </w:pict>
      </w:r>
    </w:p>
    <w:bookmarkEnd w:id="65"/>
    <w:bookmarkEnd w:id="66"/>
    <w:bookmarkStart w:id="69" w:name="X2529fd4c2e0f0f267ed64e54fa07168ef232729"/>
    <w:p>
      <w:pPr>
        <w:pStyle w:val="Heading2"/>
      </w:pPr>
      <w:r>
        <w:t xml:space="preserve">XI. Gap Analysis — State and International Data-Breach Notification</w:t>
      </w:r>
    </w:p>
    <w:bookmarkStart w:id="67" w:name="X6f3c98c272dadbf11f27026bf8271054e0e4042"/>
    <w:p>
      <w:pPr>
        <w:pStyle w:val="Heading3"/>
      </w:pPr>
      <w:r>
        <w:t xml:space="preserve">H.1 No state or international regulator notifications filed</w:t>
      </w:r>
    </w:p>
    <w:p>
      <w:pPr>
        <w:pStyle w:val="FirstParagraph"/>
      </w:pPr>
      <w:r>
        <w:rPr>
          <w:b/>
          <w:bCs/>
        </w:rPr>
        <w:t xml:space="preserve">Issue.</w:t>
      </w:r>
      <w:r>
        <w:t xml:space="preserve"> </w:t>
      </w:r>
      <w:r>
        <w:t xml:space="preserve">The Incident Status Report states that</w:t>
      </w:r>
      <w:r>
        <w:t xml:space="preserve"> </w:t>
      </w:r>
      <w:r>
        <w:t xml:space="preserve">“</w:t>
      </w:r>
      <w:r>
        <w:t xml:space="preserve">[n]o notifications have been filed with any state attorney general or state data protection authority regarding the incident.</w:t>
      </w:r>
      <w:r>
        <w:t xml:space="preserve">”</w:t>
      </w:r>
      <w:r>
        <w:t xml:space="preserve"> </w:t>
      </w:r>
      <w:r>
        <w:t xml:space="preserve">(Incident Status Report § 5.4.)</w:t>
      </w:r>
    </w:p>
    <w:p>
      <w:pPr>
        <w:pStyle w:val="BodyText"/>
      </w:pPr>
      <w:r>
        <w:rPr>
          <w:b/>
          <w:bCs/>
        </w:rPr>
        <w:t xml:space="preserve">Why it matters.</w:t>
      </w:r>
      <w:r>
        <w:t xml:space="preserve"> </w:t>
      </w:r>
      <w:r>
        <w:t xml:space="preserve">The exfiltrated data includes PII (procurement-contact names, emails, phone numbers) and financial-account information (ACH routing and account numbers) for ~4,200 customers across at least 38 U.S. states and Germany, Mexico, Canada, and the United Kingdom. Most state breach-notification statutes are triggered by unauthorized acquisition of or access to personal information, and many are triggered by financial-account data combined with identifying information. Because the data was stored</w:t>
      </w:r>
      <w:r>
        <w:t xml:space="preserve"> </w:t>
      </w:r>
      <w:r>
        <w:rPr>
          <w:b/>
          <w:bCs/>
        </w:rPr>
        <w:t xml:space="preserve">unencrypted</w:t>
      </w:r>
      <w:r>
        <w:t xml:space="preserve"> </w:t>
      </w:r>
      <w:r>
        <w:t xml:space="preserve">at rest (Thorngate Interim Report § 4.4), the encryption</w:t>
      </w:r>
      <w:r>
        <w:t xml:space="preserve"> </w:t>
      </w:r>
      <w:r>
        <w:t xml:space="preserve">“</w:t>
      </w:r>
      <w:r>
        <w:t xml:space="preserve">safe harbor</w:t>
      </w:r>
      <w:r>
        <w:t xml:space="preserve">”</w:t>
      </w:r>
      <w:r>
        <w:t xml:space="preserve"> </w:t>
      </w:r>
      <w:r>
        <w:t xml:space="preserve">available under many state statutes is</w:t>
      </w:r>
      <w:r>
        <w:t xml:space="preserve"> </w:t>
      </w:r>
      <w:r>
        <w:rPr>
          <w:b/>
          <w:bCs/>
        </w:rPr>
        <w:t xml:space="preserve">unavailable</w:t>
      </w:r>
      <w:r>
        <w:t xml:space="preserve">, making notification likely required in numerous jurisdictions. State statutes generally require notice</w:t>
      </w:r>
      <w:r>
        <w:t xml:space="preserve"> </w:t>
      </w:r>
      <w:r>
        <w:t xml:space="preserve">“</w:t>
      </w:r>
      <w:r>
        <w:t xml:space="preserve">without unreasonable delay</w:t>
      </w:r>
      <w:r>
        <w:t xml:space="preserve">”</w:t>
      </w:r>
      <w:r>
        <w:t xml:space="preserve"> </w:t>
      </w:r>
      <w:r>
        <w:t xml:space="preserve">or within fixed windows (commonly 30–60 days; some, e.g., Ohio — the Company’s home state — require notice within 45 days). The clocks are running from mid-November.</w:t>
      </w:r>
    </w:p>
    <w:p>
      <w:pPr>
        <w:pStyle w:val="BodyText"/>
      </w:pPr>
      <w:r>
        <w:rPr>
          <w:b/>
          <w:bCs/>
        </w:rPr>
        <w:t xml:space="preserve">Recommendation.</w:t>
      </w:r>
      <w:r>
        <w:t xml:space="preserve"> </w:t>
      </w:r>
      <w:r>
        <w:t xml:space="preserve">(i) Immediately map notification obligations by jurisdiction (engage breach-notification counsel and the notification vendor — note that Arroyo Notification Services is on the Ridgeline pre-approved panel). (ii) Prepare and issue state AG and affected-resident notifications within statutory windows. (iii) Assess EU/UK (GDPR/UK GDPR) and Mexican obligations; the Ridgeline Endorsement No. 5 may provide regulatory-defense coverage for EU supervisory-authority proceedings. (iv) Feed notification obligations and costs into the SEC materiality analysis and the Item 1.05 impact disclosure.</w:t>
      </w:r>
    </w:p>
    <w:bookmarkEnd w:id="67"/>
    <w:bookmarkStart w:id="68" w:name="Xa05d79cbf9d4d35b046f0d76903f07f3c741622"/>
    <w:p>
      <w:pPr>
        <w:pStyle w:val="Heading3"/>
      </w:pPr>
      <w:r>
        <w:t xml:space="preserve">H.2 No encryption safe harbor (see also C.1, IX)</w:t>
      </w:r>
    </w:p>
    <w:p>
      <w:pPr>
        <w:pStyle w:val="FirstParagraph"/>
      </w:pPr>
      <w:r>
        <w:t xml:space="preserve">The unencrypted-at-rest finding eliminates a common statutory safe harbor and elevates both notification obligations and harm severity. This is a materiality factor and a control deficiency to be disclosed and remediated (implement encryption at rest per Thorngate’s recommendation, Interim Report § 7.2).</w:t>
      </w:r>
    </w:p>
    <w:p>
      <w:r>
        <w:pict>
          <v:rect style="width:0;height:1.5pt" o:hralign="center" o:hrstd="t" o:hr="t"/>
        </w:pict>
      </w:r>
    </w:p>
    <w:bookmarkEnd w:id="68"/>
    <w:bookmarkEnd w:id="69"/>
    <w:bookmarkStart w:id="77" w:name="Xa25471cd5c7c24515d72841d113e5305d00d763"/>
    <w:p>
      <w:pPr>
        <w:pStyle w:val="Heading2"/>
      </w:pPr>
      <w:r>
        <w:t xml:space="preserve">XII. Gap Analysis — Cyber-Insurance Coverage (Financial-Impact and Disclosure Implications)</w:t>
      </w:r>
    </w:p>
    <w:bookmarkStart w:id="70" w:name="Xc1d04de42706a4bf81be0ae07dc249b09c5617d"/>
    <w:p>
      <w:pPr>
        <w:pStyle w:val="Heading3"/>
      </w:pPr>
      <w:r>
        <w:t xml:space="preserve">I.1 Late notice to Ridgeline (73 vs. 72 hours)</w:t>
      </w:r>
    </w:p>
    <w:p>
      <w:pPr>
        <w:pStyle w:val="FirstParagraph"/>
      </w:pPr>
      <w:r>
        <w:rPr>
          <w:b/>
          <w:bCs/>
        </w:rPr>
        <w:t xml:space="preserve">Issue.</w:t>
      </w:r>
      <w:r>
        <w:t xml:space="preserve"> </w:t>
      </w:r>
      <w:r>
        <w:t xml:space="preserve">Ridgeline was notified on November 21, 2024,</w:t>
      </w:r>
      <w:r>
        <w:t xml:space="preserve"> </w:t>
      </w:r>
      <w:r>
        <w:t xml:space="preserve">“</w:t>
      </w:r>
      <w:r>
        <w:t xml:space="preserve">approximately 73 hours after initial detection,</w:t>
      </w:r>
      <w:r>
        <w:t xml:space="preserve">”</w:t>
      </w:r>
      <w:r>
        <w:t xml:space="preserve"> </w:t>
      </w:r>
      <w:r>
        <w:t xml:space="preserve">while the policy requires notice</w:t>
      </w:r>
      <w:r>
        <w:t xml:space="preserve"> </w:t>
      </w:r>
      <w:r>
        <w:t xml:space="preserve">“</w:t>
      </w:r>
      <w:r>
        <w:t xml:space="preserve">in no event later than seventy-two (72) hours after Discovery.</w:t>
      </w:r>
      <w:r>
        <w:t xml:space="preserve">”</w:t>
      </w:r>
      <w:r>
        <w:t xml:space="preserve"> </w:t>
      </w:r>
      <w:r>
        <w:t xml:space="preserve">Ridgeline</w:t>
      </w:r>
      <w:r>
        <w:t xml:space="preserve"> </w:t>
      </w:r>
      <w:r>
        <w:t xml:space="preserve">“</w:t>
      </w:r>
      <w:r>
        <w:t xml:space="preserve">has reserved rights regarding the timeliness of notice but has not denied coverage.</w:t>
      </w:r>
      <w:r>
        <w:t xml:space="preserve">”</w:t>
      </w:r>
      <w:r>
        <w:t xml:space="preserve"> </w:t>
      </w:r>
      <w:r>
        <w:t xml:space="preserve">(Incident Status Report §§ 4, 5.2; Ridgeline Policy Summary § 5.1.)</w:t>
      </w:r>
      <w:r>
        <w:t xml:space="preserve"> </w:t>
      </w:r>
      <w:r>
        <w:t xml:space="preserve">“</w:t>
      </w:r>
      <w:r>
        <w:t xml:space="preserve">Discovery</w:t>
      </w:r>
      <w:r>
        <w:t xml:space="preserve">”</w:t>
      </w:r>
      <w:r>
        <w:t xml:space="preserve"> </w:t>
      </w:r>
      <w:r>
        <w:t xml:space="preserve">occurred when the CISO became aware on November 18 (Ridgeline Policy Summary § 2), so the 72-hour window expired early on November 21.</w:t>
      </w:r>
    </w:p>
    <w:p>
      <w:pPr>
        <w:pStyle w:val="BodyText"/>
      </w:pPr>
      <w:r>
        <w:rPr>
          <w:b/>
          <w:bCs/>
        </w:rPr>
        <w:t xml:space="preserve">Why it matters.</w:t>
      </w:r>
      <w:r>
        <w:t xml:space="preserve"> </w:t>
      </w:r>
      <w:r>
        <w:t xml:space="preserve">The policy’s late-notice provision (§ 5.3) provides that late notice does not void coverage unless the insurer is</w:t>
      </w:r>
      <w:r>
        <w:t xml:space="preserve"> </w:t>
      </w:r>
      <w:r>
        <w:rPr>
          <w:b/>
          <w:bCs/>
        </w:rPr>
        <w:t xml:space="preserve">materially prejudiced</w:t>
      </w:r>
      <w:r>
        <w:t xml:space="preserve">, but reserves the insurer’s rights, and in strict-compliance jurisdictions late notice can be a denial ground. The policy is governed by Ohio law (§ 7.5). The ~$2.0M of estimated recovery above the $2.5M SIR is at risk, and the reservation of rights is a materiality factor (potential increase in net financial impact).</w:t>
      </w:r>
    </w:p>
    <w:p>
      <w:pPr>
        <w:pStyle w:val="BodyText"/>
      </w:pPr>
      <w:r>
        <w:rPr>
          <w:b/>
          <w:bCs/>
        </w:rPr>
        <w:t xml:space="preserve">Recommendation.</w:t>
      </w:r>
      <w:r>
        <w:t xml:space="preserve"> </w:t>
      </w:r>
      <w:r>
        <w:t xml:space="preserve">Develop the record that Ridgeline was not materially prejudiced by the one-hour delay (it was notified before any coverage decision, the investigation was preserved, Thorngate is on the pre-approved panel). Coordinate with coverage counsel. Disclose the coverage dispute risk in the materiality analysis.</w:t>
      </w:r>
    </w:p>
    <w:bookmarkEnd w:id="70"/>
    <w:bookmarkStart w:id="71" w:name="X29690ad206eeb12722b6b10cf086a1610bfdd62"/>
    <w:p>
      <w:pPr>
        <w:pStyle w:val="Heading3"/>
      </w:pPr>
      <w:r>
        <w:t xml:space="preserve">I.2 MFA warranty in the policy application — potential void ab initio</w:t>
      </w:r>
    </w:p>
    <w:p>
      <w:pPr>
        <w:pStyle w:val="FirstParagraph"/>
      </w:pPr>
      <w:r>
        <w:rPr>
          <w:b/>
          <w:bCs/>
        </w:rPr>
        <w:t xml:space="preserve">Issue.</w:t>
      </w:r>
      <w:r>
        <w:t xml:space="preserve"> </w:t>
      </w:r>
      <w:r>
        <w:t xml:space="preserve">The policy application (Policy Summary § 9) warranted that the Company</w:t>
      </w:r>
      <w:r>
        <w:t xml:space="preserve"> </w:t>
      </w:r>
      <w:r>
        <w:t xml:space="preserve">“</w:t>
      </w:r>
      <w:r>
        <w:t xml:space="preserve">employs multi-factor authentication for all remote access to Computer Systems.</w:t>
      </w:r>
      <w:r>
        <w:t xml:space="preserve">”</w:t>
      </w:r>
      <w:r>
        <w:t xml:space="preserve"> </w:t>
      </w:r>
      <w:r>
        <w:t xml:space="preserve">Thorngate found the compromised third-party contractor VPN credential was not MFA-protected, and MFA</w:t>
      </w:r>
      <w:r>
        <w:t xml:space="preserve"> </w:t>
      </w:r>
      <w:r>
        <w:t xml:space="preserve">“</w:t>
      </w:r>
      <w:r>
        <w:t xml:space="preserve">was not universally required for third-party contractor VPN access</w:t>
      </w:r>
      <w:r>
        <w:t xml:space="preserve">”</w:t>
      </w:r>
      <w:r>
        <w:t xml:space="preserve"> </w:t>
      </w:r>
      <w:r>
        <w:t xml:space="preserve">before November 20. The application states that</w:t>
      </w:r>
      <w:r>
        <w:t xml:space="preserve"> </w:t>
      </w:r>
      <w:r>
        <w:t xml:space="preserve">“</w:t>
      </w:r>
      <w:r>
        <w:t xml:space="preserve">[m]aterial misrepresentations in the Policy Application may void coverage ab initio.</w:t>
      </w:r>
      <w:r>
        <w:t xml:space="preserve">”</w:t>
      </w:r>
      <w:r>
        <w:t xml:space="preserve"> </w:t>
      </w:r>
      <w:r>
        <w:t xml:space="preserve">(Ridgeline Policy Summary § 9; Thorngate Interim Report §§ 3.1, 6.2.)</w:t>
      </w:r>
    </w:p>
    <w:p>
      <w:pPr>
        <w:pStyle w:val="BodyText"/>
      </w:pPr>
      <w:r>
        <w:rPr>
          <w:b/>
          <w:bCs/>
        </w:rPr>
        <w:t xml:space="preserve">Why it matters.</w:t>
      </w:r>
      <w:r>
        <w:t xml:space="preserve"> </w:t>
      </w:r>
      <w:r>
        <w:t xml:space="preserve">This is the most serious coverage risk. If the MFA warranty was inaccurate as of the October 15, 2023 application (which must be investigated), Ridgeline may seek to void the policy entirely, jeopardizing up to $15M in aggregate coverage and converting a partially insured $4.5M (and growing) loss into an uninsured loss. This materially affects the financial impact and the SEC materiality analysis.</w:t>
      </w:r>
    </w:p>
    <w:p>
      <w:pPr>
        <w:pStyle w:val="BodyText"/>
      </w:pPr>
      <w:r>
        <w:rPr>
          <w:b/>
          <w:bCs/>
        </w:rPr>
        <w:t xml:space="preserve">Recommendation.</w:t>
      </w:r>
      <w:r>
        <w:t xml:space="preserve"> </w:t>
      </w:r>
      <w:r>
        <w:t xml:space="preserve">(i) Immediately investigate the accuracy of the MFA warranty as of the application date (coordinate with the broker and coverage counsel; preserve privilege). (ii) Prepare a defense to any void-ab-initio assertion (e.g., materiality of the gap to the specific risk, prejudice). (iii) Treat the potential loss of coverage as a materiality driver in the SEC analysis. (iv) Do not make statements to Ridgeline that could prejudice the position without coverage-counsel review.</w:t>
      </w:r>
    </w:p>
    <w:bookmarkEnd w:id="71"/>
    <w:bookmarkStart w:id="72" w:name="X37b3efc2d40ba2e749296f552cc08e3aa1688e5"/>
    <w:p>
      <w:pPr>
        <w:pStyle w:val="Heading3"/>
      </w:pPr>
      <w:r>
        <w:t xml:space="preserve">I.3</w:t>
      </w:r>
      <w:r>
        <w:t xml:space="preserve"> </w:t>
      </w:r>
      <w:r>
        <w:t xml:space="preserve">“</w:t>
      </w:r>
      <w:r>
        <w:t xml:space="preserve">Failure to maintain minimum security standards</w:t>
      </w:r>
      <w:r>
        <w:t xml:space="preserve">”</w:t>
      </w:r>
      <w:r>
        <w:t xml:space="preserve"> </w:t>
      </w:r>
      <w:r>
        <w:t xml:space="preserve">exclusion</w:t>
      </w:r>
    </w:p>
    <w:p>
      <w:pPr>
        <w:pStyle w:val="FirstParagraph"/>
      </w:pPr>
      <w:r>
        <w:rPr>
          <w:b/>
          <w:bCs/>
        </w:rPr>
        <w:t xml:space="preserve">Issue.</w:t>
      </w:r>
      <w:r>
        <w:t xml:space="preserve"> </w:t>
      </w:r>
      <w:r>
        <w:t xml:space="preserve">Policy exclusion (i) excludes loss</w:t>
      </w:r>
      <w:r>
        <w:t xml:space="preserve"> </w:t>
      </w:r>
      <w:r>
        <w:t xml:space="preserve">“</w:t>
      </w:r>
      <w:r>
        <w:t xml:space="preserve">arising from the Named Insured’s failure to maintain security controls substantially consistent with those represented in the Policy Application, provided that such failure materially contributed to the Cyber Event.</w:t>
      </w:r>
      <w:r>
        <w:t xml:space="preserve">”</w:t>
      </w:r>
      <w:r>
        <w:t xml:space="preserve"> </w:t>
      </w:r>
      <w:r>
        <w:t xml:space="preserve">The MFA failure (a represented control) materially contributed to the incident. (Ridgeline Policy Summary § 6(i); Thorngate Interim Report § 6.2.)</w:t>
      </w:r>
    </w:p>
    <w:p>
      <w:pPr>
        <w:pStyle w:val="BodyText"/>
      </w:pPr>
      <w:r>
        <w:rPr>
          <w:b/>
          <w:bCs/>
        </w:rPr>
        <w:t xml:space="preserve">Why it matters.</w:t>
      </w:r>
      <w:r>
        <w:t xml:space="preserve"> </w:t>
      </w:r>
      <w:r>
        <w:t xml:space="preserve">Independent of the warranty issue, this exclusion may be asserted to deny coverage. The unencrypted-at-rest finding may support an additional argument under this exclusion.</w:t>
      </w:r>
    </w:p>
    <w:p>
      <w:pPr>
        <w:pStyle w:val="BodyText"/>
      </w:pPr>
      <w:r>
        <w:rPr>
          <w:b/>
          <w:bCs/>
        </w:rPr>
        <w:t xml:space="preserve">Recommendation.</w:t>
      </w:r>
      <w:r>
        <w:t xml:space="preserve"> </w:t>
      </w:r>
      <w:r>
        <w:t xml:space="preserve">Develop the record on causation and on whether the controls were</w:t>
      </w:r>
      <w:r>
        <w:t xml:space="preserve"> </w:t>
      </w:r>
      <w:r>
        <w:t xml:space="preserve">“</w:t>
      </w:r>
      <w:r>
        <w:t xml:space="preserve">substantially consistent</w:t>
      </w:r>
      <w:r>
        <w:t xml:space="preserve">”</w:t>
      </w:r>
      <w:r>
        <w:t xml:space="preserve"> </w:t>
      </w:r>
      <w:r>
        <w:t xml:space="preserve">with the application; coordinate with coverage counsel; factor the exclusion risk into the materiality analysis.</w:t>
      </w:r>
    </w:p>
    <w:bookmarkEnd w:id="72"/>
    <w:bookmarkStart w:id="73" w:name="X6cf51edfa322bf294146977c3cb523ef945321b"/>
    <w:p>
      <w:pPr>
        <w:pStyle w:val="Heading3"/>
      </w:pPr>
      <w:r>
        <w:t xml:space="preserve">I.4 Contractual-liability exclusion may bar customer-contract damages</w:t>
      </w:r>
    </w:p>
    <w:p>
      <w:pPr>
        <w:pStyle w:val="FirstParagraph"/>
      </w:pPr>
      <w:r>
        <w:rPr>
          <w:b/>
          <w:bCs/>
        </w:rPr>
        <w:t xml:space="preserve">Issue.</w:t>
      </w:r>
      <w:r>
        <w:t xml:space="preserve"> </w:t>
      </w:r>
      <w:r>
        <w:t xml:space="preserve">Policy exclusion (g) excludes loss</w:t>
      </w:r>
      <w:r>
        <w:t xml:space="preserve"> </w:t>
      </w:r>
      <w:r>
        <w:t xml:space="preserve">“</w:t>
      </w:r>
      <w:r>
        <w:t xml:space="preserve">arising from breach of contract, unless the Named Insured would have been liable in the absence of such contract,</w:t>
      </w:r>
      <w:r>
        <w:t xml:space="preserve">”</w:t>
      </w:r>
      <w:r>
        <w:t xml:space="preserve"> </w:t>
      </w:r>
      <w:r>
        <w:t xml:space="preserve">and notes that</w:t>
      </w:r>
      <w:r>
        <w:t xml:space="preserve"> </w:t>
      </w:r>
      <w:r>
        <w:t xml:space="preserve">“</w:t>
      </w:r>
      <w:r>
        <w:t xml:space="preserve">liability arising solely from breach of contractual notification or indemnification clauses — where no independent tort liability exists — may be excluded.</w:t>
      </w:r>
      <w:r>
        <w:t xml:space="preserve">”</w:t>
      </w:r>
      <w:r>
        <w:t xml:space="preserve"> </w:t>
      </w:r>
      <w:r>
        <w:t xml:space="preserve">(Ridgeline Policy Summary § 6(g).)</w:t>
      </w:r>
    </w:p>
    <w:p>
      <w:pPr>
        <w:pStyle w:val="BodyText"/>
      </w:pPr>
      <w:r>
        <w:rPr>
          <w:b/>
          <w:bCs/>
        </w:rPr>
        <w:t xml:space="preserve">Why it matters.</w:t>
      </w:r>
      <w:r>
        <w:t xml:space="preserve"> </w:t>
      </w:r>
      <w:r>
        <w:t xml:space="preserve">The Harmon liquidated damages, the Crestfield/Nexagen termination and payment-suspension consequences, and the indemnity obligations may fall within this exclusion, meaning the customer-contract liabilities may be</w:t>
      </w:r>
      <w:r>
        <w:t xml:space="preserve"> </w:t>
      </w:r>
      <w:r>
        <w:rPr>
          <w:b/>
          <w:bCs/>
        </w:rPr>
        <w:t xml:space="preserve">uninsured</w:t>
      </w:r>
      <w:r>
        <w:t xml:space="preserve">. This increases net exposure and is a materiality factor.</w:t>
      </w:r>
    </w:p>
    <w:p>
      <w:pPr>
        <w:pStyle w:val="BodyText"/>
      </w:pPr>
      <w:r>
        <w:rPr>
          <w:b/>
          <w:bCs/>
        </w:rPr>
        <w:t xml:space="preserve">Recommendation.</w:t>
      </w:r>
      <w:r>
        <w:t xml:space="preserve"> </w:t>
      </w:r>
      <w:r>
        <w:t xml:space="preserve">Analyze each customer claim for independent (non-contractual) liability that could bring it within coverage; reserve rights positions; factor uninsured customer exposure into the materiality analysis and financial-impact estimates.</w:t>
      </w:r>
    </w:p>
    <w:bookmarkEnd w:id="73"/>
    <w:bookmarkStart w:id="74" w:name="i.5-consent-to-incur-costs-thresholds"/>
    <w:p>
      <w:pPr>
        <w:pStyle w:val="Heading3"/>
      </w:pPr>
      <w:r>
        <w:t xml:space="preserve">I.5 Consent-to-incur-costs thresholds</w:t>
      </w:r>
    </w:p>
    <w:p>
      <w:pPr>
        <w:pStyle w:val="FirstParagraph"/>
      </w:pPr>
      <w:r>
        <w:rPr>
          <w:b/>
          <w:bCs/>
        </w:rPr>
        <w:t xml:space="preserve">Issue.</w:t>
      </w:r>
      <w:r>
        <w:t xml:space="preserve"> </w:t>
      </w:r>
      <w:r>
        <w:t xml:space="preserve">Policy § 7.2 requires prior written consent for first-party losses exceeding $50,000 individually or $150,000 in the aggregate (or notice within 48 hours in emergencies). The Company incurred approximately $1.4M in incident-response costs. (Ridgeline Policy Summary § 7.2; Incident Status Report § 4.)</w:t>
      </w:r>
    </w:p>
    <w:p>
      <w:pPr>
        <w:pStyle w:val="BodyText"/>
      </w:pPr>
      <w:r>
        <w:rPr>
          <w:b/>
          <w:bCs/>
        </w:rPr>
        <w:t xml:space="preserve">Why it matters.</w:t>
      </w:r>
      <w:r>
        <w:t xml:space="preserve"> </w:t>
      </w:r>
      <w:r>
        <w:t xml:space="preserve">Failure to observe the consent/notice thresholds may give Ridgeline a basis to challenge reimbursement of costs incurred without consent, though the emergency-notice pathway may apply.</w:t>
      </w:r>
    </w:p>
    <w:p>
      <w:pPr>
        <w:pStyle w:val="BodyText"/>
      </w:pPr>
      <w:r>
        <w:rPr>
          <w:b/>
          <w:bCs/>
        </w:rPr>
        <w:t xml:space="preserve">Recommendation.</w:t>
      </w:r>
      <w:r>
        <w:t xml:space="preserve"> </w:t>
      </w:r>
      <w:r>
        <w:t xml:space="preserve">Verify whether the 48-hour emergency-notice pathway was satisfied for the costs incurred; document the emergency basis; obtain consent going forward for material expenditures.</w:t>
      </w:r>
    </w:p>
    <w:bookmarkEnd w:id="74"/>
    <w:bookmarkStart w:id="75" w:name="Xc7def9d97635661a73f0abb0c386367cce5867b"/>
    <w:p>
      <w:pPr>
        <w:pStyle w:val="Heading3"/>
      </w:pPr>
      <w:r>
        <w:t xml:space="preserve">I.6 Encrypted-backups warranty and the 58 unrestorable endpoints</w:t>
      </w:r>
    </w:p>
    <w:p>
      <w:pPr>
        <w:pStyle w:val="FirstParagraph"/>
      </w:pPr>
      <w:r>
        <w:rPr>
          <w:b/>
          <w:bCs/>
        </w:rPr>
        <w:t xml:space="preserve">Issue.</w:t>
      </w:r>
      <w:r>
        <w:t xml:space="preserve"> </w:t>
      </w:r>
      <w:r>
        <w:t xml:space="preserve">The application warranted</w:t>
      </w:r>
      <w:r>
        <w:t xml:space="preserve"> </w:t>
      </w:r>
      <w:r>
        <w:t xml:space="preserve">“</w:t>
      </w:r>
      <w:r>
        <w:t xml:space="preserve">encrypted backups stored offline or in a segregated environment.</w:t>
      </w:r>
      <w:r>
        <w:t xml:space="preserve">”</w:t>
      </w:r>
      <w:r>
        <w:t xml:space="preserve"> </w:t>
      </w:r>
      <w:r>
        <w:t xml:space="preserve">The CIRP describes AES-256-encrypted backups replicated to a secondary data center (facially consistent), but 58 of 347 endpoints could not be restored from backup due to</w:t>
      </w:r>
      <w:r>
        <w:t xml:space="preserve"> </w:t>
      </w:r>
      <w:r>
        <w:t xml:space="preserve">“</w:t>
      </w:r>
      <w:r>
        <w:t xml:space="preserve">backup incompatibility or corruption.</w:t>
      </w:r>
      <w:r>
        <w:t xml:space="preserve">”</w:t>
      </w:r>
      <w:r>
        <w:t xml:space="preserve"> </w:t>
      </w:r>
      <w:r>
        <w:t xml:space="preserve">(Ridgeline Policy Summary § 9(c); CIRP § 4.2; Thorngate Interim Report § 6.1.)</w:t>
      </w:r>
    </w:p>
    <w:p>
      <w:pPr>
        <w:pStyle w:val="BodyText"/>
      </w:pPr>
      <w:r>
        <w:rPr>
          <w:b/>
          <w:bCs/>
        </w:rPr>
        <w:t xml:space="preserve">Why it matters.</w:t>
      </w:r>
      <w:r>
        <w:t xml:space="preserve"> </w:t>
      </w:r>
      <w:r>
        <w:t xml:space="preserve">The backup-integrity issues should be examined for any warranty implication and for the data-restoration and business-interruption coverage analysis.</w:t>
      </w:r>
    </w:p>
    <w:p>
      <w:pPr>
        <w:pStyle w:val="BodyText"/>
      </w:pPr>
      <w:r>
        <w:rPr>
          <w:b/>
          <w:bCs/>
        </w:rPr>
        <w:t xml:space="preserve">Recommendation.</w:t>
      </w:r>
      <w:r>
        <w:t xml:space="preserve"> </w:t>
      </w:r>
      <w:r>
        <w:t xml:space="preserve">Verify the backup warranty; document the restoration failures; assess business-interruption loss (subject to the 8-hour waiting period and 180-day restoration-period cap) with the insurer.</w:t>
      </w:r>
    </w:p>
    <w:bookmarkEnd w:id="75"/>
    <w:bookmarkStart w:id="76" w:name="X07f2164f614a09e64657717ec7ed03934c1f091"/>
    <w:p>
      <w:pPr>
        <w:pStyle w:val="Heading3"/>
      </w:pPr>
      <w:r>
        <w:t xml:space="preserve">I.7 Coverage uncertainty is a materiality/disclosure factor</w:t>
      </w:r>
    </w:p>
    <w:p>
      <w:pPr>
        <w:pStyle w:val="FirstParagraph"/>
      </w:pPr>
      <w:r>
        <w:t xml:space="preserve">The aggregate of I.1–I.6 means the Company’s net financial exposure may be materially higher than the $4.5M estimate (potentially up to the full $4.5M plus customer liabilities plus regulatory penalties, with limited or no insurance recovery). This must be reflected in the SEC materiality analysis and the Item 1.05 impact disclosure.</w:t>
      </w:r>
    </w:p>
    <w:p>
      <w:r>
        <w:pict>
          <v:rect style="width:0;height:1.5pt" o:hralign="center" o:hrstd="t" o:hr="t"/>
        </w:pict>
      </w:r>
    </w:p>
    <w:bookmarkEnd w:id="76"/>
    <w:bookmarkEnd w:id="77"/>
    <w:bookmarkStart w:id="79" w:name="Xa8512ce242884d2acd4defa1821f26329206070"/>
    <w:p>
      <w:pPr>
        <w:pStyle w:val="Heading2"/>
      </w:pPr>
      <w:r>
        <w:t xml:space="preserve">XIII. Gap Analysis — Pending M&amp;A (Kessler Precision Systems GmbH)</w:t>
      </w:r>
    </w:p>
    <w:bookmarkStart w:id="78" w:name="X87869a9df738667a60a914e87a3f75e2962402d"/>
    <w:p>
      <w:pPr>
        <w:pStyle w:val="Heading3"/>
      </w:pPr>
      <w:r>
        <w:t xml:space="preserve">J.1 Counterparty and advisor not notified</w:t>
      </w:r>
    </w:p>
    <w:p>
      <w:pPr>
        <w:pStyle w:val="FirstParagraph"/>
      </w:pPr>
      <w:r>
        <w:rPr>
          <w:b/>
          <w:bCs/>
        </w:rPr>
        <w:t xml:space="preserve">Issue.</w:t>
      </w:r>
      <w:r>
        <w:t xml:space="preserve"> </w:t>
      </w:r>
      <w:r>
        <w:t xml:space="preserve">The Company is negotiating the $425 million acquisition of Kessler Precision Systems GmbH, with Canfield Cromdale Consulting &amp; Co. advising.</w:t>
      </w:r>
      <w:r>
        <w:t xml:space="preserve"> </w:t>
      </w:r>
      <w:r>
        <w:t xml:space="preserve">“</w:t>
      </w:r>
      <w:r>
        <w:t xml:space="preserve">[N]either Kessler Precision Systems GmbH nor Canfield Cromdale Consulting &amp; Co. has been notified of the cybersecurity incident. The potential impact of this cybersecurity incident on the pending transaction has not been assessed.</w:t>
      </w:r>
      <w:r>
        <w:t xml:space="preserve">”</w:t>
      </w:r>
      <w:r>
        <w:t xml:space="preserve"> </w:t>
      </w:r>
      <w:r>
        <w:t xml:space="preserve">(Incident Status Report § 5.9; GC-to-Audit-Chair Email.)</w:t>
      </w:r>
    </w:p>
    <w:p>
      <w:pPr>
        <w:pStyle w:val="BodyText"/>
      </w:pPr>
      <w:r>
        <w:rPr>
          <w:b/>
          <w:bCs/>
        </w:rPr>
        <w:t xml:space="preserve">Why it matters.</w:t>
      </w:r>
      <w:r>
        <w:t xml:space="preserve"> </w:t>
      </w:r>
      <w:r>
        <w:t xml:space="preserve">A $425 million acquisition by a company with ~$1.87B revenue is material. The incident may affect representations and warranties, the deal timeline, counterparty confidence, and any material-adverse-change (MAC) analysis. If the Company has filed (or will file) an 8-K announcing the transaction, a registration statement, or a proxy in connection with the acquisition, the cybersecurity incident may need to be disclosed in those documents; an omission could expose the Company to liability for a misleading disclosure. Failure to notify the counterparty also raises good-faith and anti-fraud considerations.</w:t>
      </w:r>
    </w:p>
    <w:p>
      <w:pPr>
        <w:pStyle w:val="BodyText"/>
      </w:pPr>
      <w:r>
        <w:rPr>
          <w:b/>
          <w:bCs/>
        </w:rPr>
        <w:t xml:space="preserve">Recommendation.</w:t>
      </w:r>
      <w:r>
        <w:t xml:space="preserve"> </w:t>
      </w:r>
      <w:r>
        <w:t xml:space="preserve">(i) Promptly assess the transaction impact with M&amp;A counsel (Hollister Marsh) and the financial advisor. (ii) Determine disclosure obligations in any pending or planned transaction filings. (iii) Evaluate notification to the counterparty and the advisor, including any contractual disclosure obligations in the deal documents. (iv) Consider MAC and reps-and-warranties implications. (v) Include the M&amp;A impact in the SEC materiality analysis.</w:t>
      </w:r>
    </w:p>
    <w:p>
      <w:r>
        <w:pict>
          <v:rect style="width:0;height:1.5pt" o:hralign="center" o:hrstd="t" o:hr="t"/>
        </w:pict>
      </w:r>
    </w:p>
    <w:bookmarkEnd w:id="78"/>
    <w:bookmarkEnd w:id="79"/>
    <w:bookmarkStart w:id="82" w:name="Xc9e83bd1ef2fed3b9768bb6f6087833aaa85b83"/>
    <w:p>
      <w:pPr>
        <w:pStyle w:val="Heading2"/>
      </w:pPr>
      <w:r>
        <w:t xml:space="preserve">XIV. Gap Analysis — Insider Trading, Regulation FD, and Trading Blackout</w:t>
      </w:r>
    </w:p>
    <w:bookmarkStart w:id="80" w:name="X42d7ed7514c10b6930eeac642803d822b93b5a5"/>
    <w:p>
      <w:pPr>
        <w:pStyle w:val="Heading3"/>
      </w:pPr>
      <w:r>
        <w:t xml:space="preserve">K.1 Material nonpublic information held by insiders; no apparent trading blackout</w:t>
      </w:r>
    </w:p>
    <w:p>
      <w:pPr>
        <w:pStyle w:val="FirstParagraph"/>
      </w:pPr>
      <w:r>
        <w:rPr>
          <w:b/>
          <w:bCs/>
        </w:rPr>
        <w:t xml:space="preserve">Issue.</w:t>
      </w:r>
      <w:r>
        <w:t xml:space="preserve"> </w:t>
      </w:r>
      <w:r>
        <w:t xml:space="preserve">Since mid-November 2024, numerous insiders and advisors (CISO, CTO, GC, Associate GC, CEO, Audit Committee Chair, Thorngate, Hollister Marsh, and others) have possessed information about a cybersecurity incident that, if material, constitutes material nonpublic information (</w:t>
      </w:r>
      <w:r>
        <w:t xml:space="preserve">“</w:t>
      </w:r>
      <w:r>
        <w:t xml:space="preserve">MNPI</w:t>
      </w:r>
      <w:r>
        <w:t xml:space="preserve">”</w:t>
      </w:r>
      <w:r>
        <w:t xml:space="preserve">). The record reflects no trading blackout or Rule 10b5-1 plan review.</w:t>
      </w:r>
    </w:p>
    <w:p>
      <w:pPr>
        <w:pStyle w:val="BodyText"/>
      </w:pPr>
      <w:r>
        <w:rPr>
          <w:b/>
          <w:bCs/>
        </w:rPr>
        <w:t xml:space="preserve">Why it matters.</w:t>
      </w:r>
      <w:r>
        <w:t xml:space="preserve"> </w:t>
      </w:r>
      <w:r>
        <w:t xml:space="preserve">If the incident is material, trading by informed insiders while in possession of MNPI would violate Section 10(b) and Rule 10b-5. The absence of a blackout is a significant compliance risk that grows with each day the incident remains undisclosed.</w:t>
      </w:r>
    </w:p>
    <w:p>
      <w:pPr>
        <w:pStyle w:val="BodyText"/>
      </w:pPr>
      <w:r>
        <w:rPr>
          <w:b/>
          <w:bCs/>
        </w:rPr>
        <w:t xml:space="preserve">Recommendation.</w:t>
      </w:r>
      <w:r>
        <w:t xml:space="preserve"> </w:t>
      </w:r>
      <w:r>
        <w:t xml:space="preserve">(i) Immediately implement a trading blackout for all insiders and other persons aware of the incident, pending public disclosure. (ii) Review and consider suspending or modifying any existing Rule 10b5-1 plans adopted by aware insiders (plans adopted while aware of MNPI are not entitled to the affirmative defense). (iii) Issue an insider-trading reminder. (iv) Consult counsel on the timing of any planned insider sales.</w:t>
      </w:r>
    </w:p>
    <w:bookmarkEnd w:id="80"/>
    <w:bookmarkStart w:id="81" w:name="X483a263c098b74db9dfe199c930599d509a2da7"/>
    <w:p>
      <w:pPr>
        <w:pStyle w:val="Heading3"/>
      </w:pPr>
      <w:r>
        <w:t xml:space="preserve">K.2 Regulation FD — selective-disclosure risk</w:t>
      </w:r>
    </w:p>
    <w:p>
      <w:pPr>
        <w:pStyle w:val="FirstParagraph"/>
      </w:pPr>
      <w:r>
        <w:rPr>
          <w:b/>
          <w:bCs/>
        </w:rPr>
        <w:t xml:space="preserve">Issue.</w:t>
      </w:r>
      <w:r>
        <w:t xml:space="preserve"> </w:t>
      </w:r>
      <w:r>
        <w:t xml:space="preserve">If the Company selectively discloses the incident to persons outside the Company (e.g., customers, the M&amp;A advisor, other counterparties) without simultaneous public disclosure, and the information is material, Regulation FD may be implicated. Board/Audit Committee communications are generally exempt from Reg FD.</w:t>
      </w:r>
    </w:p>
    <w:p>
      <w:pPr>
        <w:pStyle w:val="BodyText"/>
      </w:pPr>
      <w:r>
        <w:rPr>
          <w:b/>
          <w:bCs/>
        </w:rPr>
        <w:t xml:space="preserve">Why it matters.</w:t>
      </w:r>
      <w:r>
        <w:t xml:space="preserve"> </w:t>
      </w:r>
      <w:r>
        <w:t xml:space="preserve">Selective disclosure of MNPI to non-exempt recipients can trigger Reg FD violations and a duty to make simultaneous or prompt public disclosure.</w:t>
      </w:r>
    </w:p>
    <w:p>
      <w:pPr>
        <w:pStyle w:val="BodyText"/>
      </w:pPr>
      <w:r>
        <w:rPr>
          <w:b/>
          <w:bCs/>
        </w:rPr>
        <w:t xml:space="preserve">Recommendation.</w:t>
      </w:r>
      <w:r>
        <w:t xml:space="preserve"> </w:t>
      </w:r>
      <w:r>
        <w:t xml:space="preserve">Control communications about the incident; route any external disclosures through a coordinated process; once the 8-K is filed, the information is public and Reg FD risk is reduced. Avoid selective disclosure to customers/advisors beyond what is contractually required, and consider whether customer notifications should follow (not precede) the 8-K where feasible.</w:t>
      </w:r>
    </w:p>
    <w:p>
      <w:r>
        <w:pict>
          <v:rect style="width:0;height:1.5pt" o:hralign="center" o:hrstd="t" o:hr="t"/>
        </w:pict>
      </w:r>
    </w:p>
    <w:bookmarkEnd w:id="81"/>
    <w:bookmarkEnd w:id="82"/>
    <w:bookmarkStart w:id="86" w:name="X1fa7b877150db866e9b14af4cbfadd28e0e4ee1"/>
    <w:p>
      <w:pPr>
        <w:pStyle w:val="Heading2"/>
      </w:pPr>
      <w:r>
        <w:t xml:space="preserve">XV. Gap Analysis — Privilege and Investigation Governance</w:t>
      </w:r>
    </w:p>
    <w:bookmarkStart w:id="83" w:name="X35812f4d3f7d56b7d0e3b8f0baa9fe27f40d3dd"/>
    <w:p>
      <w:pPr>
        <w:pStyle w:val="Heading3"/>
      </w:pPr>
      <w:r>
        <w:t xml:space="preserve">L.1 Thorngate engaged before counsel was informed</w:t>
      </w:r>
    </w:p>
    <w:p>
      <w:pPr>
        <w:pStyle w:val="FirstParagraph"/>
      </w:pPr>
      <w:r>
        <w:rPr>
          <w:b/>
          <w:bCs/>
        </w:rPr>
        <w:t xml:space="preserve">Issue.</w:t>
      </w:r>
      <w:r>
        <w:t xml:space="preserve"> </w:t>
      </w:r>
      <w:r>
        <w:t xml:space="preserve">Thorngate was retained on November 19, 2024, but the General Counsel was not informed of the incident until November 20, 2024 (upon her return from travel). The Thorngate engagement letter was therefore executed before counsel was involved. (Incident Status Report §§ 2, 5.6; Thorngate Interim Report § 2.1.)</w:t>
      </w:r>
    </w:p>
    <w:p>
      <w:pPr>
        <w:pStyle w:val="BodyText"/>
      </w:pPr>
      <w:r>
        <w:rPr>
          <w:b/>
          <w:bCs/>
        </w:rPr>
        <w:t xml:space="preserve">Why it matters.</w:t>
      </w:r>
      <w:r>
        <w:t xml:space="preserve"> </w:t>
      </w:r>
      <w:r>
        <w:t xml:space="preserve">To maximize the attorney-client privilege and work-product protection over the forensic investigation, the engagement should be directed by counsel. An engagement by the Company (through the CISO/CTO) before counsel’s involvement weakens the claim that the investigation was conducted</w:t>
      </w:r>
      <w:r>
        <w:t xml:space="preserve"> </w:t>
      </w:r>
      <w:r>
        <w:t xml:space="preserve">“</w:t>
      </w:r>
      <w:r>
        <w:t xml:space="preserve">at the direction of counsel.</w:t>
      </w:r>
      <w:r>
        <w:t xml:space="preserve">”</w:t>
      </w:r>
      <w:r>
        <w:t xml:space="preserve"> </w:t>
      </w:r>
      <w:r>
        <w:t xml:space="preserve">The Thorngate report is marked</w:t>
      </w:r>
      <w:r>
        <w:t xml:space="preserve"> </w:t>
      </w:r>
      <w:r>
        <w:t xml:space="preserve">“</w:t>
      </w:r>
      <w:r>
        <w:t xml:space="preserve">prepared at the direction of counsel,</w:t>
      </w:r>
      <w:r>
        <w:t xml:space="preserve">”</w:t>
      </w:r>
      <w:r>
        <w:t xml:space="preserve"> </w:t>
      </w:r>
      <w:r>
        <w:t xml:space="preserve">but the timing creates a vulnerability.</w:t>
      </w:r>
    </w:p>
    <w:p>
      <w:pPr>
        <w:pStyle w:val="BodyText"/>
      </w:pPr>
      <w:r>
        <w:rPr>
          <w:b/>
          <w:bCs/>
        </w:rPr>
        <w:t xml:space="preserve">Recommendation.</w:t>
      </w:r>
      <w:r>
        <w:t xml:space="preserve"> </w:t>
      </w:r>
      <w:r>
        <w:t xml:space="preserve">(i) Confirm and document the role of counsel in directing the Thorngate engagement going forward; consider a Kovel-style arrangement if not already in place. (ii) Route forensic communications through counsel. (iii) Preserve privilege by limiting distribution and marking.</w:t>
      </w:r>
    </w:p>
    <w:bookmarkEnd w:id="83"/>
    <w:bookmarkStart w:id="84" w:name="X20230a08f070b5a2ae2c5cbf88bec4465f08c33"/>
    <w:p>
      <w:pPr>
        <w:pStyle w:val="Heading3"/>
      </w:pPr>
      <w:r>
        <w:t xml:space="preserve">L.2 Thorngate report distribution limited to CISO and CTO</w:t>
      </w:r>
    </w:p>
    <w:p>
      <w:pPr>
        <w:pStyle w:val="FirstParagraph"/>
      </w:pPr>
      <w:r>
        <w:rPr>
          <w:b/>
          <w:bCs/>
        </w:rPr>
        <w:t xml:space="preserve">Issue.</w:t>
      </w:r>
      <w:r>
        <w:t xml:space="preserve"> </w:t>
      </w:r>
      <w:r>
        <w:t xml:space="preserve">The Thorngate interim report’s distribution is limited to the CISO and CTO; the General Counsel is not on the distribution list, although the report is marked</w:t>
      </w:r>
      <w:r>
        <w:t xml:space="preserve"> </w:t>
      </w:r>
      <w:r>
        <w:t xml:space="preserve">“</w:t>
      </w:r>
      <w:r>
        <w:t xml:space="preserve">prepared at the direction of counsel.</w:t>
      </w:r>
      <w:r>
        <w:t xml:space="preserve">”</w:t>
      </w:r>
      <w:r>
        <w:t xml:space="preserve"> </w:t>
      </w:r>
      <w:r>
        <w:t xml:space="preserve">(Thorngate Interim Report, Distribution.)</w:t>
      </w:r>
    </w:p>
    <w:p>
      <w:pPr>
        <w:pStyle w:val="BodyText"/>
      </w:pPr>
      <w:r>
        <w:rPr>
          <w:b/>
          <w:bCs/>
        </w:rPr>
        <w:t xml:space="preserve">Why it matters.</w:t>
      </w:r>
      <w:r>
        <w:t xml:space="preserve"> </w:t>
      </w:r>
      <w:r>
        <w:t xml:space="preserve">Distribution that excludes counsel, combined with the engagement-timing issue, may undermine privilege. Broad distribution to non-counsel recipients can waive privilege.</w:t>
      </w:r>
    </w:p>
    <w:p>
      <w:pPr>
        <w:pStyle w:val="BodyText"/>
      </w:pPr>
      <w:r>
        <w:rPr>
          <w:b/>
          <w:bCs/>
        </w:rPr>
        <w:t xml:space="preserve">Recommendation.</w:t>
      </w:r>
      <w:r>
        <w:t xml:space="preserve"> </w:t>
      </w:r>
      <w:r>
        <w:t xml:space="preserve">Route the report through counsel; limit distribution to those with a need to know; ensure counsel controls further dissemination.</w:t>
      </w:r>
    </w:p>
    <w:bookmarkEnd w:id="84"/>
    <w:bookmarkStart w:id="85" w:name="Xf2383a7f787cb3490d2e18aafcb67e43fa81ef9"/>
    <w:p>
      <w:pPr>
        <w:pStyle w:val="Heading3"/>
      </w:pPr>
      <w:r>
        <w:t xml:space="preserve">L.3 Informal communication of the incident to the Associate GC</w:t>
      </w:r>
    </w:p>
    <w:p>
      <w:pPr>
        <w:pStyle w:val="FirstParagraph"/>
      </w:pPr>
      <w:r>
        <w:rPr>
          <w:b/>
          <w:bCs/>
        </w:rPr>
        <w:t xml:space="preserve">Issue.</w:t>
      </w:r>
      <w:r>
        <w:t xml:space="preserve"> </w:t>
      </w:r>
      <w:r>
        <w:t xml:space="preserve">The Associate General Counsel learned of the incident on November 19</w:t>
      </w:r>
      <w:r>
        <w:t xml:space="preserve"> </w:t>
      </w:r>
      <w:r>
        <w:t xml:space="preserve">“</w:t>
      </w:r>
      <w:r>
        <w:t xml:space="preserve">through informal communication from an IT colleague,</w:t>
      </w:r>
      <w:r>
        <w:t xml:space="preserve">”</w:t>
      </w:r>
      <w:r>
        <w:t xml:space="preserve"> </w:t>
      </w:r>
      <w:r>
        <w:t xml:space="preserve">rather than through a formal escalation. (Incident Status Report § 2.)</w:t>
      </w:r>
    </w:p>
    <w:p>
      <w:pPr>
        <w:pStyle w:val="BodyText"/>
      </w:pPr>
      <w:r>
        <w:rPr>
          <w:b/>
          <w:bCs/>
        </w:rPr>
        <w:t xml:space="preserve">Why it matters.</w:t>
      </w:r>
      <w:r>
        <w:t xml:space="preserve"> </w:t>
      </w:r>
      <w:r>
        <w:t xml:space="preserve">Informal, undocumented escalation of a Tier 3 incident to the legal function is a process failure and creates gaps in the record of when the legal/disclosure function was engaged.</w:t>
      </w:r>
    </w:p>
    <w:p>
      <w:pPr>
        <w:pStyle w:val="BodyText"/>
      </w:pPr>
      <w:r>
        <w:rPr>
          <w:b/>
          <w:bCs/>
        </w:rPr>
        <w:t xml:space="preserve">Recommendation.</w:t>
      </w:r>
      <w:r>
        <w:t xml:space="preserve"> </w:t>
      </w:r>
      <w:r>
        <w:t xml:space="preserve">Formalize legal-department notification in the CIRP (see E.3); document all legal escalations in the ServiceNow record.</w:t>
      </w:r>
    </w:p>
    <w:p>
      <w:r>
        <w:pict>
          <v:rect style="width:0;height:1.5pt" o:hralign="center" o:hrstd="t" o:hr="t"/>
        </w:pict>
      </w:r>
    </w:p>
    <w:bookmarkEnd w:id="85"/>
    <w:bookmarkEnd w:id="86"/>
    <w:bookmarkStart w:id="87" w:name="xvi.-consolidated-gap-register"/>
    <w:p>
      <w:pPr>
        <w:pStyle w:val="Heading2"/>
      </w:pPr>
      <w:r>
        <w:t xml:space="preserve">XVI. Consolidated Gap Register</w:t>
      </w:r>
    </w:p>
    <w:p>
      <w:pPr>
        <w:pStyle w:val="FirstParagraph"/>
      </w:pPr>
      <w:r>
        <w:t xml:space="preserve">Severity:</w:t>
      </w:r>
      <w:r>
        <w:t xml:space="preserve"> </w:t>
      </w:r>
      <w:r>
        <w:rPr>
          <w:b/>
          <w:bCs/>
        </w:rPr>
        <w:t xml:space="preserve">Critical</w:t>
      </w:r>
      <w:r>
        <w:t xml:space="preserve"> </w:t>
      </w:r>
      <w:r>
        <w:t xml:space="preserve">(immediate SEC/legal/financial exposure),</w:t>
      </w:r>
      <w:r>
        <w:t xml:space="preserve"> </w:t>
      </w:r>
      <w:r>
        <w:rPr>
          <w:b/>
          <w:bCs/>
        </w:rPr>
        <w:t xml:space="preserve">High</w:t>
      </w:r>
      <w:r>
        <w:t xml:space="preserve"> </w:t>
      </w:r>
      <w:r>
        <w:t xml:space="preserve">(significant exposure requiring prompt action),</w:t>
      </w:r>
      <w:r>
        <w:t xml:space="preserve"> </w:t>
      </w:r>
      <w:r>
        <w:rPr>
          <w:b/>
          <w:bCs/>
        </w:rPr>
        <w:t xml:space="preserve">Medium</w:t>
      </w:r>
      <w:r>
        <w:t xml:space="preserve"> </w:t>
      </w:r>
      <w:r>
        <w:t xml:space="preserve">(process/disclosure-accuracy gap).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Source</w:t>
            </w:r>
          </w:p>
        </w:tc>
        <w:tc>
          <w:tcPr/>
          <w:p>
            <w:pPr>
              <w:pStyle w:val="Compact"/>
              <w:jc w:val="left"/>
            </w:pPr>
            <w:r>
              <w:t xml:space="preserve">Severity</w:t>
            </w:r>
          </w:p>
        </w:tc>
      </w:tr>
      <w:tr>
        <w:tc>
          <w:tcPr/>
          <w:p>
            <w:pPr>
              <w:pStyle w:val="Compact"/>
              <w:jc w:val="left"/>
            </w:pPr>
            <w:r>
              <w:t xml:space="preserve">A.1</w:t>
            </w:r>
          </w:p>
        </w:tc>
        <w:tc>
          <w:tcPr/>
          <w:p>
            <w:pPr>
              <w:pStyle w:val="Compact"/>
              <w:jc w:val="left"/>
            </w:pPr>
            <w:r>
              <w:t xml:space="preserve">No materiality determination conducted (17+ days); unreasonable-delay risk</w:t>
            </w:r>
          </w:p>
        </w:tc>
        <w:tc>
          <w:tcPr/>
          <w:p>
            <w:pPr>
              <w:pStyle w:val="Compact"/>
              <w:jc w:val="left"/>
            </w:pPr>
            <w:r>
              <w:t xml:space="preserve">Status Report §§ 1, 5.4, 7.5</w:t>
            </w:r>
          </w:p>
        </w:tc>
        <w:tc>
          <w:tcPr/>
          <w:p>
            <w:pPr>
              <w:pStyle w:val="Compact"/>
              <w:jc w:val="left"/>
            </w:pPr>
            <w:r>
              <w:t xml:space="preserve">Critical</w:t>
            </w:r>
          </w:p>
        </w:tc>
      </w:tr>
      <w:tr>
        <w:tc>
          <w:tcPr/>
          <w:p>
            <w:pPr>
              <w:pStyle w:val="Compact"/>
              <w:jc w:val="left"/>
            </w:pPr>
            <w:r>
              <w:t xml:space="preserve">A.2</w:t>
            </w:r>
          </w:p>
        </w:tc>
        <w:tc>
          <w:tcPr/>
          <w:p>
            <w:pPr>
              <w:pStyle w:val="Compact"/>
              <w:jc w:val="left"/>
            </w:pPr>
            <w:r>
              <w:t xml:space="preserve">No Form 8-K or public disclosure filed</w:t>
            </w:r>
          </w:p>
        </w:tc>
        <w:tc>
          <w:tcPr/>
          <w:p>
            <w:pPr>
              <w:pStyle w:val="Compact"/>
              <w:jc w:val="left"/>
            </w:pPr>
            <w:r>
              <w:t xml:space="preserve">Status Report §§ 1, 5.4, 5.7</w:t>
            </w:r>
          </w:p>
        </w:tc>
        <w:tc>
          <w:tcPr/>
          <w:p>
            <w:pPr>
              <w:pStyle w:val="Compact"/>
              <w:jc w:val="left"/>
            </w:pPr>
            <w:r>
              <w:t xml:space="preserve">Critical</w:t>
            </w:r>
          </w:p>
        </w:tc>
      </w:tr>
      <w:tr>
        <w:tc>
          <w:tcPr/>
          <w:p>
            <w:pPr>
              <w:pStyle w:val="Compact"/>
              <w:jc w:val="left"/>
            </w:pPr>
            <w:r>
              <w:t xml:space="preserve">A.3</w:t>
            </w:r>
          </w:p>
        </w:tc>
        <w:tc>
          <w:tcPr/>
          <w:p>
            <w:pPr>
              <w:pStyle w:val="Compact"/>
              <w:jc w:val="left"/>
            </w:pPr>
            <w:r>
              <w:t xml:space="preserve">Strong indicators of materiality (qualitative + reasonably likely)</w:t>
            </w:r>
          </w:p>
        </w:tc>
        <w:tc>
          <w:tcPr/>
          <w:p>
            <w:pPr>
              <w:pStyle w:val="Compact"/>
              <w:jc w:val="left"/>
            </w:pPr>
            <w:r>
              <w:t xml:space="preserve">Thorngate §§ 4, 6; Status Report § 5.3; Contracts</w:t>
            </w:r>
          </w:p>
        </w:tc>
        <w:tc>
          <w:tcPr/>
          <w:p>
            <w:pPr>
              <w:pStyle w:val="Compact"/>
              <w:jc w:val="left"/>
            </w:pPr>
            <w:r>
              <w:t xml:space="preserve">Critical</w:t>
            </w:r>
          </w:p>
        </w:tc>
      </w:tr>
      <w:tr>
        <w:tc>
          <w:tcPr/>
          <w:p>
            <w:pPr>
              <w:pStyle w:val="Compact"/>
              <w:jc w:val="left"/>
            </w:pPr>
            <w:r>
              <w:t xml:space="preserve">A.4</w:t>
            </w:r>
          </w:p>
        </w:tc>
        <w:tc>
          <w:tcPr/>
          <w:p>
            <w:pPr>
              <w:pStyle w:val="Compact"/>
              <w:jc w:val="left"/>
            </w:pPr>
            <w:r>
              <w:t xml:space="preserve">No law-enforcement delay basis (cannot defer)</w:t>
            </w:r>
          </w:p>
        </w:tc>
        <w:tc>
          <w:tcPr/>
          <w:p>
            <w:pPr>
              <w:pStyle w:val="Compact"/>
              <w:jc w:val="left"/>
            </w:pPr>
            <w:r>
              <w:t xml:space="preserve">Status Report §§ 1, 5.1</w:t>
            </w:r>
          </w:p>
        </w:tc>
        <w:tc>
          <w:tcPr/>
          <w:p>
            <w:pPr>
              <w:pStyle w:val="Compact"/>
              <w:jc w:val="left"/>
            </w:pPr>
            <w:r>
              <w:t xml:space="preserve">High</w:t>
            </w:r>
          </w:p>
        </w:tc>
      </w:tr>
      <w:tr>
        <w:tc>
          <w:tcPr/>
          <w:p>
            <w:pPr>
              <w:pStyle w:val="Compact"/>
              <w:jc w:val="left"/>
            </w:pPr>
            <w:r>
              <w:t xml:space="preserve">A.5</w:t>
            </w:r>
          </w:p>
        </w:tc>
        <w:tc>
          <w:tcPr/>
          <w:p>
            <w:pPr>
              <w:pStyle w:val="Compact"/>
              <w:jc w:val="left"/>
            </w:pPr>
            <w:r>
              <w:t xml:space="preserve">Disclosure content available; no basis to await Dec 20 report</w:t>
            </w:r>
          </w:p>
        </w:tc>
        <w:tc>
          <w:tcPr/>
          <w:p>
            <w:pPr>
              <w:pStyle w:val="Compact"/>
              <w:jc w:val="left"/>
            </w:pPr>
            <w:r>
              <w:t xml:space="preserve">Thorngate § 1; Status Report</w:t>
            </w:r>
          </w:p>
        </w:tc>
        <w:tc>
          <w:tcPr/>
          <w:p>
            <w:pPr>
              <w:pStyle w:val="Compact"/>
              <w:jc w:val="left"/>
            </w:pPr>
            <w:r>
              <w:t xml:space="preserve">High</w:t>
            </w:r>
          </w:p>
        </w:tc>
      </w:tr>
      <w:tr>
        <w:tc>
          <w:tcPr/>
          <w:p>
            <w:pPr>
              <w:pStyle w:val="Compact"/>
              <w:jc w:val="left"/>
            </w:pPr>
            <w:r>
              <w:t xml:space="preserve">B.1</w:t>
            </w:r>
          </w:p>
        </w:tc>
        <w:tc>
          <w:tcPr/>
          <w:p>
            <w:pPr>
              <w:pStyle w:val="Compact"/>
              <w:jc w:val="left"/>
            </w:pPr>
            <w:r>
              <w:t xml:space="preserve">No documented securities-materiality assessment process</w:t>
            </w:r>
          </w:p>
        </w:tc>
        <w:tc>
          <w:tcPr/>
          <w:p>
            <w:pPr>
              <w:pStyle w:val="Compact"/>
              <w:jc w:val="left"/>
            </w:pPr>
            <w:r>
              <w:t xml:space="preserve">CIRP § 3.2; 10-K Item 1C</w:t>
            </w:r>
          </w:p>
        </w:tc>
        <w:tc>
          <w:tcPr/>
          <w:p>
            <w:pPr>
              <w:pStyle w:val="Compact"/>
              <w:jc w:val="left"/>
            </w:pPr>
            <w:r>
              <w:t xml:space="preserve">High</w:t>
            </w:r>
          </w:p>
        </w:tc>
      </w:tr>
      <w:tr>
        <w:tc>
          <w:tcPr/>
          <w:p>
            <w:pPr>
              <w:pStyle w:val="Compact"/>
              <w:jc w:val="left"/>
            </w:pPr>
            <w:r>
              <w:t xml:space="preserve">B.2</w:t>
            </w:r>
          </w:p>
        </w:tc>
        <w:tc>
          <w:tcPr/>
          <w:p>
            <w:pPr>
              <w:pStyle w:val="Compact"/>
              <w:jc w:val="left"/>
            </w:pPr>
            <w:r>
              <w:t xml:space="preserve">Conflation of technical Tier 3 with securities materiality</w:t>
            </w:r>
          </w:p>
        </w:tc>
        <w:tc>
          <w:tcPr/>
          <w:p>
            <w:pPr>
              <w:pStyle w:val="Compact"/>
              <w:jc w:val="left"/>
            </w:pPr>
            <w:r>
              <w:t xml:space="preserve">Status Report; CIRP § 3.2</w:t>
            </w:r>
          </w:p>
        </w:tc>
        <w:tc>
          <w:tcPr/>
          <w:p>
            <w:pPr>
              <w:pStyle w:val="Compact"/>
              <w:jc w:val="left"/>
            </w:pPr>
            <w:r>
              <w:t xml:space="preserve">High</w:t>
            </w:r>
          </w:p>
        </w:tc>
      </w:tr>
      <w:tr>
        <w:tc>
          <w:tcPr/>
          <w:p>
            <w:pPr>
              <w:pStyle w:val="Compact"/>
              <w:jc w:val="left"/>
            </w:pPr>
            <w:r>
              <w:t xml:space="preserve">C.1</w:t>
            </w:r>
          </w:p>
        </w:tc>
        <w:tc>
          <w:tcPr/>
          <w:p>
            <w:pPr>
              <w:pStyle w:val="Compact"/>
              <w:jc w:val="left"/>
            </w:pPr>
            <w:r>
              <w:t xml:space="preserve">MFA representation in 10-K contradicted by forensics (10b-5/§18 risk)</w:t>
            </w:r>
          </w:p>
        </w:tc>
        <w:tc>
          <w:tcPr/>
          <w:p>
            <w:pPr>
              <w:pStyle w:val="Compact"/>
              <w:jc w:val="left"/>
            </w:pPr>
            <w:r>
              <w:t xml:space="preserve">10-K Item 1C; CIRP § 4.1(d); Thorngate § 6.2</w:t>
            </w:r>
          </w:p>
        </w:tc>
        <w:tc>
          <w:tcPr/>
          <w:p>
            <w:pPr>
              <w:pStyle w:val="Compact"/>
              <w:jc w:val="left"/>
            </w:pPr>
            <w:r>
              <w:t xml:space="preserve">Critical</w:t>
            </w:r>
          </w:p>
        </w:tc>
      </w:tr>
      <w:tr>
        <w:tc>
          <w:tcPr/>
          <w:p>
            <w:pPr>
              <w:pStyle w:val="Compact"/>
              <w:jc w:val="left"/>
            </w:pPr>
            <w:r>
              <w:t xml:space="preserve">C.2</w:t>
            </w:r>
          </w:p>
        </w:tc>
        <w:tc>
          <w:tcPr/>
          <w:p>
            <w:pPr>
              <w:pStyle w:val="Compact"/>
              <w:jc w:val="left"/>
            </w:pPr>
            <w:r>
              <w:t xml:space="preserve">“</w:t>
            </w:r>
            <w:r>
              <w:t xml:space="preserve">No material incidents</w:t>
            </w:r>
            <w:r>
              <w:t xml:space="preserve">”</w:t>
            </w:r>
            <w:r>
              <w:t xml:space="preserve"> </w:t>
            </w:r>
            <w:r>
              <w:t xml:space="preserve">statement requires FY2024 update</w:t>
            </w:r>
          </w:p>
        </w:tc>
        <w:tc>
          <w:tcPr/>
          <w:p>
            <w:pPr>
              <w:pStyle w:val="Compact"/>
              <w:jc w:val="left"/>
            </w:pPr>
            <w:r>
              <w:t xml:space="preserve">10-K Item 1C</w:t>
            </w:r>
          </w:p>
        </w:tc>
        <w:tc>
          <w:tcPr/>
          <w:p>
            <w:pPr>
              <w:pStyle w:val="Compact"/>
              <w:jc w:val="left"/>
            </w:pPr>
            <w:r>
              <w:t xml:space="preserve">High</w:t>
            </w:r>
          </w:p>
        </w:tc>
      </w:tr>
      <w:tr>
        <w:tc>
          <w:tcPr/>
          <w:p>
            <w:pPr>
              <w:pStyle w:val="Compact"/>
              <w:jc w:val="left"/>
            </w:pPr>
            <w:r>
              <w:t xml:space="preserve">C.3</w:t>
            </w:r>
          </w:p>
        </w:tc>
        <w:tc>
          <w:tcPr/>
          <w:p>
            <w:pPr>
              <w:pStyle w:val="Compact"/>
              <w:jc w:val="left"/>
            </w:pPr>
            <w:r>
              <w:t xml:space="preserve">CIRP</w:t>
            </w:r>
            <w:r>
              <w:t xml:space="preserve"> </w:t>
            </w:r>
            <w:r>
              <w:t xml:space="preserve">“</w:t>
            </w:r>
            <w:r>
              <w:t xml:space="preserve">reviewed Aug 2023</w:t>
            </w:r>
            <w:r>
              <w:t xml:space="preserve">”</w:t>
            </w:r>
            <w:r>
              <w:t xml:space="preserve"> </w:t>
            </w:r>
            <w:r>
              <w:t xml:space="preserve">misleading; untested plan not disclosed</w:t>
            </w:r>
          </w:p>
        </w:tc>
        <w:tc>
          <w:tcPr/>
          <w:p>
            <w:pPr>
              <w:pStyle w:val="Compact"/>
              <w:jc w:val="left"/>
            </w:pPr>
            <w:r>
              <w:t xml:space="preserve">10-K Item 1C; CIRP §§ 1.4, 4.3</w:t>
            </w:r>
          </w:p>
        </w:tc>
        <w:tc>
          <w:tcPr/>
          <w:p>
            <w:pPr>
              <w:pStyle w:val="Compact"/>
              <w:jc w:val="left"/>
            </w:pPr>
            <w:r>
              <w:t xml:space="preserve">High</w:t>
            </w:r>
          </w:p>
        </w:tc>
      </w:tr>
      <w:tr>
        <w:tc>
          <w:tcPr/>
          <w:p>
            <w:pPr>
              <w:pStyle w:val="Compact"/>
              <w:jc w:val="left"/>
            </w:pPr>
            <w:r>
              <w:t xml:space="preserve">C.4</w:t>
            </w:r>
          </w:p>
        </w:tc>
        <w:tc>
          <w:tcPr/>
          <w:p>
            <w:pPr>
              <w:pStyle w:val="Compact"/>
              <w:jc w:val="left"/>
            </w:pPr>
            <w:r>
              <w:t xml:space="preserve">Board-escalation</w:t>
            </w:r>
            <w:r>
              <w:t xml:space="preserve"> </w:t>
            </w:r>
            <w:r>
              <w:t xml:space="preserve">“</w:t>
            </w:r>
            <w:r>
              <w:t xml:space="preserve">timely manner</w:t>
            </w:r>
            <w:r>
              <w:t xml:space="preserve">”</w:t>
            </w:r>
            <w:r>
              <w:t xml:space="preserve"> </w:t>
            </w:r>
            <w:r>
              <w:t xml:space="preserve">representation contradicted</w:t>
            </w:r>
          </w:p>
        </w:tc>
        <w:tc>
          <w:tcPr/>
          <w:p>
            <w:pPr>
              <w:pStyle w:val="Compact"/>
              <w:jc w:val="left"/>
            </w:pPr>
            <w:r>
              <w:t xml:space="preserve">10-K Item 1C; Status Report § 5.5; CIRP § 10</w:t>
            </w:r>
          </w:p>
        </w:tc>
        <w:tc>
          <w:tcPr/>
          <w:p>
            <w:pPr>
              <w:pStyle w:val="Compact"/>
              <w:jc w:val="left"/>
            </w:pPr>
            <w:r>
              <w:t xml:space="preserve">High</w:t>
            </w:r>
          </w:p>
        </w:tc>
      </w:tr>
      <w:tr>
        <w:tc>
          <w:tcPr/>
          <w:p>
            <w:pPr>
              <w:pStyle w:val="Compact"/>
              <w:jc w:val="left"/>
            </w:pPr>
            <w:r>
              <w:t xml:space="preserve">C.5</w:t>
            </w:r>
          </w:p>
        </w:tc>
        <w:tc>
          <w:tcPr/>
          <w:p>
            <w:pPr>
              <w:pStyle w:val="Compact"/>
              <w:jc w:val="left"/>
            </w:pPr>
            <w:r>
              <w:t xml:space="preserve">Third-party risk-management representation vs. access deficiency</w:t>
            </w:r>
          </w:p>
        </w:tc>
        <w:tc>
          <w:tcPr/>
          <w:p>
            <w:pPr>
              <w:pStyle w:val="Compact"/>
              <w:jc w:val="left"/>
            </w:pPr>
            <w:r>
              <w:t xml:space="preserve">10-K Item 1C; Thorngate § 3.1</w:t>
            </w:r>
          </w:p>
        </w:tc>
        <w:tc>
          <w:tcPr/>
          <w:p>
            <w:pPr>
              <w:pStyle w:val="Compact"/>
              <w:jc w:val="left"/>
            </w:pPr>
            <w:r>
              <w:t xml:space="preserve">Medium</w:t>
            </w:r>
          </w:p>
        </w:tc>
      </w:tr>
      <w:tr>
        <w:tc>
          <w:tcPr/>
          <w:p>
            <w:pPr>
              <w:pStyle w:val="Compact"/>
              <w:jc w:val="left"/>
            </w:pPr>
            <w:r>
              <w:t xml:space="preserve">C.6</w:t>
            </w:r>
          </w:p>
        </w:tc>
        <w:tc>
          <w:tcPr/>
          <w:p>
            <w:pPr>
              <w:pStyle w:val="Compact"/>
              <w:jc w:val="left"/>
            </w:pPr>
            <w:r>
              <w:t xml:space="preserve">NIST CSF</w:t>
            </w:r>
            <w:r>
              <w:t xml:space="preserve"> </w:t>
            </w:r>
            <w:r>
              <w:t xml:space="preserve">“</w:t>
            </w:r>
            <w:r>
              <w:t xml:space="preserve">alignment</w:t>
            </w:r>
            <w:r>
              <w:t xml:space="preserve">”</w:t>
            </w:r>
            <w:r>
              <w:t xml:space="preserve"> </w:t>
            </w:r>
            <w:r>
              <w:t xml:space="preserve">claim vs. control deficiencies</w:t>
            </w:r>
          </w:p>
        </w:tc>
        <w:tc>
          <w:tcPr/>
          <w:p>
            <w:pPr>
              <w:pStyle w:val="Compact"/>
              <w:jc w:val="left"/>
            </w:pPr>
            <w:r>
              <w:t xml:space="preserve">10-K Item 1C; Thorngate §§ 3.1, 4.4</w:t>
            </w:r>
          </w:p>
        </w:tc>
        <w:tc>
          <w:tcPr/>
          <w:p>
            <w:pPr>
              <w:pStyle w:val="Compact"/>
              <w:jc w:val="left"/>
            </w:pPr>
            <w:r>
              <w:t xml:space="preserve">Medium</w:t>
            </w:r>
          </w:p>
        </w:tc>
      </w:tr>
      <w:tr>
        <w:tc>
          <w:tcPr/>
          <w:p>
            <w:pPr>
              <w:pStyle w:val="Compact"/>
              <w:jc w:val="left"/>
            </w:pPr>
            <w:r>
              <w:t xml:space="preserve">D.1</w:t>
            </w:r>
          </w:p>
        </w:tc>
        <w:tc>
          <w:tcPr/>
          <w:p>
            <w:pPr>
              <w:pStyle w:val="Compact"/>
              <w:jc w:val="left"/>
            </w:pPr>
            <w:r>
              <w:t xml:space="preserve">Disclosure-controls failure; incident not escalated to disclosure function</w:t>
            </w:r>
          </w:p>
        </w:tc>
        <w:tc>
          <w:tcPr/>
          <w:p>
            <w:pPr>
              <w:pStyle w:val="Compact"/>
              <w:jc w:val="left"/>
            </w:pPr>
            <w:r>
              <w:t xml:space="preserve">Status Report §§ 2, 5; Email</w:t>
            </w:r>
          </w:p>
        </w:tc>
        <w:tc>
          <w:tcPr/>
          <w:p>
            <w:pPr>
              <w:pStyle w:val="Compact"/>
              <w:jc w:val="left"/>
            </w:pPr>
            <w:r>
              <w:t xml:space="preserve">Critical</w:t>
            </w:r>
          </w:p>
        </w:tc>
      </w:tr>
      <w:tr>
        <w:tc>
          <w:tcPr/>
          <w:p>
            <w:pPr>
              <w:pStyle w:val="Compact"/>
              <w:jc w:val="left"/>
            </w:pPr>
            <w:r>
              <w:t xml:space="preserve">D.2</w:t>
            </w:r>
          </w:p>
        </w:tc>
        <w:tc>
          <w:tcPr/>
          <w:p>
            <w:pPr>
              <w:pStyle w:val="Compact"/>
              <w:jc w:val="left"/>
            </w:pPr>
            <w:r>
              <w:t xml:space="preserve">CFO not evidently involved/informed</w:t>
            </w:r>
          </w:p>
        </w:tc>
        <w:tc>
          <w:tcPr/>
          <w:p>
            <w:pPr>
              <w:pStyle w:val="Compact"/>
              <w:jc w:val="left"/>
            </w:pPr>
            <w:r>
              <w:t xml:space="preserve">Status Report; Ridgeline § 2</w:t>
            </w:r>
          </w:p>
        </w:tc>
        <w:tc>
          <w:tcPr/>
          <w:p>
            <w:pPr>
              <w:pStyle w:val="Compact"/>
              <w:jc w:val="left"/>
            </w:pPr>
            <w:r>
              <w:t xml:space="preserve">High</w:t>
            </w:r>
          </w:p>
        </w:tc>
      </w:tr>
      <w:tr>
        <w:tc>
          <w:tcPr/>
          <w:p>
            <w:pPr>
              <w:pStyle w:val="Compact"/>
              <w:jc w:val="left"/>
            </w:pPr>
            <w:r>
              <w:t xml:space="preserve">D.3</w:t>
            </w:r>
          </w:p>
        </w:tc>
        <w:tc>
          <w:tcPr/>
          <w:p>
            <w:pPr>
              <w:pStyle w:val="Compact"/>
              <w:jc w:val="left"/>
            </w:pPr>
            <w:r>
              <w:t xml:space="preserve">ICFR impact from ERP finance-module disruption</w:t>
            </w:r>
          </w:p>
        </w:tc>
        <w:tc>
          <w:tcPr/>
          <w:p>
            <w:pPr>
              <w:pStyle w:val="Compact"/>
              <w:jc w:val="left"/>
            </w:pPr>
            <w:r>
              <w:t xml:space="preserve">Status Report § 3; Thorngate § 6.4</w:t>
            </w:r>
          </w:p>
        </w:tc>
        <w:tc>
          <w:tcPr/>
          <w:p>
            <w:pPr>
              <w:pStyle w:val="Compact"/>
              <w:jc w:val="left"/>
            </w:pPr>
            <w:r>
              <w:t xml:space="preserve">High</w:t>
            </w:r>
          </w:p>
        </w:tc>
      </w:tr>
      <w:tr>
        <w:tc>
          <w:tcPr/>
          <w:p>
            <w:pPr>
              <w:pStyle w:val="Compact"/>
              <w:jc w:val="left"/>
            </w:pPr>
            <w:r>
              <w:t xml:space="preserve">D.4</w:t>
            </w:r>
          </w:p>
        </w:tc>
        <w:tc>
          <w:tcPr/>
          <w:p>
            <w:pPr>
              <w:pStyle w:val="Compact"/>
              <w:jc w:val="left"/>
            </w:pPr>
            <w:r>
              <w:t xml:space="preserve">Independent auditor not notified</w:t>
            </w:r>
          </w:p>
        </w:tc>
        <w:tc>
          <w:tcPr/>
          <w:p>
            <w:pPr>
              <w:pStyle w:val="Compact"/>
              <w:jc w:val="left"/>
            </w:pPr>
            <w:r>
              <w:t xml:space="preserve">Status Report § 5.8</w:t>
            </w:r>
          </w:p>
        </w:tc>
        <w:tc>
          <w:tcPr/>
          <w:p>
            <w:pPr>
              <w:pStyle w:val="Compact"/>
              <w:jc w:val="left"/>
            </w:pPr>
            <w:r>
              <w:t xml:space="preserve">High</w:t>
            </w:r>
          </w:p>
        </w:tc>
      </w:tr>
      <w:tr>
        <w:tc>
          <w:tcPr/>
          <w:p>
            <w:pPr>
              <w:pStyle w:val="Compact"/>
              <w:jc w:val="left"/>
            </w:pPr>
            <w:r>
              <w:t xml:space="preserve">D.5</w:t>
            </w:r>
          </w:p>
        </w:tc>
        <w:tc>
          <w:tcPr/>
          <w:p>
            <w:pPr>
              <w:pStyle w:val="Compact"/>
              <w:jc w:val="left"/>
            </w:pPr>
            <w:r>
              <w:t xml:space="preserve">Section 302/906 certification implications</w:t>
            </w:r>
          </w:p>
        </w:tc>
        <w:tc>
          <w:tcPr/>
          <w:p>
            <w:pPr>
              <w:pStyle w:val="Compact"/>
              <w:jc w:val="left"/>
            </w:pPr>
            <w:r>
              <w:t xml:space="preserve">Status Report; Charter V.A.6</w:t>
            </w:r>
          </w:p>
        </w:tc>
        <w:tc>
          <w:tcPr/>
          <w:p>
            <w:pPr>
              <w:pStyle w:val="Compact"/>
              <w:jc w:val="left"/>
            </w:pPr>
            <w:r>
              <w:t xml:space="preserve">High</w:t>
            </w:r>
          </w:p>
        </w:tc>
      </w:tr>
      <w:tr>
        <w:tc>
          <w:tcPr/>
          <w:p>
            <w:pPr>
              <w:pStyle w:val="Compact"/>
              <w:jc w:val="left"/>
            </w:pPr>
            <w:r>
              <w:t xml:space="preserve">E.1</w:t>
            </w:r>
          </w:p>
        </w:tc>
        <w:tc>
          <w:tcPr/>
          <w:p>
            <w:pPr>
              <w:pStyle w:val="Compact"/>
              <w:jc w:val="left"/>
            </w:pPr>
            <w:r>
              <w:t xml:space="preserve">Audit Committee Charter does not address cybersecurity oversight</w:t>
            </w:r>
          </w:p>
        </w:tc>
        <w:tc>
          <w:tcPr/>
          <w:p>
            <w:pPr>
              <w:pStyle w:val="Compact"/>
              <w:jc w:val="left"/>
            </w:pPr>
            <w:r>
              <w:t xml:space="preserve">Charter; 10-K Item 1C</w:t>
            </w:r>
          </w:p>
        </w:tc>
        <w:tc>
          <w:tcPr/>
          <w:p>
            <w:pPr>
              <w:pStyle w:val="Compact"/>
              <w:jc w:val="left"/>
            </w:pPr>
            <w:r>
              <w:t xml:space="preserve">High</w:t>
            </w:r>
          </w:p>
        </w:tc>
      </w:tr>
      <w:tr>
        <w:tc>
          <w:tcPr/>
          <w:p>
            <w:pPr>
              <w:pStyle w:val="Compact"/>
              <w:jc w:val="left"/>
            </w:pPr>
            <w:r>
              <w:t xml:space="preserve">E.2</w:t>
            </w:r>
          </w:p>
        </w:tc>
        <w:tc>
          <w:tcPr/>
          <w:p>
            <w:pPr>
              <w:pStyle w:val="Compact"/>
              <w:jc w:val="left"/>
            </w:pPr>
            <w:r>
              <w:t xml:space="preserve">Delayed/informal Board/Audit Committee notice (Day 15, email)</w:t>
            </w:r>
          </w:p>
        </w:tc>
        <w:tc>
          <w:tcPr/>
          <w:p>
            <w:pPr>
              <w:pStyle w:val="Compact"/>
              <w:jc w:val="left"/>
            </w:pPr>
            <w:r>
              <w:t xml:space="preserve">Status Report § 5.5; Email</w:t>
            </w:r>
          </w:p>
        </w:tc>
        <w:tc>
          <w:tcPr/>
          <w:p>
            <w:pPr>
              <w:pStyle w:val="Compact"/>
              <w:jc w:val="left"/>
            </w:pPr>
            <w:r>
              <w:t xml:space="preserve">High</w:t>
            </w:r>
          </w:p>
        </w:tc>
      </w:tr>
      <w:tr>
        <w:tc>
          <w:tcPr/>
          <w:p>
            <w:pPr>
              <w:pStyle w:val="Compact"/>
              <w:jc w:val="left"/>
            </w:pPr>
            <w:r>
              <w:t xml:space="preserve">E.3</w:t>
            </w:r>
          </w:p>
        </w:tc>
        <w:tc>
          <w:tcPr/>
          <w:p>
            <w:pPr>
              <w:pStyle w:val="Compact"/>
              <w:jc w:val="left"/>
            </w:pPr>
            <w:r>
              <w:t xml:space="preserve">CIRP escalation stops at CTO; GC</w:t>
            </w:r>
            <w:r>
              <w:t xml:space="preserve"> </w:t>
            </w:r>
            <w:r>
              <w:t xml:space="preserve">“</w:t>
            </w:r>
            <w:r>
              <w:t xml:space="preserve">optional</w:t>
            </w:r>
            <w:r>
              <w:t xml:space="preserve">”</w:t>
            </w:r>
            <w:r>
              <w:t xml:space="preserve">; no Board/CEO trigger</w:t>
            </w:r>
          </w:p>
        </w:tc>
        <w:tc>
          <w:tcPr/>
          <w:p>
            <w:pPr>
              <w:pStyle w:val="Compact"/>
              <w:jc w:val="left"/>
            </w:pPr>
            <w:r>
              <w:t xml:space="preserve">CIRP §§ 9.3, 10, App. B</w:t>
            </w:r>
          </w:p>
        </w:tc>
        <w:tc>
          <w:tcPr/>
          <w:p>
            <w:pPr>
              <w:pStyle w:val="Compact"/>
              <w:jc w:val="left"/>
            </w:pPr>
            <w:r>
              <w:t xml:space="preserve">Critical</w:t>
            </w:r>
          </w:p>
        </w:tc>
      </w:tr>
      <w:tr>
        <w:tc>
          <w:tcPr/>
          <w:p>
            <w:pPr>
              <w:pStyle w:val="Compact"/>
              <w:jc w:val="left"/>
            </w:pPr>
            <w:r>
              <w:t xml:space="preserve">E.4</w:t>
            </w:r>
          </w:p>
        </w:tc>
        <w:tc>
          <w:tcPr/>
          <w:p>
            <w:pPr>
              <w:pStyle w:val="Compact"/>
              <w:jc w:val="left"/>
            </w:pPr>
            <w:r>
              <w:t xml:space="preserve">CIRP CTO-notification timeframe (2 hrs) violated (6 hrs)</w:t>
            </w:r>
          </w:p>
        </w:tc>
        <w:tc>
          <w:tcPr/>
          <w:p>
            <w:pPr>
              <w:pStyle w:val="Compact"/>
              <w:jc w:val="left"/>
            </w:pPr>
            <w:r>
              <w:t xml:space="preserve">CIRP § 10.1; Status Report § 2</w:t>
            </w:r>
          </w:p>
        </w:tc>
        <w:tc>
          <w:tcPr/>
          <w:p>
            <w:pPr>
              <w:pStyle w:val="Compact"/>
              <w:jc w:val="left"/>
            </w:pPr>
            <w:r>
              <w:t xml:space="preserve">Medium</w:t>
            </w:r>
          </w:p>
        </w:tc>
      </w:tr>
      <w:tr>
        <w:tc>
          <w:tcPr/>
          <w:p>
            <w:pPr>
              <w:pStyle w:val="Compact"/>
              <w:jc w:val="left"/>
            </w:pPr>
            <w:r>
              <w:t xml:space="preserve">E.5</w:t>
            </w:r>
          </w:p>
        </w:tc>
        <w:tc>
          <w:tcPr/>
          <w:p>
            <w:pPr>
              <w:pStyle w:val="Compact"/>
              <w:jc w:val="left"/>
            </w:pPr>
            <w:r>
              <w:t xml:space="preserve">Quarterly-only Audit Committee updates inadequate for material incident</w:t>
            </w:r>
          </w:p>
        </w:tc>
        <w:tc>
          <w:tcPr/>
          <w:p>
            <w:pPr>
              <w:pStyle w:val="Compact"/>
              <w:jc w:val="left"/>
            </w:pPr>
            <w:r>
              <w:t xml:space="preserve">10-K Item 1C; Status Report § 5.5</w:t>
            </w:r>
          </w:p>
        </w:tc>
        <w:tc>
          <w:tcPr/>
          <w:p>
            <w:pPr>
              <w:pStyle w:val="Compact"/>
              <w:jc w:val="left"/>
            </w:pPr>
            <w:r>
              <w:t xml:space="preserve">High</w:t>
            </w:r>
          </w:p>
        </w:tc>
      </w:tr>
      <w:tr>
        <w:tc>
          <w:tcPr/>
          <w:p>
            <w:pPr>
              <w:pStyle w:val="Compact"/>
              <w:jc w:val="left"/>
            </w:pPr>
            <w:r>
              <w:t xml:space="preserve">F.1</w:t>
            </w:r>
          </w:p>
        </w:tc>
        <w:tc>
          <w:tcPr/>
          <w:p>
            <w:pPr>
              <w:pStyle w:val="Compact"/>
              <w:jc w:val="left"/>
            </w:pPr>
            <w:r>
              <w:t xml:space="preserve">CIRP excludes external/regulatory/SEC-disclosure process</w:t>
            </w:r>
          </w:p>
        </w:tc>
        <w:tc>
          <w:tcPr/>
          <w:p>
            <w:pPr>
              <w:pStyle w:val="Compact"/>
              <w:jc w:val="left"/>
            </w:pPr>
            <w:r>
              <w:t xml:space="preserve">CIRP § 9.3</w:t>
            </w:r>
          </w:p>
        </w:tc>
        <w:tc>
          <w:tcPr/>
          <w:p>
            <w:pPr>
              <w:pStyle w:val="Compact"/>
              <w:jc w:val="left"/>
            </w:pPr>
            <w:r>
              <w:t xml:space="preserve">High</w:t>
            </w:r>
          </w:p>
        </w:tc>
      </w:tr>
      <w:tr>
        <w:tc>
          <w:tcPr/>
          <w:p>
            <w:pPr>
              <w:pStyle w:val="Compact"/>
              <w:jc w:val="left"/>
            </w:pPr>
            <w:r>
              <w:t xml:space="preserve">F.5</w:t>
            </w:r>
          </w:p>
        </w:tc>
        <w:tc>
          <w:tcPr/>
          <w:p>
            <w:pPr>
              <w:pStyle w:val="Compact"/>
              <w:jc w:val="left"/>
            </w:pPr>
            <w:r>
              <w:t xml:space="preserve">IRT composition/documentation discrepancies</w:t>
            </w:r>
          </w:p>
        </w:tc>
        <w:tc>
          <w:tcPr/>
          <w:p>
            <w:pPr>
              <w:pStyle w:val="Compact"/>
              <w:jc w:val="left"/>
            </w:pPr>
            <w:r>
              <w:t xml:space="preserve">CIRP § 2.3; Status Report App. A</w:t>
            </w:r>
          </w:p>
        </w:tc>
        <w:tc>
          <w:tcPr/>
          <w:p>
            <w:pPr>
              <w:pStyle w:val="Compact"/>
              <w:jc w:val="left"/>
            </w:pPr>
            <w:r>
              <w:t xml:space="preserve">Medium</w:t>
            </w:r>
          </w:p>
        </w:tc>
      </w:tr>
      <w:tr>
        <w:tc>
          <w:tcPr/>
          <w:p>
            <w:pPr>
              <w:pStyle w:val="Compact"/>
              <w:jc w:val="left"/>
            </w:pPr>
            <w:r>
              <w:t xml:space="preserve">F.6</w:t>
            </w:r>
          </w:p>
        </w:tc>
        <w:tc>
          <w:tcPr/>
          <w:p>
            <w:pPr>
              <w:pStyle w:val="Compact"/>
              <w:jc w:val="left"/>
            </w:pPr>
            <w:r>
              <w:t xml:space="preserve">MFA representation in the CIRP contradicted by forensics</w:t>
            </w:r>
          </w:p>
        </w:tc>
        <w:tc>
          <w:tcPr/>
          <w:p>
            <w:pPr>
              <w:pStyle w:val="Compact"/>
              <w:jc w:val="left"/>
            </w:pPr>
            <w:r>
              <w:t xml:space="preserve">CIRP § 4.1(d); Thorngate § 6.2</w:t>
            </w:r>
          </w:p>
        </w:tc>
        <w:tc>
          <w:tcPr/>
          <w:p>
            <w:pPr>
              <w:pStyle w:val="Compact"/>
              <w:jc w:val="left"/>
            </w:pPr>
            <w:r>
              <w:t xml:space="preserve">High</w:t>
            </w:r>
          </w:p>
        </w:tc>
      </w:tr>
      <w:tr>
        <w:tc>
          <w:tcPr/>
          <w:p>
            <w:pPr>
              <w:pStyle w:val="Compact"/>
              <w:jc w:val="left"/>
            </w:pPr>
            <w:r>
              <w:t xml:space="preserve">G.1</w:t>
            </w:r>
          </w:p>
        </w:tc>
        <w:tc>
          <w:tcPr/>
          <w:p>
            <w:pPr>
              <w:pStyle w:val="Compact"/>
              <w:jc w:val="left"/>
            </w:pPr>
            <w:r>
              <w:t xml:space="preserve">48-hour customer-notification deadlines missed (3 top-ten customers)</w:t>
            </w:r>
          </w:p>
        </w:tc>
        <w:tc>
          <w:tcPr/>
          <w:p>
            <w:pPr>
              <w:pStyle w:val="Compact"/>
              <w:jc w:val="left"/>
            </w:pPr>
            <w:r>
              <w:t xml:space="preserve">Contracts, Preparer’s Note</w:t>
            </w:r>
          </w:p>
        </w:tc>
        <w:tc>
          <w:tcPr/>
          <w:p>
            <w:pPr>
              <w:pStyle w:val="Compact"/>
              <w:jc w:val="left"/>
            </w:pPr>
            <w:r>
              <w:t xml:space="preserve">Critical</w:t>
            </w:r>
          </w:p>
        </w:tc>
      </w:tr>
      <w:tr>
        <w:tc>
          <w:tcPr/>
          <w:p>
            <w:pPr>
              <w:pStyle w:val="Compact"/>
              <w:jc w:val="left"/>
            </w:pPr>
            <w:r>
              <w:t xml:space="preserve">G.2</w:t>
            </w:r>
          </w:p>
        </w:tc>
        <w:tc>
          <w:tcPr/>
          <w:p>
            <w:pPr>
              <w:pStyle w:val="Compact"/>
              <w:jc w:val="left"/>
            </w:pPr>
            <w:r>
              <w:t xml:space="preserve">Harmon: $500K LDs + 30-day termination + indemnity</w:t>
            </w:r>
          </w:p>
        </w:tc>
        <w:tc>
          <w:tcPr/>
          <w:p>
            <w:pPr>
              <w:pStyle w:val="Compact"/>
              <w:jc w:val="left"/>
            </w:pPr>
            <w:r>
              <w:t xml:space="preserve">Contracts § 1</w:t>
            </w:r>
          </w:p>
        </w:tc>
        <w:tc>
          <w:tcPr/>
          <w:p>
            <w:pPr>
              <w:pStyle w:val="Compact"/>
              <w:jc w:val="left"/>
            </w:pPr>
            <w:r>
              <w:t xml:space="preserve">Critical</w:t>
            </w:r>
          </w:p>
        </w:tc>
      </w:tr>
      <w:tr>
        <w:tc>
          <w:tcPr/>
          <w:p>
            <w:pPr>
              <w:pStyle w:val="Compact"/>
              <w:jc w:val="left"/>
            </w:pPr>
            <w:r>
              <w:t xml:space="preserve">G.3</w:t>
            </w:r>
          </w:p>
        </w:tc>
        <w:tc>
          <w:tcPr/>
          <w:p>
            <w:pPr>
              <w:pStyle w:val="Compact"/>
              <w:jc w:val="left"/>
            </w:pPr>
            <w:r>
              <w:t xml:space="preserve">Crestfield: immediate termination + payment suspension + audit + $10M insurance</w:t>
            </w:r>
          </w:p>
        </w:tc>
        <w:tc>
          <w:tcPr/>
          <w:p>
            <w:pPr>
              <w:pStyle w:val="Compact"/>
              <w:jc w:val="left"/>
            </w:pPr>
            <w:r>
              <w:t xml:space="preserve">Contracts § 2</w:t>
            </w:r>
          </w:p>
        </w:tc>
        <w:tc>
          <w:tcPr/>
          <w:p>
            <w:pPr>
              <w:pStyle w:val="Compact"/>
              <w:jc w:val="left"/>
            </w:pPr>
            <w:r>
              <w:t xml:space="preserve">Critical</w:t>
            </w:r>
          </w:p>
        </w:tc>
      </w:tr>
      <w:tr>
        <w:tc>
          <w:tcPr/>
          <w:p>
            <w:pPr>
              <w:pStyle w:val="Compact"/>
              <w:jc w:val="left"/>
            </w:pPr>
            <w:r>
              <w:t xml:space="preserve">G.4</w:t>
            </w:r>
          </w:p>
        </w:tc>
        <w:tc>
          <w:tcPr/>
          <w:p>
            <w:pPr>
              <w:pStyle w:val="Compact"/>
              <w:jc w:val="left"/>
            </w:pPr>
            <w:r>
              <w:t xml:space="preserve">Nexagen: termination + 24-month exclusion; broad trigger met</w:t>
            </w:r>
          </w:p>
        </w:tc>
        <w:tc>
          <w:tcPr/>
          <w:p>
            <w:pPr>
              <w:pStyle w:val="Compact"/>
              <w:jc w:val="left"/>
            </w:pPr>
            <w:r>
              <w:t xml:space="preserve">Contracts § 3</w:t>
            </w:r>
          </w:p>
        </w:tc>
        <w:tc>
          <w:tcPr/>
          <w:p>
            <w:pPr>
              <w:pStyle w:val="Compact"/>
              <w:jc w:val="left"/>
            </w:pPr>
            <w:r>
              <w:t xml:space="preserve">Critical</w:t>
            </w:r>
          </w:p>
        </w:tc>
      </w:tr>
      <w:tr>
        <w:tc>
          <w:tcPr/>
          <w:p>
            <w:pPr>
              <w:pStyle w:val="Compact"/>
              <w:jc w:val="left"/>
            </w:pPr>
            <w:r>
              <w:t xml:space="preserve">G.5</w:t>
            </w:r>
          </w:p>
        </w:tc>
        <w:tc>
          <w:tcPr/>
          <w:p>
            <w:pPr>
              <w:pStyle w:val="Compact"/>
              <w:jc w:val="left"/>
            </w:pPr>
            <w:r>
              <w:t xml:space="preserve">Additional customer contracts under review (Dec 10)</w:t>
            </w:r>
          </w:p>
        </w:tc>
        <w:tc>
          <w:tcPr/>
          <w:p>
            <w:pPr>
              <w:pStyle w:val="Compact"/>
              <w:jc w:val="left"/>
            </w:pPr>
            <w:r>
              <w:t xml:space="preserve">Contracts, Preparer’s Note</w:t>
            </w:r>
          </w:p>
        </w:tc>
        <w:tc>
          <w:tcPr/>
          <w:p>
            <w:pPr>
              <w:pStyle w:val="Compact"/>
              <w:jc w:val="left"/>
            </w:pPr>
            <w:r>
              <w:t xml:space="preserve">High</w:t>
            </w:r>
          </w:p>
        </w:tc>
      </w:tr>
      <w:tr>
        <w:tc>
          <w:tcPr/>
          <w:p>
            <w:pPr>
              <w:pStyle w:val="Compact"/>
              <w:jc w:val="left"/>
            </w:pPr>
            <w:r>
              <w:t xml:space="preserve">G.6</w:t>
            </w:r>
          </w:p>
        </w:tc>
        <w:tc>
          <w:tcPr/>
          <w:p>
            <w:pPr>
              <w:pStyle w:val="Compact"/>
              <w:jc w:val="left"/>
            </w:pPr>
            <w:r>
              <w:t xml:space="preserve">Customer-contract exposure may require independent 8-K disclosure</w:t>
            </w:r>
          </w:p>
        </w:tc>
        <w:tc>
          <w:tcPr/>
          <w:p>
            <w:pPr>
              <w:pStyle w:val="Compact"/>
              <w:jc w:val="left"/>
            </w:pPr>
            <w:r>
              <w:t xml:space="preserve">Contracts; Status Report § 5.3</w:t>
            </w:r>
          </w:p>
        </w:tc>
        <w:tc>
          <w:tcPr/>
          <w:p>
            <w:pPr>
              <w:pStyle w:val="Compact"/>
              <w:jc w:val="left"/>
            </w:pPr>
            <w:r>
              <w:t xml:space="preserve">High</w:t>
            </w:r>
          </w:p>
        </w:tc>
      </w:tr>
      <w:tr>
        <w:tc>
          <w:tcPr/>
          <w:p>
            <w:pPr>
              <w:pStyle w:val="Compact"/>
              <w:jc w:val="left"/>
            </w:pPr>
            <w:r>
              <w:t xml:space="preserve">H.1</w:t>
            </w:r>
          </w:p>
        </w:tc>
        <w:tc>
          <w:tcPr/>
          <w:p>
            <w:pPr>
              <w:pStyle w:val="Compact"/>
              <w:jc w:val="left"/>
            </w:pPr>
            <w:r>
              <w:t xml:space="preserve">No state/international breach notifications filed; no safe harbor</w:t>
            </w:r>
          </w:p>
        </w:tc>
        <w:tc>
          <w:tcPr/>
          <w:p>
            <w:pPr>
              <w:pStyle w:val="Compact"/>
              <w:jc w:val="left"/>
            </w:pPr>
            <w:r>
              <w:t xml:space="preserve">Status Report § 5.4; Thorngate § 4.4</w:t>
            </w:r>
          </w:p>
        </w:tc>
        <w:tc>
          <w:tcPr/>
          <w:p>
            <w:pPr>
              <w:pStyle w:val="Compact"/>
              <w:jc w:val="left"/>
            </w:pPr>
            <w:r>
              <w:t xml:space="preserve">Critical</w:t>
            </w:r>
          </w:p>
        </w:tc>
      </w:tr>
      <w:tr>
        <w:tc>
          <w:tcPr/>
          <w:p>
            <w:pPr>
              <w:pStyle w:val="Compact"/>
              <w:jc w:val="left"/>
            </w:pPr>
            <w:r>
              <w:t xml:space="preserve">H.2</w:t>
            </w:r>
          </w:p>
        </w:tc>
        <w:tc>
          <w:tcPr/>
          <w:p>
            <w:pPr>
              <w:pStyle w:val="Compact"/>
              <w:jc w:val="left"/>
            </w:pPr>
            <w:r>
              <w:t xml:space="preserve">Unencrypted-at-rest eliminates safe harbor; elevates harm</w:t>
            </w:r>
          </w:p>
        </w:tc>
        <w:tc>
          <w:tcPr/>
          <w:p>
            <w:pPr>
              <w:pStyle w:val="Compact"/>
              <w:jc w:val="left"/>
            </w:pPr>
            <w:r>
              <w:t xml:space="preserve">Thorngate § 4.4</w:t>
            </w:r>
          </w:p>
        </w:tc>
        <w:tc>
          <w:tcPr/>
          <w:p>
            <w:pPr>
              <w:pStyle w:val="Compact"/>
              <w:jc w:val="left"/>
            </w:pPr>
            <w:r>
              <w:t xml:space="preserve">High</w:t>
            </w:r>
          </w:p>
        </w:tc>
      </w:tr>
      <w:tr>
        <w:tc>
          <w:tcPr/>
          <w:p>
            <w:pPr>
              <w:pStyle w:val="Compact"/>
              <w:jc w:val="left"/>
            </w:pPr>
            <w:r>
              <w:t xml:space="preserve">I.1</w:t>
            </w:r>
          </w:p>
        </w:tc>
        <w:tc>
          <w:tcPr/>
          <w:p>
            <w:pPr>
              <w:pStyle w:val="Compact"/>
              <w:jc w:val="left"/>
            </w:pPr>
            <w:r>
              <w:t xml:space="preserve">Late notice to Ridgeline (73 vs 72 hrs); reservation of rights</w:t>
            </w:r>
          </w:p>
        </w:tc>
        <w:tc>
          <w:tcPr/>
          <w:p>
            <w:pPr>
              <w:pStyle w:val="Compact"/>
              <w:jc w:val="left"/>
            </w:pPr>
            <w:r>
              <w:t xml:space="preserve">Status Report §§ 4, 5.2; Ridgeline § 5</w:t>
            </w:r>
          </w:p>
        </w:tc>
        <w:tc>
          <w:tcPr/>
          <w:p>
            <w:pPr>
              <w:pStyle w:val="Compact"/>
              <w:jc w:val="left"/>
            </w:pPr>
            <w:r>
              <w:t xml:space="preserve">High</w:t>
            </w:r>
          </w:p>
        </w:tc>
      </w:tr>
      <w:tr>
        <w:tc>
          <w:tcPr/>
          <w:p>
            <w:pPr>
              <w:pStyle w:val="Compact"/>
              <w:jc w:val="left"/>
            </w:pPr>
            <w:r>
              <w:t xml:space="preserve">I.2</w:t>
            </w:r>
          </w:p>
        </w:tc>
        <w:tc>
          <w:tcPr/>
          <w:p>
            <w:pPr>
              <w:pStyle w:val="Compact"/>
              <w:jc w:val="left"/>
            </w:pPr>
            <w:r>
              <w:t xml:space="preserve">MFA warranty in application — potential void ab initio</w:t>
            </w:r>
          </w:p>
        </w:tc>
        <w:tc>
          <w:tcPr/>
          <w:p>
            <w:pPr>
              <w:pStyle w:val="Compact"/>
              <w:jc w:val="left"/>
            </w:pPr>
            <w:r>
              <w:t xml:space="preserve">Ridgeline § 9; Thorngate § 6.2</w:t>
            </w:r>
          </w:p>
        </w:tc>
        <w:tc>
          <w:tcPr/>
          <w:p>
            <w:pPr>
              <w:pStyle w:val="Compact"/>
              <w:jc w:val="left"/>
            </w:pPr>
            <w:r>
              <w:t xml:space="preserve">Critical</w:t>
            </w:r>
          </w:p>
        </w:tc>
      </w:tr>
      <w:tr>
        <w:tc>
          <w:tcPr/>
          <w:p>
            <w:pPr>
              <w:pStyle w:val="Compact"/>
              <w:jc w:val="left"/>
            </w:pPr>
            <w:r>
              <w:t xml:space="preserve">I.3</w:t>
            </w:r>
          </w:p>
        </w:tc>
        <w:tc>
          <w:tcPr/>
          <w:p>
            <w:pPr>
              <w:pStyle w:val="Compact"/>
              <w:jc w:val="left"/>
            </w:pPr>
            <w:r>
              <w:t xml:space="preserve">“</w:t>
            </w:r>
            <w:r>
              <w:t xml:space="preserve">Failure to maintain minimum security standards</w:t>
            </w:r>
            <w:r>
              <w:t xml:space="preserve">”</w:t>
            </w:r>
            <w:r>
              <w:t xml:space="preserve"> </w:t>
            </w:r>
            <w:r>
              <w:t xml:space="preserve">exclusion</w:t>
            </w:r>
          </w:p>
        </w:tc>
        <w:tc>
          <w:tcPr/>
          <w:p>
            <w:pPr>
              <w:pStyle w:val="Compact"/>
              <w:jc w:val="left"/>
            </w:pPr>
            <w:r>
              <w:t xml:space="preserve">Ridgeline § 6(i); Thorngate § 6.2</w:t>
            </w:r>
          </w:p>
        </w:tc>
        <w:tc>
          <w:tcPr/>
          <w:p>
            <w:pPr>
              <w:pStyle w:val="Compact"/>
              <w:jc w:val="left"/>
            </w:pPr>
            <w:r>
              <w:t xml:space="preserve">Critical</w:t>
            </w:r>
          </w:p>
        </w:tc>
      </w:tr>
      <w:tr>
        <w:tc>
          <w:tcPr/>
          <w:p>
            <w:pPr>
              <w:pStyle w:val="Compact"/>
              <w:jc w:val="left"/>
            </w:pPr>
            <w:r>
              <w:t xml:space="preserve">I.4</w:t>
            </w:r>
          </w:p>
        </w:tc>
        <w:tc>
          <w:tcPr/>
          <w:p>
            <w:pPr>
              <w:pStyle w:val="Compact"/>
              <w:jc w:val="left"/>
            </w:pPr>
            <w:r>
              <w:t xml:space="preserve">Contractual-liability exclusion may bar customer-contract damages</w:t>
            </w:r>
          </w:p>
        </w:tc>
        <w:tc>
          <w:tcPr/>
          <w:p>
            <w:pPr>
              <w:pStyle w:val="Compact"/>
              <w:jc w:val="left"/>
            </w:pPr>
            <w:r>
              <w:t xml:space="preserve">Ridgeline § 6(g)</w:t>
            </w:r>
          </w:p>
        </w:tc>
        <w:tc>
          <w:tcPr/>
          <w:p>
            <w:pPr>
              <w:pStyle w:val="Compact"/>
              <w:jc w:val="left"/>
            </w:pPr>
            <w:r>
              <w:t xml:space="preserve">High</w:t>
            </w:r>
          </w:p>
        </w:tc>
      </w:tr>
      <w:tr>
        <w:tc>
          <w:tcPr/>
          <w:p>
            <w:pPr>
              <w:pStyle w:val="Compact"/>
              <w:jc w:val="left"/>
            </w:pPr>
            <w:r>
              <w:t xml:space="preserve">I.5</w:t>
            </w:r>
          </w:p>
        </w:tc>
        <w:tc>
          <w:tcPr/>
          <w:p>
            <w:pPr>
              <w:pStyle w:val="Compact"/>
              <w:jc w:val="left"/>
            </w:pPr>
            <w:r>
              <w:t xml:space="preserve">Consent-to-incur-costs thresholds ($50K/$150K) vs $1.4M incurred</w:t>
            </w:r>
          </w:p>
        </w:tc>
        <w:tc>
          <w:tcPr/>
          <w:p>
            <w:pPr>
              <w:pStyle w:val="Compact"/>
              <w:jc w:val="left"/>
            </w:pPr>
            <w:r>
              <w:t xml:space="preserve">Ridgeline § 7.2; Status Report § 4</w:t>
            </w:r>
          </w:p>
        </w:tc>
        <w:tc>
          <w:tcPr/>
          <w:p>
            <w:pPr>
              <w:pStyle w:val="Compact"/>
              <w:jc w:val="left"/>
            </w:pPr>
            <w:r>
              <w:t xml:space="preserve">Medium</w:t>
            </w:r>
          </w:p>
        </w:tc>
      </w:tr>
      <w:tr>
        <w:tc>
          <w:tcPr/>
          <w:p>
            <w:pPr>
              <w:pStyle w:val="Compact"/>
              <w:jc w:val="left"/>
            </w:pPr>
            <w:r>
              <w:t xml:space="preserve">I.6</w:t>
            </w:r>
          </w:p>
        </w:tc>
        <w:tc>
          <w:tcPr/>
          <w:p>
            <w:pPr>
              <w:pStyle w:val="Compact"/>
              <w:jc w:val="left"/>
            </w:pPr>
            <w:r>
              <w:t xml:space="preserve">Encrypted-backups warranty vs 58 unrestorable endpoints</w:t>
            </w:r>
          </w:p>
        </w:tc>
        <w:tc>
          <w:tcPr/>
          <w:p>
            <w:pPr>
              <w:pStyle w:val="Compact"/>
              <w:jc w:val="left"/>
            </w:pPr>
            <w:r>
              <w:t xml:space="preserve">Ridgeline § 9(c); Thorngate § 6.1</w:t>
            </w:r>
          </w:p>
        </w:tc>
        <w:tc>
          <w:tcPr/>
          <w:p>
            <w:pPr>
              <w:pStyle w:val="Compact"/>
              <w:jc w:val="left"/>
            </w:pPr>
            <w:r>
              <w:t xml:space="preserve">Medium</w:t>
            </w:r>
          </w:p>
        </w:tc>
      </w:tr>
      <w:tr>
        <w:tc>
          <w:tcPr/>
          <w:p>
            <w:pPr>
              <w:pStyle w:val="Compact"/>
              <w:jc w:val="left"/>
            </w:pPr>
            <w:r>
              <w:t xml:space="preserve">I.7</w:t>
            </w:r>
          </w:p>
        </w:tc>
        <w:tc>
          <w:tcPr/>
          <w:p>
            <w:pPr>
              <w:pStyle w:val="Compact"/>
              <w:jc w:val="left"/>
            </w:pPr>
            <w:r>
              <w:t xml:space="preserve">Coverage uncertainty is a materiality/disclosure factor</w:t>
            </w:r>
          </w:p>
        </w:tc>
        <w:tc>
          <w:tcPr/>
          <w:p>
            <w:pPr>
              <w:pStyle w:val="Compact"/>
              <w:jc w:val="left"/>
            </w:pPr>
            <w:r>
              <w:t xml:space="preserve">Ridgeline; Status Report § 4</w:t>
            </w:r>
          </w:p>
        </w:tc>
        <w:tc>
          <w:tcPr/>
          <w:p>
            <w:pPr>
              <w:pStyle w:val="Compact"/>
              <w:jc w:val="left"/>
            </w:pPr>
            <w:r>
              <w:t xml:space="preserve">High</w:t>
            </w:r>
          </w:p>
        </w:tc>
      </w:tr>
      <w:tr>
        <w:tc>
          <w:tcPr/>
          <w:p>
            <w:pPr>
              <w:pStyle w:val="Compact"/>
              <w:jc w:val="left"/>
            </w:pPr>
            <w:r>
              <w:t xml:space="preserve">J.1</w:t>
            </w:r>
          </w:p>
        </w:tc>
        <w:tc>
          <w:tcPr/>
          <w:p>
            <w:pPr>
              <w:pStyle w:val="Compact"/>
              <w:jc w:val="left"/>
            </w:pPr>
            <w:r>
              <w:t xml:space="preserve">M&amp;A counterparty and advisor not notified; transaction impact unassessed</w:t>
            </w:r>
          </w:p>
        </w:tc>
        <w:tc>
          <w:tcPr/>
          <w:p>
            <w:pPr>
              <w:pStyle w:val="Compact"/>
              <w:jc w:val="left"/>
            </w:pPr>
            <w:r>
              <w:t xml:space="preserve">Status Report § 5.9; Email</w:t>
            </w:r>
          </w:p>
        </w:tc>
        <w:tc>
          <w:tcPr/>
          <w:p>
            <w:pPr>
              <w:pStyle w:val="Compact"/>
              <w:jc w:val="left"/>
            </w:pPr>
            <w:r>
              <w:t xml:space="preserve">High</w:t>
            </w:r>
          </w:p>
        </w:tc>
      </w:tr>
      <w:tr>
        <w:tc>
          <w:tcPr/>
          <w:p>
            <w:pPr>
              <w:pStyle w:val="Compact"/>
              <w:jc w:val="left"/>
            </w:pPr>
            <w:r>
              <w:t xml:space="preserve">K.1</w:t>
            </w:r>
          </w:p>
        </w:tc>
        <w:tc>
          <w:tcPr/>
          <w:p>
            <w:pPr>
              <w:pStyle w:val="Compact"/>
              <w:jc w:val="left"/>
            </w:pPr>
            <w:r>
              <w:t xml:space="preserve">MNPI held by insiders; no trading blackout</w:t>
            </w:r>
          </w:p>
        </w:tc>
        <w:tc>
          <w:tcPr/>
          <w:p>
            <w:pPr>
              <w:pStyle w:val="Compact"/>
              <w:jc w:val="left"/>
            </w:pPr>
            <w:r>
              <w:t xml:space="preserve">Status Report; Email</w:t>
            </w:r>
          </w:p>
        </w:tc>
        <w:tc>
          <w:tcPr/>
          <w:p>
            <w:pPr>
              <w:pStyle w:val="Compact"/>
              <w:jc w:val="left"/>
            </w:pPr>
            <w:r>
              <w:t xml:space="preserve">Critical</w:t>
            </w:r>
          </w:p>
        </w:tc>
      </w:tr>
      <w:tr>
        <w:tc>
          <w:tcPr/>
          <w:p>
            <w:pPr>
              <w:pStyle w:val="Compact"/>
              <w:jc w:val="left"/>
            </w:pPr>
            <w:r>
              <w:t xml:space="preserve">K.2</w:t>
            </w:r>
          </w:p>
        </w:tc>
        <w:tc>
          <w:tcPr/>
          <w:p>
            <w:pPr>
              <w:pStyle w:val="Compact"/>
              <w:jc w:val="left"/>
            </w:pPr>
            <w:r>
              <w:t xml:space="preserve">Regulation FD selective-disclosure risk</w:t>
            </w:r>
          </w:p>
        </w:tc>
        <w:tc>
          <w:tcPr/>
          <w:p>
            <w:pPr>
              <w:pStyle w:val="Compact"/>
              <w:jc w:val="left"/>
            </w:pPr>
            <w:r>
              <w:t xml:space="preserve">Status Report § 5</w:t>
            </w:r>
          </w:p>
        </w:tc>
        <w:tc>
          <w:tcPr/>
          <w:p>
            <w:pPr>
              <w:pStyle w:val="Compact"/>
              <w:jc w:val="left"/>
            </w:pPr>
            <w:r>
              <w:t xml:space="preserve">High</w:t>
            </w:r>
          </w:p>
        </w:tc>
      </w:tr>
      <w:tr>
        <w:tc>
          <w:tcPr/>
          <w:p>
            <w:pPr>
              <w:pStyle w:val="Compact"/>
              <w:jc w:val="left"/>
            </w:pPr>
            <w:r>
              <w:t xml:space="preserve">L.1</w:t>
            </w:r>
          </w:p>
        </w:tc>
        <w:tc>
          <w:tcPr/>
          <w:p>
            <w:pPr>
              <w:pStyle w:val="Compact"/>
              <w:jc w:val="left"/>
            </w:pPr>
            <w:r>
              <w:t xml:space="preserve">Thorngate engaged before counsel informed (privilege risk)</w:t>
            </w:r>
          </w:p>
        </w:tc>
        <w:tc>
          <w:tcPr/>
          <w:p>
            <w:pPr>
              <w:pStyle w:val="Compact"/>
              <w:jc w:val="left"/>
            </w:pPr>
            <w:r>
              <w:t xml:space="preserve">Status Report § 2; Thorngate § 2.1</w:t>
            </w:r>
          </w:p>
        </w:tc>
        <w:tc>
          <w:tcPr/>
          <w:p>
            <w:pPr>
              <w:pStyle w:val="Compact"/>
              <w:jc w:val="left"/>
            </w:pPr>
            <w:r>
              <w:t xml:space="preserve">High</w:t>
            </w:r>
          </w:p>
        </w:tc>
      </w:tr>
      <w:tr>
        <w:tc>
          <w:tcPr/>
          <w:p>
            <w:pPr>
              <w:pStyle w:val="Compact"/>
              <w:jc w:val="left"/>
            </w:pPr>
            <w:r>
              <w:t xml:space="preserve">L.2</w:t>
            </w:r>
          </w:p>
        </w:tc>
        <w:tc>
          <w:tcPr/>
          <w:p>
            <w:pPr>
              <w:pStyle w:val="Compact"/>
              <w:jc w:val="left"/>
            </w:pPr>
            <w:r>
              <w:t xml:space="preserve">Thorngate report distribution excludes counsel</w:t>
            </w:r>
          </w:p>
        </w:tc>
        <w:tc>
          <w:tcPr/>
          <w:p>
            <w:pPr>
              <w:pStyle w:val="Compact"/>
              <w:jc w:val="left"/>
            </w:pPr>
            <w:r>
              <w:t xml:space="preserve">Thorngate, Distribution</w:t>
            </w:r>
          </w:p>
        </w:tc>
        <w:tc>
          <w:tcPr/>
          <w:p>
            <w:pPr>
              <w:pStyle w:val="Compact"/>
              <w:jc w:val="left"/>
            </w:pPr>
            <w:r>
              <w:t xml:space="preserve">Medium</w:t>
            </w:r>
          </w:p>
        </w:tc>
      </w:tr>
      <w:tr>
        <w:tc>
          <w:tcPr/>
          <w:p>
            <w:pPr>
              <w:pStyle w:val="Compact"/>
              <w:jc w:val="left"/>
            </w:pPr>
            <w:r>
              <w:t xml:space="preserve">L.3</w:t>
            </w:r>
          </w:p>
        </w:tc>
        <w:tc>
          <w:tcPr/>
          <w:p>
            <w:pPr>
              <w:pStyle w:val="Compact"/>
              <w:jc w:val="left"/>
            </w:pPr>
            <w:r>
              <w:t xml:space="preserve">Informal (undocumented) escalation to Associate GC</w:t>
            </w:r>
          </w:p>
        </w:tc>
        <w:tc>
          <w:tcPr/>
          <w:p>
            <w:pPr>
              <w:pStyle w:val="Compact"/>
              <w:jc w:val="left"/>
            </w:pPr>
            <w:r>
              <w:t xml:space="preserve">Status Report § 2</w:t>
            </w:r>
          </w:p>
        </w:tc>
        <w:tc>
          <w:tcPr/>
          <w:p>
            <w:pPr>
              <w:pStyle w:val="Compact"/>
              <w:jc w:val="left"/>
            </w:pPr>
            <w:r>
              <w:t xml:space="preserve">Medium</w:t>
            </w:r>
          </w:p>
        </w:tc>
      </w:tr>
    </w:tbl>
    <w:p>
      <w:r>
        <w:pict>
          <v:rect style="width:0;height:1.5pt" o:hralign="center" o:hrstd="t" o:hr="t"/>
        </w:pict>
      </w:r>
    </w:p>
    <w:bookmarkEnd w:id="87"/>
    <w:bookmarkStart w:id="91" w:name="xvii.-prioritized-remediation-roadmap"/>
    <w:p>
      <w:pPr>
        <w:pStyle w:val="Heading2"/>
      </w:pPr>
      <w:r>
        <w:t xml:space="preserve">XVII. Prioritized Remediation Roadmap</w:t>
      </w:r>
    </w:p>
    <w:bookmarkStart w:id="88" w:name="immediate-within-14-business-days"/>
    <w:p>
      <w:pPr>
        <w:pStyle w:val="Heading3"/>
      </w:pPr>
      <w:r>
        <w:t xml:space="preserve">Immediate (within 1–4 business days)</w:t>
      </w:r>
    </w:p>
    <w:p>
      <w:pPr>
        <w:pStyle w:val="Compact"/>
        <w:numPr>
          <w:ilvl w:val="0"/>
          <w:numId w:val="1003"/>
        </w:numPr>
      </w:pPr>
      <w:r>
        <w:rPr>
          <w:b/>
          <w:bCs/>
        </w:rPr>
        <w:t xml:space="preserve">Conduct and document the materiality determination</w:t>
      </w:r>
      <w:r>
        <w:t xml:space="preserve"> </w:t>
      </w:r>
      <w:r>
        <w:t xml:space="preserve">under GC and outside securities counsel, with CISO/CTO/CFO input; apply quantitative and qualitative factors (A.1, A.3, B.1).</w:t>
      </w:r>
    </w:p>
    <w:p>
      <w:pPr>
        <w:pStyle w:val="Compact"/>
        <w:numPr>
          <w:ilvl w:val="0"/>
          <w:numId w:val="1003"/>
        </w:numPr>
      </w:pPr>
      <w:r>
        <w:rPr>
          <w:b/>
          <w:bCs/>
        </w:rPr>
        <w:t xml:space="preserve">File the Item 1.05 Form 8-K</w:t>
      </w:r>
      <w:r>
        <w:t xml:space="preserve"> </w:t>
      </w:r>
      <w:r>
        <w:t xml:space="preserve">within four business days of a materiality determination, using currently available information; plan supplemental 8-Ks (A.2, A.5).</w:t>
      </w:r>
    </w:p>
    <w:p>
      <w:pPr>
        <w:pStyle w:val="Compact"/>
        <w:numPr>
          <w:ilvl w:val="0"/>
          <w:numId w:val="1003"/>
        </w:numPr>
      </w:pPr>
      <w:r>
        <w:rPr>
          <w:b/>
          <w:bCs/>
        </w:rPr>
        <w:t xml:space="preserve">Implement an insider trading blackout</w:t>
      </w:r>
      <w:r>
        <w:t xml:space="preserve"> </w:t>
      </w:r>
      <w:r>
        <w:t xml:space="preserve">and review Rule 10b5-1 plans (K.1).</w:t>
      </w:r>
    </w:p>
    <w:p>
      <w:pPr>
        <w:pStyle w:val="Compact"/>
        <w:numPr>
          <w:ilvl w:val="0"/>
          <w:numId w:val="1003"/>
        </w:numPr>
      </w:pPr>
      <w:r>
        <w:rPr>
          <w:b/>
          <w:bCs/>
        </w:rPr>
        <w:t xml:space="preserve">Notify Harmon, Crestfield, and Nexagen</w:t>
      </w:r>
      <w:r>
        <w:t xml:space="preserve"> </w:t>
      </w:r>
      <w:r>
        <w:t xml:space="preserve">immediately to mitigate contractual breach consequences; complete the broader customer-contract review by December 10 and notify others in priority order (G.1–G.5).</w:t>
      </w:r>
    </w:p>
    <w:p>
      <w:pPr>
        <w:pStyle w:val="Compact"/>
        <w:numPr>
          <w:ilvl w:val="0"/>
          <w:numId w:val="1003"/>
        </w:numPr>
      </w:pPr>
      <w:r>
        <w:rPr>
          <w:b/>
          <w:bCs/>
        </w:rPr>
        <w:t xml:space="preserve">Brief the CFO</w:t>
      </w:r>
      <w:r>
        <w:t xml:space="preserve"> </w:t>
      </w:r>
      <w:r>
        <w:t xml:space="preserve">and convene the disclosure committee; begin the disclosure-controls and ICFR evaluations (D.1, D.2, D.3, D.5).</w:t>
      </w:r>
    </w:p>
    <w:p>
      <w:pPr>
        <w:pStyle w:val="Compact"/>
        <w:numPr>
          <w:ilvl w:val="0"/>
          <w:numId w:val="1003"/>
        </w:numPr>
      </w:pPr>
      <w:r>
        <w:rPr>
          <w:b/>
          <w:bCs/>
        </w:rPr>
        <w:t xml:space="preserve">Convene a special Audit Committee meeting</w:t>
      </w:r>
      <w:r>
        <w:t xml:space="preserve">; do not wait until January 22, 2025 (E.2).</w:t>
      </w:r>
    </w:p>
    <w:p>
      <w:pPr>
        <w:pStyle w:val="Compact"/>
        <w:numPr>
          <w:ilvl w:val="0"/>
          <w:numId w:val="1003"/>
        </w:numPr>
      </w:pPr>
      <w:r>
        <w:rPr>
          <w:b/>
          <w:bCs/>
        </w:rPr>
        <w:t xml:space="preserve">Notify the independent auditor</w:t>
      </w:r>
      <w:r>
        <w:t xml:space="preserve"> </w:t>
      </w:r>
      <w:r>
        <w:t xml:space="preserve">(Greystone) under privilege (D.4).</w:t>
      </w:r>
    </w:p>
    <w:p>
      <w:pPr>
        <w:pStyle w:val="Compact"/>
        <w:numPr>
          <w:ilvl w:val="0"/>
          <w:numId w:val="1003"/>
        </w:numPr>
      </w:pPr>
      <w:r>
        <w:rPr>
          <w:b/>
          <w:bCs/>
        </w:rPr>
        <w:t xml:space="preserve">Assess and address insurance coverage risks</w:t>
      </w:r>
      <w:r>
        <w:t xml:space="preserve"> </w:t>
      </w:r>
      <w:r>
        <w:t xml:space="preserve">with coverage counsel: the MFA warranty (I.2), the minimum-security-standards exclusion (I.3), late notice (I.1), and consent-to-incur-costs compliance (I.5).</w:t>
      </w:r>
    </w:p>
    <w:p>
      <w:pPr>
        <w:pStyle w:val="Compact"/>
        <w:numPr>
          <w:ilvl w:val="0"/>
          <w:numId w:val="1003"/>
        </w:numPr>
      </w:pPr>
      <w:r>
        <w:rPr>
          <w:b/>
          <w:bCs/>
        </w:rPr>
        <w:t xml:space="preserve">Assess the Kessler transaction impact</w:t>
      </w:r>
      <w:r>
        <w:t xml:space="preserve"> </w:t>
      </w:r>
      <w:r>
        <w:t xml:space="preserve">with M&amp;A counsel; determine notification and any transaction-filing disclosure obligations (J.1).</w:t>
      </w:r>
    </w:p>
    <w:p>
      <w:pPr>
        <w:pStyle w:val="Compact"/>
        <w:numPr>
          <w:ilvl w:val="0"/>
          <w:numId w:val="1003"/>
        </w:numPr>
      </w:pPr>
      <w:r>
        <w:rPr>
          <w:b/>
          <w:bCs/>
        </w:rPr>
        <w:t xml:space="preserve">Map and begin state/international breach-notification compliance</w:t>
      </w:r>
      <w:r>
        <w:t xml:space="preserve">; engage the notification vendor (H.1).</w:t>
      </w:r>
    </w:p>
    <w:bookmarkEnd w:id="88"/>
    <w:bookmarkStart w:id="89" w:name="near-term-14-weeks"/>
    <w:p>
      <w:pPr>
        <w:pStyle w:val="Heading3"/>
      </w:pPr>
      <w:r>
        <w:t xml:space="preserve">Near-term (1–4 weeks)</w:t>
      </w:r>
    </w:p>
    <w:p>
      <w:pPr>
        <w:pStyle w:val="Compact"/>
        <w:numPr>
          <w:ilvl w:val="0"/>
          <w:numId w:val="1004"/>
        </w:numPr>
      </w:pPr>
      <w:r>
        <w:rPr>
          <w:b/>
          <w:bCs/>
        </w:rPr>
        <w:t xml:space="preserve">Remediate the CIRP</w:t>
      </w:r>
      <w:r>
        <w:t xml:space="preserve">: add mandatory GC/CEO/Audit Committee/Board escalation triggers; add a disclosure-and-notification protocol (SEC, customers, regulators, public); add a securities-materiality process; remove/narrow the Section 9.3 exclusion; schedule and conduct tabletop exercises (E.3, F.1, B.1, F.3).</w:t>
      </w:r>
    </w:p>
    <w:p>
      <w:pPr>
        <w:pStyle w:val="Compact"/>
        <w:numPr>
          <w:ilvl w:val="0"/>
          <w:numId w:val="1004"/>
        </w:numPr>
      </w:pPr>
      <w:r>
        <w:rPr>
          <w:b/>
          <w:bCs/>
        </w:rPr>
        <w:t xml:space="preserve">Amend the Audit Committee Charter</w:t>
      </w:r>
      <w:r>
        <w:t xml:space="preserve"> </w:t>
      </w:r>
      <w:r>
        <w:t xml:space="preserve">to expressly assign cybersecurity oversight, materiality-determination oversight, and incident escalation (E.1).</w:t>
      </w:r>
    </w:p>
    <w:p>
      <w:pPr>
        <w:pStyle w:val="Compact"/>
        <w:numPr>
          <w:ilvl w:val="0"/>
          <w:numId w:val="1004"/>
        </w:numPr>
      </w:pPr>
      <w:r>
        <w:rPr>
          <w:b/>
          <w:bCs/>
        </w:rPr>
        <w:t xml:space="preserve">Correct disclosure inaccuracies</w:t>
      </w:r>
      <w:r>
        <w:t xml:space="preserve"> </w:t>
      </w:r>
      <w:r>
        <w:t xml:space="preserve">for the FY2024 10-K Item 1C: MFA representation (C.1), CIRP review/testing characterization (C.3), Board-escalation description (C.4), third-party risk and NIST CSF claims (C.5, C.6); investigate whether the FY2023 MFA representation requires corrective disclosure (C.1).</w:t>
      </w:r>
    </w:p>
    <w:p>
      <w:pPr>
        <w:pStyle w:val="Compact"/>
        <w:numPr>
          <w:ilvl w:val="0"/>
          <w:numId w:val="1004"/>
        </w:numPr>
      </w:pPr>
      <w:r>
        <w:rPr>
          <w:b/>
          <w:bCs/>
        </w:rPr>
        <w:t xml:space="preserve">Implement MFA for all VPN access</w:t>
      </w:r>
      <w:r>
        <w:t xml:space="preserve"> </w:t>
      </w:r>
      <w:r>
        <w:t xml:space="preserve">(including third-party) — already underway per the Status Report; verify completion (C.1).</w:t>
      </w:r>
    </w:p>
    <w:p>
      <w:pPr>
        <w:pStyle w:val="Compact"/>
        <w:numPr>
          <w:ilvl w:val="0"/>
          <w:numId w:val="1004"/>
        </w:numPr>
      </w:pPr>
      <w:r>
        <w:rPr>
          <w:b/>
          <w:bCs/>
        </w:rPr>
        <w:t xml:space="preserve">Implement encryption at rest</w:t>
      </w:r>
      <w:r>
        <w:t xml:space="preserve"> </w:t>
      </w:r>
      <w:r>
        <w:t xml:space="preserve">for sensitive data (ACH, PII) per Thorngate’s recommendation (H.2, C.1).</w:t>
      </w:r>
    </w:p>
    <w:p>
      <w:pPr>
        <w:pStyle w:val="Compact"/>
        <w:numPr>
          <w:ilvl w:val="0"/>
          <w:numId w:val="1004"/>
        </w:numPr>
      </w:pPr>
      <w:r>
        <w:rPr>
          <w:b/>
          <w:bCs/>
        </w:rPr>
        <w:t xml:space="preserve">Strengthen disclosure controls and procedures</w:t>
      </w:r>
      <w:r>
        <w:t xml:space="preserve"> </w:t>
      </w:r>
      <w:r>
        <w:t xml:space="preserve">to hard-wire Tier 2/Tier 3 incidents into the disclosure-committee and 8-K-evaluation process (D.1).</w:t>
      </w:r>
    </w:p>
    <w:p>
      <w:pPr>
        <w:pStyle w:val="Compact"/>
        <w:numPr>
          <w:ilvl w:val="0"/>
          <w:numId w:val="1004"/>
        </w:numPr>
      </w:pPr>
      <w:r>
        <w:rPr>
          <w:b/>
          <w:bCs/>
        </w:rPr>
        <w:t xml:space="preserve">Preserve and strengthen privilege</w:t>
      </w:r>
      <w:r>
        <w:t xml:space="preserve">: route the Thorngate engagement and communications through counsel; control distribution (L.1, L.2).</w:t>
      </w:r>
    </w:p>
    <w:p>
      <w:pPr>
        <w:pStyle w:val="Compact"/>
        <w:numPr>
          <w:ilvl w:val="0"/>
          <w:numId w:val="1004"/>
        </w:numPr>
      </w:pPr>
      <w:r>
        <w:rPr>
          <w:b/>
          <w:bCs/>
        </w:rPr>
        <w:t xml:space="preserve">Reconcile IRT documentation</w:t>
      </w:r>
      <w:r>
        <w:t xml:space="preserve"> </w:t>
      </w:r>
      <w:r>
        <w:t xml:space="preserve">and correct CIRP cross-references (F.5).</w:t>
      </w:r>
    </w:p>
    <w:bookmarkEnd w:id="89"/>
    <w:bookmarkStart w:id="90" w:name="ongoing"/>
    <w:p>
      <w:pPr>
        <w:pStyle w:val="Heading3"/>
      </w:pPr>
      <w:r>
        <w:t xml:space="preserve">Ongoing</w:t>
      </w:r>
    </w:p>
    <w:p>
      <w:pPr>
        <w:pStyle w:val="Compact"/>
        <w:numPr>
          <w:ilvl w:val="0"/>
          <w:numId w:val="1005"/>
        </w:numPr>
      </w:pPr>
      <w:r>
        <w:rPr>
          <w:b/>
          <w:bCs/>
        </w:rPr>
        <w:t xml:space="preserve">Monitor and update disclosure</w:t>
      </w:r>
      <w:r>
        <w:t xml:space="preserve"> </w:t>
      </w:r>
      <w:r>
        <w:t xml:space="preserve">as the investigation develops (new 8-Ks within four business days of new material determinations) (A.5).</w:t>
      </w:r>
    </w:p>
    <w:p>
      <w:pPr>
        <w:pStyle w:val="Compact"/>
        <w:numPr>
          <w:ilvl w:val="0"/>
          <w:numId w:val="1005"/>
        </w:numPr>
      </w:pPr>
      <w:r>
        <w:rPr>
          <w:b/>
          <w:bCs/>
        </w:rPr>
        <w:t xml:space="preserve">Prepare FY2024 10-K disclosures</w:t>
      </w:r>
      <w:r>
        <w:t xml:space="preserve"> </w:t>
      </w:r>
      <w:r>
        <w:t xml:space="preserve">(Items 1C, 1A, 7, 9A) consistent with the 8-K and reflecting the incident, control deficiencies, and remediation (C.2, D.3, D.5).</w:t>
      </w:r>
    </w:p>
    <w:p>
      <w:pPr>
        <w:pStyle w:val="Compact"/>
        <w:numPr>
          <w:ilvl w:val="0"/>
          <w:numId w:val="1005"/>
        </w:numPr>
      </w:pPr>
      <w:r>
        <w:rPr>
          <w:b/>
          <w:bCs/>
        </w:rPr>
        <w:t xml:space="preserve">Track customer claims, litigation, and regulatory actions</w:t>
      </w:r>
      <w:r>
        <w:t xml:space="preserve">; reassess materiality and financial-impact estimates as they crystallize (A.3, G.6, I.7).</w:t>
      </w:r>
    </w:p>
    <w:p>
      <w:pPr>
        <w:pStyle w:val="Compact"/>
        <w:numPr>
          <w:ilvl w:val="0"/>
          <w:numId w:val="1005"/>
        </w:numPr>
      </w:pPr>
      <w:r>
        <w:rPr>
          <w:b/>
          <w:bCs/>
        </w:rPr>
        <w:t xml:space="preserve">Continuous improvement</w:t>
      </w:r>
      <w:r>
        <w:t xml:space="preserve"> </w:t>
      </w:r>
      <w:r>
        <w:t xml:space="preserve">of the cybersecurity program per Thorngate’s recommendations and post-incident review (CIRP § 8).</w:t>
      </w:r>
    </w:p>
    <w:p>
      <w:r>
        <w:pict>
          <v:rect style="width:0;height:1.5pt" o:hralign="center" o:hrstd="t" o:hr="t"/>
        </w:pict>
      </w:r>
    </w:p>
    <w:bookmarkEnd w:id="90"/>
    <w:bookmarkEnd w:id="91"/>
    <w:bookmarkStart w:id="92" w:name="xviii.-conclusion"/>
    <w:p>
      <w:pPr>
        <w:pStyle w:val="Heading2"/>
      </w:pPr>
      <w:r>
        <w:t xml:space="preserve">XVIII. Conclusion</w:t>
      </w:r>
    </w:p>
    <w:p>
      <w:pPr>
        <w:pStyle w:val="FirstParagraph"/>
      </w:pPr>
      <w:r>
        <w:t xml:space="preserve">The factual record establishes a serious and widening SEC compliance exposure. The Company has not made the materiality determination that Item 1.05 requires to be made</w:t>
      </w:r>
      <w:r>
        <w:t xml:space="preserve"> </w:t>
      </w:r>
      <w:r>
        <w:t xml:space="preserve">“</w:t>
      </w:r>
      <w:r>
        <w:t xml:space="preserve">without unreasonable delay,</w:t>
      </w:r>
      <w:r>
        <w:t xml:space="preserve">”</w:t>
      </w:r>
      <w:r>
        <w:t xml:space="preserve"> </w:t>
      </w:r>
      <w:r>
        <w:t xml:space="preserve">has not filed any 8-K, and has no documented process for doing so — seventeen days after detecting a ransomware and data-exfiltration event that, on the available facts, presents strong indicators of materiality. The same record reveals disclosure-accuracy gaps in the FY2023 10-K (most seriously the MFA representation), a disclosure-controls failure that kept the incident from the disclosure decision-makers, an Audit Committee governance framework that does not expressly address cybersecurity and that was bypassed in practice, a CIRP that excludes the very disclosure and notification processes now in question, breaches of 48-hour notification obligations under three top-ten customer contracts, unaddressed state and international breach-notification obligations, a cyber-insurance posture that is materially at risk (including a potentially false MFA warranty), an unnotified $425 million acquisition counterparty, and insider-trading and selective-disclosure risks arising from the prolonged non-public status of the incident.</w:t>
      </w:r>
    </w:p>
    <w:p>
      <w:pPr>
        <w:pStyle w:val="BodyText"/>
      </w:pPr>
      <w:r>
        <w:t xml:space="preserve">The most urgent actions are: (1) conduct and document the materiality determination and file the Item 1.05 8-K; (2) implement a trading blackout; (3) issue the overdue customer notifications; (4) convene the disclosure committee and a special Audit Committee meeting; and (5) stabilize the insurance and M&amp;A positions. The near-term actions center on remediating the CIRP and Audit Committee Charter, correcting the 10-K disclosures for FY2024, and hardening disclosure controls. Each gap and recommendation above is supported by the cited source documents and should be pursued in parallel under the direction of the General Counsel and outside securities counsel.</w:t>
      </w:r>
    </w:p>
    <w:p>
      <w:pPr>
        <w:pStyle w:val="BodyText"/>
      </w:pPr>
      <w:r>
        <w:t xml:space="preserve">This memorandum is preliminary, is based on the documents identified in Section III, and is subject to revision as the investigation and the Company’s response develop. It is prepared at the direction of counsel and is intended to be protected by the attorney-client privilege and the work-product doctrine.</w:t>
      </w:r>
    </w:p>
    <w:p>
      <w:r>
        <w:pict>
          <v:rect style="width:0;height:1.5pt" o:hralign="center" o:hrstd="t" o:hr="t"/>
        </w:pict>
      </w:r>
    </w:p>
    <w:p>
      <w:pPr>
        <w:pStyle w:val="FirstParagraph"/>
      </w:pPr>
      <w:r>
        <w:rPr>
          <w:i/>
          <w:iCs/>
        </w:rPr>
        <w:t xml:space="preserve">PRIVILEGED &amp; CONFIDENTIAL — ATTORNEY-CLIENT PRIVILEGE / ATTORNEY WORK PRODUCT. Prepared at the direction of counsel in anticipation of litigation and for the purpose of providing legal advice. Do not distribute outside the Office of the General Counsel without prior authorization.</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2026-06-27T20:35:07Z</dcterms:created>
  <dcterms:modified xsi:type="dcterms:W3CDTF">2026-06-27T20:35:07Z</dcterms:modified>
</cp:coreProperties>
</file>

<file path=docProps/custom.xml><?xml version="1.0" encoding="utf-8"?>
<Properties xmlns="http://schemas.openxmlformats.org/officeDocument/2006/custom-properties" xmlns:vt="http://schemas.openxmlformats.org/officeDocument/2006/docPropsVTypes"/>
</file>