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artwell-cabot-llp"/>
    <w:p>
      <w:pPr>
        <w:pStyle w:val="Heading1"/>
      </w:pPr>
      <w:r>
        <w:t xml:space="preserve">HARTWELL &amp; CABOT LLP</w:t>
      </w:r>
    </w:p>
    <w:p>
      <w:pPr>
        <w:pStyle w:val="FirstParagraph"/>
      </w:pPr>
      <w:r>
        <w:rPr>
          <w:b/>
          <w:bCs/>
        </w:rPr>
        <w:t xml:space="preserve">Attorneys at Law</w:t>
      </w:r>
      <w:r>
        <w:t xml:space="preserve"> </w:t>
      </w:r>
      <w:r>
        <w:t xml:space="preserve">— One Gateway Center, Suite 2400, Newark, New Jersey 07102 — Tel: (973) 555-8100</w:t>
      </w:r>
    </w:p>
    <w:p>
      <w:pPr>
        <w:pStyle w:val="BodyText"/>
      </w:pPr>
      <w:r>
        <w:rPr>
          <w:b/>
          <w:bCs/>
        </w:rPr>
        <w:t xml:space="preserve">Multi-State Paid Leave Compliance Review — Gap Analysis and Remediation Memorandum</w:t>
      </w:r>
    </w:p>
    <w:p>
      <w:pPr>
        <w:pStyle w:val="BlockText"/>
      </w:pPr>
      <w:r>
        <w:rPr>
          <w:b/>
          <w:bCs/>
        </w:rPr>
        <w:t xml:space="preserve">PRIVILEGED &amp; CONFIDENTIAL — ATTORNEY-CLIENT COMMUNICATION / ATTORNEY WORK PRODUCT</w: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Rebecca Thorsen, Esq., Senior Vice President &amp; General Counsel, Vantage Logistics Group, Inc.</w:t>
            </w:r>
          </w:p>
        </w:tc>
      </w:tr>
      <w:tr>
        <w:tc>
          <w:tcPr/>
          <w:p>
            <w:pPr>
              <w:pStyle w:val="Compact"/>
              <w:jc w:val="left"/>
            </w:pPr>
            <w:r>
              <w:rPr>
                <w:b/>
                <w:bCs/>
              </w:rPr>
              <w:t xml:space="preserve">FROM:</w:t>
            </w:r>
          </w:p>
        </w:tc>
        <w:tc>
          <w:tcPr/>
          <w:p>
            <w:pPr>
              <w:pStyle w:val="Compact"/>
              <w:jc w:val="left"/>
            </w:pPr>
            <w:r>
              <w:t xml:space="preserve">Daniel Ikeda, Senior Associate; Catherine Ng, Partner (supervising)</w:t>
            </w:r>
          </w:p>
        </w:tc>
      </w:tr>
      <w:tr>
        <w:tc>
          <w:tcPr/>
          <w:p>
            <w:pPr>
              <w:pStyle w:val="Compact"/>
              <w:jc w:val="left"/>
            </w:pPr>
            <w:r>
              <w:rPr>
                <w:b/>
                <w:bCs/>
              </w:rPr>
              <w:t xml:space="preserve">DATE:</w:t>
            </w:r>
          </w:p>
        </w:tc>
        <w:tc>
          <w:tcPr/>
          <w:p>
            <w:pPr>
              <w:pStyle w:val="Compact"/>
              <w:jc w:val="left"/>
            </w:pPr>
            <w:r>
              <w:t xml:space="preserve">May 19, 2025</w:t>
            </w:r>
          </w:p>
        </w:tc>
      </w:tr>
      <w:tr>
        <w:tc>
          <w:tcPr/>
          <w:p>
            <w:pPr>
              <w:pStyle w:val="Compact"/>
              <w:jc w:val="left"/>
            </w:pPr>
            <w:r>
              <w:rPr>
                <w:b/>
                <w:bCs/>
              </w:rPr>
              <w:t xml:space="preserve">RE:</w:t>
            </w:r>
          </w:p>
        </w:tc>
        <w:tc>
          <w:tcPr/>
          <w:p>
            <w:pPr>
              <w:pStyle w:val="Compact"/>
              <w:jc w:val="left"/>
            </w:pPr>
            <w:r>
              <w:t xml:space="preserve">Multi-State Paid Leave Compliance Review — Gap Analysis and Prioritized Remediation Plan (NJ, NY, CT, MA, CO, OR, WA)</w:t>
            </w:r>
          </w:p>
        </w:tc>
      </w:tr>
      <w:tr>
        <w:tc>
          <w:tcPr/>
          <w:p>
            <w:pPr>
              <w:pStyle w:val="Compact"/>
              <w:jc w:val="left"/>
            </w:pPr>
            <w:r>
              <w:rPr>
                <w:b/>
                <w:bCs/>
              </w:rPr>
              <w:t xml:space="preserve">Matter No.:</w:t>
            </w:r>
          </w:p>
        </w:tc>
        <w:tc>
          <w:tcPr/>
          <w:p>
            <w:pPr>
              <w:pStyle w:val="Compact"/>
              <w:jc w:val="left"/>
            </w:pPr>
            <w:r>
              <w:t xml:space="preserve">VLG-2025-014 (Engagement dated April 14, 2025)</w:t>
            </w:r>
          </w:p>
        </w:tc>
      </w:tr>
    </w:tbl>
    <w:bookmarkEnd w:id="20"/>
    <w:bookmarkStart w:id="21" w:name="introduction-and-scope"/>
    <w:p>
      <w:pPr>
        <w:pStyle w:val="Heading1"/>
      </w:pPr>
      <w:r>
        <w:t xml:space="preserve">1. Introduction and Scope</w:t>
      </w:r>
    </w:p>
    <w:p>
      <w:pPr>
        <w:pStyle w:val="FirstParagraph"/>
      </w:pPr>
      <w:r>
        <w:t xml:space="preserve">This memorandum is delivered pursuant to Hartwell &amp; Cabot LLP’s engagement letter dated April 14, 2025, under which the Firm was retained by Vantage Logistics Group,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to conduct a comprehensive multi-state compliance review of the Company’s paid leave policies and practices across seven jurisdictions: New Jersey, New York, and Connecticut (the</w:t>
      </w:r>
      <w:r>
        <w:t xml:space="preserve"> </w:t>
      </w:r>
      <w:r>
        <w:t xml:space="preserve">“</w:t>
      </w:r>
      <w:r>
        <w:t xml:space="preserve">current states,</w:t>
      </w:r>
      <w:r>
        <w:t xml:space="preserve">”</w:t>
      </w:r>
      <w:r>
        <w:t xml:space="preserve"> </w:t>
      </w:r>
      <w:r>
        <w:t xml:space="preserve">in which the Company presently operates) and Massachusetts, Colorado, Oregon, and Washington (the</w:t>
      </w:r>
      <w:r>
        <w:t xml:space="preserve"> </w:t>
      </w:r>
      <w:r>
        <w:t xml:space="preserve">“</w:t>
      </w:r>
      <w:r>
        <w:t xml:space="preserve">expansion states,</w:t>
      </w:r>
      <w:r>
        <w:t xml:space="preserve">”</w:t>
      </w:r>
      <w:r>
        <w:t xml:space="preserve"> </w:t>
      </w:r>
      <w:r>
        <w:t xml:space="preserve">into which the Company plans to expand over the next approximately eighteen months). This memorandum accompanies the</w:t>
      </w:r>
      <w:r>
        <w:t xml:space="preserve"> </w:t>
      </w:r>
      <w:r>
        <w:rPr>
          <w:i/>
          <w:iCs/>
        </w:rPr>
        <w:t xml:space="preserve">Multi-State Compliance Matrix</w:t>
      </w:r>
      <w:r>
        <w:t xml:space="preserve"> </w:t>
      </w:r>
      <w:r>
        <w:t xml:space="preserve">(separate spreadsheet deliverable) and should be read together with it.</w:t>
      </w:r>
    </w:p>
    <w:p>
      <w:pPr>
        <w:pStyle w:val="BodyText"/>
      </w:pPr>
      <w:r>
        <w:t xml:space="preserve">The Company currently employs approximately 2,140 employees across the current states (New Jersey: 890; New York: 680; Connecticut: 570), with annual payroll of approximately $112.4 million. The expansion is projected to add approximately 420 employees (Massachusetts: 130; Colorado: 95; Oregon: 110; Washington: 85) and approximately $23.6 million in annual payroll, bringing total projected headcount to approximately 2,560 and total projected payroll to approximately $136.0 million. The Company’s Employee Handbook, including all operative leave policies, was last revised on January 15, 2022, and the Company has targeted July 1, 2025 for issuance of a revised Handbook.</w:t>
      </w:r>
    </w:p>
    <w:p>
      <w:pPr>
        <w:pStyle w:val="BodyText"/>
      </w:pPr>
      <w:r>
        <w:t xml:space="preserve">As set forth in the engagement letter, this review addresses five dimensions in each jurisdiction: (i) Paid Sick Leave; (ii) Paid Family Leave; (iii) Paid Medical Leave; (iv) Employer Obligations (registration, contributions, withholding, recordkeeping, posting/notice); and (v) PTO/Vacation Payout on Separation. Federal FMLA compliance, local/municipal ordinances, and workers’ compensation are expressly outside the scope of this engagement. Representation in the pending New Jersey Department of Labor complaint (</w:t>
      </w:r>
      <w:r>
        <w:rPr>
          <w:i/>
          <w:iCs/>
        </w:rPr>
        <w:t xml:space="preserve">Carla Muñoz v. Vantage Logistics Group, Inc.</w:t>
      </w:r>
      <w:r>
        <w:t xml:space="preserve">, Case No. NJ-ESL-2025-04117) is a separate engagement; that matter is addressed here only for contextual purposes and to inform the Company’s remediation posture.</w:t>
      </w:r>
    </w:p>
    <w:bookmarkEnd w:id="21"/>
    <w:bookmarkStart w:id="22" w:name="executive-summary"/>
    <w:p>
      <w:pPr>
        <w:pStyle w:val="Heading1"/>
      </w:pPr>
      <w:r>
        <w:t xml:space="preserve">2. Executive Summary</w:t>
      </w:r>
    </w:p>
    <w:p>
      <w:pPr>
        <w:pStyle w:val="FirstParagraph"/>
      </w:pPr>
      <w:r>
        <w:t xml:space="preserve">Our review identifies a substantial number of material compliance deficiencies across all seven jurisdictions. The Company’s leave policies were drafted in January 2022 primarily to address New Jersey and New York requirements, with only informal consideration of Connecticut, and they do not address any of the four expansion states. Because the Company applies its policies uniformly across all locations, a single policy construct that is compliant in one state is frequently non-compliant in another. The deficiencies are not isolated; they are systemic and span every leave category examined.</w:t>
      </w:r>
    </w:p>
    <w:p>
      <w:pPr>
        <w:pStyle w:val="BodyText"/>
      </w:pPr>
      <w:r>
        <w:t xml:space="preserve">The most urgent findings are fourfold:</w:t>
      </w:r>
    </w:p>
    <w:p>
      <w:pPr>
        <w:numPr>
          <w:ilvl w:val="0"/>
          <w:numId w:val="1001"/>
        </w:numPr>
      </w:pPr>
      <w:r>
        <w:rPr>
          <w:b/>
          <w:bCs/>
        </w:rPr>
        <w:t xml:space="preserve">Active regulatory exposure in New Jersey.</w:t>
      </w:r>
      <w:r>
        <w:t xml:space="preserve"> </w:t>
      </w:r>
      <w:r>
        <w:t xml:space="preserve">The Company’s paid sick leave policy defines</w:t>
      </w:r>
      <w:r>
        <w:t xml:space="preserve"> </w:t>
      </w:r>
      <w:r>
        <w:t xml:space="preserve">“</w:t>
      </w:r>
      <w:r>
        <w:t xml:space="preserve">family member</w:t>
      </w:r>
      <w:r>
        <w:t xml:space="preserve">”</w:t>
      </w:r>
      <w:r>
        <w:t xml:space="preserve"> </w:t>
      </w:r>
      <w:r>
        <w:t xml:space="preserve">as</w:t>
      </w:r>
      <w:r>
        <w:t xml:space="preserve"> </w:t>
      </w:r>
      <w:r>
        <w:t xml:space="preserve">“</w:t>
      </w:r>
      <w:r>
        <w:t xml:space="preserve">spouse, child, or parent</w:t>
      </w:r>
      <w:r>
        <w:t xml:space="preserve">”</w:t>
      </w:r>
      <w:r>
        <w:t xml:space="preserve"> </w:t>
      </w:r>
      <w:r>
        <w:t xml:space="preserve">and limits covered uses to the employee’s own health. This is materially narrower than the New Jersey Earned Sick Leave Act (</w:t>
      </w:r>
      <w:r>
        <w:t xml:space="preserve">“</w:t>
      </w:r>
      <w:r>
        <w:t xml:space="preserve">NJ ESL</w:t>
      </w:r>
      <w:r>
        <w:t xml:space="preserve">”</w:t>
      </w:r>
      <w:r>
        <w:t xml:space="preserve">), N.J.S.A. 34:11D-1</w:t>
      </w:r>
      <w:r>
        <w:t xml:space="preserve"> </w:t>
      </w:r>
      <w:r>
        <w:rPr>
          <w:i/>
          <w:iCs/>
        </w:rPr>
        <w:t xml:space="preserve">et seq.</w:t>
      </w:r>
      <w:r>
        <w:t xml:space="preserve">, and is the direct cause of the pending NJ DOL complaint filed by Carla Muñoz, who was denied use of earned sick leave to care for her domestic partner’s child. The NJ DOL has reserved the right to conduct a broader investigation of the Company’s sick leave practices, policies, and records. This exposure extends to all 890 New Jersey employees.</w:t>
      </w:r>
    </w:p>
    <w:p>
      <w:pPr>
        <w:numPr>
          <w:ilvl w:val="0"/>
          <w:numId w:val="1001"/>
        </w:numPr>
      </w:pPr>
      <w:r>
        <w:rPr>
          <w:b/>
          <w:bCs/>
        </w:rPr>
        <w:t xml:space="preserve">Imminent state program registration deadlines in the expansion states.</w:t>
      </w:r>
      <w:r>
        <w:t xml:space="preserve"> </w:t>
      </w:r>
      <w:r>
        <w:t xml:space="preserve">The Company has not registered with the paid leave insurance program in any of the four expansion states. Colorado is the most urgent: three remote Colorado employees were hired in April 2025, meaning the Colorado FAMLI registration obligation was likely triggered at the first date of hire—before the Aurora facility opens on November 1, 2025. Massachusetts is on the critical path: the Worcester facility opens August 1, 2025, and factoring PinnacleHR Solutions, Inc.’s six-to-eight-week payroll configuration lead time, MA PFML registration must be complete by approximately June 1, 2025. Oregon (register by ~December 1, 2025) and Washington (register by ~March 1, 2026) follow.</w:t>
      </w:r>
    </w:p>
    <w:p>
      <w:pPr>
        <w:numPr>
          <w:ilvl w:val="0"/>
          <w:numId w:val="1001"/>
        </w:numPr>
      </w:pPr>
      <w:r>
        <w:rPr>
          <w:b/>
          <w:bCs/>
        </w:rPr>
        <w:t xml:space="preserve">Structural non-compliance of the self-funded paid family leave plan.</w:t>
      </w:r>
      <w:r>
        <w:t xml:space="preserve"> </w:t>
      </w:r>
      <w:r>
        <w:t xml:space="preserve">The Company self-funds its paid family leave benefit at 50% of the employee’s average weekly wage (</w:t>
      </w:r>
      <w:r>
        <w:t xml:space="preserve">“</w:t>
      </w:r>
      <w:r>
        <w:t xml:space="preserve">AWW</w:t>
      </w:r>
      <w:r>
        <w:t xml:space="preserve">”</w:t>
      </w:r>
      <w:r>
        <w:t xml:space="preserve">), capped at $850 per week, for up to eight weeks. This benefit is below the statutory minimum in all seven jurisdictions—on wage replacement rate, weekly benefit cap, and duration—and the Company has not filed a private-plan application in any state. In Colorado, private employers cannot self-fund in lieu of FAMLI participation at all. Meanwhile, the Company is withholding employee contributions for NJ FLI, NY PFL, and CT PL, meaning employees are paying into state programs that the Company’s self-funded plan was purportedly designed to replace. This creates both a compliance gap and a significant employee-confusion and dual-coverage risk.</w:t>
      </w:r>
    </w:p>
    <w:p>
      <w:pPr>
        <w:numPr>
          <w:ilvl w:val="0"/>
          <w:numId w:val="1001"/>
        </w:numPr>
      </w:pPr>
      <w:r>
        <w:rPr>
          <w:b/>
          <w:bCs/>
        </w:rPr>
        <w:t xml:space="preserve">Paid medical leave misdirection.</w:t>
      </w:r>
      <w:r>
        <w:t xml:space="preserve"> </w:t>
      </w:r>
      <w:r>
        <w:t xml:space="preserve">The Company provides no employer-funded paid medical leave for an employee’s own serious health condition. Human Resources staff in Connecticut, New Jersey, and New York have been directing employees who inquire about paid medical leave to the voluntary, employee-paid short-term disability (</w:t>
      </w:r>
      <w:r>
        <w:t xml:space="preserve">“</w:t>
      </w:r>
      <w:r>
        <w:t xml:space="preserve">STD</w:t>
      </w:r>
      <w:r>
        <w:t xml:space="preserve">”</w:t>
      </w:r>
      <w:r>
        <w:t xml:space="preserve">) plan administered by Keystone Benefit Administrators, rather than to the state programs (CT PL, NJ TDI, NY DBL) into which those employees are already paying via payroll withholding. At least seven such inquiries have been documented in the past twelve months (four in Connecticut, two in New Jersey, one in New York). Fewer than 30% of Connecticut hourly staff are enrolled in the voluntary STD plan.</w:t>
      </w:r>
    </w:p>
    <w:p>
      <w:pPr>
        <w:pStyle w:val="FirstParagraph"/>
      </w:pPr>
      <w:r>
        <w:t xml:space="preserve">The matrix deliverable scores 301 individual dimensions across the seven states. Of these, 162 are non-compliant (red), 28 are at risk (yellow), 87 are compliant (green), and 24 are not applicable. Every state receives an overall red rating in Paid Sick Leave, Paid Family Leave, and Paid Medical Leave. The remediation work required is significant but achievable within the Company’s timeline and budget if prioritized and sequenced against the facility opening schedule.</w:t>
      </w:r>
    </w:p>
    <w:bookmarkEnd w:id="22"/>
    <w:bookmarkStart w:id="23" w:name="methodology-sources-and-limitations"/>
    <w:p>
      <w:pPr>
        <w:pStyle w:val="Heading1"/>
      </w:pPr>
      <w:r>
        <w:t xml:space="preserve">3. Methodology, Sources, and Limitations</w:t>
      </w:r>
    </w:p>
    <w:p>
      <w:pPr>
        <w:pStyle w:val="FirstParagraph"/>
      </w:pPr>
      <w:r>
        <w:t xml:space="preserve">Our analysis is based on the following source documents provided by the Company:</w:t>
      </w:r>
    </w:p>
    <w:p>
      <w:pPr>
        <w:pStyle w:val="Compact"/>
        <w:numPr>
          <w:ilvl w:val="0"/>
          <w:numId w:val="1002"/>
        </w:numPr>
      </w:pPr>
      <w:r>
        <w:t xml:space="preserve">The Employee Handbook, Section 6: Leave Policies (Revised January 15, 2022);</w:t>
      </w:r>
    </w:p>
    <w:p>
      <w:pPr>
        <w:pStyle w:val="Compact"/>
        <w:numPr>
          <w:ilvl w:val="0"/>
          <w:numId w:val="1002"/>
        </w:numPr>
      </w:pPr>
      <w:r>
        <w:t xml:space="preserve">The internal HR Expansion Plan Memorandum from Marcus Delgado, Director of Human Resources, dated March 28, 2025;</w:t>
      </w:r>
    </w:p>
    <w:p>
      <w:pPr>
        <w:pStyle w:val="Compact"/>
        <w:numPr>
          <w:ilvl w:val="0"/>
          <w:numId w:val="1002"/>
        </w:numPr>
      </w:pPr>
      <w:r>
        <w:t xml:space="preserve">The PinnacleHR Solutions, Inc. State Leave Program Withholding Summary, data as of March 31, 2025 (expansion-state data as of April 10, 2025);</w:t>
      </w:r>
    </w:p>
    <w:p>
      <w:pPr>
        <w:pStyle w:val="Compact"/>
        <w:numPr>
          <w:ilvl w:val="0"/>
          <w:numId w:val="1002"/>
        </w:numPr>
      </w:pPr>
      <w:r>
        <w:t xml:space="preserve">Correspondence relating to the NJ DOL complaint (Case No. NJ-ESL-2025-04117), including the complaint summary and the Company’s February 21, 2025 response letter;</w:t>
      </w:r>
    </w:p>
    <w:p>
      <w:pPr>
        <w:pStyle w:val="Compact"/>
        <w:numPr>
          <w:ilvl w:val="0"/>
          <w:numId w:val="1002"/>
        </w:numPr>
      </w:pPr>
      <w:r>
        <w:t xml:space="preserve">The internal email thread between Marcus Delgado and Rebecca Thorsen dated March 10–17, 2025; and</w:t>
      </w:r>
    </w:p>
    <w:p>
      <w:pPr>
        <w:pStyle w:val="Compact"/>
        <w:numPr>
          <w:ilvl w:val="0"/>
          <w:numId w:val="1002"/>
        </w:numPr>
      </w:pPr>
      <w:r>
        <w:t xml:space="preserve">A representative sample of the Company’s manual leave tracking spreadsheets (New Jersey and New York).</w:t>
      </w:r>
    </w:p>
    <w:p>
      <w:pPr>
        <w:pStyle w:val="FirstParagraph"/>
      </w:pPr>
      <w:r>
        <w:t xml:space="preserve">We compared the Company’s written policies and implemented practices against the statutes, regulations, and agency guidance in effect as of the date of this memorandum in each of the seven jurisdictions. Contribution rates, wage bases, and benefit caps reflect 2025 figures as reported by PinnacleHR and applicable agency guidance. State paid leave law is a rapidly evolving area of regulation; legislative or regulatory changes may occur after delivery that could affect the accuracy or completeness of this analysis. We recommend periodic re-review, particularly as each phase of the expansion is completed and as new legislation takes effect.</w:t>
      </w:r>
    </w:p>
    <w:p>
      <w:pPr>
        <w:pStyle w:val="BodyText"/>
      </w:pPr>
      <w:r>
        <w:t xml:space="preserve">This memorandum relies on the accuracy and completeness of the information and representations provided by the Company. It does not constitute a guarantee of any particular outcome with respect to the pending NJ DOL complaint or any future regulatory action, audit, or employee claim.</w:t>
      </w:r>
    </w:p>
    <w:bookmarkEnd w:id="23"/>
    <w:bookmarkStart w:id="24" w:name="compliance-posture-summary"/>
    <w:p>
      <w:pPr>
        <w:pStyle w:val="Heading1"/>
      </w:pPr>
      <w:r>
        <w:t xml:space="preserve">4. Compliance Posture Summary</w:t>
      </w:r>
    </w:p>
    <w:p>
      <w:pPr>
        <w:pStyle w:val="FirstParagraph"/>
      </w:pPr>
      <w:r>
        <w:t xml:space="preserve">The table below summarizes the overall compliance status by category and jurisdiction. The full dimension-level analysis appears in the</w:t>
      </w:r>
      <w:r>
        <w:t xml:space="preserve"> </w:t>
      </w:r>
      <w:r>
        <w:rPr>
          <w:i/>
          <w:iCs/>
        </w:rPr>
        <w:t xml:space="preserve">Multi-State Compliance Matrix</w:t>
      </w:r>
      <w:r>
        <w:t xml:space="preserv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Leave Category</w:t>
            </w:r>
          </w:p>
        </w:tc>
        <w:tc>
          <w:tcPr/>
          <w:p>
            <w:pPr>
              <w:pStyle w:val="Compact"/>
              <w:jc w:val="left"/>
            </w:pPr>
            <w:r>
              <w:t xml:space="preserve">NJ</w:t>
            </w:r>
          </w:p>
        </w:tc>
        <w:tc>
          <w:tcPr/>
          <w:p>
            <w:pPr>
              <w:pStyle w:val="Compact"/>
              <w:jc w:val="left"/>
            </w:pPr>
            <w:r>
              <w:t xml:space="preserve">NY</w:t>
            </w:r>
          </w:p>
        </w:tc>
        <w:tc>
          <w:tcPr/>
          <w:p>
            <w:pPr>
              <w:pStyle w:val="Compact"/>
              <w:jc w:val="left"/>
            </w:pPr>
            <w:r>
              <w:t xml:space="preserve">CT</w:t>
            </w:r>
          </w:p>
        </w:tc>
        <w:tc>
          <w:tcPr/>
          <w:p>
            <w:pPr>
              <w:pStyle w:val="Compact"/>
              <w:jc w:val="left"/>
            </w:pPr>
            <w:r>
              <w:t xml:space="preserve">MA</w:t>
            </w:r>
          </w:p>
        </w:tc>
        <w:tc>
          <w:tcPr/>
          <w:p>
            <w:pPr>
              <w:pStyle w:val="Compact"/>
              <w:jc w:val="left"/>
            </w:pPr>
            <w:r>
              <w:t xml:space="preserve">CO</w:t>
            </w:r>
          </w:p>
        </w:tc>
        <w:tc>
          <w:tcPr/>
          <w:p>
            <w:pPr>
              <w:pStyle w:val="Compact"/>
              <w:jc w:val="left"/>
            </w:pPr>
            <w:r>
              <w:t xml:space="preserve">OR</w:t>
            </w:r>
          </w:p>
        </w:tc>
        <w:tc>
          <w:tcPr/>
          <w:p>
            <w:pPr>
              <w:pStyle w:val="Compact"/>
              <w:jc w:val="left"/>
            </w:pPr>
            <w:r>
              <w:t xml:space="preserve">WA</w:t>
            </w:r>
          </w:p>
        </w:tc>
      </w:tr>
      <w:tr>
        <w:tc>
          <w:tcPr/>
          <w:p>
            <w:pPr>
              <w:pStyle w:val="Compact"/>
              <w:jc w:val="left"/>
            </w:pPr>
            <w:r>
              <w:t xml:space="preserve">Paid Sick Leave</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r>
      <w:tr>
        <w:tc>
          <w:tcPr/>
          <w:p>
            <w:pPr>
              <w:pStyle w:val="Compact"/>
              <w:jc w:val="left"/>
            </w:pPr>
            <w:r>
              <w:t xml:space="preserve">Paid Family Leave</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r>
      <w:tr>
        <w:tc>
          <w:tcPr/>
          <w:p>
            <w:pPr>
              <w:pStyle w:val="Compact"/>
              <w:jc w:val="left"/>
            </w:pPr>
            <w:r>
              <w:t xml:space="preserve">Paid Medical Leave</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r>
      <w:tr>
        <w:tc>
          <w:tcPr/>
          <w:p>
            <w:pPr>
              <w:pStyle w:val="Compact"/>
              <w:jc w:val="left"/>
            </w:pPr>
            <w:r>
              <w:t xml:space="preserve">Employer Obligations</w:t>
            </w:r>
          </w:p>
        </w:tc>
        <w:tc>
          <w:tcPr/>
          <w:p>
            <w:pPr>
              <w:pStyle w:val="Compact"/>
              <w:jc w:val="left"/>
            </w:pPr>
            <w:r>
              <w:t xml:space="preserve">YELLOW</w:t>
            </w:r>
          </w:p>
        </w:tc>
        <w:tc>
          <w:tcPr/>
          <w:p>
            <w:pPr>
              <w:pStyle w:val="Compact"/>
              <w:jc w:val="left"/>
            </w:pPr>
            <w:r>
              <w:t xml:space="preserve">YELLOW</w:t>
            </w:r>
          </w:p>
        </w:tc>
        <w:tc>
          <w:tcPr/>
          <w:p>
            <w:pPr>
              <w:pStyle w:val="Compact"/>
              <w:jc w:val="left"/>
            </w:pPr>
            <w:r>
              <w:t xml:space="preserve">YELLOW</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r>
      <w:tr>
        <w:tc>
          <w:tcPr/>
          <w:p>
            <w:pPr>
              <w:pStyle w:val="Compact"/>
              <w:jc w:val="left"/>
            </w:pPr>
            <w:r>
              <w:t xml:space="preserve">PTO / Vacation Payout</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c>
          <w:tcPr/>
          <w:p>
            <w:pPr>
              <w:pStyle w:val="Compact"/>
              <w:jc w:val="left"/>
            </w:pPr>
            <w:r>
              <w:t xml:space="preserve">GREEN</w:t>
            </w:r>
          </w:p>
        </w:tc>
      </w:tr>
    </w:tbl>
    <w:p>
      <w:pPr>
        <w:pStyle w:val="BodyText"/>
      </w:pPr>
      <w:r>
        <w:rPr>
          <w:b/>
          <w:bCs/>
        </w:rPr>
        <w:t xml:space="preserve">Legend:</w:t>
      </w:r>
      <w:r>
        <w:t xml:space="preserve"> </w:t>
      </w:r>
      <w:r>
        <w:t xml:space="preserve">RED = non-compliant; YELLOW = partially compliant / at risk; GREEN = compliant.</w:t>
      </w:r>
    </w:p>
    <w:p>
      <w:pPr>
        <w:pStyle w:val="BodyText"/>
      </w:pPr>
      <w:r>
        <w:t xml:space="preserve">The current states (NJ, NY, CT) are compliant on PTO/vacation payout (Connecticut because the Handbook already provides for payout; New Jersey and New York because those states do not require payout). The expansion states present the broadest exposure because the Company has neither registered with their state programs nor adapted its policies to their requirements.</w:t>
      </w:r>
    </w:p>
    <w:bookmarkEnd w:id="24"/>
    <w:bookmarkStart w:id="28" w:name="gap-analysis-by-severity"/>
    <w:p>
      <w:pPr>
        <w:pStyle w:val="Heading1"/>
      </w:pPr>
      <w:r>
        <w:t xml:space="preserve">5. Gap Analysis by Severity</w:t>
      </w:r>
    </w:p>
    <w:p>
      <w:pPr>
        <w:pStyle w:val="FirstParagraph"/>
      </w:pPr>
      <w:r>
        <w:t xml:space="preserve">We have categorized each material deficiency using the severity framework set forth in the engagement letter:</w:t>
      </w:r>
      <w:r>
        <w:t xml:space="preserve"> </w:t>
      </w:r>
      <w:r>
        <w:rPr>
          <w:b/>
          <w:bCs/>
        </w:rPr>
        <w:t xml:space="preserve">Critical</w:t>
      </w:r>
      <w:r>
        <w:t xml:space="preserve"> </w:t>
      </w:r>
      <w:r>
        <w:t xml:space="preserve">(active legal exposure, imminent regulatory deadline at risk, or a deficiency that has already resulted in or is likely to imminently result in regulatory action, penalties, or litigation);</w:t>
      </w:r>
      <w:r>
        <w:t xml:space="preserve"> </w:t>
      </w:r>
      <w:r>
        <w:rPr>
          <w:b/>
          <w:bCs/>
        </w:rPr>
        <w:t xml:space="preserve">High</w:t>
      </w:r>
      <w:r>
        <w:t xml:space="preserve"> </w:t>
      </w:r>
      <w:r>
        <w:t xml:space="preserve">(non-compliance likely to result in enforcement action, penalties, or employee claims if not remediated before operations commence or in the near term); and</w:t>
      </w:r>
      <w:r>
        <w:t xml:space="preserve"> </w:t>
      </w:r>
      <w:r>
        <w:rPr>
          <w:b/>
          <w:bCs/>
        </w:rPr>
        <w:t xml:space="preserve">Moderate</w:t>
      </w:r>
      <w:r>
        <w:t xml:space="preserve"> </w:t>
      </w:r>
      <w:r>
        <w:t xml:space="preserve">(technical non-compliance, best-practice gaps, or policy ambiguities that may not give rise to immediate enforcement but expose the Company over time or in the event of a complaint or audit). Gap identifiers below correspond to the Gap Register tab of the compliance matrix.</w:t>
      </w:r>
    </w:p>
    <w:bookmarkStart w:id="25" w:name="critical-gaps"/>
    <w:p>
      <w:pPr>
        <w:pStyle w:val="Heading2"/>
      </w:pPr>
      <w:r>
        <w:t xml:space="preserve">5.1 Critical Gaps</w:t>
      </w:r>
    </w:p>
    <w:p>
      <w:pPr>
        <w:pStyle w:val="FirstParagraph"/>
      </w:pPr>
      <w:r>
        <w:rPr>
          <w:b/>
          <w:bCs/>
        </w:rPr>
        <w:t xml:space="preserve">G-01 / G-02 — New Jersey Earned Sick Leave: Family-Member Definition and Covered Uses (NJ).</w:t>
      </w:r>
      <w:r>
        <w:t xml:space="preserve"> </w:t>
      </w:r>
      <w:r>
        <w:t xml:space="preserve">The Company’s Paid Sick Leave Policy (Handbook § 6.2) defines</w:t>
      </w:r>
      <w:r>
        <w:t xml:space="preserve"> </w:t>
      </w:r>
      <w:r>
        <w:t xml:space="preserve">“</w:t>
      </w:r>
      <w:r>
        <w:t xml:space="preserve">family member</w:t>
      </w:r>
      <w:r>
        <w:t xml:space="preserve">”</w:t>
      </w:r>
      <w:r>
        <w:t xml:space="preserve"> </w:t>
      </w:r>
      <w:r>
        <w:t xml:space="preserve">as</w:t>
      </w:r>
      <w:r>
        <w:t xml:space="preserve"> </w:t>
      </w:r>
      <w:r>
        <w:t xml:space="preserve">“</w:t>
      </w:r>
      <w:r>
        <w:t xml:space="preserve">spouse, child, or parent</w:t>
      </w:r>
      <w:r>
        <w:t xml:space="preserve">”</w:t>
      </w:r>
      <w:r>
        <w:t xml:space="preserve"> </w:t>
      </w:r>
      <w:r>
        <w:t xml:space="preserve">and limits permitted uses to the employee’s own illness, injury, or medical appointment. The NJ ESL Act defines</w:t>
      </w:r>
      <w:r>
        <w:t xml:space="preserve"> </w:t>
      </w:r>
      <w:r>
        <w:t xml:space="preserve">“</w:t>
      </w:r>
      <w:r>
        <w:t xml:space="preserve">family member</w:t>
      </w:r>
      <w:r>
        <w:t xml:space="preserve">”</w:t>
      </w:r>
      <w:r>
        <w:t xml:space="preserve"> </w:t>
      </w:r>
      <w:r>
        <w:t xml:space="preserve">far more broadly to include a domestic partner, civil-union partner, child of a domestic partner, grandparents, grandchildren, siblings, any blood relative, and any individual whose close association with the employee is the equivalent of a family relationship (N.J.S.A. 34:11D-1). The Act also requires that earned sick leave be available for care of a family member, absences related to domestic or sexual violence, public-health-emergency closures, and school-related meetings (N.J.S.A. 34:11D-3). The narrower policy is the direct cause of the Muñoz complaint: Ms. Muñoz, a warehouse associate at the Edison facility, was denied use of earned sick leave to care for her domestic partner’s child. The NJ DOL received the complaint on February 3, 2025; the Company’s response was filed February 21, 2025; the matter remains open, and the Department has reserved the right to conduct a broader investigation. This is active legal exposure affecting all 890 New Jersey employees, and the same policy defects (narrow family-member definition and omitted covered uses) are non-compliant in every other jurisdiction examined.</w:t>
      </w:r>
      <w:r>
        <w:t xml:space="preserve"> </w:t>
      </w:r>
      <w:r>
        <w:rPr>
          <w:i/>
          <w:iCs/>
        </w:rPr>
        <w:t xml:space="preserve">Recommendation:</w:t>
      </w:r>
      <w:r>
        <w:t xml:space="preserve"> </w:t>
      </w:r>
      <w:r>
        <w:t xml:space="preserve">Amend the family-member definition and covered-uses enumeration to the full statutory scope in the revised Handbook; make Ms. Muñoz whole for any lost wages or expended PTO; and conduct supervisor and HR training on covered family members and permissible leave purposes. Target: July 1, 2025 (Handbook revision), with the Muñoz remediation addressed on an accelerated track.</w:t>
      </w:r>
    </w:p>
    <w:p>
      <w:pPr>
        <w:pStyle w:val="BodyText"/>
      </w:pPr>
      <w:r>
        <w:rPr>
          <w:b/>
          <w:bCs/>
        </w:rPr>
        <w:t xml:space="preserve">G-03 — Colorado FAMLI Registration (CO).</w:t>
      </w:r>
      <w:r>
        <w:t xml:space="preserve"> </w:t>
      </w:r>
      <w:r>
        <w:t xml:space="preserve">The Company has not registered with the Colorado Family and Medical Leave Insurance (</w:t>
      </w:r>
      <w:r>
        <w:t xml:space="preserve">“</w:t>
      </w:r>
      <w:r>
        <w:t xml:space="preserve">FAMLI</w:t>
      </w:r>
      <w:r>
        <w:t xml:space="preserve">”</w:t>
      </w:r>
      <w:r>
        <w:t xml:space="preserve">) program. Three remote Colorado employees—a regional operations manager and two logistics coordinators—were hired in April 2025 to perform pre-opening planning work from their homes in the Aurora/Denver metropolitan area, approximately seven months before the Aurora facility opens on November 1, 2025. If the FAMLI registration obligation is triggered by the first date an employee works in Colorado (regardless of whether a physical facility is operational), the Company’s registration may already be overdue. Even under the more favorable interpretation that registration is tied to the November 1 facility opening, the six-to-eight-week PinnacleHR configuration lead time requires registration to be complete by approximately September 1, 2025. Critically, Colorado does not permit private employers to opt out of FAMLI in favor of a self-funded plan (the opt-out is limited to local government employers); the Company</w:t>
      </w:r>
      <w:r>
        <w:t xml:space="preserve"> </w:t>
      </w:r>
      <w:r>
        <w:rPr>
          <w:i/>
          <w:iCs/>
        </w:rPr>
        <w:t xml:space="preserve">must</w:t>
      </w:r>
      <w:r>
        <w:t xml:space="preserve"> </w:t>
      </w:r>
      <w:r>
        <w:t xml:space="preserve">participate in the state program for Colorado employees.</w:t>
      </w:r>
      <w:r>
        <w:t xml:space="preserve"> </w:t>
      </w:r>
      <w:r>
        <w:rPr>
          <w:i/>
          <w:iCs/>
        </w:rPr>
        <w:t xml:space="preserve">Recommendation:</w:t>
      </w:r>
      <w:r>
        <w:t xml:space="preserve"> </w:t>
      </w:r>
      <w:r>
        <w:t xml:space="preserve">Register with the Colorado FAMLI Division immediately; obtain a definitive determination of the registration trigger date for the April 2025 early hires; and provide registration confirmation to PinnacleHR. Target: immediate (April–May 2025).</w:t>
      </w:r>
    </w:p>
    <w:p>
      <w:pPr>
        <w:pStyle w:val="BodyText"/>
      </w:pPr>
      <w:r>
        <w:rPr>
          <w:b/>
          <w:bCs/>
        </w:rPr>
        <w:t xml:space="preserve">G-04 — Massachusetts PFML Registration (MA).</w:t>
      </w:r>
      <w:r>
        <w:t xml:space="preserve"> </w:t>
      </w:r>
      <w:r>
        <w:t xml:space="preserve">The Company has not registered with the Massachusetts Paid Family and Medical Leave (</w:t>
      </w:r>
      <w:r>
        <w:t xml:space="preserve">“</w:t>
      </w:r>
      <w:r>
        <w:t xml:space="preserve">MA PFML</w:t>
      </w:r>
      <w:r>
        <w:t xml:space="preserve">”</w:t>
      </w:r>
      <w:r>
        <w:t xml:space="preserve">) program. The Worcester facility opens August 1, 2025, and MA PFML requires employer registration and contribution remittance from the first day any covered employee works in the state. Factoring PinnacleHR’s six-to-eight-week configuration lead time, registration must be complete by approximately June 1, 2025—less than seven weeks from the date of this memorandum. Any delay will cascade into a delay in PinnacleHR’s configuration, which could result in the Company operating in Massachusetts without proper withholding in place on the facility’s opening day.</w:t>
      </w:r>
      <w:r>
        <w:t xml:space="preserve"> </w:t>
      </w:r>
      <w:r>
        <w:rPr>
          <w:i/>
          <w:iCs/>
        </w:rPr>
        <w:t xml:space="preserve">Recommendation:</w:t>
      </w:r>
      <w:r>
        <w:t xml:space="preserve"> </w:t>
      </w:r>
      <w:r>
        <w:t xml:space="preserve">Register with the Massachusetts Department of Family and Medical Leave immediately and provide registration confirmation to PinnacleHR no later than June 1, 2025. Target: by June 1, 2025.</w:t>
      </w:r>
    </w:p>
    <w:p>
      <w:pPr>
        <w:pStyle w:val="BodyText"/>
      </w:pPr>
      <w:r>
        <w:rPr>
          <w:b/>
          <w:bCs/>
        </w:rPr>
        <w:t xml:space="preserve">G-05 — Self-Funded Paid Family Leave: Structural Non-Compliance (All 7 States).</w:t>
      </w:r>
      <w:r>
        <w:t xml:space="preserve"> </w:t>
      </w:r>
      <w:r>
        <w:t xml:space="preserve">The Company’s self-funded paid family leave benefit provides 50% of AWW, capped at $850 per week, for up to eight weeks. This benefit is below the statutory minimum in all seven jurisdictions on every material dimension: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Statutory Rate</w:t>
            </w:r>
          </w:p>
        </w:tc>
        <w:tc>
          <w:tcPr/>
          <w:p>
            <w:pPr>
              <w:pStyle w:val="Compact"/>
              <w:jc w:val="left"/>
            </w:pPr>
            <w:r>
              <w:t xml:space="preserve">Weekly Cap (2025)</w:t>
            </w:r>
          </w:p>
        </w:tc>
        <w:tc>
          <w:tcPr/>
          <w:p>
            <w:pPr>
              <w:pStyle w:val="Compact"/>
              <w:jc w:val="left"/>
            </w:pPr>
            <w:r>
              <w:t xml:space="preserve">Duration</w:t>
            </w:r>
          </w:p>
        </w:tc>
      </w:tr>
      <w:tr>
        <w:tc>
          <w:tcPr/>
          <w:p>
            <w:pPr>
              <w:pStyle w:val="Compact"/>
              <w:jc w:val="left"/>
            </w:pPr>
            <w:r>
              <w:t xml:space="preserve">NJ FLI</w:t>
            </w:r>
          </w:p>
        </w:tc>
        <w:tc>
          <w:tcPr/>
          <w:p>
            <w:pPr>
              <w:pStyle w:val="Compact"/>
              <w:jc w:val="left"/>
            </w:pPr>
            <w:r>
              <w:t xml:space="preserve">85% of AWW</w:t>
            </w:r>
          </w:p>
        </w:tc>
        <w:tc>
          <w:tcPr/>
          <w:p>
            <w:pPr>
              <w:pStyle w:val="Compact"/>
              <w:jc w:val="left"/>
            </w:pPr>
            <w:r>
              <w:t xml:space="preserve">statutory max</w:t>
            </w:r>
          </w:p>
        </w:tc>
        <w:tc>
          <w:tcPr/>
          <w:p>
            <w:pPr>
              <w:pStyle w:val="Compact"/>
              <w:jc w:val="left"/>
            </w:pPr>
            <w:r>
              <w:t xml:space="preserve">12 wks</w:t>
            </w:r>
          </w:p>
        </w:tc>
      </w:tr>
      <w:tr>
        <w:tc>
          <w:tcPr/>
          <w:p>
            <w:pPr>
              <w:pStyle w:val="Compact"/>
              <w:jc w:val="left"/>
            </w:pPr>
            <w:r>
              <w:t xml:space="preserve">NY PFL</w:t>
            </w:r>
          </w:p>
        </w:tc>
        <w:tc>
          <w:tcPr/>
          <w:p>
            <w:pPr>
              <w:pStyle w:val="Compact"/>
              <w:jc w:val="left"/>
            </w:pPr>
            <w:r>
              <w:t xml:space="preserve">67% of AWW</w:t>
            </w:r>
          </w:p>
        </w:tc>
        <w:tc>
          <w:tcPr/>
          <w:p>
            <w:pPr>
              <w:pStyle w:val="Compact"/>
              <w:jc w:val="left"/>
            </w:pPr>
            <w:r>
              <w:t xml:space="preserve">$1,177.32</w:t>
            </w:r>
          </w:p>
        </w:tc>
        <w:tc>
          <w:tcPr/>
          <w:p>
            <w:pPr>
              <w:pStyle w:val="Compact"/>
              <w:jc w:val="left"/>
            </w:pPr>
            <w:r>
              <w:t xml:space="preserve">12 wks</w:t>
            </w:r>
          </w:p>
        </w:tc>
      </w:tr>
      <w:tr>
        <w:tc>
          <w:tcPr/>
          <w:p>
            <w:pPr>
              <w:pStyle w:val="Compact"/>
              <w:jc w:val="left"/>
            </w:pPr>
            <w:r>
              <w:t xml:space="preserve">CT PL</w:t>
            </w:r>
          </w:p>
        </w:tc>
        <w:tc>
          <w:tcPr/>
          <w:p>
            <w:pPr>
              <w:pStyle w:val="Compact"/>
              <w:jc w:val="left"/>
            </w:pPr>
            <w:r>
              <w:t xml:space="preserve">up to 95%/60% (tiered)</w:t>
            </w:r>
          </w:p>
        </w:tc>
        <w:tc>
          <w:tcPr/>
          <w:p>
            <w:pPr>
              <w:pStyle w:val="Compact"/>
              <w:jc w:val="left"/>
            </w:pPr>
            <w:r>
              <w:t xml:space="preserve">~$941</w:t>
            </w:r>
          </w:p>
        </w:tc>
        <w:tc>
          <w:tcPr/>
          <w:p>
            <w:pPr>
              <w:pStyle w:val="Compact"/>
              <w:jc w:val="left"/>
            </w:pPr>
            <w:r>
              <w:t xml:space="preserve">12 wks (+2 pregnancy)</w:t>
            </w:r>
          </w:p>
        </w:tc>
      </w:tr>
      <w:tr>
        <w:tc>
          <w:tcPr/>
          <w:p>
            <w:pPr>
              <w:pStyle w:val="Compact"/>
              <w:jc w:val="left"/>
            </w:pPr>
            <w:r>
              <w:t xml:space="preserve">MA PFML</w:t>
            </w:r>
          </w:p>
        </w:tc>
        <w:tc>
          <w:tcPr/>
          <w:p>
            <w:pPr>
              <w:pStyle w:val="Compact"/>
              <w:jc w:val="left"/>
            </w:pPr>
            <w:r>
              <w:t xml:space="preserve">up to 80% of AWW</w:t>
            </w:r>
          </w:p>
        </w:tc>
        <w:tc>
          <w:tcPr/>
          <w:p>
            <w:pPr>
              <w:pStyle w:val="Compact"/>
              <w:jc w:val="left"/>
            </w:pPr>
            <w:r>
              <w:t xml:space="preserve">~$1,170.64</w:t>
            </w:r>
          </w:p>
        </w:tc>
        <w:tc>
          <w:tcPr/>
          <w:p>
            <w:pPr>
              <w:pStyle w:val="Compact"/>
              <w:jc w:val="left"/>
            </w:pPr>
            <w:r>
              <w:t xml:space="preserve">12 wks family (26 combined)</w:t>
            </w:r>
          </w:p>
        </w:tc>
      </w:tr>
      <w:tr>
        <w:tc>
          <w:tcPr/>
          <w:p>
            <w:pPr>
              <w:pStyle w:val="Compact"/>
              <w:jc w:val="left"/>
            </w:pPr>
            <w:r>
              <w:t xml:space="preserve">CO FAMLI</w:t>
            </w:r>
          </w:p>
        </w:tc>
        <w:tc>
          <w:tcPr/>
          <w:p>
            <w:pPr>
              <w:pStyle w:val="Compact"/>
              <w:jc w:val="left"/>
            </w:pPr>
            <w:r>
              <w:t xml:space="preserve">90% of AWW (tiered)</w:t>
            </w:r>
          </w:p>
        </w:tc>
        <w:tc>
          <w:tcPr/>
          <w:p>
            <w:pPr>
              <w:pStyle w:val="Compact"/>
              <w:jc w:val="left"/>
            </w:pPr>
            <w:r>
              <w:t xml:space="preserve">~$1,100</w:t>
            </w:r>
          </w:p>
        </w:tc>
        <w:tc>
          <w:tcPr/>
          <w:p>
            <w:pPr>
              <w:pStyle w:val="Compact"/>
              <w:jc w:val="left"/>
            </w:pPr>
            <w:r>
              <w:t xml:space="preserve">12 wks</w:t>
            </w:r>
          </w:p>
        </w:tc>
      </w:tr>
      <w:tr>
        <w:tc>
          <w:tcPr/>
          <w:p>
            <w:pPr>
              <w:pStyle w:val="Compact"/>
              <w:jc w:val="left"/>
            </w:pPr>
            <w:r>
              <w:t xml:space="preserve">Paid Leave OR</w:t>
            </w:r>
          </w:p>
        </w:tc>
        <w:tc>
          <w:tcPr/>
          <w:p>
            <w:pPr>
              <w:pStyle w:val="Compact"/>
              <w:jc w:val="left"/>
            </w:pPr>
            <w:r>
              <w:t xml:space="preserve">100%/65% (tiered)</w:t>
            </w:r>
          </w:p>
        </w:tc>
        <w:tc>
          <w:tcPr/>
          <w:p>
            <w:pPr>
              <w:pStyle w:val="Compact"/>
              <w:jc w:val="left"/>
            </w:pPr>
            <w:r>
              <w:t xml:space="preserve">~$1,523.63</w:t>
            </w:r>
          </w:p>
        </w:tc>
        <w:tc>
          <w:tcPr/>
          <w:p>
            <w:pPr>
              <w:pStyle w:val="Compact"/>
              <w:jc w:val="left"/>
            </w:pPr>
            <w:r>
              <w:t xml:space="preserve">12 wks (+2 pregnancy)</w:t>
            </w:r>
          </w:p>
        </w:tc>
      </w:tr>
      <w:tr>
        <w:tc>
          <w:tcPr/>
          <w:p>
            <w:pPr>
              <w:pStyle w:val="Compact"/>
              <w:jc w:val="left"/>
            </w:pPr>
            <w:r>
              <w:t xml:space="preserve">WA PFML</w:t>
            </w:r>
          </w:p>
        </w:tc>
        <w:tc>
          <w:tcPr/>
          <w:p>
            <w:pPr>
              <w:pStyle w:val="Compact"/>
              <w:jc w:val="left"/>
            </w:pPr>
            <w:r>
              <w:t xml:space="preserve">90% of AWW (tiered)</w:t>
            </w:r>
          </w:p>
        </w:tc>
        <w:tc>
          <w:tcPr/>
          <w:p>
            <w:pPr>
              <w:pStyle w:val="Compact"/>
              <w:jc w:val="left"/>
            </w:pPr>
            <w:r>
              <w:t xml:space="preserve">~$1,526</w:t>
            </w:r>
          </w:p>
        </w:tc>
        <w:tc>
          <w:tcPr/>
          <w:p>
            <w:pPr>
              <w:pStyle w:val="Compact"/>
              <w:jc w:val="left"/>
            </w:pPr>
            <w:r>
              <w:t xml:space="preserve">12 wks family (16 combined)</w:t>
            </w:r>
          </w:p>
        </w:tc>
      </w:tr>
      <w:tr>
        <w:tc>
          <w:tcPr/>
          <w:p>
            <w:pPr>
              <w:pStyle w:val="Compact"/>
              <w:jc w:val="left"/>
            </w:pPr>
            <w:r>
              <w:rPr>
                <w:b/>
                <w:bCs/>
              </w:rPr>
              <w:t xml:space="preserve">Vantage (self-funded)</w:t>
            </w:r>
          </w:p>
        </w:tc>
        <w:tc>
          <w:tcPr/>
          <w:p>
            <w:pPr>
              <w:pStyle w:val="Compact"/>
              <w:jc w:val="left"/>
            </w:pPr>
            <w:r>
              <w:rPr>
                <w:b/>
                <w:bCs/>
              </w:rPr>
              <w:t xml:space="preserve">50% of AWW</w:t>
            </w:r>
          </w:p>
        </w:tc>
        <w:tc>
          <w:tcPr/>
          <w:p>
            <w:pPr>
              <w:pStyle w:val="Compact"/>
              <w:jc w:val="left"/>
            </w:pPr>
            <w:r>
              <w:rPr>
                <w:b/>
                <w:bCs/>
              </w:rPr>
              <w:t xml:space="preserve">$850</w:t>
            </w:r>
          </w:p>
        </w:tc>
        <w:tc>
          <w:tcPr/>
          <w:p>
            <w:pPr>
              <w:pStyle w:val="Compact"/>
              <w:jc w:val="left"/>
            </w:pPr>
            <w:r>
              <w:rPr>
                <w:b/>
                <w:bCs/>
              </w:rPr>
              <w:t xml:space="preserve">8 wks</w:t>
            </w:r>
          </w:p>
        </w:tc>
      </w:tr>
    </w:tbl>
    <w:p>
      <w:pPr>
        <w:pStyle w:val="BodyText"/>
      </w:pPr>
      <w:r>
        <w:t xml:space="preserve">Six of the seven states (NJ, NY, CT, MA, OR, WA) permit a private-plan alternative, but only if the private plan provides benefits that meet or exceed the state program in</w:t>
      </w:r>
      <w:r>
        <w:t xml:space="preserve"> </w:t>
      </w:r>
      <w:r>
        <w:rPr>
          <w:i/>
          <w:iCs/>
        </w:rPr>
        <w:t xml:space="preserve">all</w:t>
      </w:r>
      <w:r>
        <w:t xml:space="preserve"> </w:t>
      </w:r>
      <w:r>
        <w:t xml:space="preserve">respects, and only upon filing and approval of a private-plan application. The Company has not filed a private-plan application in any state, and its current benefit does not meet any state’s equivalency threshold. Colorado does not permit a private-employer opt-out at all. Compounding the problem, the Company is withholding employee contributions for NJ FLI, NY PFL, and CT PL—so employees are paying into state programs that the Company’s self-funded plan was purportedly designed to replace, while the Company’s plan simultaneously falls below those programs. This creates dual-coverage confusion, potential overpayment/underpayment risk, and a basis for employee claims that they are not receiving the benefits they are funding.</w:t>
      </w:r>
      <w:r>
        <w:t xml:space="preserve"> </w:t>
      </w:r>
      <w:r>
        <w:rPr>
          <w:i/>
          <w:iCs/>
        </w:rPr>
        <w:t xml:space="preserve">Recommendation:</w:t>
      </w:r>
      <w:r>
        <w:t xml:space="preserve"> </w:t>
      </w:r>
      <w:r>
        <w:t xml:space="preserve">The Company must select a structural approach for each state: (a) participate in the state program and treat the self-funded benefit as supplemental; (b) seek private-plan approval with enhanced benefits meeting or exceeding the statutory minimum; or (c) discontinue the self-funded plan to avoid employee confusion. Colorado requires option (a). This decision should be made promptly because it drives payroll configuration, employee communications, and the Handbook revision. Target: June–September 2025.</w:t>
      </w:r>
    </w:p>
    <w:bookmarkEnd w:id="25"/>
    <w:bookmarkStart w:id="26" w:name="high-gaps"/>
    <w:p>
      <w:pPr>
        <w:pStyle w:val="Heading2"/>
      </w:pPr>
      <w:r>
        <w:t xml:space="preserve">5.2 High Gaps</w:t>
      </w:r>
    </w:p>
    <w:p>
      <w:pPr>
        <w:pStyle w:val="FirstParagraph"/>
      </w:pPr>
      <w:r>
        <w:rPr>
          <w:b/>
          <w:bCs/>
        </w:rPr>
        <w:t xml:space="preserve">G-06 — New York Paid Sick Leave (NY).</w:t>
      </w:r>
      <w:r>
        <w:t xml:space="preserve"> </w:t>
      </w:r>
      <w:r>
        <w:t xml:space="preserve">New York requires employers with 100 or more employees to provide up to 56 hours of paid sick leave per year, accrued at one hour per 30 hours worked, with carryover of up to 56 hours and no waiting period before use (NY Labor Law § 196-b). The Company has 680 New York employees and therefore is a 100+ employer. The Company’s policy provides 40 hours (full-time) / 24 hours (part-time), accrues at one hour per 40 hours worked, imposes a 120-day waiting period, and provides no carryover. The family-member definition and covered uses are also too narrow. The leave tracking sample confirms that New York employees have been denied use of accrued sick leave during the 120-day waiting period (e.g., Brian Novak, denied January 28, 2025) and have forfeited 14–18 unused hours at year-end under the no-carryover rule.</w:t>
      </w:r>
      <w:r>
        <w:t xml:space="preserve"> </w:t>
      </w:r>
      <w:r>
        <w:rPr>
          <w:i/>
          <w:iCs/>
        </w:rPr>
        <w:t xml:space="preserve">Recommendation:</w:t>
      </w:r>
      <w:r>
        <w:t xml:space="preserve"> </w:t>
      </w:r>
      <w:r>
        <w:t xml:space="preserve">Redraft the New York sick leave policy to provide 56 hours (all employees), one-hour-per-30 accrual, no waiting period, 56-hour carryover, and the expanded family-member definition and covered uses. Target: July 1, 2025.</w:t>
      </w:r>
    </w:p>
    <w:p>
      <w:pPr>
        <w:pStyle w:val="BodyText"/>
      </w:pPr>
      <w:r>
        <w:rPr>
          <w:b/>
          <w:bCs/>
        </w:rPr>
        <w:t xml:space="preserve">G-07 — Connecticut Paid Sick Leave (CT).</w:t>
      </w:r>
      <w:r>
        <w:t xml:space="preserve"> </w:t>
      </w:r>
      <w:r>
        <w:t xml:space="preserve">Connecticut requires employers with 50 or more employees to provide up to 40 hours of paid sick leave per year, accrued at one hour per 40 hours worked, with carryover of up to 40 hours and no full-time/part-time distinction in the cap (Conn. Gen. Stat. § 31-57s). The Company’s accrual rate (1/40) is compliant, but its 24-hour part-time cap violates the 40-hour requirement, its no-carryover rule is non-compliant, and its family-member definition and covered uses are too narrow (Connecticut expanded its family-member definition effective January 1, 2025).</w:t>
      </w:r>
      <w:r>
        <w:t xml:space="preserve"> </w:t>
      </w:r>
      <w:r>
        <w:rPr>
          <w:i/>
          <w:iCs/>
        </w:rPr>
        <w:t xml:space="preserve">Recommendation:</w:t>
      </w:r>
      <w:r>
        <w:t xml:space="preserve"> </w:t>
      </w:r>
      <w:r>
        <w:t xml:space="preserve">Redraft the Connecticut sick leave policy to provide a 40-hour cap for all employees, 40-hour carryover, and the expanded family-member definition and covered uses. Target: July 1, 2025.</w:t>
      </w:r>
    </w:p>
    <w:p>
      <w:pPr>
        <w:pStyle w:val="BodyText"/>
      </w:pPr>
      <w:r>
        <w:rPr>
          <w:b/>
          <w:bCs/>
        </w:rPr>
        <w:t xml:space="preserve">G-08 / G-09 — Paid Medical Leave Misdirection (CT, NJ, NY).</w:t>
      </w:r>
      <w:r>
        <w:t xml:space="preserve"> </w:t>
      </w:r>
      <w:r>
        <w:t xml:space="preserve">The Company provides no employer-funded paid medical leave for an employee’s own serious health condition. Employees in all three current states pay into state programs that cover their own conditions—CT PL, NJ TDI, and NY DBL—via payroll withholding administered by PinnacleHR. However, Human Resources staff have been telling employees who inquire about paid medical leave that the Company does not offer such a benefit and directing them to the voluntary, employee-paid STD plan through Keystone Benefit Administrators. In Connecticut, four employees have raised this issue in the past month (including one facing a hip replacement with a six-week recovery and another with a chronic autoimmune condition requiring extended treatment); fewer than 30% of Connecticut hourly staff are enrolled in the voluntary STD plan. In New Jersey, HR staff were unaware that NJ TDI exists as a separate benefit and directed employees to Keystone. At least seven inquiries have been documented across the three states (four CT, two NJ, one NY). Employees are paying into state programs but are not being directed to file claims through those programs. This is a material misdirection that exposes the Company to retroactive claims and to the kind of state-agency complaint already exemplified by the Muñoz matter.</w:t>
      </w:r>
      <w:r>
        <w:t xml:space="preserve"> </w:t>
      </w:r>
      <w:r>
        <w:rPr>
          <w:i/>
          <w:iCs/>
        </w:rPr>
        <w:t xml:space="preserve">Recommendation:</w:t>
      </w:r>
      <w:r>
        <w:t xml:space="preserve"> </w:t>
      </w:r>
      <w:r>
        <w:t xml:space="preserve">Train HR staff at all sites on the state program claims processes (CT PL, NJ TDI, NY DBL); correct the misdirection; revise the Handbook language (which affirmatively states the Company does not offer paid medical leave); assess retroactive claims exposure for affected employees; and coordinate with PinnacleHR to confirm employees are set up to file state claims. The Company should compile the full 12-month inquiry list (dates, names, HR responses) as Rebecca Thorsen directed. Target: May–July 2025.</w:t>
      </w:r>
    </w:p>
    <w:p>
      <w:pPr>
        <w:pStyle w:val="BodyText"/>
      </w:pPr>
      <w:r>
        <w:rPr>
          <w:b/>
          <w:bCs/>
        </w:rPr>
        <w:t xml:space="preserve">G-10 — Massachusetts Earned Sick Time (MA).</w:t>
      </w:r>
      <w:r>
        <w:t xml:space="preserve"> </w:t>
      </w:r>
      <w:r>
        <w:t xml:space="preserve">Massachusetts requires employers with 11 or more employees to provide up to 40 hours of paid sick time per year, accrued at one hour per 30 hours worked, available for use after 90 days of employment, with carryover of up to 40 hours (M.G.L. c. 149 § 148C). The Company’s policy is non-compliant on accrual rate (1/40), part-time cap (24 v. 40), waiting period (120 days v. 90), carryover (none), family-member definition, and covered uses, and the Company has not implemented the required workplace posting/notice. These defects must be remediated before the August 1, 2025 opening.</w:t>
      </w:r>
      <w:r>
        <w:t xml:space="preserve"> </w:t>
      </w:r>
      <w:r>
        <w:rPr>
          <w:i/>
          <w:iCs/>
        </w:rPr>
        <w:t xml:space="preserve">Recommendation:</w:t>
      </w:r>
      <w:r>
        <w:t xml:space="preserve"> </w:t>
      </w:r>
      <w:r>
        <w:t xml:space="preserve">Redraft the Massachusetts sick time policy and implement posting/notice before opening. Target: by July 1, 2025.</w:t>
      </w:r>
    </w:p>
    <w:p>
      <w:pPr>
        <w:pStyle w:val="BodyText"/>
      </w:pPr>
      <w:r>
        <w:rPr>
          <w:b/>
          <w:bCs/>
        </w:rPr>
        <w:t xml:space="preserve">G-11 — Colorado Healthy Families and Workplaces Act Paid Sick Leave (CO).</w:t>
      </w:r>
      <w:r>
        <w:t xml:space="preserve"> </w:t>
      </w:r>
      <w:r>
        <w:t xml:space="preserve">Colorado requires all employers to provide paid sick leave at one hour per 30 hours worked, up to 48 hours per year, with no waiting period before use and required carryover, plus supplemental public-health-emergency leave of up to 80 hours (C.R.S. § 8-13.3-401 et seq.). The Company’s policy is non-compliant on accrual rate, cap (40/24 v. 48), waiting period (120 days—none permitted), carryover, family-member definition, covered uses, and posting/notice.</w:t>
      </w:r>
      <w:r>
        <w:t xml:space="preserve"> </w:t>
      </w:r>
      <w:r>
        <w:rPr>
          <w:i/>
          <w:iCs/>
        </w:rPr>
        <w:t xml:space="preserve">Recommendation:</w:t>
      </w:r>
      <w:r>
        <w:t xml:space="preserve"> </w:t>
      </w:r>
      <w:r>
        <w:t xml:space="preserve">Redraft the Colorado sick leave policy and implement posting/notice before the November 1, 2025 opening (and for the April 2025 early hires). Target: by October 1, 2025.</w:t>
      </w:r>
    </w:p>
    <w:p>
      <w:pPr>
        <w:pStyle w:val="BodyText"/>
      </w:pPr>
      <w:r>
        <w:rPr>
          <w:b/>
          <w:bCs/>
        </w:rPr>
        <w:t xml:space="preserve">G-12 — PTO/Vacation Payout on Separation (MA, CO, OR).</w:t>
      </w:r>
      <w:r>
        <w:t xml:space="preserve"> </w:t>
      </w:r>
      <w:r>
        <w:t xml:space="preserve">The Company’s policy provides for no payout of accrued unused PTO upon separation, except in Connecticut. This is non-compliant in three expansion states: Massachusetts (MA Wage Act, M.G.L. c. 149 § 148, which authorizes treble damages for violations), Colorado (C.R.S. § 8-4-101 et seq., requiring payout of all accrued unused vacation regardless of employer policy), and Oregon (ORS 652.200, treating accrued vacation as wages). The Company’s 5-day PTO carryover cap, which forfeits excess accrued PTO, is also likely non-compliant in these states because it effects a forfeiture of earned vacation. A Colorado candidate relocating from a Denver employer flagged the Colorado payout requirement, and Rebecca Thorsen confirmed the Company should not issue Colorado offer letters that flatly state no payout.</w:t>
      </w:r>
      <w:r>
        <w:t xml:space="preserve"> </w:t>
      </w:r>
      <w:r>
        <w:rPr>
          <w:i/>
          <w:iCs/>
        </w:rPr>
        <w:t xml:space="preserve">Recommendation:</w:t>
      </w:r>
      <w:r>
        <w:t xml:space="preserve"> </w:t>
      </w:r>
      <w:r>
        <w:t xml:space="preserve">Amend the PTO payout policy to require payout of accrued unused vacation in MA, CO, and OR (in addition to CT); revise the carryover cap; and issue compliant Colorado offer letters with a compliance-savings clause referencing Colorado law. Target: by July 1, 2025 (MA/CO); by January 2026 (OR).</w:t>
      </w:r>
    </w:p>
    <w:p>
      <w:pPr>
        <w:pStyle w:val="BodyText"/>
      </w:pPr>
      <w:r>
        <w:rPr>
          <w:b/>
          <w:bCs/>
        </w:rPr>
        <w:t xml:space="preserve">G-13 — Paid Leave Oregon Registration (OR).</w:t>
      </w:r>
      <w:r>
        <w:t xml:space="preserve"> </w:t>
      </w:r>
      <w:r>
        <w:t xml:space="preserve">The Company has not registered with Paid Leave Oregon. The Tigard facility opens February 1, 2026; factoring PinnacleHR’s lead time, registration should be complete by approximately December 1, 2025.</w:t>
      </w:r>
      <w:r>
        <w:t xml:space="preserve"> </w:t>
      </w:r>
      <w:r>
        <w:rPr>
          <w:i/>
          <w:iCs/>
        </w:rPr>
        <w:t xml:space="preserve">Recommendation:</w:t>
      </w:r>
      <w:r>
        <w:t xml:space="preserve"> </w:t>
      </w:r>
      <w:r>
        <w:t xml:space="preserve">Register with the Oregon Employment Department by December 1, 2025 and provide confirmation to PinnacleHR. Target: by December 1, 2025.</w:t>
      </w:r>
    </w:p>
    <w:p>
      <w:pPr>
        <w:pStyle w:val="BodyText"/>
      </w:pPr>
      <w:r>
        <w:rPr>
          <w:b/>
          <w:bCs/>
        </w:rPr>
        <w:t xml:space="preserve">G-14 — Washington PFML Registration (WA).</w:t>
      </w:r>
      <w:r>
        <w:t xml:space="preserve"> </w:t>
      </w:r>
      <w:r>
        <w:t xml:space="preserve">The Company has not registered with the Washington Paid Family and Medical Leave program. The Kent facility opens May 1, 2026; factoring PinnacleHR’s lead time, registration should be complete by approximately March 1, 2026.</w:t>
      </w:r>
      <w:r>
        <w:t xml:space="preserve"> </w:t>
      </w:r>
      <w:r>
        <w:rPr>
          <w:i/>
          <w:iCs/>
        </w:rPr>
        <w:t xml:space="preserve">Recommendation:</w:t>
      </w:r>
      <w:r>
        <w:t xml:space="preserve"> </w:t>
      </w:r>
      <w:r>
        <w:t xml:space="preserve">Register with the Washington Employment Security Department by March 1, 2026 and provide confirmation to PinnacleHR. Target: by March 1, 2026.</w:t>
      </w:r>
    </w:p>
    <w:bookmarkEnd w:id="26"/>
    <w:bookmarkStart w:id="27" w:name="moderate-gaps"/>
    <w:p>
      <w:pPr>
        <w:pStyle w:val="Heading2"/>
      </w:pPr>
      <w:r>
        <w:t xml:space="preserve">5.3 Moderate Gaps</w:t>
      </w:r>
    </w:p>
    <w:p>
      <w:pPr>
        <w:pStyle w:val="FirstParagraph"/>
      </w:pPr>
      <w:r>
        <w:rPr>
          <w:b/>
          <w:bCs/>
        </w:rPr>
        <w:t xml:space="preserve">G-15 — Oregon Sick Time (OR).</w:t>
      </w:r>
      <w:r>
        <w:t xml:space="preserve"> </w:t>
      </w:r>
      <w:r>
        <w:t xml:space="preserve">Oregon requires employers with 10 or more employees to provide up to 40 hours of paid sick time per year, accrued at one hour per 30 hours worked, available for use after 90 days, with carryover of up to 40 hours (ORS 653.601). The Company’s policy is non-compliant on accrual rate, part-time cap, waiting period (120 v. 90 days), carryover, family-member definition, and covered uses (including safe leave for domestic violence, sexual assault, stalking, and harassment).</w:t>
      </w:r>
      <w:r>
        <w:t xml:space="preserve"> </w:t>
      </w:r>
      <w:r>
        <w:rPr>
          <w:i/>
          <w:iCs/>
        </w:rPr>
        <w:t xml:space="preserve">Recommendation:</w:t>
      </w:r>
      <w:r>
        <w:t xml:space="preserve"> </w:t>
      </w:r>
      <w:r>
        <w:t xml:space="preserve">Redraft the Oregon sick time policy before the February 1, 2026 opening. Target: by January 2026.</w:t>
      </w:r>
    </w:p>
    <w:p>
      <w:pPr>
        <w:pStyle w:val="BodyText"/>
      </w:pPr>
      <w:r>
        <w:rPr>
          <w:b/>
          <w:bCs/>
        </w:rPr>
        <w:t xml:space="preserve">G-16 — Washington Paid Sick Leave (WA).</w:t>
      </w:r>
      <w:r>
        <w:t xml:space="preserve"> </w:t>
      </w:r>
      <w:r>
        <w:t xml:space="preserve">Washington requires all employers to provide paid sick leave at one hour per 40 hours worked, with no accrual cap (employers may cap</w:t>
      </w:r>
      <w:r>
        <w:t xml:space="preserve"> </w:t>
      </w:r>
      <w:r>
        <w:rPr>
          <w:i/>
          <w:iCs/>
        </w:rPr>
        <w:t xml:space="preserve">use</w:t>
      </w:r>
      <w:r>
        <w:t xml:space="preserve"> </w:t>
      </w:r>
      <w:r>
        <w:t xml:space="preserve">at a reasonable level but may not cap accrual), available for use after 90 days, with year-to-year carryover of all unused leave (RCW 49.46.200). The Company’s accrual rate (1/40) is compliant, but its accrual cap (40/24), 120-day waiting period, no-carryover rule, narrow family-member definition, and omitted covered uses are non-compliant. Notably, Washington also requires payout of accrued unused paid sick leave at separation (it is treated as wages)—the Company’s no-payout rule is non-compliant on this point as well.</w:t>
      </w:r>
      <w:r>
        <w:t xml:space="preserve"> </w:t>
      </w:r>
      <w:r>
        <w:rPr>
          <w:i/>
          <w:iCs/>
        </w:rPr>
        <w:t xml:space="preserve">Recommendation:</w:t>
      </w:r>
      <w:r>
        <w:t xml:space="preserve"> </w:t>
      </w:r>
      <w:r>
        <w:t xml:space="preserve">Redraft the Washington sick leave policy (no accrual cap, 90-day use threshold, unlimited carryover, expanded uses, payout at separation) and implement posting/notice before the May 1, 2026 opening. Target: by April 2026.</w:t>
      </w:r>
    </w:p>
    <w:p>
      <w:pPr>
        <w:pStyle w:val="BodyText"/>
      </w:pPr>
      <w:r>
        <w:rPr>
          <w:b/>
          <w:bCs/>
        </w:rPr>
        <w:t xml:space="preserve">G-17 — Paid Family Leave Notice Requirement (All 7 States).</w:t>
      </w:r>
      <w:r>
        <w:t xml:space="preserve"> </w:t>
      </w:r>
      <w:r>
        <w:t xml:space="preserve">The Company’s policy requires 30 calendar days’ advance notice for all paid family leave and is silent on unforeseeable leave. This creates a denial risk for legitimate emergencies and is non-compliant in states whose programs require only</w:t>
      </w:r>
      <w:r>
        <w:t xml:space="preserve"> </w:t>
      </w:r>
      <w:r>
        <w:t xml:space="preserve">“</w:t>
      </w:r>
      <w:r>
        <w:t xml:space="preserve">as soon as practicable</w:t>
      </w:r>
      <w:r>
        <w:t xml:space="preserve">”</w:t>
      </w:r>
      <w:r>
        <w:t xml:space="preserve"> </w:t>
      </w:r>
      <w:r>
        <w:t xml:space="preserve">notice for unforeseeable leave. A Connecticut employee recently gave 10 days’ notice before starting paid family leave to care for a parent after an unexpected hospitalization; HR initially pushed back citing the 30-day rule, and the leave was approved only by ad-hoc manager intervention. Inconsistent application across sites (some strict, some flexible) creates a disparate-treatment/discrimination risk on top of the compliance issue.</w:t>
      </w:r>
      <w:r>
        <w:t xml:space="preserve"> </w:t>
      </w:r>
      <w:r>
        <w:rPr>
          <w:i/>
          <w:iCs/>
        </w:rPr>
        <w:t xml:space="preserve">Recommendation:</w:t>
      </w:r>
      <w:r>
        <w:t xml:space="preserve"> </w:t>
      </w:r>
      <w:r>
        <w:t xml:space="preserve">Rewrite the notice provision to distinguish foreseeable leave (30 days) from unforeseeable leave (as soon as practicable) consistent with each state’s rules; the interim guidance Rebecca Thorsen issued (do not deny or delay leave for unforeseeable situations) should remain in effect until the policy is revised. Target: July 1, 2025.</w:t>
      </w:r>
    </w:p>
    <w:p>
      <w:pPr>
        <w:pStyle w:val="BodyText"/>
      </w:pPr>
      <w:r>
        <w:rPr>
          <w:b/>
          <w:bCs/>
        </w:rPr>
        <w:t xml:space="preserve">G-18 — Medical Documentation Threshold (All 7 States).</w:t>
      </w:r>
      <w:r>
        <w:t xml:space="preserve"> </w:t>
      </w:r>
      <w:r>
        <w:t xml:space="preserve">The Company requires a doctor’s note after two consecutive scheduled workdays. Several states (NJ, NY, WA) permit an employer to require documentation only after three or more consecutive days; the Company’s two-workday trigger is more frequent than those statutes allow and is potentially over-burdensome.</w:t>
      </w:r>
      <w:r>
        <w:t xml:space="preserve"> </w:t>
      </w:r>
      <w:r>
        <w:rPr>
          <w:i/>
          <w:iCs/>
        </w:rPr>
        <w:t xml:space="preserve">Recommendation:</w:t>
      </w:r>
      <w:r>
        <w:t xml:space="preserve"> </w:t>
      </w:r>
      <w:r>
        <w:t xml:space="preserve">Align the documentation threshold to the most protective state rule (three consecutive days) across all jurisdictions. Target: July 1, 2025.</w:t>
      </w:r>
    </w:p>
    <w:p>
      <w:pPr>
        <w:pStyle w:val="BodyText"/>
      </w:pPr>
      <w:r>
        <w:rPr>
          <w:b/>
          <w:bCs/>
        </w:rPr>
        <w:t xml:space="preserve">G-19 — Workplace Posting / Individual Notice (All 7 States).</w:t>
      </w:r>
      <w:r>
        <w:t xml:space="preserve"> </w:t>
      </w:r>
      <w:r>
        <w:t xml:space="preserve">Every jurisdiction examined imposes workplace posting and/or individual employee notice obligations for paid sick leave and/or paid family/medical leave. The Handbook does not address these obligations, and the Company has not confirmed compliant postings at its current facilities.</w:t>
      </w:r>
      <w:r>
        <w:t xml:space="preserve"> </w:t>
      </w:r>
      <w:r>
        <w:rPr>
          <w:i/>
          <w:iCs/>
        </w:rPr>
        <w:t xml:space="preserve">Recommendation:</w:t>
      </w:r>
      <w:r>
        <w:t xml:space="preserve"> </w:t>
      </w:r>
      <w:r>
        <w:t xml:space="preserve">Audit postings at all current facilities and implement compliant postings/notices in each expansion state before the applicable facility opening. Target: May–July 2025 (current states); before each expansion opening.</w:t>
      </w:r>
    </w:p>
    <w:p>
      <w:pPr>
        <w:pStyle w:val="BodyText"/>
      </w:pPr>
      <w:r>
        <w:rPr>
          <w:b/>
          <w:bCs/>
        </w:rPr>
        <w:t xml:space="preserve">G-20 — Manual Leave Tracking System (All 7 States).</w:t>
      </w:r>
      <w:r>
        <w:t xml:space="preserve"> </w:t>
      </w:r>
      <w:r>
        <w:t xml:space="preserve">The Company tracks sick leave accruals, usage, and balances through manual Microsoft Excel workbooks maintained by two HR coordinators, one workbook per state. The system has no state-specific rule differentiation, no automated alerts (for accrual caps, waiting-period eligibility, or carryover deadlines), no audit trail, and no integration with the Company’s HRIS (WorkBridge Pro) or time-and-attendance system (ClockSync Enterprise). Recent internal audits have uncovered errors, including: a part-time New Jersey employee’s sick leave balance capped at 24 hours due to application of the wrong accrual rate; negative balances (e.g., James Kowalski at −2.5 hours; Hassan Ali at −0.75 hours); employees forfeiting 8–18 unused hours at year-end under the no-carryover rule; and the 120-day waiting period applied uniformly without confirmation of consistency with state law. The system tracks only earned sick leave—not paid family leave or PTO—and paid family leave requests are tracked through a separate paper-based process. Scaling from three workbooks to seven, with each new state adding distinct accrual rules, carryover provisions, and reporting obligations, is not sustainable and poses recordkeeping-compliance risk (several expansion states impose specific recordkeeping requirements).</w:t>
      </w:r>
      <w:r>
        <w:t xml:space="preserve"> </w:t>
      </w:r>
      <w:r>
        <w:rPr>
          <w:i/>
          <w:iCs/>
        </w:rPr>
        <w:t xml:space="preserve">Recommendation:</w:t>
      </w:r>
      <w:r>
        <w:t xml:space="preserve"> </w:t>
      </w:r>
      <w:r>
        <w:t xml:space="preserve">Procure and implement a dedicated leave management software solution integrated with WorkBridge Pro and ClockSync Enterprise, configured with state-specific rules for all seven jurisdictions. Target: vendor selection by July 1, 2025; system live by Q1 2026.</w:t>
      </w:r>
    </w:p>
    <w:p>
      <w:pPr>
        <w:pStyle w:val="BodyText"/>
      </w:pPr>
      <w:r>
        <w:rPr>
          <w:b/>
          <w:bCs/>
        </w:rPr>
        <w:t xml:space="preserve">G-21 — Military Exigency (NY, CT, WA).</w:t>
      </w:r>
      <w:r>
        <w:t xml:space="preserve"> </w:t>
      </w:r>
      <w:r>
        <w:t xml:space="preserve">The Company’s paid family leave policy does not cover qualifying military exigency, which is a qualifying event under NY PFL, CT PL, and WA PFML.</w:t>
      </w:r>
      <w:r>
        <w:t xml:space="preserve"> </w:t>
      </w:r>
      <w:r>
        <w:rPr>
          <w:i/>
          <w:iCs/>
        </w:rPr>
        <w:t xml:space="preserve">Recommendation:</w:t>
      </w:r>
      <w:r>
        <w:t xml:space="preserve"> </w:t>
      </w:r>
      <w:r>
        <w:t xml:space="preserve">Add qualifying military exigency as a covered reason in the revised policy. Target: July 1, 2025.</w:t>
      </w:r>
    </w:p>
    <w:p>
      <w:pPr>
        <w:pStyle w:val="BodyText"/>
      </w:pPr>
      <w:r>
        <w:rPr>
          <w:b/>
          <w:bCs/>
        </w:rPr>
        <w:t xml:space="preserve">G-22 — Connecticut PTO Carryover Cap (CT).</w:t>
      </w:r>
      <w:r>
        <w:t xml:space="preserve"> </w:t>
      </w:r>
      <w:r>
        <w:t xml:space="preserve">Connecticut treats accrued vacation as wages; the Company’s 5-day carryover cap, which forfeits excess accrued PTO, may be scrutinized under Connecticut law.</w:t>
      </w:r>
      <w:r>
        <w:t xml:space="preserve"> </w:t>
      </w:r>
      <w:r>
        <w:rPr>
          <w:i/>
          <w:iCs/>
        </w:rPr>
        <w:t xml:space="preserve">Recommendation:</w:t>
      </w:r>
      <w:r>
        <w:t xml:space="preserve"> </w:t>
      </w:r>
      <w:r>
        <w:t xml:space="preserve">Review the carryover cap for consistency with Connecticut’s wage treatment of vacation. Target: July 1, 2025.</w:t>
      </w:r>
    </w:p>
    <w:p>
      <w:pPr>
        <w:pStyle w:val="BodyText"/>
      </w:pPr>
      <w:r>
        <w:rPr>
          <w:b/>
          <w:bCs/>
        </w:rPr>
        <w:t xml:space="preserve">G-23 — Outdated Employee Handbook (All 7 States).</w:t>
      </w:r>
      <w:r>
        <w:t xml:space="preserve"> </w:t>
      </w:r>
      <w:r>
        <w:t xml:space="preserve">The Handbook (Rev. January 15, 2022) predates all four expansion states and does not address their requirements. The Company has targeted July 1, 2025 for a revised Handbook—one month before the Massachusetts facility opens.</w:t>
      </w:r>
      <w:r>
        <w:t xml:space="preserve"> </w:t>
      </w:r>
      <w:r>
        <w:rPr>
          <w:i/>
          <w:iCs/>
        </w:rPr>
        <w:t xml:space="preserve">Recommendation:</w:t>
      </w:r>
      <w:r>
        <w:t xml:space="preserve"> </w:t>
      </w:r>
      <w:r>
        <w:t xml:space="preserve">Complete the multi-state Handbook revision by July 1, 2025, allowing time for distribution and acknowledgment collection before the first expansion-state employees are onboarded. Target: July 1, 2025.</w:t>
      </w:r>
    </w:p>
    <w:bookmarkEnd w:id="27"/>
    <w:bookmarkEnd w:id="28"/>
    <w:bookmarkStart w:id="29" w:name="state-program-registration-analysis"/>
    <w:p>
      <w:pPr>
        <w:pStyle w:val="Heading1"/>
      </w:pPr>
      <w:r>
        <w:t xml:space="preserve">6. State Program Registration Analysis</w:t>
      </w:r>
    </w:p>
    <w:p>
      <w:pPr>
        <w:pStyle w:val="FirstParagraph"/>
      </w:pPr>
      <w:r>
        <w:t xml:space="preserve">The Company’s failure to register with the paid leave insurance programs in any of the four expansion states is the single most time-sensitive operational issue in this engagement. PinnacleHR has confirmed that it cannot initiate withholding or premium remittance in any state until the Company completes registration and provides registration confirmation and employer account numbers, and that its lead time for configuring withholding following receipt of registration confirmation is approximately six to eight weeks. The registration deadlines, back-calculated from each facility’s opening date and PinnacleHR’s lead time, are as follows: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State</w:t>
            </w:r>
          </w:p>
        </w:tc>
        <w:tc>
          <w:tcPr/>
          <w:p>
            <w:pPr>
              <w:pStyle w:val="Compact"/>
              <w:jc w:val="left"/>
            </w:pPr>
            <w:r>
              <w:t xml:space="preserve">Program</w:t>
            </w:r>
          </w:p>
        </w:tc>
        <w:tc>
          <w:tcPr/>
          <w:p>
            <w:pPr>
              <w:pStyle w:val="Compact"/>
              <w:jc w:val="left"/>
            </w:pPr>
            <w:r>
              <w:t xml:space="preserve">Facility Opening</w:t>
            </w:r>
          </w:p>
        </w:tc>
        <w:tc>
          <w:tcPr/>
          <w:p>
            <w:pPr>
              <w:pStyle w:val="Compact"/>
              <w:jc w:val="left"/>
            </w:pPr>
            <w:r>
              <w:t xml:space="preserve">Registration Deadline (est.)</w:t>
            </w:r>
          </w:p>
        </w:tc>
        <w:tc>
          <w:tcPr/>
          <w:p>
            <w:pPr>
              <w:pStyle w:val="Compact"/>
              <w:jc w:val="left"/>
            </w:pPr>
            <w:r>
              <w:t xml:space="preserve">Status</w:t>
            </w:r>
          </w:p>
        </w:tc>
        <w:tc>
          <w:tcPr/>
          <w:p>
            <w:pPr>
              <w:pStyle w:val="Compact"/>
              <w:jc w:val="left"/>
            </w:pPr>
            <w:r>
              <w:t xml:space="preserve">Urgency</w:t>
            </w:r>
          </w:p>
        </w:tc>
      </w:tr>
      <w:tr>
        <w:tc>
          <w:tcPr/>
          <w:p>
            <w:pPr>
              <w:pStyle w:val="Compact"/>
              <w:jc w:val="left"/>
            </w:pPr>
            <w:r>
              <w:t xml:space="preserve">Colorado</w:t>
            </w:r>
          </w:p>
        </w:tc>
        <w:tc>
          <w:tcPr/>
          <w:p>
            <w:pPr>
              <w:pStyle w:val="Compact"/>
              <w:jc w:val="left"/>
            </w:pPr>
            <w:r>
              <w:t xml:space="preserve">CO FAMLI</w:t>
            </w:r>
          </w:p>
        </w:tc>
        <w:tc>
          <w:tcPr/>
          <w:p>
            <w:pPr>
              <w:pStyle w:val="Compact"/>
              <w:jc w:val="left"/>
            </w:pPr>
            <w:r>
              <w:t xml:space="preserve">Nov 1, 2025</w:t>
            </w:r>
          </w:p>
        </w:tc>
        <w:tc>
          <w:tcPr/>
          <w:p>
            <w:pPr>
              <w:pStyle w:val="Compact"/>
              <w:jc w:val="left"/>
            </w:pPr>
            <w:r>
              <w:t xml:space="preserve">~Sept 1, 2025 (or earlier — early hires Apr 2025)</w:t>
            </w:r>
          </w:p>
        </w:tc>
        <w:tc>
          <w:tcPr/>
          <w:p>
            <w:pPr>
              <w:pStyle w:val="Compact"/>
              <w:jc w:val="left"/>
            </w:pPr>
            <w:r>
              <w:t xml:space="preserve">NOT REGISTERED</w:t>
            </w:r>
          </w:p>
        </w:tc>
        <w:tc>
          <w:tcPr/>
          <w:p>
            <w:pPr>
              <w:pStyle w:val="Compact"/>
              <w:jc w:val="left"/>
            </w:pPr>
            <w:r>
              <w:t xml:space="preserve">CRITICAL</w:t>
            </w:r>
          </w:p>
        </w:tc>
      </w:tr>
      <w:tr>
        <w:tc>
          <w:tcPr/>
          <w:p>
            <w:pPr>
              <w:pStyle w:val="Compact"/>
              <w:jc w:val="left"/>
            </w:pPr>
            <w:r>
              <w:t xml:space="preserve">Massachusetts</w:t>
            </w:r>
          </w:p>
        </w:tc>
        <w:tc>
          <w:tcPr/>
          <w:p>
            <w:pPr>
              <w:pStyle w:val="Compact"/>
              <w:jc w:val="left"/>
            </w:pPr>
            <w:r>
              <w:t xml:space="preserve">MA PFML</w:t>
            </w:r>
          </w:p>
        </w:tc>
        <w:tc>
          <w:tcPr/>
          <w:p>
            <w:pPr>
              <w:pStyle w:val="Compact"/>
              <w:jc w:val="left"/>
            </w:pPr>
            <w:r>
              <w:t xml:space="preserve">Aug 1, 2025</w:t>
            </w:r>
          </w:p>
        </w:tc>
        <w:tc>
          <w:tcPr/>
          <w:p>
            <w:pPr>
              <w:pStyle w:val="Compact"/>
              <w:jc w:val="left"/>
            </w:pPr>
            <w:r>
              <w:t xml:space="preserve">~June 1, 2025</w:t>
            </w:r>
          </w:p>
        </w:tc>
        <w:tc>
          <w:tcPr/>
          <w:p>
            <w:pPr>
              <w:pStyle w:val="Compact"/>
              <w:jc w:val="left"/>
            </w:pPr>
            <w:r>
              <w:t xml:space="preserve">NOT REGISTERED</w:t>
            </w:r>
          </w:p>
        </w:tc>
        <w:tc>
          <w:tcPr/>
          <w:p>
            <w:pPr>
              <w:pStyle w:val="Compact"/>
              <w:jc w:val="left"/>
            </w:pPr>
            <w:r>
              <w:t xml:space="preserve">CRITICAL</w:t>
            </w:r>
          </w:p>
        </w:tc>
      </w:tr>
      <w:tr>
        <w:tc>
          <w:tcPr/>
          <w:p>
            <w:pPr>
              <w:pStyle w:val="Compact"/>
              <w:jc w:val="left"/>
            </w:pPr>
            <w:r>
              <w:t xml:space="preserve">Oregon</w:t>
            </w:r>
          </w:p>
        </w:tc>
        <w:tc>
          <w:tcPr/>
          <w:p>
            <w:pPr>
              <w:pStyle w:val="Compact"/>
              <w:jc w:val="left"/>
            </w:pPr>
            <w:r>
              <w:t xml:space="preserve">Paid Leave Oregon</w:t>
            </w:r>
          </w:p>
        </w:tc>
        <w:tc>
          <w:tcPr/>
          <w:p>
            <w:pPr>
              <w:pStyle w:val="Compact"/>
              <w:jc w:val="left"/>
            </w:pPr>
            <w:r>
              <w:t xml:space="preserve">Feb 1, 2026</w:t>
            </w:r>
          </w:p>
        </w:tc>
        <w:tc>
          <w:tcPr/>
          <w:p>
            <w:pPr>
              <w:pStyle w:val="Compact"/>
              <w:jc w:val="left"/>
            </w:pPr>
            <w:r>
              <w:t xml:space="preserve">~Dec 1, 2025</w:t>
            </w:r>
          </w:p>
        </w:tc>
        <w:tc>
          <w:tcPr/>
          <w:p>
            <w:pPr>
              <w:pStyle w:val="Compact"/>
              <w:jc w:val="left"/>
            </w:pPr>
            <w:r>
              <w:t xml:space="preserve">NOT REGISTERED</w:t>
            </w:r>
          </w:p>
        </w:tc>
        <w:tc>
          <w:tcPr/>
          <w:p>
            <w:pPr>
              <w:pStyle w:val="Compact"/>
              <w:jc w:val="left"/>
            </w:pPr>
            <w:r>
              <w:t xml:space="preserve">HIGH</w:t>
            </w:r>
          </w:p>
        </w:tc>
      </w:tr>
      <w:tr>
        <w:tc>
          <w:tcPr/>
          <w:p>
            <w:pPr>
              <w:pStyle w:val="Compact"/>
              <w:jc w:val="left"/>
            </w:pPr>
            <w:r>
              <w:t xml:space="preserve">Washington</w:t>
            </w:r>
          </w:p>
        </w:tc>
        <w:tc>
          <w:tcPr/>
          <w:p>
            <w:pPr>
              <w:pStyle w:val="Compact"/>
              <w:jc w:val="left"/>
            </w:pPr>
            <w:r>
              <w:t xml:space="preserve">WA PFML</w:t>
            </w:r>
          </w:p>
        </w:tc>
        <w:tc>
          <w:tcPr/>
          <w:p>
            <w:pPr>
              <w:pStyle w:val="Compact"/>
              <w:jc w:val="left"/>
            </w:pPr>
            <w:r>
              <w:t xml:space="preserve">May 1, 2026</w:t>
            </w:r>
          </w:p>
        </w:tc>
        <w:tc>
          <w:tcPr/>
          <w:p>
            <w:pPr>
              <w:pStyle w:val="Compact"/>
              <w:jc w:val="left"/>
            </w:pPr>
            <w:r>
              <w:t xml:space="preserve">~Mar 1, 2026</w:t>
            </w:r>
          </w:p>
        </w:tc>
        <w:tc>
          <w:tcPr/>
          <w:p>
            <w:pPr>
              <w:pStyle w:val="Compact"/>
              <w:jc w:val="left"/>
            </w:pPr>
            <w:r>
              <w:t xml:space="preserve">NOT REGISTERED</w:t>
            </w:r>
          </w:p>
        </w:tc>
        <w:tc>
          <w:tcPr/>
          <w:p>
            <w:pPr>
              <w:pStyle w:val="Compact"/>
              <w:jc w:val="left"/>
            </w:pPr>
            <w:r>
              <w:t xml:space="preserve">HIGH</w:t>
            </w:r>
          </w:p>
        </w:tc>
      </w:tr>
    </w:tbl>
    <w:p>
      <w:pPr>
        <w:pStyle w:val="BodyText"/>
      </w:pPr>
      <w:r>
        <w:rPr>
          <w:b/>
          <w:bCs/>
        </w:rPr>
        <w:t xml:space="preserve">Colorado requires special attention.</w:t>
      </w:r>
      <w:r>
        <w:t xml:space="preserve"> </w:t>
      </w:r>
      <w:r>
        <w:t xml:space="preserve">Three remote Colorado employees were hired in April 2025. If the FAMLI registration obligation attaches upon the first date a Colorado employee performs work (the more defensible reading of the statute), the Company’s registration was likely due in April 2025 and may already be overdue. The Company should obtain a definitive determination of the trigger date and register immediately. Because Colorado does not permit private employers to self-fund in lieu of FAMLI, there is no alternative to state-program participation.</w:t>
      </w:r>
    </w:p>
    <w:p>
      <w:pPr>
        <w:pStyle w:val="BodyText"/>
      </w:pPr>
      <w:r>
        <w:rPr>
          <w:b/>
          <w:bCs/>
        </w:rPr>
        <w:t xml:space="preserve">Massachusetts is on the critical path.</w:t>
      </w:r>
      <w:r>
        <w:t xml:space="preserve"> </w:t>
      </w:r>
      <w:r>
        <w:t xml:space="preserve">The June 1, 2025 deadline leaves less than seven weeks from the date of this memorandum. Any delay will cascade into PinnacleHR’s configuration and risks the Company operating in Massachusetts without proper withholding on the facility’s opening day. As flagged in the engagement letter, the Firm is prepared to issue an early-action notification on Massachusetts registration in advance of the interim status update if circumstances warrant.</w:t>
      </w:r>
    </w:p>
    <w:p>
      <w:pPr>
        <w:pStyle w:val="BodyText"/>
      </w:pPr>
      <w:r>
        <w:t xml:space="preserve">For each expansion state, the Company must also determine whether to participate in the state program or apply for a private-plan exemption (where available). PinnacleHR can configure withholding for either approach once the Company provides direction and registration/approval documents. As noted in Section 5.1, Colorado offers no private-employer opt-out; the other three expansion states permit private plans only if benefits meet or exceed the state program, which the Company’s current self-funded plan does not.</w:t>
      </w:r>
    </w:p>
    <w:bookmarkEnd w:id="29"/>
    <w:bookmarkStart w:id="30" w:name="Xe676bb9489a7b23182eb4c70a492051a578ccb2"/>
    <w:p>
      <w:pPr>
        <w:pStyle w:val="Heading1"/>
      </w:pPr>
      <w:r>
        <w:t xml:space="preserve">7. Self-Funded Paid Family Leave — Structural Analysis</w:t>
      </w:r>
    </w:p>
    <w:p>
      <w:pPr>
        <w:pStyle w:val="FirstParagraph"/>
      </w:pPr>
      <w:r>
        <w:t xml:space="preserve">The Company’s self-funded paid family leave benefit (50% of AWW, capped at $850/week, for up to eight weeks) was established as an alternative to participation in state-administered insurance programs. The Company has represented that it</w:t>
      </w:r>
      <w:r>
        <w:t xml:space="preserve"> </w:t>
      </w:r>
      <w:r>
        <w:t xml:space="preserve">“</w:t>
      </w:r>
      <w:r>
        <w:t xml:space="preserve">believes that its self-funded paid family leave benefit meets or exceeds the requirements of applicable state paid family leave programs.</w:t>
      </w:r>
      <w:r>
        <w:t xml:space="preserve">”</w:t>
      </w:r>
      <w:r>
        <w:t xml:space="preserve"> </w:t>
      </w:r>
      <w:r>
        <w:t xml:space="preserve">Our review does not support that belief. As detailed in Section 5.1 (G-05), the benefit is below the statutory minimum in all seven jurisdictions on rate, cap, and duration, and no private-plan application has been filed in any state.</w:t>
      </w:r>
    </w:p>
    <w:p>
      <w:pPr>
        <w:pStyle w:val="BodyText"/>
      </w:pPr>
      <w:r>
        <w:t xml:space="preserve">The structural problem is compounded by the contribution structure. PinnacleHR is withholding employee contributions for NJ FLI, NY PFL, and CT PL. Employees are therefore paying into state programs that the self-funded plan was purportedly designed to replace, while the self-funded plan simultaneously falls below those programs. Employees in Connecticut have already expressed confusion about whether they are covered by the state program or the Company’s benefit, and at least two have asked whether the Company’s benefit provides the same level of coverage as the state program. This dual-coverage posture creates overpayment/underpayment risk and a basis for employee claims.</w:t>
      </w:r>
    </w:p>
    <w:p>
      <w:pPr>
        <w:pStyle w:val="BodyText"/>
      </w:pPr>
      <w:r>
        <w:t xml:space="preserve">The Company should select one of the following approaches for each state, in coordination with PinnacleHR and the Firm:</w:t>
      </w:r>
    </w:p>
    <w:p>
      <w:pPr>
        <w:pStyle w:val="Compact"/>
        <w:numPr>
          <w:ilvl w:val="0"/>
          <w:numId w:val="1003"/>
        </w:numPr>
      </w:pPr>
      <w:r>
        <w:rPr>
          <w:b/>
          <w:bCs/>
        </w:rPr>
        <w:t xml:space="preserve">(a) Participate in the state program and treat the self-funded benefit as supplemental.</w:t>
      </w:r>
      <w:r>
        <w:t xml:space="preserve"> </w:t>
      </w:r>
      <w:r>
        <w:t xml:space="preserve">This is the lowest-risk approach and is the</w:t>
      </w:r>
      <w:r>
        <w:t xml:space="preserve"> </w:t>
      </w:r>
      <w:r>
        <w:rPr>
          <w:i/>
          <w:iCs/>
        </w:rPr>
        <w:t xml:space="preserve">only</w:t>
      </w:r>
      <w:r>
        <w:t xml:space="preserve"> </w:t>
      </w:r>
      <w:r>
        <w:t xml:space="preserve">available approach in Colorado. Employees receive the full state benefit; the Company’s self-funded benefit can be layered on top (or discontinued to avoid confusion).</w:t>
      </w:r>
    </w:p>
    <w:p>
      <w:pPr>
        <w:pStyle w:val="Compact"/>
        <w:numPr>
          <w:ilvl w:val="0"/>
          <w:numId w:val="1003"/>
        </w:numPr>
      </w:pPr>
      <w:r>
        <w:rPr>
          <w:b/>
          <w:bCs/>
        </w:rPr>
        <w:t xml:space="preserve">(b) Seek private-plan approval with enhanced benefits.</w:t>
      </w:r>
      <w:r>
        <w:t xml:space="preserve"> </w:t>
      </w:r>
      <w:r>
        <w:t xml:space="preserve">Available in NJ, NY, CT, MA, OR, and WA, but only if the plan is enhanced to meet or exceed the state program in all respects (rate, cap, duration, covered leave types) and a formal application is filed and approved. This requires a meaningful increase in the benefit level.</w:t>
      </w:r>
    </w:p>
    <w:p>
      <w:pPr>
        <w:pStyle w:val="Compact"/>
        <w:numPr>
          <w:ilvl w:val="0"/>
          <w:numId w:val="1003"/>
        </w:numPr>
      </w:pPr>
      <w:r>
        <w:rPr>
          <w:b/>
          <w:bCs/>
        </w:rPr>
        <w:t xml:space="preserve">(c) Discontinue the self-funded plan.</w:t>
      </w:r>
      <w:r>
        <w:t xml:space="preserve"> </w:t>
      </w:r>
      <w:r>
        <w:t xml:space="preserve">Eliminates employee confusion and dual-coverage risk; employees rely on the state programs (plus voluntary STD for own conditions where applicable).</w:t>
      </w:r>
    </w:p>
    <w:p>
      <w:pPr>
        <w:pStyle w:val="FirstParagraph"/>
      </w:pPr>
      <w:r>
        <w:t xml:space="preserve">We recommend that the Company make this decision promptly, because it drives payroll configuration, employee communications, and the Handbook revision. The decision for Colorado is foreclosed (mandatory participation). For Massachusetts, the decision should be made in conjunction with the June 1, 2025 registration.</w:t>
      </w:r>
    </w:p>
    <w:bookmarkEnd w:id="30"/>
    <w:bookmarkStart w:id="31" w:name="Xbbf253e2550937e6373f56f1c6062d994e1e70f"/>
    <w:p>
      <w:pPr>
        <w:pStyle w:val="Heading1"/>
      </w:pPr>
      <w:r>
        <w:t xml:space="preserve">8. Paid Medical Leave / STD Misdirection Analysis</w:t>
      </w:r>
    </w:p>
    <w:p>
      <w:pPr>
        <w:pStyle w:val="FirstParagraph"/>
      </w:pPr>
      <w:r>
        <w:t xml:space="preserve">The Company provides no employer-funded paid medical leave for an employee’s own serious health condition. In the current states, employees pay into state programs that cover their own conditions—CT PL, NJ TDI, and NY DBL—via PinnacleHR withholding. In the expansion states, the state PFML/FAMLI/PLO programs cover the employee’s own serious health condition, and the Company will be required to participate (or obtain an approved private plan).</w:t>
      </w:r>
    </w:p>
    <w:p>
      <w:pPr>
        <w:pStyle w:val="BodyText"/>
      </w:pPr>
      <w:r>
        <w:t xml:space="preserve">The operational defect is that HR staff have been directing employees who inquire about paid medical leave to the voluntary, employee-paid STD plan through Keystone Benefit Administrators, rather than to the state programs. This misdirection has occurred in all three current states and has affected at least seven employees in the past twelve months. The Handbook language affirmatively states that the Company</w:t>
      </w:r>
      <w:r>
        <w:t xml:space="preserve"> </w:t>
      </w:r>
      <w:r>
        <w:t xml:space="preserve">“</w:t>
      </w:r>
      <w:r>
        <w:t xml:space="preserve">does NOT provide employer-funded paid medical leave,</w:t>
      </w:r>
      <w:r>
        <w:t xml:space="preserve">”</w:t>
      </w:r>
      <w:r>
        <w:t xml:space="preserve"> </w:t>
      </w:r>
      <w:r>
        <w:t xml:space="preserve">which, while technically accurate as to the Company’s own benefit, is misleading in context because it does not inform employees of their state-program entitlements. Fewer than 30% of Connecticut hourly staff are enrolled in the voluntary STD plan, meaning the majority of employees who were directed to Keystone had no coverage at all for their own conditions unless they independently pursued a state claim.</w:t>
      </w:r>
    </w:p>
    <w:p>
      <w:pPr>
        <w:pStyle w:val="BodyText"/>
      </w:pPr>
      <w:r>
        <w:t xml:space="preserve">This pattern is the kind of practice that led an employee (Ms. Muñoz) to file a state-agency complaint in the sick-leave context. The Company should treat the medical-leave misdirection as a priority remediation item: train HR staff on state program claims processes, correct the misdirection, revise the Handbook language, assess retroactive claims exposure, and coordinate with PinnacleHR to confirm employees are set up to file state claims. Rebecca Thorsen has directed Marcus Delgado to compile the full 12-month inquiry list (dates, names, HR responses), which should be provided to the Firm to support the exposure assessment.</w:t>
      </w:r>
    </w:p>
    <w:bookmarkEnd w:id="31"/>
    <w:bookmarkStart w:id="32" w:name="X1d87ce9a9b11d98bcfbeb35d5341e324d0a08f3"/>
    <w:p>
      <w:pPr>
        <w:pStyle w:val="Heading1"/>
      </w:pPr>
      <w:r>
        <w:t xml:space="preserve">9. Manual Leave Tracking System — Operational Risk</w:t>
      </w:r>
    </w:p>
    <w:p>
      <w:pPr>
        <w:pStyle w:val="FirstParagraph"/>
      </w:pPr>
      <w:r>
        <w:t xml:space="preserve">The Company’s manual, spreadsheet-based leave tracking system is adequate for three states with relatively consistent policies but is not scalable to seven states with materially different accrual rules, carryover provisions, waiting periods, and reporting obligations. The specific deficiencies—no state-specific rule differentiation, no automated alerts, no audit trail, no system integration, and limited scope (sick leave only)—are detailed in Section 5.3 (G-20). The documented errors (part-time accrual miscalculation, negative balances, year-end forfeitures, and uniform application of the 120-day waiting period without state-law verification) illustrate the systemic weakness.</w:t>
      </w:r>
    </w:p>
    <w:p>
      <w:pPr>
        <w:pStyle w:val="BodyText"/>
      </w:pPr>
      <w:r>
        <w:t xml:space="preserve">Several expansion states impose specific recordkeeping requirements regarding leave accruals and usage. A manual system with no audit trail will not withstand a regulatory audit or employee complaint—particularly given the active NJ DOL complaint, in which the Department has reserved the right to investigate the Company’s records broadly. We concur with Mr. Delgado’s recommendation that the Company invest in a dedicated leave management software solution integrated with WorkBridge Pro and ClockSync Enterprise, configured with state-specific rules for all seven jurisdictions. Mr. Delgado estimates the cost at $40,000–$75,000 and the implementation timeline at three to six months. This investment should be sequenced so that the system is live and configured for all seven states by Q1 2026, in time to support the Oregon and Washington facility launches. In the interim, the manual process should be supplemented with documented state-specific rule sheets, a standardized audit-log practice, and monthly reconciliation reviews.</w:t>
      </w:r>
    </w:p>
    <w:bookmarkEnd w:id="32"/>
    <w:bookmarkStart w:id="33" w:name="prioritized-remediation-plan"/>
    <w:p>
      <w:pPr>
        <w:pStyle w:val="Heading1"/>
      </w:pPr>
      <w:r>
        <w:t xml:space="preserve">10. Prioritized Remediation Plan</w:t>
      </w:r>
    </w:p>
    <w:p>
      <w:pPr>
        <w:pStyle w:val="FirstParagraph"/>
      </w:pPr>
      <w:r>
        <w:t xml:space="preserve">The following plan sequences remediation against the Company’s facility opening schedule and the July 1, 2025 revised-Handbook target. Owners are identified consistent with the engagement letter and the HR Expansion Plan Memo.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Register with CO FAMLI; determine trigger date for April 2025 early hires; provide confirmation to PinnacleHR</w:t>
            </w:r>
          </w:p>
        </w:tc>
        <w:tc>
          <w:tcPr/>
          <w:p>
            <w:pPr>
              <w:pStyle w:val="Compact"/>
              <w:jc w:val="left"/>
            </w:pPr>
            <w:r>
              <w:t xml:space="preserve">Legal (R. Thorsen) + HR (M. Delgado)</w:t>
            </w:r>
          </w:p>
        </w:tc>
        <w:tc>
          <w:tcPr/>
          <w:p>
            <w:pPr>
              <w:pStyle w:val="Compact"/>
              <w:jc w:val="left"/>
            </w:pPr>
            <w:r>
              <w:t xml:space="preserve">Immediate (Apr–May 2025)</w:t>
            </w:r>
          </w:p>
        </w:tc>
      </w:tr>
      <w:tr>
        <w:tc>
          <w:tcPr/>
          <w:p>
            <w:pPr>
              <w:pStyle w:val="Compact"/>
              <w:jc w:val="left"/>
            </w:pPr>
            <w:r>
              <w:t xml:space="preserve">2</w:t>
            </w:r>
          </w:p>
        </w:tc>
        <w:tc>
          <w:tcPr/>
          <w:p>
            <w:pPr>
              <w:pStyle w:val="Compact"/>
              <w:jc w:val="left"/>
            </w:pPr>
            <w:r>
              <w:t xml:space="preserve">Register with MA PFML; provide confirmation to PinnacleHR</w:t>
            </w:r>
          </w:p>
        </w:tc>
        <w:tc>
          <w:tcPr/>
          <w:p>
            <w:pPr>
              <w:pStyle w:val="Compact"/>
              <w:jc w:val="left"/>
            </w:pPr>
            <w:r>
              <w:t xml:space="preserve">HR + Legal</w:t>
            </w:r>
          </w:p>
        </w:tc>
        <w:tc>
          <w:tcPr/>
          <w:p>
            <w:pPr>
              <w:pStyle w:val="Compact"/>
              <w:jc w:val="left"/>
            </w:pPr>
            <w:r>
              <w:t xml:space="preserve">By June 1, 2025</w:t>
            </w:r>
          </w:p>
        </w:tc>
      </w:tr>
      <w:tr>
        <w:tc>
          <w:tcPr/>
          <w:p>
            <w:pPr>
              <w:pStyle w:val="Compact"/>
              <w:jc w:val="left"/>
            </w:pPr>
            <w:r>
              <w:t xml:space="preserve">3</w:t>
            </w:r>
          </w:p>
        </w:tc>
        <w:tc>
          <w:tcPr/>
          <w:p>
            <w:pPr>
              <w:pStyle w:val="Compact"/>
              <w:jc w:val="left"/>
            </w:pPr>
            <w:r>
              <w:t xml:space="preserve">Decide self-funded PFL structural approach per state (participate / private plan / discontinue); CO = mandatory participation</w:t>
            </w:r>
          </w:p>
        </w:tc>
        <w:tc>
          <w:tcPr/>
          <w:p>
            <w:pPr>
              <w:pStyle w:val="Compact"/>
              <w:jc w:val="left"/>
            </w:pPr>
            <w:r>
              <w:t xml:space="preserve">Legal + HR + Finance</w:t>
            </w:r>
          </w:p>
        </w:tc>
        <w:tc>
          <w:tcPr/>
          <w:p>
            <w:pPr>
              <w:pStyle w:val="Compact"/>
              <w:jc w:val="left"/>
            </w:pPr>
            <w:r>
              <w:t xml:space="preserve">Jun–Sep 2025</w:t>
            </w:r>
          </w:p>
        </w:tc>
      </w:tr>
      <w:tr>
        <w:tc>
          <w:tcPr/>
          <w:p>
            <w:pPr>
              <w:pStyle w:val="Compact"/>
              <w:jc w:val="left"/>
            </w:pPr>
            <w:r>
              <w:t xml:space="preserve">4</w:t>
            </w:r>
          </w:p>
        </w:tc>
        <w:tc>
          <w:tcPr/>
          <w:p>
            <w:pPr>
              <w:pStyle w:val="Compact"/>
              <w:jc w:val="left"/>
            </w:pPr>
            <w:r>
              <w:t xml:space="preserve">Correct paid medical leave misdirection; train HR on CT PL / NJ TDI / NY DBL claims; compile 12-month inquiry list</w:t>
            </w:r>
          </w:p>
        </w:tc>
        <w:tc>
          <w:tcPr/>
          <w:p>
            <w:pPr>
              <w:pStyle w:val="Compact"/>
              <w:jc w:val="left"/>
            </w:pPr>
            <w:r>
              <w:t xml:space="preserve">HR (M. Delgado)</w:t>
            </w:r>
          </w:p>
        </w:tc>
        <w:tc>
          <w:tcPr/>
          <w:p>
            <w:pPr>
              <w:pStyle w:val="Compact"/>
              <w:jc w:val="left"/>
            </w:pPr>
            <w:r>
              <w:t xml:space="preserve">May–Jul 2025</w:t>
            </w:r>
          </w:p>
        </w:tc>
      </w:tr>
      <w:tr>
        <w:tc>
          <w:tcPr/>
          <w:p>
            <w:pPr>
              <w:pStyle w:val="Compact"/>
              <w:jc w:val="left"/>
            </w:pPr>
            <w:r>
              <w:t xml:space="preserve">5</w:t>
            </w:r>
          </w:p>
        </w:tc>
        <w:tc>
          <w:tcPr/>
          <w:p>
            <w:pPr>
              <w:pStyle w:val="Compact"/>
              <w:jc w:val="left"/>
            </w:pPr>
            <w:r>
              <w:t xml:space="preserve">Issue interim guidance (already in place): do not deny unforeseeable leave; do not turn away own-condition inquiries without checking state program</w:t>
            </w:r>
          </w:p>
        </w:tc>
        <w:tc>
          <w:tcPr/>
          <w:p>
            <w:pPr>
              <w:pStyle w:val="Compact"/>
              <w:jc w:val="left"/>
            </w:pPr>
            <w:r>
              <w:t xml:space="preserve">HR</w:t>
            </w:r>
          </w:p>
        </w:tc>
        <w:tc>
          <w:tcPr/>
          <w:p>
            <w:pPr>
              <w:pStyle w:val="Compact"/>
              <w:jc w:val="left"/>
            </w:pPr>
            <w:r>
              <w:t xml:space="preserve">Ongoing</w:t>
            </w:r>
          </w:p>
        </w:tc>
      </w:tr>
      <w:tr>
        <w:tc>
          <w:tcPr/>
          <w:p>
            <w:pPr>
              <w:pStyle w:val="Compact"/>
              <w:jc w:val="left"/>
            </w:pPr>
            <w:r>
              <w:t xml:space="preserve">6</w:t>
            </w:r>
          </w:p>
        </w:tc>
        <w:tc>
          <w:tcPr/>
          <w:p>
            <w:pPr>
              <w:pStyle w:val="Compact"/>
              <w:jc w:val="left"/>
            </w:pPr>
            <w:r>
              <w:t xml:space="preserve">Revise Employee Handbook leave policies for all 7 states (sick leave, family leave, medical leave, PTO payout, notice, family-member definitions, covered uses, military exigency, documentation threshold)</w:t>
            </w:r>
          </w:p>
        </w:tc>
        <w:tc>
          <w:tcPr/>
          <w:p>
            <w:pPr>
              <w:pStyle w:val="Compact"/>
              <w:jc w:val="left"/>
            </w:pPr>
            <w:r>
              <w:t xml:space="preserve">HR + Legal (H&amp;C input)</w:t>
            </w:r>
          </w:p>
        </w:tc>
        <w:tc>
          <w:tcPr/>
          <w:p>
            <w:pPr>
              <w:pStyle w:val="Compact"/>
              <w:jc w:val="left"/>
            </w:pPr>
            <w:r>
              <w:t xml:space="preserve">By Jul 1, 2025</w:t>
            </w:r>
          </w:p>
        </w:tc>
      </w:tr>
      <w:tr>
        <w:tc>
          <w:tcPr/>
          <w:p>
            <w:pPr>
              <w:pStyle w:val="Compact"/>
              <w:jc w:val="left"/>
            </w:pPr>
            <w:r>
              <w:t xml:space="preserve">7</w:t>
            </w:r>
          </w:p>
        </w:tc>
        <w:tc>
          <w:tcPr/>
          <w:p>
            <w:pPr>
              <w:pStyle w:val="Compact"/>
              <w:jc w:val="left"/>
            </w:pPr>
            <w:r>
              <w:t xml:space="preserve">Amend PTO payout policy for MA, CO, OR; revise carryover cap; issue compliant CO offer letters</w:t>
            </w:r>
          </w:p>
        </w:tc>
        <w:tc>
          <w:tcPr/>
          <w:p>
            <w:pPr>
              <w:pStyle w:val="Compact"/>
              <w:jc w:val="left"/>
            </w:pPr>
            <w:r>
              <w:t xml:space="preserve">HR + Legal</w:t>
            </w:r>
          </w:p>
        </w:tc>
        <w:tc>
          <w:tcPr/>
          <w:p>
            <w:pPr>
              <w:pStyle w:val="Compact"/>
              <w:jc w:val="left"/>
            </w:pPr>
            <w:r>
              <w:t xml:space="preserve">By Jul 1, 2025 (MA/CO); Jan 2026 (OR)</w:t>
            </w:r>
          </w:p>
        </w:tc>
      </w:tr>
      <w:tr>
        <w:tc>
          <w:tcPr/>
          <w:p>
            <w:pPr>
              <w:pStyle w:val="Compact"/>
              <w:jc w:val="left"/>
            </w:pPr>
            <w:r>
              <w:t xml:space="preserve">8</w:t>
            </w:r>
          </w:p>
        </w:tc>
        <w:tc>
          <w:tcPr/>
          <w:p>
            <w:pPr>
              <w:pStyle w:val="Compact"/>
              <w:jc w:val="left"/>
            </w:pPr>
            <w:r>
              <w:t xml:space="preserve">Audit/Implement workplace postings &amp; individual notices (current states; expansion states before each opening)</w:t>
            </w:r>
          </w:p>
        </w:tc>
        <w:tc>
          <w:tcPr/>
          <w:p>
            <w:pPr>
              <w:pStyle w:val="Compact"/>
              <w:jc w:val="left"/>
            </w:pPr>
            <w:r>
              <w:t xml:space="preserve">HR</w:t>
            </w:r>
          </w:p>
        </w:tc>
        <w:tc>
          <w:tcPr/>
          <w:p>
            <w:pPr>
              <w:pStyle w:val="Compact"/>
              <w:jc w:val="left"/>
            </w:pPr>
            <w:r>
              <w:t xml:space="preserve">May–Jul 2025; before each opening</w:t>
            </w:r>
          </w:p>
        </w:tc>
      </w:tr>
      <w:tr>
        <w:tc>
          <w:tcPr/>
          <w:p>
            <w:pPr>
              <w:pStyle w:val="Compact"/>
              <w:jc w:val="left"/>
            </w:pPr>
            <w:r>
              <w:t xml:space="preserve">9</w:t>
            </w:r>
          </w:p>
        </w:tc>
        <w:tc>
          <w:tcPr/>
          <w:p>
            <w:pPr>
              <w:pStyle w:val="Compact"/>
              <w:jc w:val="left"/>
            </w:pPr>
            <w:r>
              <w:t xml:space="preserve">Make Ms. Muñoz whole; supervisor/HR training on covered family members &amp; uses (NJ)</w:t>
            </w:r>
          </w:p>
        </w:tc>
        <w:tc>
          <w:tcPr/>
          <w:p>
            <w:pPr>
              <w:pStyle w:val="Compact"/>
              <w:jc w:val="left"/>
            </w:pPr>
            <w:r>
              <w:t xml:space="preserve">HR + Legal</w:t>
            </w:r>
          </w:p>
        </w:tc>
        <w:tc>
          <w:tcPr/>
          <w:p>
            <w:pPr>
              <w:pStyle w:val="Compact"/>
              <w:jc w:val="left"/>
            </w:pPr>
            <w:r>
              <w:t xml:space="preserve">Jul 1, 2025 (accelerated for Muñoz)</w:t>
            </w:r>
          </w:p>
        </w:tc>
      </w:tr>
      <w:tr>
        <w:tc>
          <w:tcPr/>
          <w:p>
            <w:pPr>
              <w:pStyle w:val="Compact"/>
              <w:jc w:val="left"/>
            </w:pPr>
            <w:r>
              <w:t xml:space="preserve">10</w:t>
            </w:r>
          </w:p>
        </w:tc>
        <w:tc>
          <w:tcPr/>
          <w:p>
            <w:pPr>
              <w:pStyle w:val="Compact"/>
              <w:jc w:val="left"/>
            </w:pPr>
            <w:r>
              <w:t xml:space="preserve">Select &amp; procure leave management software; configure state-specific rules for 7 states</w:t>
            </w:r>
          </w:p>
        </w:tc>
        <w:tc>
          <w:tcPr/>
          <w:p>
            <w:pPr>
              <w:pStyle w:val="Compact"/>
              <w:jc w:val="left"/>
            </w:pPr>
            <w:r>
              <w:t xml:space="preserve">HR (M. Delgado) + IT</w:t>
            </w:r>
          </w:p>
        </w:tc>
        <w:tc>
          <w:tcPr/>
          <w:p>
            <w:pPr>
              <w:pStyle w:val="Compact"/>
              <w:jc w:val="left"/>
            </w:pPr>
            <w:r>
              <w:t xml:space="preserve">Select by Jul 1, 2025; live Q1 2026</w:t>
            </w:r>
          </w:p>
        </w:tc>
      </w:tr>
      <w:tr>
        <w:tc>
          <w:tcPr/>
          <w:p>
            <w:pPr>
              <w:pStyle w:val="Compact"/>
              <w:jc w:val="left"/>
            </w:pPr>
            <w:r>
              <w:t xml:space="preserve">11</w:t>
            </w:r>
          </w:p>
        </w:tc>
        <w:tc>
          <w:tcPr/>
          <w:p>
            <w:pPr>
              <w:pStyle w:val="Compact"/>
              <w:jc w:val="left"/>
            </w:pPr>
            <w:r>
              <w:t xml:space="preserve">Configure WorkBridge Pro &amp; ClockSync for expansion states; coordinate PinnacleHR withholding per state</w:t>
            </w:r>
          </w:p>
        </w:tc>
        <w:tc>
          <w:tcPr/>
          <w:p>
            <w:pPr>
              <w:pStyle w:val="Compact"/>
              <w:jc w:val="left"/>
            </w:pPr>
            <w:r>
              <w:t xml:space="preserve">HR + PinnacleHR (P. Samuelson)</w:t>
            </w:r>
          </w:p>
        </w:tc>
        <w:tc>
          <w:tcPr/>
          <w:p>
            <w:pPr>
              <w:pStyle w:val="Compact"/>
              <w:jc w:val="left"/>
            </w:pPr>
            <w:r>
              <w:t xml:space="preserve">Per opening schedule</w:t>
            </w:r>
          </w:p>
        </w:tc>
      </w:tr>
      <w:tr>
        <w:tc>
          <w:tcPr/>
          <w:p>
            <w:pPr>
              <w:pStyle w:val="Compact"/>
              <w:jc w:val="left"/>
            </w:pPr>
            <w:r>
              <w:t xml:space="preserve">12</w:t>
            </w:r>
          </w:p>
        </w:tc>
        <w:tc>
          <w:tcPr/>
          <w:p>
            <w:pPr>
              <w:pStyle w:val="Compact"/>
              <w:jc w:val="left"/>
            </w:pPr>
            <w:r>
              <w:t xml:space="preserve">Register with Paid Leave Oregon; provide confirmation to PinnacleHR</w:t>
            </w:r>
          </w:p>
        </w:tc>
        <w:tc>
          <w:tcPr/>
          <w:p>
            <w:pPr>
              <w:pStyle w:val="Compact"/>
              <w:jc w:val="left"/>
            </w:pPr>
            <w:r>
              <w:t xml:space="preserve">HR + Legal</w:t>
            </w:r>
          </w:p>
        </w:tc>
        <w:tc>
          <w:tcPr/>
          <w:p>
            <w:pPr>
              <w:pStyle w:val="Compact"/>
              <w:jc w:val="left"/>
            </w:pPr>
            <w:r>
              <w:t xml:space="preserve">By Dec 1, 2025</w:t>
            </w:r>
          </w:p>
        </w:tc>
      </w:tr>
      <w:tr>
        <w:tc>
          <w:tcPr/>
          <w:p>
            <w:pPr>
              <w:pStyle w:val="Compact"/>
              <w:jc w:val="left"/>
            </w:pPr>
            <w:r>
              <w:t xml:space="preserve">13</w:t>
            </w:r>
          </w:p>
        </w:tc>
        <w:tc>
          <w:tcPr/>
          <w:p>
            <w:pPr>
              <w:pStyle w:val="Compact"/>
              <w:jc w:val="left"/>
            </w:pPr>
            <w:r>
              <w:t xml:space="preserve">Register with WA PFML; provide confirmation to PinnacleHR</w:t>
            </w:r>
          </w:p>
        </w:tc>
        <w:tc>
          <w:tcPr/>
          <w:p>
            <w:pPr>
              <w:pStyle w:val="Compact"/>
              <w:jc w:val="left"/>
            </w:pPr>
            <w:r>
              <w:t xml:space="preserve">HR + Legal</w:t>
            </w:r>
          </w:p>
        </w:tc>
        <w:tc>
          <w:tcPr/>
          <w:p>
            <w:pPr>
              <w:pStyle w:val="Compact"/>
              <w:jc w:val="left"/>
            </w:pPr>
            <w:r>
              <w:t xml:space="preserve">By Mar 1, 2026</w:t>
            </w:r>
          </w:p>
        </w:tc>
      </w:tr>
      <w:tr>
        <w:tc>
          <w:tcPr/>
          <w:p>
            <w:pPr>
              <w:pStyle w:val="Compact"/>
              <w:jc w:val="left"/>
            </w:pPr>
            <w:r>
              <w:t xml:space="preserve">14</w:t>
            </w:r>
          </w:p>
        </w:tc>
        <w:tc>
          <w:tcPr/>
          <w:p>
            <w:pPr>
              <w:pStyle w:val="Compact"/>
              <w:jc w:val="left"/>
            </w:pPr>
            <w:r>
              <w:t xml:space="preserve">Post-launch audit of all systems &amp; compliance processes (within 30 days of WA opening)</w:t>
            </w:r>
          </w:p>
        </w:tc>
        <w:tc>
          <w:tcPr/>
          <w:p>
            <w:pPr>
              <w:pStyle w:val="Compact"/>
              <w:jc w:val="left"/>
            </w:pPr>
            <w:r>
              <w:t xml:space="preserve">HR + Legal</w:t>
            </w:r>
          </w:p>
        </w:tc>
        <w:tc>
          <w:tcPr/>
          <w:p>
            <w:pPr>
              <w:pStyle w:val="Compact"/>
              <w:jc w:val="left"/>
            </w:pPr>
            <w:r>
              <w:t xml:space="preserve">By Jun 2026</w:t>
            </w:r>
          </w:p>
        </w:tc>
      </w:tr>
    </w:tbl>
    <w:bookmarkEnd w:id="33"/>
    <w:bookmarkStart w:id="34" w:name="X2a7993269beb951583d2bc844f2500294637b07"/>
    <w:p>
      <w:pPr>
        <w:pStyle w:val="Heading1"/>
      </w:pPr>
      <w:r>
        <w:t xml:space="preserve">11. NJ DOL Complaint — Resolution Strategy Framework</w:t>
      </w:r>
    </w:p>
    <w:p>
      <w:pPr>
        <w:pStyle w:val="FirstParagraph"/>
      </w:pPr>
      <w:r>
        <w:t xml:space="preserve">The pending NJ DOL complaint (Case No. NJ-ESL-2025-04117,</w:t>
      </w:r>
      <w:r>
        <w:t xml:space="preserve"> </w:t>
      </w:r>
      <w:r>
        <w:rPr>
          <w:i/>
          <w:iCs/>
        </w:rPr>
        <w:t xml:space="preserve">Carla Muñoz v. Vantage Logistics Group, Inc.</w:t>
      </w:r>
      <w:r>
        <w:t xml:space="preserve">) is the subject of a separate engagement and is addressed here only to the extent the compliance review findings inform the Company’s response posture. The complaint alleges that the Company’s sick leave policy improperly restricts the definition of</w:t>
      </w:r>
      <w:r>
        <w:t xml:space="preserve"> </w:t>
      </w:r>
      <w:r>
        <w:t xml:space="preserve">“</w:t>
      </w:r>
      <w:r>
        <w:t xml:space="preserve">family member</w:t>
      </w:r>
      <w:r>
        <w:t xml:space="preserve">”</w:t>
      </w:r>
      <w:r>
        <w:t xml:space="preserve"> </w:t>
      </w:r>
      <w:r>
        <w:t xml:space="preserve">(excluding a domestic partner’s child) and omits several categories of covered uses required by the NJ ESL Act. The Company’s February 21, 2025 response acknowledged that the complaint</w:t>
      </w:r>
      <w:r>
        <w:t xml:space="preserve"> </w:t>
      </w:r>
      <w:r>
        <w:t xml:space="preserve">“</w:t>
      </w:r>
      <w:r>
        <w:t xml:space="preserve">raises legitimate questions</w:t>
      </w:r>
      <w:r>
        <w:t xml:space="preserve">”</w:t>
      </w:r>
      <w:r>
        <w:t xml:space="preserve"> </w:t>
      </w:r>
      <w:r>
        <w:t xml:space="preserve">regarding the policy language and represented that the Company is reviewing the family-member definition and covered uses, evaluating whether to make Ms. Muñoz whole, and planning supervisor training, with a target of July 1, 2025 for the revised Handbook.</w:t>
      </w:r>
    </w:p>
    <w:p>
      <w:pPr>
        <w:pStyle w:val="BodyText"/>
      </w:pPr>
      <w:r>
        <w:t xml:space="preserve">Our review confirms that the policy defects identified in the complaint are real and systemic. The Company’s response posture is therefore well-founded, and the remediation steps already contemplated (policy amendment, make-whole relief, training) align with our recommendations. We recommend that the Company:</w:t>
      </w:r>
    </w:p>
    <w:p>
      <w:pPr>
        <w:pStyle w:val="Compact"/>
        <w:numPr>
          <w:ilvl w:val="0"/>
          <w:numId w:val="1004"/>
        </w:numPr>
      </w:pPr>
      <w:r>
        <w:rPr>
          <w:b/>
          <w:bCs/>
        </w:rPr>
        <w:t xml:space="preserve">Proceed with the policy amendment</w:t>
      </w:r>
      <w:r>
        <w:t xml:space="preserve"> </w:t>
      </w:r>
      <w:r>
        <w:t xml:space="preserve">on the timeline represented to the NJ DOL (July 1, 2025), and ensure the amended definition and covered uses track the full statutory scope of N.J.S.A. 34:11D-1 and 34:11D-3;</w:t>
      </w:r>
    </w:p>
    <w:p>
      <w:pPr>
        <w:pStyle w:val="Compact"/>
        <w:numPr>
          <w:ilvl w:val="0"/>
          <w:numId w:val="1004"/>
        </w:numPr>
      </w:pPr>
      <w:r>
        <w:rPr>
          <w:b/>
          <w:bCs/>
        </w:rPr>
        <w:t xml:space="preserve">Make Ms. Muñoz whole</w:t>
      </w:r>
      <w:r>
        <w:t xml:space="preserve"> </w:t>
      </w:r>
      <w:r>
        <w:t xml:space="preserve">for any unpaid time off or expended PTO resulting from the denial, and document the remediation;</w:t>
      </w:r>
    </w:p>
    <w:p>
      <w:pPr>
        <w:pStyle w:val="Compact"/>
        <w:numPr>
          <w:ilvl w:val="0"/>
          <w:numId w:val="1004"/>
        </w:numPr>
      </w:pPr>
      <w:r>
        <w:rPr>
          <w:b/>
          <w:bCs/>
        </w:rPr>
        <w:t xml:space="preserve">Conduct supervisor and HR training</w:t>
      </w:r>
      <w:r>
        <w:t xml:space="preserve"> </w:t>
      </w:r>
      <w:r>
        <w:t xml:space="preserve">at the Edison and Newark facilities (and extend it company-wide, given that the same defects affect all states);</w:t>
      </w:r>
    </w:p>
    <w:p>
      <w:pPr>
        <w:pStyle w:val="Compact"/>
        <w:numPr>
          <w:ilvl w:val="0"/>
          <w:numId w:val="1004"/>
        </w:numPr>
      </w:pPr>
      <w:r>
        <w:rPr>
          <w:b/>
          <w:bCs/>
        </w:rPr>
        <w:t xml:space="preserve">Preserve the cooperative posture</w:t>
      </w:r>
      <w:r>
        <w:t xml:space="preserve"> </w:t>
      </w:r>
      <w:r>
        <w:t xml:space="preserve">with the NJ DOL, and continue to provide records as requested; and</w:t>
      </w:r>
    </w:p>
    <w:p>
      <w:pPr>
        <w:pStyle w:val="Compact"/>
        <w:numPr>
          <w:ilvl w:val="0"/>
          <w:numId w:val="1004"/>
        </w:numPr>
      </w:pPr>
      <w:r>
        <w:rPr>
          <w:b/>
          <w:bCs/>
        </w:rPr>
        <w:t xml:space="preserve">Recognize that the Department has reserved the right to a broader investigation.</w:t>
      </w:r>
      <w:r>
        <w:t xml:space="preserve"> </w:t>
      </w:r>
      <w:r>
        <w:t xml:space="preserve">Because the same policy defects affect all 890 New Jersey employees (and the policy is applied uniformly across all states), the Company should be prepared for the possibility that the Department’s investigation could expand beyond Ms. Muñoz’s individual claim. The remediation steps above are the best mitigation against that risk.</w:t>
      </w:r>
    </w:p>
    <w:p>
      <w:pPr>
        <w:pStyle w:val="FirstParagraph"/>
      </w:pPr>
      <w:r>
        <w:t xml:space="preserve">The compliance review findings do not change the Company’s substantive position in the Muñoz proceeding but strengthen its ability to demonstrate good-faith remediation, which is relevant to any penalty or restitution determination under N.J.S.A. 34:11D-7.</w:t>
      </w:r>
    </w:p>
    <w:bookmarkEnd w:id="34"/>
    <w:bookmarkStart w:id="35" w:name="budget-considerations"/>
    <w:p>
      <w:pPr>
        <w:pStyle w:val="Heading1"/>
      </w:pPr>
      <w:r>
        <w:t xml:space="preserve">12. Budget Considerations</w:t>
      </w:r>
    </w:p>
    <w:p>
      <w:pPr>
        <w:pStyle w:val="FirstParagraph"/>
      </w:pPr>
      <w:r>
        <w:t xml:space="preserve">The Company has allocated a compliance remediation budget of $175,000 to cover legal fees, system updates, and policy redrafting across all workstreams. The Firm’s estimated professional fees for this engagement are $28,000–$42,000 (approximately 80–110 attorney hours). The leave management software investment is estimated at $40,000–$75,000, and WorkBridge Pro / ClockSync deployment at $15,000–$25,000. Mr. Delgado has flagged that the $175,000 budget may be tight if a significant software investment is required simultaneously with the outside-counsel engagement, and has recommended that the Company confirm budget allocation priorities with Finance—potentially pursuing the software investment through a separate capital expenditure request so that the compliance remediation budget can be reserved primarily for legal fees and policy work. We concur with that recommendation. The registration filings, policy redrafting, and training are the highest-priority, lowest-cost items and should proceed regardless of the software decision; the software investment, while important for long-term scalability, can be sequenced into Q1 2026 without jeopardizing the near-term compliance deadlines (provided the manual process is supplemented with documented state-specific rules and reconciliation reviews in the interim).</w:t>
      </w:r>
    </w:p>
    <w:bookmarkEnd w:id="35"/>
    <w:bookmarkStart w:id="36" w:name="conclusion"/>
    <w:p>
      <w:pPr>
        <w:pStyle w:val="Heading1"/>
      </w:pPr>
      <w:r>
        <w:t xml:space="preserve">13. Conclusion</w:t>
      </w:r>
    </w:p>
    <w:p>
      <w:pPr>
        <w:pStyle w:val="FirstParagraph"/>
      </w:pPr>
      <w:r>
        <w:t xml:space="preserve">Vantage’s planned four-state expansion presents significant paid-leave compliance challenges that must be addressed on a compressed timeline. The Company’s leave policies, last revised in January 2022, are non-compliant in multiple respects across all seven jurisdictions, and the self-funded paid family leave plan does not satisfy any state’s private-plan equivalency threshold. The most urgent items are the Colorado and Massachusetts state-program registrations (with Colorado complicated by the April 2025 early hires), the New Jersey sick-leave defects that are the subject of the active NJ DOL complaint, and the structural decision regarding the self-funded plan. The paid medical leave misdirection and the manual leave-tracking system are additional priority items.</w:t>
      </w:r>
    </w:p>
    <w:p>
      <w:pPr>
        <w:pStyle w:val="BodyText"/>
      </w:pPr>
      <w:r>
        <w:t xml:space="preserve">The remediation work is achievable within the Company’s timeline and budget if prioritized and sequenced against the facility opening schedule. We recommend that the Company (i) initiate the Colorado and Massachusetts registrations immediately; (ii) make the self-funded plan structural decision promptly; (iii) correct the paid medical leave misdirection and train HR staff; (iv) complete the multi-state Handbook revision by July 1, 2025; and (v) select and implement a dedicated leave management system by Q1 2026. We are available to participate in a working session with the Company’s legal and HR teams to discuss these findings and to assist with any additional engagement scope the Company may wish to pursue, including assistance with the state-program registration filings and the revised Handbook drafting.</w:t>
      </w:r>
    </w:p>
    <w:p>
      <w:pPr>
        <w:pStyle w:val="BodyText"/>
      </w:pPr>
      <w:r>
        <w:t xml:space="preserve">This memorandum and the accompanying compliance matrix are privileged and confidential and should be treated accordingly. Sharing with third-party vendors (PinnacleHR Solutions, Inc. and Keystone Benefit Administrators) should be limited to non-privileged summaries, action-item lists, or specific operational directives; the Firm is available to prepare appropriate non-privileged communications for vendor distribution if the Company desires such assistance.</w:t>
      </w:r>
    </w:p>
    <w:p>
      <w:pPr>
        <w:pStyle w:val="BodyText"/>
      </w:pPr>
      <w:r>
        <w:br/>
      </w:r>
    </w:p>
    <w:p>
      <w:pPr>
        <w:pStyle w:val="BodyText"/>
      </w:pPr>
      <w:r>
        <w:t xml:space="preserve">Respectfully submitted,</w:t>
      </w:r>
    </w:p>
    <w:p>
      <w:pPr>
        <w:pStyle w:val="BodyText"/>
      </w:pPr>
      <w:r>
        <w:br/>
      </w:r>
    </w:p>
    <w:p>
      <w:pPr>
        <w:pStyle w:val="BodyText"/>
      </w:pPr>
      <w:r>
        <w:t xml:space="preserve">HARTWELL &amp; CABOT LLP</w:t>
      </w:r>
    </w:p>
    <w:p>
      <w:pPr>
        <w:pStyle w:val="BodyText"/>
      </w:pPr>
      <w:r>
        <w:br/>
      </w:r>
    </w:p>
    <w:p>
      <w:pPr>
        <w:pStyle w:val="BodyText"/>
      </w:pPr>
      <w:r>
        <w:t xml:space="preserve">Daniel Ikeda, Senior Associate</w:t>
      </w:r>
    </w:p>
    <w:p>
      <w:pPr>
        <w:pStyle w:val="BodyText"/>
      </w:pPr>
      <w:r>
        <w:t xml:space="preserve">Catherine Ng, Partner</w:t>
      </w:r>
    </w:p>
    <w:p>
      <w:pPr>
        <w:pStyle w:val="BodyText"/>
      </w:pPr>
      <w:r>
        <w:br/>
      </w:r>
    </w:p>
    <w:p>
      <w:pPr>
        <w:pStyle w:val="BodyText"/>
      </w:pPr>
      <w:r>
        <w:rPr>
          <w:i/>
          <w:iCs/>
        </w:rPr>
        <w:t xml:space="preserve">cc: Marcus Delgado, Director of Human Resources, Vantage Logistics Group, Inc.</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2026-06-27T20:45:38Z</dcterms:created>
  <dcterms:modified xsi:type="dcterms:W3CDTF">2026-06-27T20:45:38Z</dcterms:modified>
</cp:coreProperties>
</file>

<file path=docProps/custom.xml><?xml version="1.0" encoding="utf-8"?>
<Properties xmlns="http://schemas.openxmlformats.org/officeDocument/2006/custom-properties" xmlns:vt="http://schemas.openxmlformats.org/officeDocument/2006/docPropsVTypes"/>
</file>