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liance-requirements-matrix"/>
    <w:p>
      <w:pPr>
        <w:pStyle w:val="Heading1"/>
      </w:pPr>
      <w:r>
        <w:t xml:space="preserve">Compliance Requirements Matrix</w:t>
      </w:r>
    </w:p>
    <w:bookmarkStart w:id="20" w:name="Xa273adf40d32301c5f1da5519727dd2ba2e056d"/>
    <w:p>
      <w:pPr>
        <w:pStyle w:val="Heading2"/>
      </w:pPr>
      <w:r>
        <w:t xml:space="preserve">City of Evanston Cannabis Dispensary Permit Application — Greenleaf Therapeutics LLC</w:t>
      </w:r>
    </w:p>
    <w:p>
      <w:pPr>
        <w:pStyle w:val="FirstParagraph"/>
      </w:pPr>
      <w:r>
        <w:rPr>
          <w:b/>
          <w:bCs/>
        </w:rPr>
        <w:t xml:space="preserve">Prepared by:</w:t>
      </w:r>
      <w:r>
        <w:t xml:space="preserve"> </w:t>
      </w:r>
      <w:r>
        <w:t xml:space="preserve">Outside Cannabis Licensing Counsel</w:t>
      </w:r>
      <w:r>
        <w:t xml:space="preserve"> </w:t>
      </w:r>
      <w:r>
        <w:rPr>
          <w:b/>
          <w:bCs/>
        </w:rPr>
        <w:t xml:space="preserve">Re:</w:t>
      </w:r>
      <w:r>
        <w:t xml:space="preserve"> </w:t>
      </w:r>
      <w:r>
        <w:t xml:space="preserve">Review of the Greenleaf Therapeutics LLC dispensary permit application package against the Evanston Municipal Code, Title 9, Article 5, and the City’s Application Checklist and Submission Guide</w:t>
      </w:r>
      <w:r>
        <w:t xml:space="preserve"> </w:t>
      </w:r>
      <w:r>
        <w:rPr>
          <w:b/>
          <w:bCs/>
        </w:rPr>
        <w:t xml:space="preserve">Proposed premises:</w:t>
      </w:r>
      <w:r>
        <w:t xml:space="preserve"> </w:t>
      </w:r>
      <w:r>
        <w:t xml:space="preserve">1420 Sherman Ave., Unit B, Evanston, IL 60201</w:t>
      </w:r>
      <w:r>
        <w:t xml:space="preserve"> </w:t>
      </w:r>
      <w:r>
        <w:rPr>
          <w:b/>
          <w:bCs/>
        </w:rPr>
        <w:t xml:space="preserve">Applicant entity:</w:t>
      </w:r>
      <w:r>
        <w:t xml:space="preserve"> </w:t>
      </w:r>
      <w:r>
        <w:t xml:space="preserve">Greenleaf Therapeutics LLC (Illinois LLC; EIN 88-3921047)</w:t>
      </w:r>
      <w:r>
        <w:t xml:space="preserve"> </w:t>
      </w:r>
      <w:r>
        <w:rPr>
          <w:b/>
          <w:bCs/>
        </w:rPr>
        <w:t xml:space="preserve">Target submission date:</w:t>
      </w:r>
      <w:r>
        <w:t xml:space="preserve"> </w:t>
      </w:r>
      <w:r>
        <w:t xml:space="preserve">May 15, 2024 (within the February 1 – May 31, 2024 application window)</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Counsel reviewed the eight documents that comprise the Greenleaf Therapeutics LLC (</w:t>
      </w:r>
      <w:r>
        <w:t xml:space="preserve">“</w:t>
      </w:r>
      <w:r>
        <w:t xml:space="preserve">Greenleaf</w:t>
      </w:r>
      <w:r>
        <w:t xml:space="preserve">”</w:t>
      </w:r>
      <w:r>
        <w:t xml:space="preserve">) application package and measured each against the controlling authority: Evanston Municipal Code Title 9, Article 5 (</w:t>
      </w:r>
      <w:r>
        <w:t xml:space="preserve">“</w:t>
      </w:r>
      <w:r>
        <w:t xml:space="preserve">Article 5</w:t>
      </w:r>
      <w:r>
        <w:t xml:space="preserve">”</w:t>
      </w:r>
      <w:r>
        <w:t xml:space="preserve"> </w:t>
      </w:r>
      <w:r>
        <w:t xml:space="preserve">or the</w:t>
      </w:r>
      <w:r>
        <w:t xml:space="preserve"> </w:t>
      </w:r>
      <w:r>
        <w:t xml:space="preserve">“</w:t>
      </w:r>
      <w:r>
        <w:t xml:space="preserve">Ordinance</w:t>
      </w:r>
      <w:r>
        <w:t xml:space="preserve">”</w:t>
      </w:r>
      <w:r>
        <w:t xml:space="preserve">) and the City’s Cannabis Dispensary Permit Application Checklist and Submission Guide (the</w:t>
      </w:r>
      <w:r>
        <w:t xml:space="preserve"> </w:t>
      </w:r>
      <w:r>
        <w:t xml:space="preserve">“</w:t>
      </w:r>
      <w:r>
        <w:t xml:space="preserve">Guide</w:t>
      </w:r>
      <w:r>
        <w:t xml:space="preserve">”</w:t>
      </w:r>
      <w:r>
        <w:t xml:space="preserve">). The review produced a requirements matrix of</w:t>
      </w:r>
      <w:r>
        <w:t xml:space="preserve"> </w:t>
      </w:r>
      <w:r>
        <w:rPr>
          <w:b/>
          <w:bCs/>
        </w:rPr>
        <w:t xml:space="preserve">51 distinct requirement lines</w:t>
      </w:r>
      <w:r>
        <w:t xml:space="preserve">, organized into eleven thematic groups, together with a catalog of</w:t>
      </w:r>
      <w:r>
        <w:t xml:space="preserve"> </w:t>
      </w:r>
      <w:r>
        <w:rPr>
          <w:b/>
          <w:bCs/>
        </w:rPr>
        <w:t xml:space="preserve">cross-document discrepancies</w:t>
      </w:r>
      <w:r>
        <w:t xml:space="preserve"> </w:t>
      </w:r>
      <w:r>
        <w:t xml:space="preserve">between the Ordinance, the Guide, and the official Application Form, and a critical timeline analysis.</w:t>
      </w:r>
    </w:p>
    <w:p>
      <w:pPr>
        <w:pStyle w:val="BodyText"/>
      </w:pPr>
      <w:r>
        <w:rPr>
          <w:b/>
          <w:bCs/>
        </w:rPr>
        <w:t xml:space="preserve">Overall posture.</w:t>
      </w:r>
      <w:r>
        <w:t xml:space="preserve"> </w:t>
      </w:r>
      <w:r>
        <w:t xml:space="preserve">The application is substantively strong in the areas the applicant has prioritized — business plan, social equity narrative, community engagement outreach, and lease/site control. However, the package is</w:t>
      </w:r>
      <w:r>
        <w:t xml:space="preserve"> </w:t>
      </w:r>
      <w:r>
        <w:rPr>
          <w:b/>
          <w:bCs/>
        </w:rPr>
        <w:t xml:space="preserve">not yet submission-ready</w:t>
      </w:r>
      <w:r>
        <w:t xml:space="preserve">. Several items that the Ordinance and Guide require to be submitted</w:t>
      </w:r>
      <w:r>
        <w:t xml:space="preserve"> </w:t>
      </w:r>
      <w:r>
        <w:rPr>
          <w:i/>
          <w:iCs/>
        </w:rPr>
        <w:t xml:space="preserve">at the time of application</w:t>
      </w:r>
      <w:r>
        <w:t xml:space="preserve"> </w:t>
      </w:r>
      <w:r>
        <w:t xml:space="preserve">are missing or incomplete, and at least three of those gaps are of a kind that the Cannabis Licensing Coordinator is directed to treat as rendering the application incomplete.</w:t>
      </w:r>
    </w:p>
    <w:p>
      <w:pPr>
        <w:pStyle w:val="BodyText"/>
      </w:pPr>
      <w:r>
        <w:rPr>
          <w:b/>
          <w:bCs/>
        </w:rPr>
        <w:t xml:space="preserve">Critical findings (must be resolved before submission):</w:t>
      </w:r>
    </w:p>
    <w:p>
      <w:pPr>
        <w:pStyle w:val="Compact"/>
        <w:numPr>
          <w:ilvl w:val="0"/>
          <w:numId w:val="1001"/>
        </w:numPr>
      </w:pPr>
      <w:r>
        <w:rPr>
          <w:b/>
          <w:bCs/>
        </w:rPr>
        <w:t xml:space="preserve">Odor Mitigation Plan lacks the required Professional Engineer certification.</w:t>
      </w:r>
      <w:r>
        <w:t xml:space="preserve"> </w:t>
      </w:r>
      <w:r>
        <w:t xml:space="preserve">The Ordinance (§9-5-5(B)(10)), the Guide (Item 10), and the Application Form (Q16) all require a signed/sealed certification by an Illinois-licensed P.E.</w:t>
      </w:r>
      <w:r>
        <w:t xml:space="preserve"> </w:t>
      </w:r>
      <w:r>
        <w:rPr>
          <w:i/>
          <w:iCs/>
        </w:rPr>
        <w:t xml:space="preserve">at the time of submission</w:t>
      </w:r>
      <w:r>
        <w:t xml:space="preserve">. The business plan expressly states that HVAC and filtration specifications</w:t>
      </w:r>
      <w:r>
        <w:t xml:space="preserve"> </w:t>
      </w:r>
      <w:r>
        <w:t xml:space="preserve">“</w:t>
      </w:r>
      <w:r>
        <w:t xml:space="preserve">will be finalized during the build-out engineering phase.</w:t>
      </w:r>
      <w:r>
        <w:t xml:space="preserve">”</w:t>
      </w:r>
      <w:r>
        <w:t xml:space="preserve"> </w:t>
      </w:r>
      <w:r>
        <w:t xml:space="preserve">The Form warns that an application submitted without the P.E. certification</w:t>
      </w:r>
      <w:r>
        <w:t xml:space="preserve"> </w:t>
      </w:r>
      <w:r>
        <w:t xml:space="preserve">“</w:t>
      </w:r>
      <w:r>
        <w:t xml:space="preserve">will be deemed incomplete and will not proceed to scoring.</w:t>
      </w:r>
      <w:r>
        <w:t xml:space="preserve">”</w:t>
      </w:r>
    </w:p>
    <w:p>
      <w:pPr>
        <w:pStyle w:val="Compact"/>
        <w:numPr>
          <w:ilvl w:val="0"/>
          <w:numId w:val="1001"/>
        </w:numPr>
      </w:pPr>
      <w:r>
        <w:rPr>
          <w:b/>
          <w:bCs/>
        </w:rPr>
        <w:t xml:space="preserve">No evidence of bonding capacity / commitment letter.</w:t>
      </w:r>
      <w:r>
        <w:t xml:space="preserve"> </w:t>
      </w:r>
      <w:r>
        <w:t xml:space="preserve">Only a</w:t>
      </w:r>
      <w:r>
        <w:t xml:space="preserve"> </w:t>
      </w:r>
      <w:r>
        <w:t xml:space="preserve">“</w:t>
      </w:r>
      <w:r>
        <w:t xml:space="preserve">preliminary inquiry</w:t>
      </w:r>
      <w:r>
        <w:t xml:space="preserve">”</w:t>
      </w:r>
      <w:r>
        <w:t xml:space="preserve"> </w:t>
      </w:r>
      <w:r>
        <w:t xml:space="preserve">and a</w:t>
      </w:r>
      <w:r>
        <w:t xml:space="preserve"> </w:t>
      </w:r>
      <w:r>
        <w:t xml:space="preserve">“</w:t>
      </w:r>
      <w:r>
        <w:t xml:space="preserve">verbal</w:t>
      </w:r>
      <w:r>
        <w:t xml:space="preserve">”</w:t>
      </w:r>
      <w:r>
        <w:t xml:space="preserve"> </w:t>
      </w:r>
      <w:r>
        <w:t xml:space="preserve">indication from Thornfield Surety Group exist. The Guide (Item 17) and Form (Q26) require a commitment letter at submission; absent it, the applicant scores</w:t>
      </w:r>
      <w:r>
        <w:t xml:space="preserve"> </w:t>
      </w:r>
      <w:r>
        <w:rPr>
          <w:b/>
          <w:bCs/>
        </w:rPr>
        <w:t xml:space="preserve">zero of ten</w:t>
      </w:r>
      <w:r>
        <w:t xml:space="preserve"> </w:t>
      </w:r>
      <w:r>
        <w:t xml:space="preserve">in the bonding-capacity sub-category of Financial Viability.</w:t>
      </w:r>
    </w:p>
    <w:p>
      <w:pPr>
        <w:pStyle w:val="Compact"/>
        <w:numPr>
          <w:ilvl w:val="0"/>
          <w:numId w:val="1001"/>
        </w:numPr>
      </w:pPr>
      <w:r>
        <w:rPr>
          <w:b/>
          <w:bCs/>
        </w:rPr>
        <w:t xml:space="preserve">State conditional license expiration timeline.</w:t>
      </w:r>
      <w:r>
        <w:t xml:space="preserve"> </w:t>
      </w:r>
      <w:r>
        <w:t xml:space="preserve">Conditional License ADC-285-0147 expires</w:t>
      </w:r>
      <w:r>
        <w:t xml:space="preserve"> </w:t>
      </w:r>
      <w:r>
        <w:rPr>
          <w:b/>
          <w:bCs/>
        </w:rPr>
        <w:t xml:space="preserve">September 21, 2024</w:t>
      </w:r>
      <w:r>
        <w:t xml:space="preserve">. On the City’s own 120–150 day processing estimate, a May 15, 2024 submission yields permit issuance in</w:t>
      </w:r>
      <w:r>
        <w:t xml:space="preserve"> </w:t>
      </w:r>
      <w:r>
        <w:rPr>
          <w:b/>
          <w:bCs/>
        </w:rPr>
        <w:t xml:space="preserve">October–November 2024 — after the State license has lapsed</w:t>
      </w:r>
      <w:r>
        <w:t xml:space="preserve">. No petition for the State’s permitted six-month extension has been documented. This jeopardizes both the local permit (§9-5-11(I)) and the State conversion.</w:t>
      </w:r>
    </w:p>
    <w:p>
      <w:pPr>
        <w:pStyle w:val="Compact"/>
        <w:numPr>
          <w:ilvl w:val="0"/>
          <w:numId w:val="1001"/>
        </w:numPr>
      </w:pPr>
      <w:r>
        <w:rPr>
          <w:b/>
          <w:bCs/>
        </w:rPr>
        <w:t xml:space="preserve">Community Engagement Session 2 notice was only 12 days.</w:t>
      </w:r>
      <w:r>
        <w:t xml:space="preserve"> </w:t>
      </w:r>
      <w:r>
        <w:t xml:space="preserve">Notice for the April 9, 2024 session was published March 28, 2024 — 12 calendar days, short of the 14-day minimum in §9-5-8(B). The applicant’s own report records</w:t>
      </w:r>
      <w:r>
        <w:t xml:space="preserve"> </w:t>
      </w:r>
      <w:r>
        <w:t xml:space="preserve">“</w:t>
      </w:r>
      <w:r>
        <w:t xml:space="preserve">12 days</w:t>
      </w:r>
      <w:r>
        <w:t xml:space="preserve">”</w:t>
      </w:r>
      <w:r>
        <w:t xml:space="preserve"> </w:t>
      </w:r>
      <w:r>
        <w:t xml:space="preserve">and omits the compliance attestation it supplied for Session 1. Under §9-5-8(F) this renders the application incomplete and requires an additional, fully-noticed session; the two-session minimum is non-waivable.</w:t>
      </w:r>
    </w:p>
    <w:p>
      <w:pPr>
        <w:pStyle w:val="FirstParagraph"/>
      </w:pPr>
      <w:r>
        <w:rPr>
          <w:b/>
          <w:bCs/>
        </w:rPr>
        <w:t xml:space="preserve">Major findings (curable, but must be cured within the deficiency period):</w:t>
      </w:r>
      <w:r>
        <w:t xml:space="preserve"> </w:t>
      </w:r>
      <w:r>
        <w:t xml:space="preserve">missing principal-officer disclosure forms, background-check authorizations, and fingerprint receipts; a stale (December 15, 2023) buffer survey that also uses straight-line rather than the pedestrian-route methodology required by the Form; no evidence that the special-use application has been filed; no standalone Environmental Sustainability, Waste Disposal, or Diversity &amp; Inclusion plans in the package; no documentation of the 24-month R3 residency duration or of the expungement order; cannabis crime/theft insurance not bound and no commitment letter; the official Application Form is supplied as a blank template and is not completed.</w:t>
      </w:r>
    </w:p>
    <w:p>
      <w:pPr>
        <w:pStyle w:val="BodyText"/>
      </w:pPr>
      <w:r>
        <w:rPr>
          <w:b/>
          <w:bCs/>
        </w:rPr>
        <w:t xml:space="preserve">Cross-document discrepancies.</w:t>
      </w:r>
      <w:r>
        <w:t xml:space="preserve"> </w:t>
      </w:r>
      <w:r>
        <w:t xml:space="preserve">The Ordinance, the Guide, and the Application Form disagree on a number of points that directly affect the applicant — most importantly the</w:t>
      </w:r>
      <w:r>
        <w:t xml:space="preserve"> </w:t>
      </w:r>
      <w:r>
        <w:rPr>
          <w:b/>
          <w:bCs/>
        </w:rPr>
        <w:t xml:space="preserve">deficiency cure period (30 days in the Ordinance vs. 14 days in the Guide/Form)</w:t>
      </w:r>
      <w:r>
        <w:t xml:space="preserve">, the</w:t>
      </w:r>
      <w:r>
        <w:t xml:space="preserve"> </w:t>
      </w:r>
      <w:r>
        <w:rPr>
          <w:b/>
          <w:bCs/>
        </w:rPr>
        <w:t xml:space="preserve">maximum-occupancy formula (retail floor area in the Ordinance vs. total square footage in the Form)</w:t>
      </w:r>
      <w:r>
        <w:t xml:space="preserve">, the</w:t>
      </w:r>
      <w:r>
        <w:t xml:space="preserve"> </w:t>
      </w:r>
      <w:r>
        <w:rPr>
          <w:b/>
          <w:bCs/>
        </w:rPr>
        <w:t xml:space="preserve">buffer measurement methodology (property-line-to-property-line in the Ordinance vs. pedestrian-route in the Form)</w:t>
      </w:r>
      <w:r>
        <w:t xml:space="preserve">, the</w:t>
      </w:r>
      <w:r>
        <w:t xml:space="preserve"> </w:t>
      </w:r>
      <w:r>
        <w:rPr>
          <w:b/>
          <w:bCs/>
        </w:rPr>
        <w:t xml:space="preserve">Certificate of Good Standing recency window (60 days in the Ordinance vs. 30 days in the Form)</w:t>
      </w:r>
      <w:r>
        <w:t xml:space="preserve">, and the</w:t>
      </w:r>
      <w:r>
        <w:t xml:space="preserve"> </w:t>
      </w:r>
      <w:r>
        <w:rPr>
          <w:b/>
          <w:bCs/>
        </w:rPr>
        <w:t xml:space="preserve">list of zoning districts in which a dispensary is a special use</w:t>
      </w:r>
      <w:r>
        <w:t xml:space="preserve">. These are flagged in Part B and should be raised with the Coordinator.</w:t>
      </w:r>
    </w:p>
    <w:p>
      <w:r>
        <w:pict>
          <v:rect style="width:0;height:1.5pt" o:hralign="center" o:hrstd="t" o:hr="t"/>
        </w:pict>
      </w:r>
    </w:p>
    <w:bookmarkEnd w:id="21"/>
    <w:bookmarkStart w:id="22"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Role in review</w:t>
            </w:r>
          </w:p>
        </w:tc>
      </w:tr>
      <w:tr>
        <w:tc>
          <w:tcPr/>
          <w:p>
            <w:pPr>
              <w:pStyle w:val="Compact"/>
              <w:jc w:val="left"/>
            </w:pPr>
            <w:r>
              <w:t xml:space="preserve">1</w:t>
            </w:r>
          </w:p>
        </w:tc>
        <w:tc>
          <w:tcPr/>
          <w:p>
            <w:pPr>
              <w:pStyle w:val="Compact"/>
              <w:jc w:val="left"/>
            </w:pPr>
            <w:r>
              <w:t xml:space="preserve">Evanston Municipal Code, Title 9, Article 5 (Cannabis Business Establishments)</w:t>
            </w:r>
          </w:p>
        </w:tc>
        <w:tc>
          <w:tcPr/>
          <w:p>
            <w:pPr>
              <w:pStyle w:val="Compact"/>
              <w:jc w:val="left"/>
            </w:pPr>
            <w:r>
              <w:t xml:space="preserve">Controlling law</w:t>
            </w:r>
          </w:p>
        </w:tc>
      </w:tr>
      <w:tr>
        <w:tc>
          <w:tcPr/>
          <w:p>
            <w:pPr>
              <w:pStyle w:val="Compact"/>
              <w:jc w:val="left"/>
            </w:pPr>
            <w:r>
              <w:t xml:space="preserve">2</w:t>
            </w:r>
          </w:p>
        </w:tc>
        <w:tc>
          <w:tcPr/>
          <w:p>
            <w:pPr>
              <w:pStyle w:val="Compact"/>
              <w:jc w:val="left"/>
            </w:pPr>
            <w:r>
              <w:t xml:space="preserve">Cannabis Dispensary Permit Application Checklist and Submission Guide (Dept. of Community Development)</w:t>
            </w:r>
          </w:p>
        </w:tc>
        <w:tc>
          <w:tcPr/>
          <w:p>
            <w:pPr>
              <w:pStyle w:val="Compact"/>
              <w:jc w:val="left"/>
            </w:pPr>
            <w:r>
              <w:t xml:space="preserve">Submission standard</w:t>
            </w:r>
          </w:p>
        </w:tc>
      </w:tr>
      <w:tr>
        <w:tc>
          <w:tcPr/>
          <w:p>
            <w:pPr>
              <w:pStyle w:val="Compact"/>
              <w:jc w:val="left"/>
            </w:pPr>
            <w:r>
              <w:t xml:space="preserve">3</w:t>
            </w:r>
          </w:p>
        </w:tc>
        <w:tc>
          <w:tcPr/>
          <w:p>
            <w:pPr>
              <w:pStyle w:val="Compact"/>
              <w:jc w:val="left"/>
            </w:pPr>
            <w:r>
              <w:t xml:space="preserve">Evanston Cannabis Dispensary Permit Application (Form v3.2, rev. Jan. 12, 2024)</w:t>
            </w:r>
          </w:p>
        </w:tc>
        <w:tc>
          <w:tcPr/>
          <w:p>
            <w:pPr>
              <w:pStyle w:val="Compact"/>
              <w:jc w:val="left"/>
            </w:pPr>
            <w:r>
              <w:t xml:space="preserve">Official application form (supplied blank)</w:t>
            </w:r>
          </w:p>
        </w:tc>
      </w:tr>
      <w:tr>
        <w:tc>
          <w:tcPr/>
          <w:p>
            <w:pPr>
              <w:pStyle w:val="Compact"/>
              <w:jc w:val="left"/>
            </w:pPr>
            <w:r>
              <w:t xml:space="preserve">4</w:t>
            </w:r>
          </w:p>
        </w:tc>
        <w:tc>
          <w:tcPr/>
          <w:p>
            <w:pPr>
              <w:pStyle w:val="Compact"/>
              <w:jc w:val="left"/>
            </w:pPr>
            <w:r>
              <w:t xml:space="preserve">Greenleaf Therapeutics LLC — Business Plan: Executive Summary and Operations Plan</w:t>
            </w:r>
          </w:p>
        </w:tc>
        <w:tc>
          <w:tcPr/>
          <w:p>
            <w:pPr>
              <w:pStyle w:val="Compact"/>
              <w:jc w:val="left"/>
            </w:pPr>
            <w:r>
              <w:t xml:space="preserve">Applicant submission</w:t>
            </w:r>
          </w:p>
        </w:tc>
      </w:tr>
      <w:tr>
        <w:tc>
          <w:tcPr/>
          <w:p>
            <w:pPr>
              <w:pStyle w:val="Compact"/>
              <w:jc w:val="left"/>
            </w:pPr>
            <w:r>
              <w:t xml:space="preserve">5</w:t>
            </w:r>
          </w:p>
        </w:tc>
        <w:tc>
          <w:tcPr/>
          <w:p>
            <w:pPr>
              <w:pStyle w:val="Compact"/>
              <w:jc w:val="left"/>
            </w:pPr>
            <w:r>
              <w:t xml:space="preserve">Summary of Key Lease Terms (Hargrove &amp; Sinclair LLP)</w:t>
            </w:r>
          </w:p>
        </w:tc>
        <w:tc>
          <w:tcPr/>
          <w:p>
            <w:pPr>
              <w:pStyle w:val="Compact"/>
              <w:jc w:val="left"/>
            </w:pPr>
            <w:r>
              <w:t xml:space="preserve">Applicant submission (lease exhibit)</w:t>
            </w:r>
          </w:p>
        </w:tc>
      </w:tr>
      <w:tr>
        <w:tc>
          <w:tcPr/>
          <w:p>
            <w:pPr>
              <w:pStyle w:val="Compact"/>
              <w:jc w:val="left"/>
            </w:pPr>
            <w:r>
              <w:t xml:space="preserve">6</w:t>
            </w:r>
          </w:p>
        </w:tc>
        <w:tc>
          <w:tcPr/>
          <w:p>
            <w:pPr>
              <w:pStyle w:val="Compact"/>
              <w:jc w:val="left"/>
            </w:pPr>
            <w:r>
              <w:t xml:space="preserve">Insurance and Bonding Status Memo (Apr. 22, 2024)</w:t>
            </w:r>
          </w:p>
        </w:tc>
        <w:tc>
          <w:tcPr/>
          <w:p>
            <w:pPr>
              <w:pStyle w:val="Compact"/>
              <w:jc w:val="left"/>
            </w:pPr>
            <w:r>
              <w:t xml:space="preserve">Applicant submission</w:t>
            </w:r>
          </w:p>
        </w:tc>
      </w:tr>
      <w:tr>
        <w:tc>
          <w:tcPr/>
          <w:p>
            <w:pPr>
              <w:pStyle w:val="Compact"/>
              <w:jc w:val="left"/>
            </w:pPr>
            <w:r>
              <w:t xml:space="preserve">7</w:t>
            </w:r>
          </w:p>
        </w:tc>
        <w:tc>
          <w:tcPr/>
          <w:p>
            <w:pPr>
              <w:pStyle w:val="Compact"/>
              <w:jc w:val="left"/>
            </w:pPr>
            <w:r>
              <w:t xml:space="preserve">State of Illinois Conditional Adult-Use Dispensing Organization License No. ADC-285-0147</w:t>
            </w:r>
          </w:p>
        </w:tc>
        <w:tc>
          <w:tcPr/>
          <w:p>
            <w:pPr>
              <w:pStyle w:val="Compact"/>
              <w:jc w:val="left"/>
            </w:pPr>
            <w:r>
              <w:t xml:space="preserve">Applicant submission (State license)</w:t>
            </w:r>
          </w:p>
        </w:tc>
      </w:tr>
      <w:tr>
        <w:tc>
          <w:tcPr/>
          <w:p>
            <w:pPr>
              <w:pStyle w:val="Compact"/>
              <w:jc w:val="left"/>
            </w:pPr>
            <w:r>
              <w:t xml:space="preserve">8</w:t>
            </w:r>
          </w:p>
        </w:tc>
        <w:tc>
          <w:tcPr/>
          <w:p>
            <w:pPr>
              <w:pStyle w:val="Compact"/>
              <w:jc w:val="left"/>
            </w:pPr>
            <w:r>
              <w:t xml:space="preserve">Community Engagement Session Documentation (Apr. 15, 2024)</w:t>
            </w:r>
          </w:p>
        </w:tc>
        <w:tc>
          <w:tcPr/>
          <w:p>
            <w:pPr>
              <w:pStyle w:val="Compact"/>
              <w:jc w:val="left"/>
            </w:pPr>
            <w:r>
              <w:t xml:space="preserve">Applicant submission</w:t>
            </w:r>
          </w:p>
        </w:tc>
      </w:tr>
    </w:tbl>
    <w:p>
      <w:r>
        <w:pict>
          <v:rect style="width:0;height:1.5pt" o:hralign="center" o:hrstd="t" o:hr="t"/>
        </w:pict>
      </w:r>
    </w:p>
    <w:bookmarkEnd w:id="22"/>
    <w:bookmarkStart w:id="23" w:name="legend"/>
    <w:p>
      <w:pPr>
        <w:pStyle w:val="Heading2"/>
      </w:pPr>
      <w:r>
        <w:t xml:space="preserve">3. Legend</w:t>
      </w:r>
    </w:p>
    <w:p>
      <w:pPr>
        <w:pStyle w:val="FirstParagraph"/>
      </w:pPr>
      <w:r>
        <w:rPr>
          <w:b/>
          <w:bCs/>
        </w:rPr>
        <w:t xml:space="preserve">Status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Value</w:t>
            </w:r>
          </w:p>
        </w:tc>
        <w:tc>
          <w:tcPr/>
          <w:p>
            <w:pPr>
              <w:pStyle w:val="Compact"/>
              <w:jc w:val="left"/>
            </w:pPr>
            <w:r>
              <w:t xml:space="preserve">Meaning</w:t>
            </w:r>
          </w:p>
        </w:tc>
      </w:tr>
      <w:tr>
        <w:tc>
          <w:tcPr/>
          <w:p>
            <w:pPr>
              <w:pStyle w:val="Compact"/>
              <w:jc w:val="left"/>
            </w:pPr>
            <w:r>
              <w:t xml:space="preserve">COMPLIANT</w:t>
            </w:r>
          </w:p>
        </w:tc>
        <w:tc>
          <w:tcPr/>
          <w:p>
            <w:pPr>
              <w:pStyle w:val="Compact"/>
              <w:jc w:val="left"/>
            </w:pPr>
            <w:r>
              <w:t xml:space="preserve">Requirement is met on the face of the package.</w:t>
            </w:r>
          </w:p>
        </w:tc>
      </w:tr>
      <w:tr>
        <w:tc>
          <w:tcPr/>
          <w:p>
            <w:pPr>
              <w:pStyle w:val="Compact"/>
              <w:jc w:val="left"/>
            </w:pPr>
            <w:r>
              <w:t xml:space="preserve">PARTIALLY COMPLIANT</w:t>
            </w:r>
          </w:p>
        </w:tc>
        <w:tc>
          <w:tcPr/>
          <w:p>
            <w:pPr>
              <w:pStyle w:val="Compact"/>
              <w:jc w:val="left"/>
            </w:pPr>
            <w:r>
              <w:t xml:space="preserve">Requirement is addressed but one or more sub-elements are missing or imprecise.</w:t>
            </w:r>
          </w:p>
        </w:tc>
      </w:tr>
      <w:tr>
        <w:tc>
          <w:tcPr/>
          <w:p>
            <w:pPr>
              <w:pStyle w:val="Compact"/>
              <w:jc w:val="left"/>
            </w:pPr>
            <w:r>
              <w:t xml:space="preserve">NON-COMPLIANT</w:t>
            </w:r>
          </w:p>
        </w:tc>
        <w:tc>
          <w:tcPr/>
          <w:p>
            <w:pPr>
              <w:pStyle w:val="Compact"/>
              <w:jc w:val="left"/>
            </w:pPr>
            <w:r>
              <w:t xml:space="preserve">Requirement is violated or failed on the face of the package.</w:t>
            </w:r>
          </w:p>
        </w:tc>
      </w:tr>
      <w:tr>
        <w:tc>
          <w:tcPr/>
          <w:p>
            <w:pPr>
              <w:pStyle w:val="Compact"/>
              <w:jc w:val="left"/>
            </w:pPr>
            <w:r>
              <w:t xml:space="preserve">NOT PROVIDED</w:t>
            </w:r>
          </w:p>
        </w:tc>
        <w:tc>
          <w:tcPr/>
          <w:p>
            <w:pPr>
              <w:pStyle w:val="Compact"/>
              <w:jc w:val="left"/>
            </w:pPr>
            <w:r>
              <w:t xml:space="preserve">Required item is absent from the package entirely.</w:t>
            </w:r>
          </w:p>
        </w:tc>
      </w:tr>
      <w:tr>
        <w:tc>
          <w:tcPr/>
          <w:p>
            <w:pPr>
              <w:pStyle w:val="Compact"/>
              <w:jc w:val="left"/>
            </w:pPr>
            <w:r>
              <w:t xml:space="preserve">PENDING (PRE-ISSUANCE)</w:t>
            </w:r>
          </w:p>
        </w:tc>
        <w:tc>
          <w:tcPr/>
          <w:p>
            <w:pPr>
              <w:pStyle w:val="Compact"/>
              <w:jc w:val="left"/>
            </w:pPr>
            <w:r>
              <w:t xml:space="preserve">Not required at submission; required before the permit is physically issued (§9-5-11). Tracked for completeness.</w:t>
            </w:r>
          </w:p>
        </w:tc>
      </w:tr>
      <w:tr>
        <w:tc>
          <w:tcPr/>
          <w:p>
            <w:pPr>
              <w:pStyle w:val="Compact"/>
              <w:jc w:val="left"/>
            </w:pPr>
            <w:r>
              <w:t xml:space="preserve">DATA GAP</w:t>
            </w:r>
          </w:p>
        </w:tc>
        <w:tc>
          <w:tcPr/>
          <w:p>
            <w:pPr>
              <w:pStyle w:val="Compact"/>
              <w:jc w:val="left"/>
            </w:pPr>
            <w:r>
              <w:t xml:space="preserve">Package is silent; cannot be assessed from the documents provided.</w:t>
            </w:r>
          </w:p>
        </w:tc>
      </w:tr>
    </w:tbl>
    <w:p>
      <w:pPr>
        <w:pStyle w:val="BodyText"/>
      </w:pPr>
      <w:r>
        <w:rPr>
          <w:b/>
          <w:bCs/>
        </w:rPr>
        <w:t xml:space="preserve">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Value</w:t>
            </w:r>
          </w:p>
        </w:tc>
        <w:tc>
          <w:tcPr/>
          <w:p>
            <w:pPr>
              <w:pStyle w:val="Compact"/>
              <w:jc w:val="left"/>
            </w:pPr>
            <w:r>
              <w:t xml:space="preserve">Meaning</w:t>
            </w:r>
          </w:p>
        </w:tc>
      </w:tr>
      <w:tr>
        <w:tc>
          <w:tcPr/>
          <w:p>
            <w:pPr>
              <w:pStyle w:val="Compact"/>
              <w:jc w:val="left"/>
            </w:pPr>
            <w:r>
              <w:t xml:space="preserve">CRITICAL</w:t>
            </w:r>
          </w:p>
        </w:tc>
        <w:tc>
          <w:tcPr/>
          <w:p>
            <w:pPr>
              <w:pStyle w:val="Compact"/>
              <w:jc w:val="left"/>
            </w:pPr>
            <w:r>
              <w:t xml:space="preserve">Renders the application incomplete on its face, or threatens the viability/timeline of the permit.</w:t>
            </w:r>
          </w:p>
        </w:tc>
      </w:tr>
      <w:tr>
        <w:tc>
          <w:tcPr/>
          <w:p>
            <w:pPr>
              <w:pStyle w:val="Compact"/>
              <w:jc w:val="left"/>
            </w:pPr>
            <w:r>
              <w:t xml:space="preserve">MAJOR</w:t>
            </w:r>
          </w:p>
        </w:tc>
        <w:tc>
          <w:tcPr/>
          <w:p>
            <w:pPr>
              <w:pStyle w:val="Compact"/>
              <w:jc w:val="left"/>
            </w:pPr>
            <w:r>
              <w:t xml:space="preserve">Must be cured; curable within the deficiency period if timely addressed.</w:t>
            </w:r>
          </w:p>
        </w:tc>
      </w:tr>
      <w:tr>
        <w:tc>
          <w:tcPr/>
          <w:p>
            <w:pPr>
              <w:pStyle w:val="Compact"/>
              <w:jc w:val="left"/>
            </w:pPr>
            <w:r>
              <w:t xml:space="preserve">MINOR</w:t>
            </w:r>
          </w:p>
        </w:tc>
        <w:tc>
          <w:tcPr/>
          <w:p>
            <w:pPr>
              <w:pStyle w:val="Compact"/>
              <w:jc w:val="left"/>
            </w:pPr>
            <w:r>
              <w:t xml:space="preserve">Consistency, citation, or formatting issue; low risk but should be corrected.</w:t>
            </w:r>
          </w:p>
        </w:tc>
      </w:tr>
      <w:tr>
        <w:tc>
          <w:tcPr/>
          <w:p>
            <w:pPr>
              <w:pStyle w:val="Compact"/>
              <w:jc w:val="left"/>
            </w:pPr>
            <w:r>
              <w:t xml:space="preserve">INFO</w:t>
            </w:r>
          </w:p>
        </w:tc>
        <w:tc>
          <w:tcPr/>
          <w:p>
            <w:pPr>
              <w:pStyle w:val="Compact"/>
              <w:jc w:val="left"/>
            </w:pPr>
            <w:r>
              <w:t xml:space="preserve">Discrepancy between City documents or a forward-looking note; no applicant action necessarily required, but awareness recommended.</w:t>
            </w:r>
          </w:p>
        </w:tc>
      </w:tr>
    </w:tbl>
    <w:p>
      <w:r>
        <w:pict>
          <v:rect style="width:0;height:1.5pt" o:hralign="center" o:hrstd="t" o:hr="t"/>
        </w:pict>
      </w:r>
    </w:p>
    <w:bookmarkEnd w:id="23"/>
    <w:bookmarkStart w:id="35" w:name="compliance-requirements-matrix-1"/>
    <w:p>
      <w:pPr>
        <w:pStyle w:val="Heading2"/>
      </w:pPr>
      <w:r>
        <w:t xml:space="preserve">4. Compliance Requirements Matrix</w:t>
      </w:r>
    </w:p>
    <w:p>
      <w:pPr>
        <w:pStyle w:val="FirstParagraph"/>
      </w:pPr>
      <w:r>
        <w:t xml:space="preserve">The matrix is organized into eleven thematic groups. Each row cites the controlling authority, summarizes what the applicant submitted, assesses status and severity, and gives a concrete remediation note.</w:t>
      </w:r>
    </w:p>
    <w:bookmarkStart w:id="24" w:name="group-a-entity-ownership-background"/>
    <w:p>
      <w:pPr>
        <w:pStyle w:val="Heading3"/>
      </w:pPr>
      <w:r>
        <w:t xml:space="preserve">Group A — Entity, Ownership &amp; Background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A-1</w:t>
            </w:r>
          </w:p>
        </w:tc>
        <w:tc>
          <w:tcPr/>
          <w:p>
            <w:pPr>
              <w:pStyle w:val="Compact"/>
              <w:jc w:val="left"/>
            </w:pPr>
            <w:r>
              <w:t xml:space="preserve">Articles of Organization/Incorporation; Operating Agreement/Bylaws; Certificate of Good Standing from IL SOS (§9-5-5(B)(3); Guide Item 4)</w:t>
            </w:r>
          </w:p>
        </w:tc>
        <w:tc>
          <w:tcPr/>
          <w:p>
            <w:pPr>
              <w:pStyle w:val="Compact"/>
              <w:jc w:val="left"/>
            </w:pPr>
            <w:r>
              <w:t xml:space="preserve">Business plan states documents</w:t>
            </w:r>
            <w:r>
              <w:t xml:space="preserve"> </w:t>
            </w:r>
            <w:r>
              <w:t xml:space="preserve">“</w:t>
            </w:r>
            <w:r>
              <w:t xml:space="preserve">are on file and available for regulatory review upon request</w:t>
            </w:r>
            <w:r>
              <w:t xml:space="preserve">”</w:t>
            </w:r>
            <w:r>
              <w:t xml:space="preserve">; none attached</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Attach executed Articles, Operating Agreement, and a current IL SOS Certificate of Good Standing. Note recency conflict — see B-4.</w:t>
            </w:r>
          </w:p>
        </w:tc>
      </w:tr>
      <w:tr>
        <w:tc>
          <w:tcPr/>
          <w:p>
            <w:pPr>
              <w:pStyle w:val="Compact"/>
              <w:jc w:val="left"/>
            </w:pPr>
            <w:r>
              <w:t xml:space="preserve">A-2</w:t>
            </w:r>
          </w:p>
        </w:tc>
        <w:tc>
          <w:tcPr/>
          <w:p>
            <w:pPr>
              <w:pStyle w:val="Compact"/>
              <w:jc w:val="left"/>
            </w:pPr>
            <w:r>
              <w:t xml:space="preserve">EIN verification letter from IRS (Guide Item 4; Form §13 checklist)</w:t>
            </w:r>
          </w:p>
        </w:tc>
        <w:tc>
          <w:tcPr/>
          <w:p>
            <w:pPr>
              <w:pStyle w:val="Compact"/>
              <w:jc w:val="left"/>
            </w:pPr>
            <w:r>
              <w:t xml:space="preserve">EIN 88-3921047 stated in business plan and lease; no IRS letter attached</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Obtain and attach IRS EIN verification (CP 575 or 147C).</w:t>
            </w:r>
          </w:p>
        </w:tc>
      </w:tr>
      <w:tr>
        <w:tc>
          <w:tcPr/>
          <w:p>
            <w:pPr>
              <w:pStyle w:val="Compact"/>
              <w:jc w:val="left"/>
            </w:pPr>
            <w:r>
              <w:t xml:space="preserve">A-3</w:t>
            </w:r>
          </w:p>
        </w:tc>
        <w:tc>
          <w:tcPr/>
          <w:p>
            <w:pPr>
              <w:pStyle w:val="Compact"/>
              <w:jc w:val="left"/>
            </w:pPr>
            <w:r>
              <w:t xml:space="preserve">Ownership chart identifying all members/managers/officers/directors with percentages (Guide Item 4)</w:t>
            </w:r>
          </w:p>
        </w:tc>
        <w:tc>
          <w:tcPr/>
          <w:p>
            <w:pPr>
              <w:pStyle w:val="Compact"/>
              <w:jc w:val="left"/>
            </w:pPr>
            <w:r>
              <w:t xml:space="preserve">Org chart described in business plan §2.2 and listed as</w:t>
            </w:r>
            <w:r>
              <w:t xml:space="preserve"> </w:t>
            </w:r>
            <w:r>
              <w:t xml:space="preserve">“</w:t>
            </w:r>
            <w:r>
              <w:t xml:space="preserve">Appendix A: Organizational Chart</w:t>
            </w:r>
            <w:r>
              <w:t xml:space="preserve">”</w:t>
            </w:r>
            <w:r>
              <w:t xml:space="preserve">; not in package</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Attach the organizational chart exhibit.</w:t>
            </w:r>
          </w:p>
        </w:tc>
      </w:tr>
      <w:tr>
        <w:tc>
          <w:tcPr/>
          <w:p>
            <w:pPr>
              <w:pStyle w:val="Compact"/>
              <w:jc w:val="left"/>
            </w:pPr>
            <w:r>
              <w:t xml:space="preserve">A-4</w:t>
            </w:r>
          </w:p>
        </w:tc>
        <w:tc>
          <w:tcPr/>
          <w:p>
            <w:pPr>
              <w:pStyle w:val="Compact"/>
              <w:jc w:val="left"/>
            </w:pPr>
            <w:r>
              <w:t xml:space="preserve">Registered agent identity (§9-5-5(B)(3); Form Q5)</w:t>
            </w:r>
          </w:p>
        </w:tc>
        <w:tc>
          <w:tcPr/>
          <w:p>
            <w:pPr>
              <w:pStyle w:val="Compact"/>
              <w:jc w:val="left"/>
            </w:pPr>
            <w:r>
              <w:t xml:space="preserve">Business plan &amp; lease:</w:t>
            </w:r>
            <w:r>
              <w:t xml:space="preserve"> </w:t>
            </w:r>
            <w:r>
              <w:t xml:space="preserve">“</w:t>
            </w:r>
            <w:r>
              <w:t xml:space="preserve">Northwest Statutory Services,</w:t>
            </w:r>
            <w:r>
              <w:t xml:space="preserve">”</w:t>
            </w:r>
            <w:r>
              <w:t xml:space="preserve"> </w:t>
            </w:r>
            <w:r>
              <w:t xml:space="preserve">205 N. Michigan Ave., Suite 810, Chicago. State license:</w:t>
            </w:r>
            <w:r>
              <w:t xml:space="preserve"> </w:t>
            </w:r>
            <w:r>
              <w:t xml:space="preserve">“</w:t>
            </w:r>
            <w:r>
              <w:t xml:space="preserve">Keystone Statutory Services,</w:t>
            </w:r>
            <w:r>
              <w:t xml:space="preserve">”</w:t>
            </w:r>
            <w:r>
              <w:t xml:space="preserve"> </w:t>
            </w:r>
            <w:r>
              <w:t xml:space="preserve">same address</w:t>
            </w:r>
          </w:p>
        </w:tc>
        <w:tc>
          <w:tcPr/>
          <w:p>
            <w:pPr>
              <w:pStyle w:val="Compact"/>
              <w:jc w:val="left"/>
            </w:pPr>
            <w:r>
              <w:t xml:space="preserve">NON-COMPLIANT</w:t>
            </w:r>
          </w:p>
        </w:tc>
        <w:tc>
          <w:tcPr/>
          <w:p>
            <w:pPr>
              <w:pStyle w:val="Compact"/>
              <w:jc w:val="left"/>
            </w:pPr>
            <w:r>
              <w:t xml:space="preserve">MINOR</w:t>
            </w:r>
          </w:p>
        </w:tc>
        <w:tc>
          <w:tcPr/>
          <w:p>
            <w:pPr>
              <w:pStyle w:val="Compact"/>
              <w:jc w:val="left"/>
            </w:pPr>
            <w:r>
              <w:t xml:space="preserve">Reconcile. If the agent was changed, update IL SOS records and notify IDFPR (State license requires change notice within 14 days). Use one consistent name throughout.</w:t>
            </w:r>
          </w:p>
        </w:tc>
      </w:tr>
      <w:tr>
        <w:tc>
          <w:tcPr/>
          <w:p>
            <w:pPr>
              <w:pStyle w:val="Compact"/>
              <w:jc w:val="left"/>
            </w:pPr>
            <w:r>
              <w:t xml:space="preserve">A-5</w:t>
            </w:r>
          </w:p>
        </w:tc>
        <w:tc>
          <w:tcPr/>
          <w:p>
            <w:pPr>
              <w:pStyle w:val="Compact"/>
              <w:jc w:val="left"/>
            </w:pPr>
            <w:r>
              <w:t xml:space="preserve">Principal-officer disclosures: full legal name, DOB, home address, ownership %, role, SSN for each 5%+ owner (§9-5-5(B)(4); Guide Item 5)</w:t>
            </w:r>
          </w:p>
        </w:tc>
        <w:tc>
          <w:tcPr/>
          <w:p>
            <w:pPr>
              <w:pStyle w:val="Compact"/>
              <w:jc w:val="left"/>
            </w:pPr>
            <w:r>
              <w:t xml:space="preserve">Business plan gives names, %, roles, and city of residence (Okonkwo–Evanston; Ramachandran–Wilmette) and ages (38; 44), but no DOB dates, street addresses, or SSNs; Form Q11/Q12 blank</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Complete Individual Disclosure Forms (Form Appendix A) for Okonkwo (60%) and Ramachandran (40%) with all required fields.</w:t>
            </w:r>
          </w:p>
        </w:tc>
      </w:tr>
      <w:tr>
        <w:tc>
          <w:tcPr/>
          <w:p>
            <w:pPr>
              <w:pStyle w:val="Compact"/>
              <w:jc w:val="left"/>
            </w:pPr>
            <w:r>
              <w:t xml:space="preserve">A-6</w:t>
            </w:r>
          </w:p>
        </w:tc>
        <w:tc>
          <w:tcPr/>
          <w:p>
            <w:pPr>
              <w:pStyle w:val="Compact"/>
              <w:jc w:val="left"/>
            </w:pPr>
            <w:r>
              <w:t xml:space="preserve">Government photo ID and proof of residency (≤90 days) for each principal officer (Guide Item 5(b),(c))</w:t>
            </w:r>
          </w:p>
        </w:tc>
        <w:tc>
          <w:tcPr/>
          <w:p>
            <w:pPr>
              <w:pStyle w:val="Compact"/>
              <w:jc w:val="left"/>
            </w:pPr>
            <w:r>
              <w:t xml:space="preserve">Not in package</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Attach photo ID and a ≤90-day utility bill/bank statement/lease for each principal officer.</w:t>
            </w:r>
          </w:p>
        </w:tc>
      </w:tr>
      <w:tr>
        <w:tc>
          <w:tcPr/>
          <w:p>
            <w:pPr>
              <w:pStyle w:val="Compact"/>
              <w:jc w:val="left"/>
            </w:pPr>
            <w:r>
              <w:t xml:space="preserve">A-7</w:t>
            </w:r>
          </w:p>
        </w:tc>
        <w:tc>
          <w:tcPr/>
          <w:p>
            <w:pPr>
              <w:pStyle w:val="Compact"/>
              <w:jc w:val="left"/>
            </w:pPr>
            <w:r>
              <w:t xml:space="preserve">Signed background-check authorization (ISP + FBI) for each 5%+ owner (§9-5-5(B)(17), §9-5-22; Guide Item 5(d); Form Q14A)</w:t>
            </w:r>
          </w:p>
        </w:tc>
        <w:tc>
          <w:tcPr/>
          <w:p>
            <w:pPr>
              <w:pStyle w:val="Compact"/>
              <w:jc w:val="left"/>
            </w:pPr>
            <w:r>
              <w:t xml:space="preserve">Form Q14A blank; no authorizations in package. State license notes both officers already cleared by ISP/FBI for the State application</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Execute City background-check authorization forms for both officers. The State clearance does not substitute for the City authorization; initiate promptly — results must be received before the application can be deemed complete (§9-5-22(E)).</w:t>
            </w:r>
          </w:p>
        </w:tc>
      </w:tr>
      <w:tr>
        <w:tc>
          <w:tcPr/>
          <w:p>
            <w:pPr>
              <w:pStyle w:val="Compact"/>
              <w:jc w:val="left"/>
            </w:pPr>
            <w:r>
              <w:t xml:space="preserve">A-8</w:t>
            </w:r>
          </w:p>
        </w:tc>
        <w:tc>
          <w:tcPr/>
          <w:p>
            <w:pPr>
              <w:pStyle w:val="Compact"/>
              <w:jc w:val="left"/>
            </w:pPr>
            <w:r>
              <w:t xml:space="preserve">Fingerprint receipts for all 5%+ owners (Form §13 checklist)</w:t>
            </w:r>
          </w:p>
        </w:tc>
        <w:tc>
          <w:tcPr/>
          <w:p>
            <w:pPr>
              <w:pStyle w:val="Compact"/>
              <w:jc w:val="left"/>
            </w:pPr>
            <w:r>
              <w:t xml:space="preserve">Not in package</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Schedule Live Scan appointments via the Cannabis Licensing Division; attach receipts.</w:t>
            </w:r>
          </w:p>
        </w:tc>
      </w:tr>
      <w:tr>
        <w:tc>
          <w:tcPr/>
          <w:p>
            <w:pPr>
              <w:pStyle w:val="Compact"/>
              <w:jc w:val="left"/>
            </w:pPr>
            <w:r>
              <w:t xml:space="preserve">A-9</w:t>
            </w:r>
          </w:p>
        </w:tc>
        <w:tc>
          <w:tcPr/>
          <w:p>
            <w:pPr>
              <w:pStyle w:val="Compact"/>
              <w:jc w:val="left"/>
            </w:pPr>
            <w:r>
              <w:t xml:space="preserve">Criminal-history disclosure, including expunged/sealed/pardoned matters (Form Q14B; §9-5-22)</w:t>
            </w:r>
          </w:p>
        </w:tc>
        <w:tc>
          <w:tcPr/>
          <w:p>
            <w:pPr>
              <w:pStyle w:val="Compact"/>
              <w:jc w:val="left"/>
            </w:pPr>
            <w:r>
              <w:t xml:space="preserve">Form Q14B blank. Okonkwo has a 2016 misdemeanor cannabis possession (&lt;30g), expunged 2020; Ramachandran reports none</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Complete Q14B for both officers. Okonkwo must disclose the 2016 matter and the 2020 expungement (the Form requires disclosure of expunged matters). A misdemeanor possession is not a §9-5-22(C) disqualifying offense, and expungement is protected under §9-5-22(D)(3); disclosure is still required.</w:t>
            </w:r>
          </w:p>
        </w:tc>
      </w:tr>
      <w:tr>
        <w:tc>
          <w:tcPr/>
          <w:p>
            <w:pPr>
              <w:pStyle w:val="Compact"/>
              <w:jc w:val="left"/>
            </w:pPr>
            <w:r>
              <w:t xml:space="preserve">A-10</w:t>
            </w:r>
          </w:p>
        </w:tc>
        <w:tc>
          <w:tcPr/>
          <w:p>
            <w:pPr>
              <w:pStyle w:val="Compact"/>
              <w:jc w:val="left"/>
            </w:pPr>
            <w:r>
              <w:t xml:space="preserve">Prior cannabis-license and disciplinary disclosure (Form Q10, Q14C)</w:t>
            </w:r>
          </w:p>
        </w:tc>
        <w:tc>
          <w:tcPr/>
          <w:p>
            <w:pPr>
              <w:pStyle w:val="Compact"/>
              <w:jc w:val="left"/>
            </w:pPr>
            <w:r>
              <w:t xml:space="preserve">Form Q10/Q14C blank</w:t>
            </w:r>
          </w:p>
        </w:tc>
        <w:tc>
          <w:tcPr/>
          <w:p>
            <w:pPr>
              <w:pStyle w:val="Compact"/>
              <w:jc w:val="left"/>
            </w:pPr>
            <w:r>
              <w:t xml:space="preserve">DATA GAP</w:t>
            </w:r>
          </w:p>
        </w:tc>
        <w:tc>
          <w:tcPr/>
          <w:p>
            <w:pPr>
              <w:pStyle w:val="Compact"/>
              <w:jc w:val="left"/>
            </w:pPr>
            <w:r>
              <w:t xml:space="preserve">MAJOR</w:t>
            </w:r>
          </w:p>
        </w:tc>
        <w:tc>
          <w:tcPr/>
          <w:p>
            <w:pPr>
              <w:pStyle w:val="Compact"/>
              <w:jc w:val="left"/>
            </w:pPr>
            <w:r>
              <w:t xml:space="preserve">Complete both sections; attach detail for any</w:t>
            </w:r>
            <w:r>
              <w:t xml:space="preserve"> </w:t>
            </w:r>
            <w:r>
              <w:t xml:space="preserve">“</w:t>
            </w:r>
            <w:r>
              <w:t xml:space="preserve">Yes</w:t>
            </w:r>
            <w:r>
              <w:t xml:space="preserve">”</w:t>
            </w:r>
            <w:r>
              <w:t xml:space="preserve"> </w:t>
            </w:r>
            <w:r>
              <w:t xml:space="preserve">answer.</w:t>
            </w:r>
          </w:p>
        </w:tc>
      </w:tr>
    </w:tbl>
    <w:bookmarkEnd w:id="24"/>
    <w:bookmarkStart w:id="25" w:name="Xd7391f0e13e546662a86b24623e406d30900b57"/>
    <w:p>
      <w:pPr>
        <w:pStyle w:val="Heading3"/>
      </w:pPr>
      <w:r>
        <w:t xml:space="preserve">Group B — State License &amp; Conversion Timeline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B-1</w:t>
            </w:r>
          </w:p>
        </w:tc>
        <w:tc>
          <w:tcPr/>
          <w:p>
            <w:pPr>
              <w:pStyle w:val="Compact"/>
              <w:jc w:val="left"/>
            </w:pPr>
            <w:r>
              <w:t xml:space="preserve">Certified copy of State conditional/permanent dispensing license with number, issuance date, expiration (§9-5-5(B)(2); Guide Item 3)</w:t>
            </w:r>
          </w:p>
        </w:tc>
        <w:tc>
          <w:tcPr/>
          <w:p>
            <w:pPr>
              <w:pStyle w:val="Compact"/>
              <w:jc w:val="left"/>
            </w:pPr>
            <w:r>
              <w:t xml:space="preserve">State Conditional License ADC-285-0147 provided; issued Sept. 22, 2023; expires Sept. 21, 2024</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B-2</w:t>
            </w:r>
          </w:p>
        </w:tc>
        <w:tc>
          <w:tcPr/>
          <w:p>
            <w:pPr>
              <w:pStyle w:val="Compact"/>
              <w:jc w:val="left"/>
            </w:pPr>
            <w:r>
              <w:t xml:space="preserve">For conditional licenses, documentation of conversion timeline and conditions (Guide Item 3)</w:t>
            </w:r>
          </w:p>
        </w:tc>
        <w:tc>
          <w:tcPr/>
          <w:p>
            <w:pPr>
              <w:pStyle w:val="Compact"/>
              <w:jc w:val="left"/>
            </w:pPr>
            <w:r>
              <w:t xml:space="preserve">Business plan §9.1 and State license Conditions 2–5 describe 180-day conversion, $100,000 fee, operational-readiness requirements</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B-3</w:t>
            </w:r>
          </w:p>
        </w:tc>
        <w:tc>
          <w:tcPr/>
          <w:p>
            <w:pPr>
              <w:pStyle w:val="Compact"/>
              <w:jc w:val="left"/>
            </w:pPr>
            <w:r>
              <w:t xml:space="preserve">Conditional license must remain valid throughout local permitting; 180-day conversion runs from local permit issuance (State license Cond. 2; Form Q9 note; §9-5-11(I))</w:t>
            </w:r>
          </w:p>
        </w:tc>
        <w:tc>
          <w:tcPr/>
          <w:p>
            <w:pPr>
              <w:pStyle w:val="Compact"/>
              <w:jc w:val="left"/>
            </w:pPr>
            <w:r>
              <w:t xml:space="preserve">License expires Sept. 21, 2024. May 15 submission + 120–150 day City process → permit issuance Oct.–Nov. 2024, after expiration. No State extension petition documented</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File a State extension petition (State license Cond. 4: up to 6 months; must be filed ≥60 days before expiration, i.e., by ~July 23, 2024) immediately. Alternatively, submit the local application as early as possible. Without an extension, the conditional license lapses before the local permit can issue, defeating §9-5-11(I) and the conversion.</w:t>
            </w:r>
          </w:p>
        </w:tc>
      </w:tr>
      <w:tr>
        <w:tc>
          <w:tcPr/>
          <w:p>
            <w:pPr>
              <w:pStyle w:val="Compact"/>
              <w:jc w:val="left"/>
            </w:pPr>
            <w:r>
              <w:t xml:space="preserve">B-4</w:t>
            </w:r>
          </w:p>
        </w:tc>
        <w:tc>
          <w:tcPr/>
          <w:p>
            <w:pPr>
              <w:pStyle w:val="Compact"/>
              <w:jc w:val="left"/>
            </w:pPr>
            <w:r>
              <w:t xml:space="preserve">Certificate of Good Standing recency:</w:t>
            </w:r>
            <w:r>
              <w:t xml:space="preserve"> </w:t>
            </w:r>
            <w:r>
              <w:t xml:space="preserve">“</w:t>
            </w:r>
            <w:r>
              <w:t xml:space="preserve">within the preceding 60 days</w:t>
            </w:r>
            <w:r>
              <w:t xml:space="preserve">”</w:t>
            </w:r>
            <w:r>
              <w:t xml:space="preserve"> </w:t>
            </w:r>
            <w:r>
              <w:t xml:space="preserve">(§9-5-5(B)(3)) vs. </w:t>
            </w:r>
            <w:r>
              <w:t xml:space="preserve">“</w:t>
            </w:r>
            <w:r>
              <w:t xml:space="preserve">within 30 days</w:t>
            </w:r>
            <w:r>
              <w:t xml:space="preserve">”</w:t>
            </w:r>
            <w:r>
              <w:t xml:space="preserve"> </w:t>
            </w:r>
            <w:r>
              <w:t xml:space="preserve">(Form §13) vs. </w:t>
            </w:r>
            <w:r>
              <w:t xml:space="preserve">“</w:t>
            </w:r>
            <w:r>
              <w:t xml:space="preserve">within 60 days</w:t>
            </w:r>
            <w:r>
              <w:t xml:space="preserve">”</w:t>
            </w:r>
            <w:r>
              <w:t xml:space="preserve"> </w:t>
            </w:r>
            <w:r>
              <w:t xml:space="preserve">(Guide Item 4)</w:t>
            </w:r>
          </w:p>
        </w:tc>
        <w:tc>
          <w:tcPr/>
          <w:p>
            <w:pPr>
              <w:pStyle w:val="Compact"/>
              <w:jc w:val="left"/>
            </w:pPr>
            <w:r>
              <w:t xml:space="preserve">Not yet obtained</w:t>
            </w:r>
          </w:p>
        </w:tc>
        <w:tc>
          <w:tcPr/>
          <w:p>
            <w:pPr>
              <w:pStyle w:val="Compact"/>
              <w:jc w:val="left"/>
            </w:pPr>
            <w:r>
              <w:t xml:space="preserve">DATA GAP</w:t>
            </w:r>
          </w:p>
        </w:tc>
        <w:tc>
          <w:tcPr/>
          <w:p>
            <w:pPr>
              <w:pStyle w:val="Compact"/>
              <w:jc w:val="left"/>
            </w:pPr>
            <w:r>
              <w:t xml:space="preserve">INFO</w:t>
            </w:r>
          </w:p>
        </w:tc>
        <w:tc>
          <w:tcPr/>
          <w:p>
            <w:pPr>
              <w:pStyle w:val="Compact"/>
              <w:jc w:val="left"/>
            </w:pPr>
            <w:r>
              <w:t xml:space="preserve">Obtain the certificate as close to submission as possible; to be safe, satisfy the stricter 30-day Form standard. See Part B.</w:t>
            </w:r>
          </w:p>
        </w:tc>
      </w:tr>
      <w:tr>
        <w:tc>
          <w:tcPr/>
          <w:p>
            <w:pPr>
              <w:pStyle w:val="Compact"/>
              <w:jc w:val="left"/>
            </w:pPr>
            <w:r>
              <w:t xml:space="preserve">B-5</w:t>
            </w:r>
          </w:p>
        </w:tc>
        <w:tc>
          <w:tcPr/>
          <w:p>
            <w:pPr>
              <w:pStyle w:val="Compact"/>
              <w:jc w:val="left"/>
            </w:pPr>
            <w:r>
              <w:t xml:space="preserve">Scope of State license vs. proposed operations (§9-5-3(C))</w:t>
            </w:r>
          </w:p>
        </w:tc>
        <w:tc>
          <w:tcPr/>
          <w:p>
            <w:pPr>
              <w:pStyle w:val="Compact"/>
              <w:jc w:val="left"/>
            </w:pPr>
            <w:r>
              <w:t xml:space="preserve">State license is</w:t>
            </w:r>
            <w:r>
              <w:t xml:space="preserve"> </w:t>
            </w:r>
            <w:r>
              <w:t xml:space="preserve">“</w:t>
            </w:r>
            <w:r>
              <w:t xml:space="preserve">Adult-Use</w:t>
            </w:r>
            <w:r>
              <w:t xml:space="preserve">”</w:t>
            </w:r>
            <w:r>
              <w:t xml:space="preserve"> </w:t>
            </w:r>
            <w:r>
              <w:t xml:space="preserve">only; business plan states Greenleaf will serve</w:t>
            </w:r>
            <w:r>
              <w:t xml:space="preserve"> </w:t>
            </w:r>
            <w:r>
              <w:t xml:space="preserve">“</w:t>
            </w:r>
            <w:r>
              <w:t xml:space="preserve">both adult-use recreational customers and registered medical cannabis patients</w:t>
            </w:r>
            <w:r>
              <w:t xml:space="preserve">”</w:t>
            </w:r>
          </w:p>
        </w:tc>
        <w:tc>
          <w:tcPr/>
          <w:p>
            <w:pPr>
              <w:pStyle w:val="Compact"/>
              <w:jc w:val="left"/>
            </w:pPr>
            <w:r>
              <w:t xml:space="preserve">PARTIALLY COMPLIANT</w:t>
            </w:r>
          </w:p>
        </w:tc>
        <w:tc>
          <w:tcPr/>
          <w:p>
            <w:pPr>
              <w:pStyle w:val="Compact"/>
              <w:jc w:val="left"/>
            </w:pPr>
            <w:r>
              <w:t xml:space="preserve">MINOR</w:t>
            </w:r>
          </w:p>
        </w:tc>
        <w:tc>
          <w:tcPr/>
          <w:p>
            <w:pPr>
              <w:pStyle w:val="Compact"/>
              <w:jc w:val="left"/>
            </w:pPr>
            <w:r>
              <w:t xml:space="preserve">Confirm whether medical dispensing is authorized. Serving medical patients requires a separate State medical registration; the local permit cannot authorize activity beyond the State license (§9-5-3(C)). Either obtain medical registration or limit the proposal to adult-use and correct the business plan/Form.</w:t>
            </w:r>
          </w:p>
        </w:tc>
      </w:tr>
    </w:tbl>
    <w:bookmarkEnd w:id="25"/>
    <w:bookmarkStart w:id="26" w:name="group-c-location-lease-zoning"/>
    <w:p>
      <w:pPr>
        <w:pStyle w:val="Heading3"/>
      </w:pPr>
      <w:r>
        <w:t xml:space="preserve">Group C — Location, Lease &amp; Zoning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C-1</w:t>
            </w:r>
          </w:p>
        </w:tc>
        <w:tc>
          <w:tcPr/>
          <w:p>
            <w:pPr>
              <w:pStyle w:val="Compact"/>
              <w:jc w:val="left"/>
            </w:pPr>
            <w:r>
              <w:t xml:space="preserve">Executed lease with ≥3-year remaining term from anticipated permit issuance, or recorded deed (§9-5-5(B)(5); Guide Item 6)</w:t>
            </w:r>
          </w:p>
        </w:tc>
        <w:tc>
          <w:tcPr/>
          <w:p>
            <w:pPr>
              <w:pStyle w:val="Compact"/>
              <w:jc w:val="left"/>
            </w:pPr>
            <w:r>
              <w:t xml:space="preserve">Lease executed Jan. 8, 2024; 7-year initial term (to Jan. 7, 2031) + two 3-year renewals</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C-2</w:t>
            </w:r>
          </w:p>
        </w:tc>
        <w:tc>
          <w:tcPr/>
          <w:p>
            <w:pPr>
              <w:pStyle w:val="Compact"/>
              <w:jc w:val="left"/>
            </w:pPr>
            <w:r>
              <w:t xml:space="preserve">Lease must expressly permit cannabis dispensary operations (Guide Item 6; Form Q4)</w:t>
            </w:r>
          </w:p>
        </w:tc>
        <w:tc>
          <w:tcPr/>
          <w:p>
            <w:pPr>
              <w:pStyle w:val="Compact"/>
              <w:jc w:val="left"/>
            </w:pPr>
            <w:r>
              <w:t xml:space="preserve">Lease §5</w:t>
            </w:r>
            <w:r>
              <w:t xml:space="preserve"> </w:t>
            </w:r>
            <w:r>
              <w:t xml:space="preserve">“</w:t>
            </w:r>
            <w:r>
              <w:t xml:space="preserve">Permitted Use</w:t>
            </w:r>
            <w:r>
              <w:t xml:space="preserve">”</w:t>
            </w:r>
            <w:r>
              <w:t xml:space="preserve"> </w:t>
            </w:r>
            <w:r>
              <w:t xml:space="preserve">limited to licensed cannabis dispensary; Landlord Cannabis Acknowledgment (Exhibit D)</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C-3</w:t>
            </w:r>
          </w:p>
        </w:tc>
        <w:tc>
          <w:tcPr/>
          <w:p>
            <w:pPr>
              <w:pStyle w:val="Compact"/>
              <w:jc w:val="left"/>
            </w:pPr>
            <w:r>
              <w:t xml:space="preserve">Landlord Acknowledgment and Consent (Guide Item 6; Form Appendix B)</w:t>
            </w:r>
          </w:p>
        </w:tc>
        <w:tc>
          <w:tcPr/>
          <w:p>
            <w:pPr>
              <w:pStyle w:val="Compact"/>
              <w:jc w:val="left"/>
            </w:pPr>
            <w:r>
              <w:t xml:space="preserve">Lease Exhibit D (Landlord’s Cannabis Use Acknowledgment and Consent) executed; City’s Appendix B form not separately included</w:t>
            </w:r>
          </w:p>
        </w:tc>
        <w:tc>
          <w:tcPr/>
          <w:p>
            <w:pPr>
              <w:pStyle w:val="Compact"/>
              <w:jc w:val="left"/>
            </w:pPr>
            <w:r>
              <w:t xml:space="preserve">PARTIALLY COMPLIANT</w:t>
            </w:r>
          </w:p>
        </w:tc>
        <w:tc>
          <w:tcPr/>
          <w:p>
            <w:pPr>
              <w:pStyle w:val="Compact"/>
              <w:jc w:val="left"/>
            </w:pPr>
            <w:r>
              <w:t xml:space="preserve">MINOR</w:t>
            </w:r>
          </w:p>
        </w:tc>
        <w:tc>
          <w:tcPr/>
          <w:p>
            <w:pPr>
              <w:pStyle w:val="Compact"/>
              <w:jc w:val="left"/>
            </w:pPr>
            <w:r>
              <w:t xml:space="preserve">Also execute/attach the City’s Appendix B Landlord Acknowledgment form to match the Guide’s required format.</w:t>
            </w:r>
          </w:p>
        </w:tc>
      </w:tr>
      <w:tr>
        <w:tc>
          <w:tcPr/>
          <w:p>
            <w:pPr>
              <w:pStyle w:val="Compact"/>
              <w:jc w:val="left"/>
            </w:pPr>
            <w:r>
              <w:t xml:space="preserve">C-4</w:t>
            </w:r>
          </w:p>
        </w:tc>
        <w:tc>
          <w:tcPr/>
          <w:p>
            <w:pPr>
              <w:pStyle w:val="Compact"/>
              <w:jc w:val="left"/>
            </w:pPr>
            <w:r>
              <w:t xml:space="preserve">Site plan and floor plan prepared/certified by licensed architect or engineer, with sq-ft breakdown and customer/restricted area delineation (§9-5-5(B)(6); Guide Item 7)</w:t>
            </w:r>
          </w:p>
        </w:tc>
        <w:tc>
          <w:tcPr/>
          <w:p>
            <w:pPr>
              <w:pStyle w:val="Compact"/>
              <w:jc w:val="left"/>
            </w:pPr>
            <w:r>
              <w:t xml:space="preserve">Sq-ft breakdown provided (1,600 retail / 800 storage / 600 office / 200 vestibule = 3,200). Lease Exhibit A</w:t>
            </w:r>
            <w:r>
              <w:t xml:space="preserve"> </w:t>
            </w:r>
            <w:r>
              <w:t xml:space="preserve">“</w:t>
            </w:r>
            <w:r>
              <w:t xml:space="preserve">Floor Plan and Square Footage Diagram</w:t>
            </w:r>
            <w:r>
              <w:t xml:space="preserve">”</w:t>
            </w:r>
            <w:r>
              <w:t xml:space="preserve"> </w:t>
            </w:r>
            <w:r>
              <w:t xml:space="preserve">and business plan</w:t>
            </w:r>
            <w:r>
              <w:t xml:space="preserve"> </w:t>
            </w:r>
            <w:r>
              <w:t xml:space="preserve">“</w:t>
            </w:r>
            <w:r>
              <w:t xml:space="preserve">Appendix D</w:t>
            </w:r>
            <w:r>
              <w:t xml:space="preserve">”</w:t>
            </w:r>
            <w:r>
              <w:t xml:space="preserve"> </w:t>
            </w:r>
            <w:r>
              <w:t xml:space="preserve">referenced; no architect/engineer-stamped plan in package; no camera/POS/vault locations shown</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the architect- or engineer-certified site plan and floor plan showing camera locations, POS, vault, entry/exit points, and ADA features. The Meridian survey is a property survey, not an architect-certified floor plan.</w:t>
            </w:r>
          </w:p>
        </w:tc>
      </w:tr>
      <w:tr>
        <w:tc>
          <w:tcPr/>
          <w:p>
            <w:pPr>
              <w:pStyle w:val="Compact"/>
              <w:jc w:val="left"/>
            </w:pPr>
            <w:r>
              <w:t xml:space="preserve">C-5</w:t>
            </w:r>
          </w:p>
        </w:tc>
        <w:tc>
          <w:tcPr/>
          <w:p>
            <w:pPr>
              <w:pStyle w:val="Compact"/>
              <w:jc w:val="left"/>
            </w:pPr>
            <w:r>
              <w:t xml:space="preserve">Restrooms and</w:t>
            </w:r>
            <w:r>
              <w:t xml:space="preserve"> </w:t>
            </w:r>
            <w:r>
              <w:t xml:space="preserve">“</w:t>
            </w:r>
            <w:r>
              <w:t xml:space="preserve">other</w:t>
            </w:r>
            <w:r>
              <w:t xml:space="preserve">”</w:t>
            </w:r>
            <w:r>
              <w:t xml:space="preserve"> </w:t>
            </w:r>
            <w:r>
              <w:t xml:space="preserve">areas itemized (§9-5-5(B)(6); Form Q2)</w:t>
            </w:r>
          </w:p>
        </w:tc>
        <w:tc>
          <w:tcPr/>
          <w:p>
            <w:pPr>
              <w:pStyle w:val="Compact"/>
              <w:jc w:val="left"/>
            </w:pPr>
            <w:r>
              <w:t xml:space="preserve">Breakdown omits restrooms; sum still equals 3,200</w:t>
            </w:r>
          </w:p>
        </w:tc>
        <w:tc>
          <w:tcPr/>
          <w:p>
            <w:pPr>
              <w:pStyle w:val="Compact"/>
              <w:jc w:val="left"/>
            </w:pPr>
            <w:r>
              <w:t xml:space="preserve">PARTIALLY COMPLIANT</w:t>
            </w:r>
          </w:p>
        </w:tc>
        <w:tc>
          <w:tcPr/>
          <w:p>
            <w:pPr>
              <w:pStyle w:val="Compact"/>
              <w:jc w:val="left"/>
            </w:pPr>
            <w:r>
              <w:t xml:space="preserve">MINOR</w:t>
            </w:r>
          </w:p>
        </w:tc>
        <w:tc>
          <w:tcPr/>
          <w:p>
            <w:pPr>
              <w:pStyle w:val="Compact"/>
              <w:jc w:val="left"/>
            </w:pPr>
            <w:r>
              <w:t xml:space="preserve">Add restroom square footage (or confirm it is within the office/employee area) so the breakdown matches the Ordinance’s enumerated categories.</w:t>
            </w:r>
          </w:p>
        </w:tc>
      </w:tr>
      <w:tr>
        <w:tc>
          <w:tcPr/>
          <w:p>
            <w:pPr>
              <w:pStyle w:val="Compact"/>
              <w:jc w:val="left"/>
            </w:pPr>
            <w:r>
              <w:t xml:space="preserve">C-6</w:t>
            </w:r>
          </w:p>
        </w:tc>
        <w:tc>
          <w:tcPr/>
          <w:p>
            <w:pPr>
              <w:pStyle w:val="Compact"/>
              <w:jc w:val="left"/>
            </w:pPr>
            <w:r>
              <w:t xml:space="preserve">Zoning district eligibility — dispensary permitted only in C1a, C2, or oC1, as a special use (§9-5-9(A))</w:t>
            </w:r>
          </w:p>
        </w:tc>
        <w:tc>
          <w:tcPr/>
          <w:p>
            <w:pPr>
              <w:pStyle w:val="Compact"/>
              <w:jc w:val="left"/>
            </w:pPr>
            <w:r>
              <w:t xml:space="preserve">Premises in C1a Commercial Mixed-Use</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C-7</w:t>
            </w:r>
          </w:p>
        </w:tc>
        <w:tc>
          <w:tcPr/>
          <w:p>
            <w:pPr>
              <w:pStyle w:val="Compact"/>
              <w:jc w:val="left"/>
            </w:pPr>
            <w:r>
              <w:t xml:space="preserve">Special-use permit application filed or evidence of concurrent filing (Guide Item 20; Form Q3)</w:t>
            </w:r>
          </w:p>
        </w:tc>
        <w:tc>
          <w:tcPr/>
          <w:p>
            <w:pPr>
              <w:pStyle w:val="Compact"/>
              <w:jc w:val="left"/>
            </w:pPr>
            <w:r>
              <w:t xml:space="preserve">Business plan acknowledges C1a requires special use and says applicant</w:t>
            </w:r>
            <w:r>
              <w:t xml:space="preserve"> </w:t>
            </w:r>
            <w:r>
              <w:t xml:space="preserve">“</w:t>
            </w:r>
            <w:r>
              <w:t xml:space="preserve">should apply… concurrent</w:t>
            </w:r>
            <w:r>
              <w:t xml:space="preserve">”</w:t>
            </w:r>
            <w:r>
              <w:t xml:space="preserve">; no evidence a special-use application has been filed; no ZBA case number</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File the special-use application with the Zoning Board of Appeals and attach evidence of filing (or a Zoning Division zoning-compliance confirmation) to the package. Final special-use approval is a pre-issuance condition.</w:t>
            </w:r>
          </w:p>
        </w:tc>
      </w:tr>
      <w:tr>
        <w:tc>
          <w:tcPr/>
          <w:p>
            <w:pPr>
              <w:pStyle w:val="Compact"/>
              <w:jc w:val="left"/>
            </w:pPr>
            <w:r>
              <w:t xml:space="preserve">C-8</w:t>
            </w:r>
          </w:p>
        </w:tc>
        <w:tc>
          <w:tcPr/>
          <w:p>
            <w:pPr>
              <w:pStyle w:val="Compact"/>
              <w:jc w:val="left"/>
            </w:pPr>
            <w:r>
              <w:t xml:space="preserve">One dispensary per City block (§9-5-9(F))</w:t>
            </w:r>
          </w:p>
        </w:tc>
        <w:tc>
          <w:tcPr/>
          <w:p>
            <w:pPr>
              <w:pStyle w:val="Compact"/>
              <w:jc w:val="left"/>
            </w:pPr>
            <w:r>
              <w:t xml:space="preserve">Not addressed in package</w:t>
            </w:r>
          </w:p>
        </w:tc>
        <w:tc>
          <w:tcPr/>
          <w:p>
            <w:pPr>
              <w:pStyle w:val="Compact"/>
              <w:jc w:val="left"/>
            </w:pPr>
            <w:r>
              <w:t xml:space="preserve">DATA GAP</w:t>
            </w:r>
          </w:p>
        </w:tc>
        <w:tc>
          <w:tcPr/>
          <w:p>
            <w:pPr>
              <w:pStyle w:val="Compact"/>
              <w:jc w:val="left"/>
            </w:pPr>
            <w:r>
              <w:t xml:space="preserve">MINOR</w:t>
            </w:r>
          </w:p>
        </w:tc>
        <w:tc>
          <w:tcPr/>
          <w:p>
            <w:pPr>
              <w:pStyle w:val="Compact"/>
              <w:jc w:val="left"/>
            </w:pPr>
            <w:r>
              <w:t xml:space="preserve">Confirm no other licensed dispensary on the same City block; Prairie Wellness (2,100 ft) is on a different block, but document the block analysis.</w:t>
            </w:r>
          </w:p>
        </w:tc>
      </w:tr>
      <w:tr>
        <w:tc>
          <w:tcPr/>
          <w:p>
            <w:pPr>
              <w:pStyle w:val="Compact"/>
              <w:jc w:val="left"/>
            </w:pPr>
            <w:r>
              <w:t xml:space="preserve">C-9</w:t>
            </w:r>
          </w:p>
        </w:tc>
        <w:tc>
          <w:tcPr/>
          <w:p>
            <w:pPr>
              <w:pStyle w:val="Compact"/>
              <w:jc w:val="left"/>
            </w:pPr>
            <w:r>
              <w:t xml:space="preserve">Parking consistency</w:t>
            </w:r>
          </w:p>
        </w:tc>
        <w:tc>
          <w:tcPr/>
          <w:p>
            <w:pPr>
              <w:pStyle w:val="Compact"/>
              <w:jc w:val="left"/>
            </w:pPr>
            <w:r>
              <w:t xml:space="preserve">Lease summary: 8 designated spaces; community-engagement report (Session 1 Q&amp;A):</w:t>
            </w:r>
            <w:r>
              <w:t xml:space="preserve"> </w:t>
            </w:r>
            <w:r>
              <w:t xml:space="preserve">“</w:t>
            </w:r>
            <w:r>
              <w:t xml:space="preserve">twelve (12) dedicated parking spaces</w:t>
            </w:r>
            <w:r>
              <w:t xml:space="preserve">”</w:t>
            </w:r>
          </w:p>
        </w:tc>
        <w:tc>
          <w:tcPr/>
          <w:p>
            <w:pPr>
              <w:pStyle w:val="Compact"/>
              <w:jc w:val="left"/>
            </w:pPr>
            <w:r>
              <w:t xml:space="preserve">NON-COMPLIANT</w:t>
            </w:r>
          </w:p>
        </w:tc>
        <w:tc>
          <w:tcPr/>
          <w:p>
            <w:pPr>
              <w:pStyle w:val="Compact"/>
              <w:jc w:val="left"/>
            </w:pPr>
            <w:r>
              <w:t xml:space="preserve">MINOR</w:t>
            </w:r>
          </w:p>
        </w:tc>
        <w:tc>
          <w:tcPr/>
          <w:p>
            <w:pPr>
              <w:pStyle w:val="Compact"/>
              <w:jc w:val="left"/>
            </w:pPr>
            <w:r>
              <w:t xml:space="preserve">Reconcile the 8-vs-12 figure across all submissions; cite the lease Exhibit B allocation map.</w:t>
            </w:r>
          </w:p>
        </w:tc>
      </w:tr>
    </w:tbl>
    <w:bookmarkEnd w:id="26"/>
    <w:bookmarkStart w:id="27" w:name="group-d-buffer-distances-sensitive-uses"/>
    <w:p>
      <w:pPr>
        <w:pStyle w:val="Heading3"/>
      </w:pPr>
      <w:r>
        <w:t xml:space="preserve">Group D — Buffer Distances &amp; Sensitive Uses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D-1</w:t>
            </w:r>
          </w:p>
        </w:tc>
        <w:tc>
          <w:tcPr/>
          <w:p>
            <w:pPr>
              <w:pStyle w:val="Compact"/>
              <w:jc w:val="left"/>
            </w:pPr>
            <w:r>
              <w:t xml:space="preserve">≥1,000 ft from any K-12 school (§9-5-9(B)(1))</w:t>
            </w:r>
          </w:p>
        </w:tc>
        <w:tc>
          <w:tcPr/>
          <w:p>
            <w:pPr>
              <w:pStyle w:val="Compact"/>
              <w:jc w:val="left"/>
            </w:pPr>
            <w:r>
              <w:t xml:space="preserve">Chute Middle School, 1400 Oakton St. — 1,180 ft (straight-line)</w:t>
            </w:r>
          </w:p>
        </w:tc>
        <w:tc>
          <w:tcPr/>
          <w:p>
            <w:pPr>
              <w:pStyle w:val="Compact"/>
              <w:jc w:val="left"/>
            </w:pPr>
            <w:r>
              <w:t xml:space="preserve">COMPLIANT (substantive)</w:t>
            </w:r>
          </w:p>
        </w:tc>
        <w:tc>
          <w:tcPr/>
          <w:p>
            <w:pPr>
              <w:pStyle w:val="Compact"/>
              <w:jc w:val="left"/>
            </w:pPr>
            <w:r>
              <w:t xml:space="preserve">—</w:t>
            </w:r>
          </w:p>
        </w:tc>
        <w:tc>
          <w:tcPr/>
          <w:p>
            <w:pPr>
              <w:pStyle w:val="Compact"/>
              <w:jc w:val="left"/>
            </w:pPr>
            <w:r>
              <w:t xml:space="preserve">Confirm via pedestrian-route measurement (see D-4).</w:t>
            </w:r>
          </w:p>
        </w:tc>
      </w:tr>
      <w:tr>
        <w:tc>
          <w:tcPr/>
          <w:p>
            <w:pPr>
              <w:pStyle w:val="Compact"/>
              <w:jc w:val="left"/>
            </w:pPr>
            <w:r>
              <w:t xml:space="preserve">D-2</w:t>
            </w:r>
          </w:p>
        </w:tc>
        <w:tc>
          <w:tcPr/>
          <w:p>
            <w:pPr>
              <w:pStyle w:val="Compact"/>
              <w:jc w:val="left"/>
            </w:pPr>
            <w:r>
              <w:t xml:space="preserve">≥500 ft from any daycare (§9-5-9(B)(2))</w:t>
            </w:r>
          </w:p>
        </w:tc>
        <w:tc>
          <w:tcPr/>
          <w:p>
            <w:pPr>
              <w:pStyle w:val="Compact"/>
              <w:jc w:val="left"/>
            </w:pPr>
            <w:r>
              <w:t xml:space="preserve">Tiny Acorns Learning Center, 1635 Hinman Ave. — 890 ft (straight-line)</w:t>
            </w:r>
          </w:p>
        </w:tc>
        <w:tc>
          <w:tcPr/>
          <w:p>
            <w:pPr>
              <w:pStyle w:val="Compact"/>
              <w:jc w:val="left"/>
            </w:pPr>
            <w:r>
              <w:t xml:space="preserve">COMPLIANT (substantive)</w:t>
            </w:r>
          </w:p>
        </w:tc>
        <w:tc>
          <w:tcPr/>
          <w:p>
            <w:pPr>
              <w:pStyle w:val="Compact"/>
              <w:jc w:val="left"/>
            </w:pPr>
            <w:r>
              <w:t xml:space="preserve">—</w:t>
            </w:r>
          </w:p>
        </w:tc>
        <w:tc>
          <w:tcPr/>
          <w:p>
            <w:pPr>
              <w:pStyle w:val="Compact"/>
              <w:jc w:val="left"/>
            </w:pPr>
            <w:r>
              <w:t xml:space="preserve">Confirm via pedestrian-route measurement (see D-4).</w:t>
            </w:r>
          </w:p>
        </w:tc>
      </w:tr>
      <w:tr>
        <w:tc>
          <w:tcPr/>
          <w:p>
            <w:pPr>
              <w:pStyle w:val="Compact"/>
              <w:jc w:val="left"/>
            </w:pPr>
            <w:r>
              <w:t xml:space="preserve">D-3</w:t>
            </w:r>
          </w:p>
        </w:tc>
        <w:tc>
          <w:tcPr/>
          <w:p>
            <w:pPr>
              <w:pStyle w:val="Compact"/>
              <w:jc w:val="left"/>
            </w:pPr>
            <w:r>
              <w:t xml:space="preserve">≥1,500 ft from any other licensed dispensary (§9-5-9(B)(3))</w:t>
            </w:r>
          </w:p>
        </w:tc>
        <w:tc>
          <w:tcPr/>
          <w:p>
            <w:pPr>
              <w:pStyle w:val="Compact"/>
              <w:jc w:val="left"/>
            </w:pPr>
            <w:r>
              <w:t xml:space="preserve">Prairie Wellness Dispensary, 807 Church St. — 2,100 ft (straight-line)</w:t>
            </w:r>
          </w:p>
        </w:tc>
        <w:tc>
          <w:tcPr/>
          <w:p>
            <w:pPr>
              <w:pStyle w:val="Compact"/>
              <w:jc w:val="left"/>
            </w:pPr>
            <w:r>
              <w:t xml:space="preserve">COMPLIANT (substantive)</w:t>
            </w:r>
          </w:p>
        </w:tc>
        <w:tc>
          <w:tcPr/>
          <w:p>
            <w:pPr>
              <w:pStyle w:val="Compact"/>
              <w:jc w:val="left"/>
            </w:pPr>
            <w:r>
              <w:t xml:space="preserve">—</w:t>
            </w:r>
          </w:p>
        </w:tc>
        <w:tc>
          <w:tcPr/>
          <w:p>
            <w:pPr>
              <w:pStyle w:val="Compact"/>
              <w:jc w:val="left"/>
            </w:pPr>
            <w:r>
              <w:t xml:space="preserve">Confirm via pedestrian-route measurement (see D-4).</w:t>
            </w:r>
          </w:p>
        </w:tc>
      </w:tr>
      <w:tr>
        <w:tc>
          <w:tcPr/>
          <w:p>
            <w:pPr>
              <w:pStyle w:val="Compact"/>
              <w:jc w:val="left"/>
            </w:pPr>
            <w:r>
              <w:t xml:space="preserve">D-4</w:t>
            </w:r>
          </w:p>
        </w:tc>
        <w:tc>
          <w:tcPr/>
          <w:p>
            <w:pPr>
              <w:pStyle w:val="Compact"/>
              <w:jc w:val="left"/>
            </w:pPr>
            <w:r>
              <w:t xml:space="preserve">Buffer measurement methodology — property-line to property-line (§9-5-9(C)) vs. </w:t>
            </w:r>
            <w:r>
              <w:t xml:space="preserve">“</w:t>
            </w:r>
            <w:r>
              <w:t xml:space="preserve">nearest pedestrian route</w:t>
            </w:r>
            <w:r>
              <w:t xml:space="preserve">”</w:t>
            </w:r>
            <w:r>
              <w:t xml:space="preserve"> </w:t>
            </w:r>
            <w:r>
              <w:t xml:space="preserve">(Form Q6/Q7)</w:t>
            </w:r>
          </w:p>
        </w:tc>
        <w:tc>
          <w:tcPr/>
          <w:p>
            <w:pPr>
              <w:pStyle w:val="Compact"/>
              <w:jc w:val="left"/>
            </w:pPr>
            <w:r>
              <w:t xml:space="preserve">Meridian survey (IPLS #035-004728) uses straight-line (Euclidean) measurement; Form requires pedestrian-route and states straight-line</w:t>
            </w:r>
            <w:r>
              <w:t xml:space="preserve"> </w:t>
            </w:r>
            <w:r>
              <w:t xml:space="preserve">“</w:t>
            </w:r>
            <w:r>
              <w:t xml:space="preserve">are not acceptable</w:t>
            </w:r>
            <w:r>
              <w:t xml:space="preserve">”</w:t>
            </w:r>
          </w:p>
        </w:tc>
        <w:tc>
          <w:tcPr/>
          <w:p>
            <w:pPr>
              <w:pStyle w:val="Compact"/>
              <w:jc w:val="left"/>
            </w:pPr>
            <w:r>
              <w:t xml:space="preserve">NON-COMPLIANT</w:t>
            </w:r>
          </w:p>
        </w:tc>
        <w:tc>
          <w:tcPr/>
          <w:p>
            <w:pPr>
              <w:pStyle w:val="Compact"/>
              <w:jc w:val="left"/>
            </w:pPr>
            <w:r>
              <w:t xml:space="preserve">MAJOR</w:t>
            </w:r>
          </w:p>
        </w:tc>
        <w:tc>
          <w:tcPr/>
          <w:p>
            <w:pPr>
              <w:pStyle w:val="Compact"/>
              <w:jc w:val="left"/>
            </w:pPr>
            <w:r>
              <w:t xml:space="preserve">Have the surveyor produce a pedestrian-route measurement (following sidewalks/crosswalks) for each sensitive use. Because pedestrian distance ≥ straight-line distance, substantive compliance is preserved, but the submission methodology must conform to the Form. Note the Ordinance/Form conflict in Part B.</w:t>
            </w:r>
          </w:p>
        </w:tc>
      </w:tr>
      <w:tr>
        <w:tc>
          <w:tcPr/>
          <w:p>
            <w:pPr>
              <w:pStyle w:val="Compact"/>
              <w:jc w:val="left"/>
            </w:pPr>
            <w:r>
              <w:t xml:space="preserve">D-5</w:t>
            </w:r>
          </w:p>
        </w:tc>
        <w:tc>
          <w:tcPr/>
          <w:p>
            <w:pPr>
              <w:pStyle w:val="Compact"/>
              <w:jc w:val="left"/>
            </w:pPr>
            <w:r>
              <w:t xml:space="preserve">Survey/map dated within 60 days of submission (Form Q6 note)</w:t>
            </w:r>
          </w:p>
        </w:tc>
        <w:tc>
          <w:tcPr/>
          <w:p>
            <w:pPr>
              <w:pStyle w:val="Compact"/>
              <w:jc w:val="left"/>
            </w:pPr>
            <w:r>
              <w:t xml:space="preserve">Survey dated Dec. 15, 2023; ~5 months before the May 15, 2024 target</w:t>
            </w:r>
          </w:p>
        </w:tc>
        <w:tc>
          <w:tcPr/>
          <w:p>
            <w:pPr>
              <w:pStyle w:val="Compact"/>
              <w:jc w:val="left"/>
            </w:pPr>
            <w:r>
              <w:t xml:space="preserve">NON-COMPLIANT</w:t>
            </w:r>
          </w:p>
        </w:tc>
        <w:tc>
          <w:tcPr/>
          <w:p>
            <w:pPr>
              <w:pStyle w:val="Compact"/>
              <w:jc w:val="left"/>
            </w:pPr>
            <w:r>
              <w:t xml:space="preserve">MAJOR</w:t>
            </w:r>
          </w:p>
        </w:tc>
        <w:tc>
          <w:tcPr/>
          <w:p>
            <w:pPr>
              <w:pStyle w:val="Compact"/>
              <w:jc w:val="left"/>
            </w:pPr>
            <w:r>
              <w:t xml:space="preserve">Obtain a refreshed survey/certified map dated within 60 days of the actual submission date.</w:t>
            </w:r>
          </w:p>
        </w:tc>
      </w:tr>
      <w:tr>
        <w:tc>
          <w:tcPr/>
          <w:p>
            <w:pPr>
              <w:pStyle w:val="Compact"/>
              <w:jc w:val="left"/>
            </w:pPr>
            <w:r>
              <w:t xml:space="preserve">D-6</w:t>
            </w:r>
          </w:p>
        </w:tc>
        <w:tc>
          <w:tcPr/>
          <w:p>
            <w:pPr>
              <w:pStyle w:val="Compact"/>
              <w:jc w:val="left"/>
            </w:pPr>
            <w:r>
              <w:t xml:space="preserve">Identify each sensitive use by name and address and state measured distance (Guide Item 8)</w:t>
            </w:r>
          </w:p>
        </w:tc>
        <w:tc>
          <w:tcPr/>
          <w:p>
            <w:pPr>
              <w:pStyle w:val="Compact"/>
              <w:jc w:val="left"/>
            </w:pPr>
            <w:r>
              <w:t xml:space="preserve">Names, addresses, and distances provided for school, daycare, dispensary, and (informationally) a church</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Carry forward into the pedestrian-route survey.</w:t>
            </w:r>
          </w:p>
        </w:tc>
      </w:tr>
      <w:tr>
        <w:tc>
          <w:tcPr/>
          <w:p>
            <w:pPr>
              <w:pStyle w:val="Compact"/>
              <w:jc w:val="left"/>
            </w:pPr>
            <w:r>
              <w:t xml:space="preserve">D-7</w:t>
            </w:r>
          </w:p>
        </w:tc>
        <w:tc>
          <w:tcPr/>
          <w:p>
            <w:pPr>
              <w:pStyle w:val="Compact"/>
              <w:jc w:val="left"/>
            </w:pPr>
            <w:r>
              <w:t xml:space="preserve">Buffer for other sensitive uses within 500 ft — parks, libraries, residential treatment facilities (Form Q8)</w:t>
            </w:r>
          </w:p>
        </w:tc>
        <w:tc>
          <w:tcPr/>
          <w:p>
            <w:pPr>
              <w:pStyle w:val="Compact"/>
              <w:jc w:val="left"/>
            </w:pPr>
            <w:r>
              <w:t xml:space="preserve">Not addressed in package</w:t>
            </w:r>
          </w:p>
        </w:tc>
        <w:tc>
          <w:tcPr/>
          <w:p>
            <w:pPr>
              <w:pStyle w:val="Compact"/>
              <w:jc w:val="left"/>
            </w:pPr>
            <w:r>
              <w:t xml:space="preserve">DATA GAP</w:t>
            </w:r>
          </w:p>
        </w:tc>
        <w:tc>
          <w:tcPr/>
          <w:p>
            <w:pPr>
              <w:pStyle w:val="Compact"/>
              <w:jc w:val="left"/>
            </w:pPr>
            <w:r>
              <w:t xml:space="preserve">MINOR</w:t>
            </w:r>
          </w:p>
        </w:tc>
        <w:tc>
          <w:tcPr/>
          <w:p>
            <w:pPr>
              <w:pStyle w:val="Compact"/>
              <w:jc w:val="left"/>
            </w:pPr>
            <w:r>
              <w:t xml:space="preserve">Complete Form Q8; confirm no park/library/residential-treatment facility within 500 ft (these are not Ordinance</w:t>
            </w:r>
            <w:r>
              <w:t xml:space="preserve"> </w:t>
            </w:r>
            <w:r>
              <w:t xml:space="preserve">“</w:t>
            </w:r>
            <w:r>
              <w:t xml:space="preserve">protected uses</w:t>
            </w:r>
            <w:r>
              <w:t xml:space="preserve">”</w:t>
            </w:r>
            <w:r>
              <w:t xml:space="preserve"> </w:t>
            </w:r>
            <w:r>
              <w:t xml:space="preserve">under §9-5-9(E), but the Form requests them).</w:t>
            </w:r>
          </w:p>
        </w:tc>
      </w:tr>
    </w:tbl>
    <w:bookmarkEnd w:id="27"/>
    <w:bookmarkStart w:id="28" w:name="group-e-operational-plans"/>
    <w:p>
      <w:pPr>
        <w:pStyle w:val="Heading3"/>
      </w:pPr>
      <w:r>
        <w:t xml:space="preserve">Group E — Operational Plans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E-1</w:t>
            </w:r>
          </w:p>
        </w:tc>
        <w:tc>
          <w:tcPr/>
          <w:p>
            <w:pPr>
              <w:pStyle w:val="Compact"/>
              <w:jc w:val="left"/>
            </w:pPr>
            <w:r>
              <w:t xml:space="preserve">Business plan: market analysis, ≥3-yr projections, staffing model (FT/PT), org chart, operational plan (§9-5-5(B)(8); Guide Item 11)</w:t>
            </w:r>
          </w:p>
        </w:tc>
        <w:tc>
          <w:tcPr/>
          <w:p>
            <w:pPr>
              <w:pStyle w:val="Compact"/>
              <w:jc w:val="left"/>
            </w:pPr>
            <w:r>
              <w:t xml:space="preserve">Comprehensive business plan provided: market analysis, 3-yr (and 5-yr) projections, 12-FTE staffing model, org chart, operations plan, COMPASS integration, customer flow, 40-hr training program</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Clarify FT vs. PT split (plan states 12 FTEs; Form Q13 asks for both).</w:t>
            </w:r>
          </w:p>
        </w:tc>
      </w:tr>
      <w:tr>
        <w:tc>
          <w:tcPr/>
          <w:p>
            <w:pPr>
              <w:pStyle w:val="Compact"/>
              <w:jc w:val="left"/>
            </w:pPr>
            <w:r>
              <w:t xml:space="preserve">E-2</w:t>
            </w:r>
          </w:p>
        </w:tc>
        <w:tc>
          <w:tcPr/>
          <w:p>
            <w:pPr>
              <w:pStyle w:val="Compact"/>
              <w:jc w:val="left"/>
            </w:pPr>
            <w:r>
              <w:t xml:space="preserve">Security plan: 24/7 1080p surveillance, 30-day retention, camera coverage, panic alarm to EPD, secure vestibule, access control, cash handling, employee training (§9-5-5(B)(9), §9-5-13; Guide Item 9)</w:t>
            </w:r>
          </w:p>
        </w:tc>
        <w:tc>
          <w:tcPr/>
          <w:p>
            <w:pPr>
              <w:pStyle w:val="Compact"/>
              <w:jc w:val="left"/>
            </w:pPr>
            <w:r>
              <w:t xml:space="preserve">Business plan §5.3 overview by Pinnacle Compliance Advisors (Marcus Wren); full plan</w:t>
            </w:r>
            <w:r>
              <w:t xml:space="preserve"> </w:t>
            </w:r>
            <w:r>
              <w:t xml:space="preserve">“</w:t>
            </w:r>
            <w:r>
              <w:t xml:space="preserve">submitted separately</w:t>
            </w:r>
            <w:r>
              <w:t xml:space="preserve">”</w:t>
            </w:r>
            <w:r>
              <w:t xml:space="preserve"> </w:t>
            </w:r>
            <w:r>
              <w:t xml:space="preserve">— not in package</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the complete security plan with camera-placement map, equipment models, emergency-response protocols, and the consultant’s qualifications. Confirm coverage of</w:t>
            </w:r>
            <w:r>
              <w:t xml:space="preserve"> </w:t>
            </w:r>
            <w:r>
              <w:t xml:space="preserve">“</w:t>
            </w:r>
            <w:r>
              <w:t xml:space="preserve">any alleyways immediately adjacent to the premises</w:t>
            </w:r>
            <w:r>
              <w:t xml:space="preserve">”</w:t>
            </w:r>
            <w:r>
              <w:t xml:space="preserve"> </w:t>
            </w:r>
            <w:r>
              <w:t xml:space="preserve">(§9-5-13(A)) — a service alley runs along the northern boundary — and quarterly panic-alarm testing with written records (§9-5-13(B)).</w:t>
            </w:r>
          </w:p>
        </w:tc>
      </w:tr>
      <w:tr>
        <w:tc>
          <w:tcPr/>
          <w:p>
            <w:pPr>
              <w:pStyle w:val="Compact"/>
              <w:jc w:val="left"/>
            </w:pPr>
            <w:r>
              <w:t xml:space="preserve">E-3</w:t>
            </w:r>
          </w:p>
        </w:tc>
        <w:tc>
          <w:tcPr/>
          <w:p>
            <w:pPr>
              <w:pStyle w:val="Compact"/>
              <w:jc w:val="left"/>
            </w:pPr>
            <w:r>
              <w:t xml:space="preserve">Odor mitigation plan with HVAC specs, carbon filtration details, air-exchange rates, and P.E. certification (§9-5-5(B)(10), §9-5-13(G); Guide Item 10; Form Q16)</w:t>
            </w:r>
          </w:p>
        </w:tc>
        <w:tc>
          <w:tcPr/>
          <w:p>
            <w:pPr>
              <w:pStyle w:val="Compact"/>
              <w:jc w:val="left"/>
            </w:pPr>
            <w:r>
              <w:t xml:space="preserve">Business plan §5.4 describes system conceptually; states specs</w:t>
            </w:r>
            <w:r>
              <w:t xml:space="preserve"> </w:t>
            </w:r>
            <w:r>
              <w:t xml:space="preserve">“</w:t>
            </w:r>
            <w:r>
              <w:t xml:space="preserve">will be finalized during the build-out engineering phase</w:t>
            </w:r>
            <w:r>
              <w:t xml:space="preserve">”</w:t>
            </w:r>
            <w:r>
              <w:t xml:space="preserve">; no manufacturer/model/capacity; no P.E. certification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Finalize HVAC and carbon-filtration specifications and obtain the signed/sealed Illinois P.E. certification</w:t>
            </w:r>
            <w:r>
              <w:t xml:space="preserve"> </w:t>
            </w:r>
            <w:r>
              <w:rPr>
                <w:i/>
                <w:iCs/>
              </w:rPr>
              <w:t xml:space="preserve">before submission</w:t>
            </w:r>
            <w:r>
              <w:t xml:space="preserve">. The Form states an application without the P.E. certification</w:t>
            </w:r>
            <w:r>
              <w:t xml:space="preserve"> </w:t>
            </w:r>
            <w:r>
              <w:t xml:space="preserve">“</w:t>
            </w:r>
            <w:r>
              <w:t xml:space="preserve">will be deemed incomplete and will not proceed to scoring.</w:t>
            </w:r>
            <w:r>
              <w:t xml:space="preserve">”</w:t>
            </w:r>
            <w:r>
              <w:t xml:space="preserve"> </w:t>
            </w:r>
            <w:r>
              <w:t xml:space="preserve">This is non-waivable in substance.</w:t>
            </w:r>
          </w:p>
        </w:tc>
      </w:tr>
      <w:tr>
        <w:tc>
          <w:tcPr/>
          <w:p>
            <w:pPr>
              <w:pStyle w:val="Compact"/>
              <w:jc w:val="left"/>
            </w:pPr>
            <w:r>
              <w:t xml:space="preserve">E-4</w:t>
            </w:r>
          </w:p>
        </w:tc>
        <w:tc>
          <w:tcPr/>
          <w:p>
            <w:pPr>
              <w:pStyle w:val="Compact"/>
              <w:jc w:val="left"/>
            </w:pPr>
            <w:r>
              <w:t xml:space="preserve">Environmental sustainability plan: energy efficiency, waste reduction, water conservation, cannabis-waste disposal per IEPA/CRTA (§9-5-5(B)(11); Guide Item 15)</w:t>
            </w:r>
          </w:p>
        </w:tc>
        <w:tc>
          <w:tcPr/>
          <w:p>
            <w:pPr>
              <w:pStyle w:val="Compact"/>
              <w:jc w:val="left"/>
            </w:pPr>
            <w:r>
              <w:t xml:space="preserve">No standalone plan in package; Form Q33 blank; business plan touches on waste/LED only in passing</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Prepare and attach a standalone Environmental Sustainability Plan covering all four required elements.</w:t>
            </w:r>
          </w:p>
        </w:tc>
      </w:tr>
      <w:tr>
        <w:tc>
          <w:tcPr/>
          <w:p>
            <w:pPr>
              <w:pStyle w:val="Compact"/>
              <w:jc w:val="left"/>
            </w:pPr>
            <w:r>
              <w:t xml:space="preserve">E-5</w:t>
            </w:r>
          </w:p>
        </w:tc>
        <w:tc>
          <w:tcPr/>
          <w:p>
            <w:pPr>
              <w:pStyle w:val="Compact"/>
              <w:jc w:val="left"/>
            </w:pPr>
            <w:r>
              <w:t xml:space="preserve">Waste disposal plan (§9-5-13(H); Form Q17)</w:t>
            </w:r>
          </w:p>
        </w:tc>
        <w:tc>
          <w:tcPr/>
          <w:p>
            <w:pPr>
              <w:pStyle w:val="Compact"/>
              <w:jc w:val="left"/>
            </w:pPr>
            <w:r>
              <w:t xml:space="preserve">Business plan §5.4 describes waste handling generally; no standalone exhibit; Form Q17 blank</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a standalone waste disposal plan (rendering unusable/unrecognizable, recordkeeping, third-party vendor identity, 5-yr retention).</w:t>
            </w:r>
          </w:p>
        </w:tc>
      </w:tr>
      <w:tr>
        <w:tc>
          <w:tcPr/>
          <w:p>
            <w:pPr>
              <w:pStyle w:val="Compact"/>
              <w:jc w:val="left"/>
            </w:pPr>
            <w:r>
              <w:t xml:space="preserve">E-6</w:t>
            </w:r>
          </w:p>
        </w:tc>
        <w:tc>
          <w:tcPr/>
          <w:p>
            <w:pPr>
              <w:pStyle w:val="Compact"/>
              <w:jc w:val="left"/>
            </w:pPr>
            <w:r>
              <w:t xml:space="preserve">Seed-to-sale tracking integrated with COMPASS; vendor confirmation letter (§9-5-13(D); Form Q14)</w:t>
            </w:r>
          </w:p>
        </w:tc>
        <w:tc>
          <w:tcPr/>
          <w:p>
            <w:pPr>
              <w:pStyle w:val="Compact"/>
              <w:jc w:val="left"/>
            </w:pPr>
            <w:r>
              <w:t xml:space="preserve">Business plan §5.2 describes COMPASS integration by Pinnacle; lease §8 references</w:t>
            </w:r>
            <w:r>
              <w:t xml:space="preserve"> </w:t>
            </w:r>
            <w:r>
              <w:t xml:space="preserve">“</w:t>
            </w:r>
            <w:r>
              <w:t xml:space="preserve">BioTrack or successor</w:t>
            </w:r>
            <w:r>
              <w:t xml:space="preserve">”</w:t>
            </w:r>
            <w:r>
              <w:t xml:space="preserve">; no named system in business plan; no vendor confirmation letter</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Name the tracking system/vendor consistently and attach the vendor’s COMPASS-integration confirmation letter.</w:t>
            </w:r>
          </w:p>
        </w:tc>
      </w:tr>
      <w:tr>
        <w:tc>
          <w:tcPr/>
          <w:p>
            <w:pPr>
              <w:pStyle w:val="Compact"/>
              <w:jc w:val="left"/>
            </w:pPr>
            <w:r>
              <w:t xml:space="preserve">E-7</w:t>
            </w:r>
          </w:p>
        </w:tc>
        <w:tc>
          <w:tcPr/>
          <w:p>
            <w:pPr>
              <w:pStyle w:val="Compact"/>
              <w:jc w:val="left"/>
            </w:pPr>
            <w:r>
              <w:t xml:space="preserve">Operating hours 6:00 AM–10:00 PM daily (§9-5-13(F); Form Q11)</w:t>
            </w:r>
          </w:p>
        </w:tc>
        <w:tc>
          <w:tcPr/>
          <w:p>
            <w:pPr>
              <w:pStyle w:val="Compact"/>
              <w:jc w:val="left"/>
            </w:pPr>
            <w:r>
              <w:t xml:space="preserve">Business plan: 6:00 AM–10:00 PM daily</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 (Note Form Q11 mis-cites</w:t>
            </w:r>
            <w:r>
              <w:t xml:space="preserve"> </w:t>
            </w:r>
            <w:r>
              <w:t xml:space="preserve">“</w:t>
            </w:r>
            <w:r>
              <w:t xml:space="preserve">§9-5-17</w:t>
            </w:r>
            <w:r>
              <w:t xml:space="preserve">”</w:t>
            </w:r>
            <w:r>
              <w:t xml:space="preserve"> </w:t>
            </w:r>
            <w:r>
              <w:t xml:space="preserve">— see Part B.)</w:t>
            </w:r>
          </w:p>
        </w:tc>
      </w:tr>
      <w:tr>
        <w:tc>
          <w:tcPr/>
          <w:p>
            <w:pPr>
              <w:pStyle w:val="Compact"/>
              <w:jc w:val="left"/>
            </w:pPr>
            <w:r>
              <w:t xml:space="preserve">E-8</w:t>
            </w:r>
          </w:p>
        </w:tc>
        <w:tc>
          <w:tcPr/>
          <w:p>
            <w:pPr>
              <w:pStyle w:val="Compact"/>
              <w:jc w:val="left"/>
            </w:pPr>
            <w:r>
              <w:t xml:space="preserve">Maximum customer occupancy: 1 per 40 sq ft of retail floor area (§9-5-13(J))</w:t>
            </w:r>
          </w:p>
        </w:tc>
        <w:tc>
          <w:tcPr/>
          <w:p>
            <w:pPr>
              <w:pStyle w:val="Compact"/>
              <w:jc w:val="left"/>
            </w:pPr>
            <w:r>
              <w:t xml:space="preserve">Business plan correctly computes 1,600 ÷ 40 = 40 customers</w:t>
            </w:r>
          </w:p>
        </w:tc>
        <w:tc>
          <w:tcPr/>
          <w:p>
            <w:pPr>
              <w:pStyle w:val="Compact"/>
              <w:jc w:val="left"/>
            </w:pPr>
            <w:r>
              <w:t xml:space="preserve">COMPLIANT (per Ordinance)</w:t>
            </w:r>
          </w:p>
        </w:tc>
        <w:tc>
          <w:tcPr/>
          <w:p>
            <w:pPr>
              <w:pStyle w:val="Compact"/>
              <w:jc w:val="left"/>
            </w:pPr>
            <w:r>
              <w:t xml:space="preserve">INFO</w:t>
            </w:r>
          </w:p>
        </w:tc>
        <w:tc>
          <w:tcPr/>
          <w:p>
            <w:pPr>
              <w:pStyle w:val="Compact"/>
              <w:jc w:val="left"/>
            </w:pPr>
            <w:r>
              <w:t xml:space="preserve">The Form’s formula uses total square footage (3,200 ÷ 40 = 80), which conflicts with the Ordinance. The applicant’s 40-customer figure is correct; do not adopt the Form’s 80. See Part B.</w:t>
            </w:r>
          </w:p>
        </w:tc>
      </w:tr>
      <w:tr>
        <w:tc>
          <w:tcPr/>
          <w:p>
            <w:pPr>
              <w:pStyle w:val="Compact"/>
              <w:jc w:val="left"/>
            </w:pPr>
            <w:r>
              <w:t xml:space="preserve">E-9</w:t>
            </w:r>
          </w:p>
        </w:tc>
        <w:tc>
          <w:tcPr/>
          <w:p>
            <w:pPr>
              <w:pStyle w:val="Compact"/>
              <w:jc w:val="left"/>
            </w:pPr>
            <w:r>
              <w:t xml:space="preserve">Agent-in-Charge designation; valid Agent ID Card or application pending; signed compliance statement (§9-5-13(I); Guide Item 19; Form Q13)</w:t>
            </w:r>
          </w:p>
        </w:tc>
        <w:tc>
          <w:tcPr/>
          <w:p>
            <w:pPr>
              <w:pStyle w:val="Compact"/>
              <w:jc w:val="left"/>
            </w:pPr>
            <w:r>
              <w:t xml:space="preserve">Okonkwo designated AIC; described as</w:t>
            </w:r>
            <w:r>
              <w:t xml:space="preserve"> </w:t>
            </w:r>
            <w:r>
              <w:t xml:space="preserve">“</w:t>
            </w:r>
            <w:r>
              <w:t xml:space="preserve">designated Agent-in-Charge</w:t>
            </w:r>
            <w:r>
              <w:t xml:space="preserve">”</w:t>
            </w:r>
            <w:r>
              <w:t xml:space="preserve"> </w:t>
            </w:r>
            <w:r>
              <w:t xml:space="preserve">on the State license; no proof of an Illinois Cannabis Dispensing Organization Agent ID Card; Form Q13 blank</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proof of Okonkwo’s Agent ID Card (or application-pending confirmation) and the signed compliance-acceptance statement. Note the Form’s</w:t>
            </w:r>
            <w:r>
              <w:t xml:space="preserve"> </w:t>
            </w:r>
            <w:r>
              <w:t xml:space="preserve">“</w:t>
            </w:r>
            <w:r>
              <w:t xml:space="preserve">available by telephone</w:t>
            </w:r>
            <w:r>
              <w:t xml:space="preserve">”</w:t>
            </w:r>
            <w:r>
              <w:t xml:space="preserve"> </w:t>
            </w:r>
            <w:r>
              <w:t xml:space="preserve">standard is less stringent than the Ordinance’s</w:t>
            </w:r>
            <w:r>
              <w:t xml:space="preserve"> </w:t>
            </w:r>
            <w:r>
              <w:t xml:space="preserve">“</w:t>
            </w:r>
            <w:r>
              <w:t xml:space="preserve">available to return within 30 minutes</w:t>
            </w:r>
            <w:r>
              <w:t xml:space="preserve">”</w:t>
            </w:r>
            <w:r>
              <w:t xml:space="preserve"> </w:t>
            </w:r>
            <w:r>
              <w:t xml:space="preserve">(§9-5-13(I)) — address the stricter standard.</w:t>
            </w:r>
          </w:p>
        </w:tc>
      </w:tr>
    </w:tbl>
    <w:bookmarkEnd w:id="28"/>
    <w:bookmarkStart w:id="29" w:name="group-f-community-engagement"/>
    <w:p>
      <w:pPr>
        <w:pStyle w:val="Heading3"/>
      </w:pPr>
      <w:r>
        <w:t xml:space="preserve">Group F — Community Engagement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F-1</w:t>
            </w:r>
          </w:p>
        </w:tc>
        <w:tc>
          <w:tcPr/>
          <w:p>
            <w:pPr>
              <w:pStyle w:val="Compact"/>
              <w:jc w:val="left"/>
            </w:pPr>
            <w:r>
              <w:t xml:space="preserve">Minimum two sessions within Evanston, before application submission (§9-5-8(A); Guide Item 12)</w:t>
            </w:r>
          </w:p>
        </w:tc>
        <w:tc>
          <w:tcPr/>
          <w:p>
            <w:pPr>
              <w:pStyle w:val="Compact"/>
              <w:jc w:val="left"/>
            </w:pPr>
            <w:r>
              <w:t xml:space="preserve">Two sessions held (Mar. 12 and Apr. 9, 2024) at Evanston Public Library, before the May 15 target</w:t>
            </w:r>
          </w:p>
        </w:tc>
        <w:tc>
          <w:tcPr/>
          <w:p>
            <w:pPr>
              <w:pStyle w:val="Compact"/>
              <w:jc w:val="left"/>
            </w:pPr>
            <w:r>
              <w:t xml:space="preserve">COMPLIANT (as to count/timing/location)</w:t>
            </w:r>
          </w:p>
        </w:tc>
        <w:tc>
          <w:tcPr/>
          <w:p>
            <w:pPr>
              <w:pStyle w:val="Compact"/>
              <w:jc w:val="left"/>
            </w:pPr>
            <w:r>
              <w:t xml:space="preserve">—</w:t>
            </w:r>
          </w:p>
        </w:tc>
        <w:tc>
          <w:tcPr/>
          <w:p>
            <w:pPr>
              <w:pStyle w:val="Compact"/>
              <w:jc w:val="left"/>
            </w:pPr>
            <w:r>
              <w:t xml:space="preserve">Subject to F-3.</w:t>
            </w:r>
          </w:p>
        </w:tc>
      </w:tr>
      <w:tr>
        <w:tc>
          <w:tcPr/>
          <w:p>
            <w:pPr>
              <w:pStyle w:val="Compact"/>
              <w:jc w:val="left"/>
            </w:pPr>
            <w:r>
              <w:t xml:space="preserve">F-2</w:t>
            </w:r>
          </w:p>
        </w:tc>
        <w:tc>
          <w:tcPr/>
          <w:p>
            <w:pPr>
              <w:pStyle w:val="Compact"/>
              <w:jc w:val="left"/>
            </w:pPr>
            <w:r>
              <w:t xml:space="preserve">Session 1 notice: ≥14 calendar days; newspaper + City website (§9-5-8(B))</w:t>
            </w:r>
          </w:p>
        </w:tc>
        <w:tc>
          <w:tcPr/>
          <w:p>
            <w:pPr>
              <w:pStyle w:val="Compact"/>
              <w:jc w:val="left"/>
            </w:pPr>
            <w:r>
              <w:t xml:space="preserve">Published Feb. 25, 2024 → 15 days before Mar. 12, 2024; posted on City website</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F-3</w:t>
            </w:r>
          </w:p>
        </w:tc>
        <w:tc>
          <w:tcPr/>
          <w:p>
            <w:pPr>
              <w:pStyle w:val="Compact"/>
              <w:jc w:val="left"/>
            </w:pPr>
            <w:r>
              <w:t xml:space="preserve">Session 2 notice: ≥14 calendar days; newspaper + City website (§9-5-8(B))</w:t>
            </w:r>
          </w:p>
        </w:tc>
        <w:tc>
          <w:tcPr/>
          <w:p>
            <w:pPr>
              <w:pStyle w:val="Compact"/>
              <w:jc w:val="left"/>
            </w:pPr>
            <w:r>
              <w:t xml:space="preserve">Published Mar. 28, 2024 → 12 days before Apr. 9, 2024; report itself states</w:t>
            </w:r>
            <w:r>
              <w:t xml:space="preserve"> </w:t>
            </w:r>
            <w:r>
              <w:t xml:space="preserve">“</w:t>
            </w:r>
            <w:r>
              <w:t xml:space="preserve">12 days</w:t>
            </w:r>
            <w:r>
              <w:t xml:space="preserve">”</w:t>
            </w:r>
            <w:r>
              <w:t xml:space="preserve"> </w:t>
            </w:r>
            <w:r>
              <w:t xml:space="preserve">and omits the compliance attestation given for Session 1</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Under §9-5-8(F), non-compliance with notice renders the application incomplete and requires an additional, fully-noticed session; the two-session minimum is non-waivable. Hold a third session with ≥14-day newspaper + website notice before submission, and document it fully.</w:t>
            </w:r>
          </w:p>
        </w:tc>
      </w:tr>
      <w:tr>
        <w:tc>
          <w:tcPr/>
          <w:p>
            <w:pPr>
              <w:pStyle w:val="Compact"/>
              <w:jc w:val="left"/>
            </w:pPr>
            <w:r>
              <w:t xml:space="preserve">F-4</w:t>
            </w:r>
          </w:p>
        </w:tc>
        <w:tc>
          <w:tcPr/>
          <w:p>
            <w:pPr>
              <w:pStyle w:val="Compact"/>
              <w:jc w:val="left"/>
            </w:pPr>
            <w:r>
              <w:t xml:space="preserve">Notice content: applicant name, address, date/time/location (with venue), description of use (adult-use/medical/both), and contact info including telephone AND email (§9-5-8(C))</w:t>
            </w:r>
          </w:p>
        </w:tc>
        <w:tc>
          <w:tcPr/>
          <w:p>
            <w:pPr>
              <w:pStyle w:val="Compact"/>
              <w:jc w:val="left"/>
            </w:pPr>
            <w:r>
              <w:t xml:space="preserve">Published notices (Exhibit C) include name, address, date/time/venue, and an email only — no telephone number; description says</w:t>
            </w:r>
            <w:r>
              <w:t xml:space="preserve"> </w:t>
            </w:r>
            <w:r>
              <w:t xml:space="preserve">“</w:t>
            </w:r>
            <w:r>
              <w:t xml:space="preserve">adult-use</w:t>
            </w:r>
            <w:r>
              <w:t xml:space="preserve">”</w:t>
            </w:r>
            <w:r>
              <w:t xml:space="preserve"> </w:t>
            </w:r>
            <w:r>
              <w:t xml:space="preserve">only, omitting medical</w:t>
            </w:r>
          </w:p>
        </w:tc>
        <w:tc>
          <w:tcPr/>
          <w:p>
            <w:pPr>
              <w:pStyle w:val="Compact"/>
              <w:jc w:val="left"/>
            </w:pPr>
            <w:r>
              <w:t xml:space="preserve">NON-COMPLIANT</w:t>
            </w:r>
          </w:p>
        </w:tc>
        <w:tc>
          <w:tcPr/>
          <w:p>
            <w:pPr>
              <w:pStyle w:val="Compact"/>
              <w:jc w:val="left"/>
            </w:pPr>
            <w:r>
              <w:t xml:space="preserve">MAJOR</w:t>
            </w:r>
          </w:p>
        </w:tc>
        <w:tc>
          <w:tcPr/>
          <w:p>
            <w:pPr>
              <w:pStyle w:val="Compact"/>
              <w:jc w:val="left"/>
            </w:pPr>
            <w:r>
              <w:t xml:space="preserve">Re-issue notices with a telephone number and an accurate use description. Reconcile the contact telephone (business plan (872) 555-0193 vs. insurance memo (847) 555-0193 — see Part B).</w:t>
            </w:r>
          </w:p>
        </w:tc>
      </w:tr>
      <w:tr>
        <w:tc>
          <w:tcPr/>
          <w:p>
            <w:pPr>
              <w:pStyle w:val="Compact"/>
              <w:jc w:val="left"/>
            </w:pPr>
            <w:r>
              <w:t xml:space="preserve">F-5</w:t>
            </w:r>
          </w:p>
        </w:tc>
        <w:tc>
          <w:tcPr/>
          <w:p>
            <w:pPr>
              <w:pStyle w:val="Compact"/>
              <w:jc w:val="left"/>
            </w:pPr>
            <w:r>
              <w:t xml:space="preserve">At least one session after 5:00 PM; presentation + dedicated public-comment period (§9-5-8(D))</w:t>
            </w:r>
          </w:p>
        </w:tc>
        <w:tc>
          <w:tcPr/>
          <w:p>
            <w:pPr>
              <w:pStyle w:val="Compact"/>
              <w:jc w:val="left"/>
            </w:pPr>
            <w:r>
              <w:t xml:space="preserve">Both sessions 6:30 PM with Q&amp;A periods</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F-6</w:t>
            </w:r>
          </w:p>
        </w:tc>
        <w:tc>
          <w:tcPr/>
          <w:p>
            <w:pPr>
              <w:pStyle w:val="Compact"/>
              <w:jc w:val="left"/>
            </w:pPr>
            <w:r>
              <w:t xml:space="preserve">Documentation: published notices w/ proof of publication; website-posting evidence; signed attendance sheets; written summary (date/time/location/duration, topics, questions, responses); written comments received (§9-5-8(E); Guide Item 12)</w:t>
            </w:r>
          </w:p>
        </w:tc>
        <w:tc>
          <w:tcPr/>
          <w:p>
            <w:pPr>
              <w:pStyle w:val="Compact"/>
              <w:jc w:val="left"/>
            </w:pPr>
            <w:r>
              <w:t xml:space="preserve">Notices (with page citations), attendance sheets (Exhibits A/B), and detailed summaries provided; website-posting email confirmations referenced but not attached; publisher’s affidavit not attached; written comments/correspondence not addressed</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the City website-posting confirmations, a publisher’s affidavit (or the published-notice copy), and a statement regarding any written comments received (or confirm none were received).</w:t>
            </w:r>
          </w:p>
        </w:tc>
      </w:tr>
      <w:tr>
        <w:tc>
          <w:tcPr/>
          <w:p>
            <w:pPr>
              <w:pStyle w:val="Compact"/>
              <w:jc w:val="left"/>
            </w:pPr>
            <w:r>
              <w:t xml:space="preserve">F-7</w:t>
            </w:r>
          </w:p>
        </w:tc>
        <w:tc>
          <w:tcPr/>
          <w:p>
            <w:pPr>
              <w:pStyle w:val="Compact"/>
              <w:jc w:val="left"/>
            </w:pPr>
            <w:r>
              <w:t xml:space="preserve">Notice content submitted to Coordinator ≥3 business days before posting date (§9-5-8(B)(2))</w:t>
            </w:r>
          </w:p>
        </w:tc>
        <w:tc>
          <w:tcPr/>
          <w:p>
            <w:pPr>
              <w:pStyle w:val="Compact"/>
              <w:jc w:val="left"/>
            </w:pPr>
            <w:r>
              <w:t xml:space="preserve">Not documented</w:t>
            </w:r>
          </w:p>
        </w:tc>
        <w:tc>
          <w:tcPr/>
          <w:p>
            <w:pPr>
              <w:pStyle w:val="Compact"/>
              <w:jc w:val="left"/>
            </w:pPr>
            <w:r>
              <w:t xml:space="preserve">DATA GAP</w:t>
            </w:r>
          </w:p>
        </w:tc>
        <w:tc>
          <w:tcPr/>
          <w:p>
            <w:pPr>
              <w:pStyle w:val="Compact"/>
              <w:jc w:val="left"/>
            </w:pPr>
            <w:r>
              <w:t xml:space="preserve">MINOR</w:t>
            </w:r>
          </w:p>
        </w:tc>
        <w:tc>
          <w:tcPr/>
          <w:p>
            <w:pPr>
              <w:pStyle w:val="Compact"/>
              <w:jc w:val="left"/>
            </w:pPr>
            <w:r>
              <w:t xml:space="preserve">Document the date notice content was submitted to the Coordinator for each session.</w:t>
            </w:r>
          </w:p>
        </w:tc>
      </w:tr>
      <w:tr>
        <w:tc>
          <w:tcPr/>
          <w:p>
            <w:pPr>
              <w:pStyle w:val="Compact"/>
              <w:jc w:val="left"/>
            </w:pPr>
            <w:r>
              <w:t xml:space="preserve">F-8</w:t>
            </w:r>
          </w:p>
        </w:tc>
        <w:tc>
          <w:tcPr/>
          <w:p>
            <w:pPr>
              <w:pStyle w:val="Compact"/>
              <w:jc w:val="left"/>
            </w:pPr>
            <w:r>
              <w:t xml:space="preserve">Form Q22 cites</w:t>
            </w:r>
            <w:r>
              <w:t xml:space="preserve"> </w:t>
            </w:r>
            <w:r>
              <w:t xml:space="preserve">“</w:t>
            </w:r>
            <w:r>
              <w:t xml:space="preserve">§9-5-15</w:t>
            </w:r>
            <w:r>
              <w:t xml:space="preserve">”</w:t>
            </w:r>
            <w:r>
              <w:t xml:space="preserve"> </w:t>
            </w:r>
            <w:r>
              <w:t xml:space="preserve">for community engagement</w:t>
            </w:r>
          </w:p>
        </w:tc>
        <w:tc>
          <w:tcPr/>
          <w:p>
            <w:pPr>
              <w:pStyle w:val="Compact"/>
              <w:jc w:val="left"/>
            </w:pPr>
            <w:r>
              <w:t xml:space="preserve">Form cross-reference is incorrect; community engagement is §9-5-8 (§9-5-15 is Community Benefit Contribution)</w:t>
            </w:r>
          </w:p>
        </w:tc>
        <w:tc>
          <w:tcPr/>
          <w:p>
            <w:pPr>
              <w:pStyle w:val="Compact"/>
              <w:jc w:val="left"/>
            </w:pPr>
            <w:r>
              <w:t xml:space="preserve">INFO</w:t>
            </w:r>
          </w:p>
        </w:tc>
        <w:tc>
          <w:tcPr/>
          <w:p>
            <w:pPr>
              <w:pStyle w:val="Compact"/>
              <w:jc w:val="left"/>
            </w:pPr>
            <w:r>
              <w:t xml:space="preserve">INFO</w:t>
            </w:r>
          </w:p>
        </w:tc>
        <w:tc>
          <w:tcPr/>
          <w:p>
            <w:pPr>
              <w:pStyle w:val="Compact"/>
              <w:jc w:val="left"/>
            </w:pPr>
            <w:r>
              <w:t xml:space="preserve">City-form error; note to Coordinator. Does not affect the applicant if §9-5-8 is satisfied.</w:t>
            </w:r>
          </w:p>
        </w:tc>
      </w:tr>
    </w:tbl>
    <w:bookmarkEnd w:id="29"/>
    <w:bookmarkStart w:id="30" w:name="X606ccaf4aec1501d6ee8e91a440cfc704c3560f"/>
    <w:p>
      <w:pPr>
        <w:pStyle w:val="Heading3"/>
      </w:pPr>
      <w:r>
        <w:t xml:space="preserve">Group G — Community Benefits, Diversity &amp; Social Equity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G-1</w:t>
            </w:r>
          </w:p>
        </w:tc>
        <w:tc>
          <w:tcPr/>
          <w:p>
            <w:pPr>
              <w:pStyle w:val="Compact"/>
              <w:jc w:val="left"/>
            </w:pPr>
            <w:r>
              <w:t xml:space="preserve">Community benefits plan: annual contribution = greater of $25,000 or 1% of gross annual revenue (§9-5-5(B)(12), §9-5-15; Guide Item 13)</w:t>
            </w:r>
          </w:p>
        </w:tc>
        <w:tc>
          <w:tcPr/>
          <w:p>
            <w:pPr>
              <w:pStyle w:val="Compact"/>
              <w:jc w:val="left"/>
            </w:pPr>
            <w:r>
              <w:t xml:space="preserve">Business plan §7.4: Year 1 $32,000 (1% of $3.2M &gt; $25,000); beneficiary categories described</w:t>
            </w:r>
          </w:p>
        </w:tc>
        <w:tc>
          <w:tcPr/>
          <w:p>
            <w:pPr>
              <w:pStyle w:val="Compact"/>
              <w:jc w:val="left"/>
            </w:pPr>
            <w:r>
              <w:t xml:space="preserve">COMPLIANT (substantively)</w:t>
            </w:r>
          </w:p>
        </w:tc>
        <w:tc>
          <w:tcPr/>
          <w:p>
            <w:pPr>
              <w:pStyle w:val="Compact"/>
              <w:jc w:val="left"/>
            </w:pPr>
            <w:r>
              <w:t xml:space="preserve">—</w:t>
            </w:r>
          </w:p>
        </w:tc>
        <w:tc>
          <w:tcPr/>
          <w:p>
            <w:pPr>
              <w:pStyle w:val="Compact"/>
              <w:jc w:val="left"/>
            </w:pPr>
            <w:r>
              <w:t xml:space="preserve">Provide as a standalone Community Benefits Plan exhibit (Form Q28) and identify specific beneficiary organizations/programs.</w:t>
            </w:r>
          </w:p>
        </w:tc>
      </w:tr>
      <w:tr>
        <w:tc>
          <w:tcPr/>
          <w:p>
            <w:pPr>
              <w:pStyle w:val="Compact"/>
              <w:jc w:val="left"/>
            </w:pPr>
            <w:r>
              <w:t xml:space="preserve">G-2</w:t>
            </w:r>
          </w:p>
        </w:tc>
        <w:tc>
          <w:tcPr/>
          <w:p>
            <w:pPr>
              <w:pStyle w:val="Compact"/>
              <w:jc w:val="left"/>
            </w:pPr>
            <w:r>
              <w:t xml:space="preserve">Diversity &amp; inclusion plan: hiring practices, measurable goals, vendor diversity, DEI training, metrics (§9-5-20(B); Guide Item 14)</w:t>
            </w:r>
          </w:p>
        </w:tc>
        <w:tc>
          <w:tcPr/>
          <w:p>
            <w:pPr>
              <w:pStyle w:val="Compact"/>
              <w:jc w:val="left"/>
            </w:pPr>
            <w:r>
              <w:t xml:space="preserve">Business plan §7.2/§7.5 covers workforce diversity, 50% R3 hiring, vendor diversity; no standalone 3–5 page plan in package; Form Q31/Q32 blank</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a standalone Diversity &amp; Inclusion Plan (3–5 pages) addressing all five §9-5-20(B) elements.</w:t>
            </w:r>
          </w:p>
        </w:tc>
      </w:tr>
      <w:tr>
        <w:tc>
          <w:tcPr/>
          <w:p>
            <w:pPr>
              <w:pStyle w:val="Compact"/>
              <w:jc w:val="left"/>
            </w:pPr>
            <w:r>
              <w:t xml:space="preserve">G-3</w:t>
            </w:r>
          </w:p>
        </w:tc>
        <w:tc>
          <w:tcPr/>
          <w:p>
            <w:pPr>
              <w:pStyle w:val="Compact"/>
              <w:jc w:val="left"/>
            </w:pPr>
            <w:r>
              <w:t xml:space="preserve">Social-equity hiring pipeline: specific workforce-development partners, recruitment methods, timeline, contingency plans (§9-5-20(C))</w:t>
            </w:r>
          </w:p>
        </w:tc>
        <w:tc>
          <w:tcPr/>
          <w:p>
            <w:pPr>
              <w:pStyle w:val="Compact"/>
              <w:jc w:val="left"/>
            </w:pPr>
            <w:r>
              <w:t xml:space="preserve">Business plan §7.2 expressly states partnerships</w:t>
            </w:r>
            <w:r>
              <w:t xml:space="preserve"> </w:t>
            </w:r>
            <w:r>
              <w:t xml:space="preserve">“</w:t>
            </w:r>
            <w:r>
              <w:t xml:space="preserve">have not yet been formalized</w:t>
            </w:r>
            <w:r>
              <w:t xml:space="preserve">”</w:t>
            </w:r>
            <w:r>
              <w:t xml:space="preserve"> </w:t>
            </w:r>
            <w:r>
              <w:t xml:space="preserve">and will be developed</w:t>
            </w:r>
            <w:r>
              <w:t xml:space="preserve"> </w:t>
            </w:r>
            <w:r>
              <w:t xml:space="preserve">“</w:t>
            </w:r>
            <w:r>
              <w:t xml:space="preserve">during the pre-opening phase</w:t>
            </w:r>
            <w:r>
              <w:t xml:space="preserve">”</w:t>
            </w:r>
            <w:r>
              <w:t xml:space="preserve">; no named partners, timeline, or contingency plan</w:t>
            </w:r>
          </w:p>
        </w:tc>
        <w:tc>
          <w:tcPr/>
          <w:p>
            <w:pPr>
              <w:pStyle w:val="Compact"/>
              <w:jc w:val="left"/>
            </w:pPr>
            <w:r>
              <w:t xml:space="preserve">NON-COMPLIANT</w:t>
            </w:r>
          </w:p>
        </w:tc>
        <w:tc>
          <w:tcPr/>
          <w:p>
            <w:pPr>
              <w:pStyle w:val="Compact"/>
              <w:jc w:val="left"/>
            </w:pPr>
            <w:r>
              <w:t xml:space="preserve">MAJOR</w:t>
            </w:r>
          </w:p>
        </w:tc>
        <w:tc>
          <w:tcPr/>
          <w:p>
            <w:pPr>
              <w:pStyle w:val="Compact"/>
              <w:jc w:val="left"/>
            </w:pPr>
            <w:r>
              <w:t xml:space="preserve">Identify specific named workforce-development partners, a recruitment timeline to reach the 50% threshold, and contingency plans. This is a required element for social-equity applicants and is scored (Diversity Plan, 25 pts).</w:t>
            </w:r>
          </w:p>
        </w:tc>
      </w:tr>
      <w:tr>
        <w:tc>
          <w:tcPr/>
          <w:p>
            <w:pPr>
              <w:pStyle w:val="Compact"/>
              <w:jc w:val="left"/>
            </w:pPr>
            <w:r>
              <w:t xml:space="preserve">G-4</w:t>
            </w:r>
          </w:p>
        </w:tc>
        <w:tc>
          <w:tcPr/>
          <w:p>
            <w:pPr>
              <w:pStyle w:val="Compact"/>
              <w:jc w:val="left"/>
            </w:pPr>
            <w:r>
              <w:t xml:space="preserve">Social-equity eligibility — R3 residency ≥24 months continuous immediately preceding application (§9-5-19(B)(1))</w:t>
            </w:r>
          </w:p>
        </w:tc>
        <w:tc>
          <w:tcPr/>
          <w:p>
            <w:pPr>
              <w:pStyle w:val="Compact"/>
              <w:jc w:val="left"/>
            </w:pPr>
            <w:r>
              <w:t xml:space="preserve">Okonkwo resides in tract 8092.02 (on the City’s R3 list, §9-5-19(G)); duration of residency not stated; Form Q20</w:t>
            </w:r>
            <w:r>
              <w:t xml:space="preserve"> </w:t>
            </w:r>
            <w:r>
              <w:t xml:space="preserve">“</w:t>
            </w:r>
            <w:r>
              <w:t xml:space="preserve">Duration of Residency</w:t>
            </w:r>
            <w:r>
              <w:t xml:space="preserve">”</w:t>
            </w:r>
            <w:r>
              <w:t xml:space="preserve"> </w:t>
            </w:r>
            <w:r>
              <w:t xml:space="preserve">blank</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Document ≥24 months continuous residency in tract 8092.02 (e.g., prior leases/utility bills over the period). The State license’s</w:t>
            </w:r>
            <w:r>
              <w:t xml:space="preserve"> </w:t>
            </w:r>
            <w:r>
              <w:t xml:space="preserve">“</w:t>
            </w:r>
            <w:r>
              <w:t xml:space="preserve">5 of 10 years in a DIA</w:t>
            </w:r>
            <w:r>
              <w:t xml:space="preserve">”</w:t>
            </w:r>
            <w:r>
              <w:t xml:space="preserve"> </w:t>
            </w:r>
            <w:r>
              <w:t xml:space="preserve">finding is a State criterion and does not by itself satisfy the City’s 24-month R3 requirement.</w:t>
            </w:r>
          </w:p>
        </w:tc>
      </w:tr>
      <w:tr>
        <w:tc>
          <w:tcPr/>
          <w:p>
            <w:pPr>
              <w:pStyle w:val="Compact"/>
              <w:jc w:val="left"/>
            </w:pPr>
            <w:r>
              <w:t xml:space="preserve">G-5</w:t>
            </w:r>
          </w:p>
        </w:tc>
        <w:tc>
          <w:tcPr/>
          <w:p>
            <w:pPr>
              <w:pStyle w:val="Compact"/>
              <w:jc w:val="left"/>
            </w:pPr>
            <w:r>
              <w:t xml:space="preserve">Social-equity eligibility — prior cannabis arrest/conviction expunged/sealed/pardoned (§9-5-19(B)(2))</w:t>
            </w:r>
          </w:p>
        </w:tc>
        <w:tc>
          <w:tcPr/>
          <w:p>
            <w:pPr>
              <w:pStyle w:val="Compact"/>
              <w:jc w:val="left"/>
            </w:pPr>
            <w:r>
              <w:t xml:space="preserve">Okonkwo’s 2016 misdemeanor possession, expunged 2020, described; expungement order/records not attached</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the expungement court order and supporting records (Guide Item 18(b)).</w:t>
            </w:r>
          </w:p>
        </w:tc>
      </w:tr>
      <w:tr>
        <w:tc>
          <w:tcPr/>
          <w:p>
            <w:pPr>
              <w:pStyle w:val="Compact"/>
              <w:jc w:val="left"/>
            </w:pPr>
            <w:r>
              <w:t xml:space="preserve">G-6</w:t>
            </w:r>
          </w:p>
        </w:tc>
        <w:tc>
          <w:tcPr/>
          <w:p>
            <w:pPr>
              <w:pStyle w:val="Compact"/>
              <w:jc w:val="left"/>
            </w:pPr>
            <w:r>
              <w:t xml:space="preserve">Social-equity ownership threshold — qualifying individual holds majority/≥51% (§9-5-19(B); Guide §2)</w:t>
            </w:r>
          </w:p>
        </w:tc>
        <w:tc>
          <w:tcPr/>
          <w:p>
            <w:pPr>
              <w:pStyle w:val="Compact"/>
              <w:jc w:val="left"/>
            </w:pPr>
            <w:r>
              <w:t xml:space="preserve">Okonkwo holds 60%</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G-7</w:t>
            </w:r>
          </w:p>
        </w:tc>
        <w:tc>
          <w:tcPr/>
          <w:p>
            <w:pPr>
              <w:pStyle w:val="Compact"/>
              <w:jc w:val="left"/>
            </w:pPr>
            <w:r>
              <w:t xml:space="preserve">Signed social-equity commitments: 50% R3 workforce; 2-yr mentorship (Guide Item 18(c),(d); Form Q21)</w:t>
            </w:r>
          </w:p>
        </w:tc>
        <w:tc>
          <w:tcPr/>
          <w:p>
            <w:pPr>
              <w:pStyle w:val="Compact"/>
              <w:jc w:val="left"/>
            </w:pPr>
            <w:r>
              <w:t xml:space="preserve">Business plan commits; Form Q21 signature block blank</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Execute the Form Q21 social-equity commitments (and the separate mentorship and 50%-hiring commitment letters).</w:t>
            </w:r>
          </w:p>
        </w:tc>
      </w:tr>
      <w:tr>
        <w:tc>
          <w:tcPr/>
          <w:p>
            <w:pPr>
              <w:pStyle w:val="Compact"/>
              <w:jc w:val="left"/>
            </w:pPr>
            <w:r>
              <w:t xml:space="preserve">G-8</w:t>
            </w:r>
          </w:p>
        </w:tc>
        <w:tc>
          <w:tcPr/>
          <w:p>
            <w:pPr>
              <w:pStyle w:val="Compact"/>
              <w:jc w:val="left"/>
            </w:pPr>
            <w:r>
              <w:t xml:space="preserve">R3 residency proof — two forms dated within 90 days (Form Q20)</w:t>
            </w:r>
          </w:p>
        </w:tc>
        <w:tc>
          <w:tcPr/>
          <w:p>
            <w:pPr>
              <w:pStyle w:val="Compact"/>
              <w:jc w:val="left"/>
            </w:pPr>
            <w:r>
              <w:t xml:space="preserve">Not in package</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Attach two forms of proof (utility bill, bank statement, lease, etc.) dated within 90 days, with census-tract verification.</w:t>
            </w:r>
          </w:p>
        </w:tc>
      </w:tr>
      <w:tr>
        <w:tc>
          <w:tcPr/>
          <w:p>
            <w:pPr>
              <w:pStyle w:val="Compact"/>
              <w:jc w:val="left"/>
            </w:pPr>
            <w:r>
              <w:t xml:space="preserve">G-9</w:t>
            </w:r>
          </w:p>
        </w:tc>
        <w:tc>
          <w:tcPr/>
          <w:p>
            <w:pPr>
              <w:pStyle w:val="Compact"/>
              <w:jc w:val="left"/>
            </w:pPr>
            <w:r>
              <w:t xml:space="preserve">Characterization of R3 as a</w:t>
            </w:r>
            <w:r>
              <w:t xml:space="preserve"> </w:t>
            </w:r>
            <w:r>
              <w:t xml:space="preserve">“</w:t>
            </w:r>
            <w:r>
              <w:t xml:space="preserve">State</w:t>
            </w:r>
            <w:r>
              <w:t xml:space="preserve">”</w:t>
            </w:r>
            <w:r>
              <w:t xml:space="preserve"> </w:t>
            </w:r>
            <w:r>
              <w:t xml:space="preserve">designation</w:t>
            </w:r>
          </w:p>
        </w:tc>
        <w:tc>
          <w:tcPr/>
          <w:p>
            <w:pPr>
              <w:pStyle w:val="Compact"/>
              <w:jc w:val="left"/>
            </w:pPr>
            <w:r>
              <w:t xml:space="preserve">Business plan §7.1 calls tract 8092.02</w:t>
            </w:r>
            <w:r>
              <w:t xml:space="preserve"> </w:t>
            </w:r>
            <w:r>
              <w:t xml:space="preserve">“</w:t>
            </w:r>
            <w:r>
              <w:t xml:space="preserve">designated by the State of Illinois as an R3 area</w:t>
            </w:r>
            <w:r>
              <w:t xml:space="preserve">”</w:t>
            </w:r>
            <w:r>
              <w:t xml:space="preserve">; R3 is a City designation (§9-5-19(G)); the State designates DIAs</w:t>
            </w:r>
          </w:p>
        </w:tc>
        <w:tc>
          <w:tcPr/>
          <w:p>
            <w:pPr>
              <w:pStyle w:val="Compact"/>
              <w:jc w:val="left"/>
            </w:pPr>
            <w:r>
              <w:t xml:space="preserve">PARTIALLY COMPLIANT</w:t>
            </w:r>
          </w:p>
        </w:tc>
        <w:tc>
          <w:tcPr/>
          <w:p>
            <w:pPr>
              <w:pStyle w:val="Compact"/>
              <w:jc w:val="left"/>
            </w:pPr>
            <w:r>
              <w:t xml:space="preserve">MINOR</w:t>
            </w:r>
          </w:p>
        </w:tc>
        <w:tc>
          <w:tcPr/>
          <w:p>
            <w:pPr>
              <w:pStyle w:val="Compact"/>
              <w:jc w:val="left"/>
            </w:pPr>
            <w:r>
              <w:t xml:space="preserve">Correct the characterization. Tract 8092.02 is on the City’s R3 list, so qualification holds; fix the descriptive error.</w:t>
            </w:r>
          </w:p>
        </w:tc>
      </w:tr>
    </w:tbl>
    <w:bookmarkEnd w:id="30"/>
    <w:bookmarkStart w:id="31" w:name="group-h-insurance"/>
    <w:p>
      <w:pPr>
        <w:pStyle w:val="Heading3"/>
      </w:pPr>
      <w:r>
        <w:t xml:space="preserve">Group H —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H-1</w:t>
            </w:r>
          </w:p>
        </w:tc>
        <w:tc>
          <w:tcPr/>
          <w:p>
            <w:pPr>
              <w:pStyle w:val="Compact"/>
              <w:jc w:val="left"/>
            </w:pPr>
            <w:r>
              <w:t xml:space="preserve">Commercial General Liability $2M occ / $4M agg (§9-5-16(A)(1); Guide Item 16)</w:t>
            </w:r>
          </w:p>
        </w:tc>
        <w:tc>
          <w:tcPr/>
          <w:p>
            <w:pPr>
              <w:pStyle w:val="Compact"/>
              <w:jc w:val="left"/>
            </w:pPr>
            <w:r>
              <w:t xml:space="preserve">Obtained; eff. Jan. 15, 2024; cannabis-operations endorsement; certificate available</w:t>
            </w:r>
          </w:p>
        </w:tc>
        <w:tc>
          <w:tcPr/>
          <w:p>
            <w:pPr>
              <w:pStyle w:val="Compact"/>
              <w:jc w:val="left"/>
            </w:pPr>
            <w:r>
              <w:t xml:space="preserve">COMPLIANT (limits)</w:t>
            </w:r>
          </w:p>
        </w:tc>
        <w:tc>
          <w:tcPr/>
          <w:p>
            <w:pPr>
              <w:pStyle w:val="Compact"/>
              <w:jc w:val="left"/>
            </w:pPr>
            <w:r>
              <w:t xml:space="preserve">—</w:t>
            </w:r>
          </w:p>
        </w:tc>
        <w:tc>
          <w:tcPr/>
          <w:p>
            <w:pPr>
              <w:pStyle w:val="Compact"/>
              <w:jc w:val="left"/>
            </w:pPr>
            <w:r>
              <w:t xml:space="preserve">Add City as additional insured (see H-6); state carrier name and AM Best rating (H-7).</w:t>
            </w:r>
          </w:p>
        </w:tc>
      </w:tr>
      <w:tr>
        <w:tc>
          <w:tcPr/>
          <w:p>
            <w:pPr>
              <w:pStyle w:val="Compact"/>
              <w:jc w:val="left"/>
            </w:pPr>
            <w:r>
              <w:t xml:space="preserve">H-2</w:t>
            </w:r>
          </w:p>
        </w:tc>
        <w:tc>
          <w:tcPr/>
          <w:p>
            <w:pPr>
              <w:pStyle w:val="Compact"/>
              <w:jc w:val="left"/>
            </w:pPr>
            <w:r>
              <w:t xml:space="preserve">Product Liability $2M occ / $4M agg (§9-5-16(A)(2))</w:t>
            </w:r>
          </w:p>
        </w:tc>
        <w:tc>
          <w:tcPr/>
          <w:p>
            <w:pPr>
              <w:pStyle w:val="Compact"/>
              <w:jc w:val="left"/>
            </w:pPr>
            <w:r>
              <w:t xml:space="preserve">Bundled with GL; same limits</w:t>
            </w:r>
          </w:p>
        </w:tc>
        <w:tc>
          <w:tcPr/>
          <w:p>
            <w:pPr>
              <w:pStyle w:val="Compact"/>
              <w:jc w:val="left"/>
            </w:pPr>
            <w:r>
              <w:t xml:space="preserve">COMPLIANT (limits)</w:t>
            </w:r>
          </w:p>
        </w:tc>
        <w:tc>
          <w:tcPr/>
          <w:p>
            <w:pPr>
              <w:pStyle w:val="Compact"/>
              <w:jc w:val="left"/>
            </w:pPr>
            <w:r>
              <w:t xml:space="preserve">—</w:t>
            </w:r>
          </w:p>
        </w:tc>
        <w:tc>
          <w:tcPr/>
          <w:p>
            <w:pPr>
              <w:pStyle w:val="Compact"/>
              <w:jc w:val="left"/>
            </w:pPr>
            <w:r>
              <w:t xml:space="preserve">Same as H-1.</w:t>
            </w:r>
          </w:p>
        </w:tc>
      </w:tr>
      <w:tr>
        <w:tc>
          <w:tcPr/>
          <w:p>
            <w:pPr>
              <w:pStyle w:val="Compact"/>
              <w:jc w:val="left"/>
            </w:pPr>
            <w:r>
              <w:t xml:space="preserve">H-3</w:t>
            </w:r>
          </w:p>
        </w:tc>
        <w:tc>
          <w:tcPr/>
          <w:p>
            <w:pPr>
              <w:pStyle w:val="Compact"/>
              <w:jc w:val="left"/>
            </w:pPr>
            <w:r>
              <w:t xml:space="preserve">Workers’ Compensation at statutory limits AND Employer’s Liability ≥$1M/accident (§9-5-16(A)(3))</w:t>
            </w:r>
          </w:p>
        </w:tc>
        <w:tc>
          <w:tcPr/>
          <w:p>
            <w:pPr>
              <w:pStyle w:val="Compact"/>
              <w:jc w:val="left"/>
            </w:pPr>
            <w:r>
              <w:t xml:space="preserve">Quoted; to be bound upon first hire; not in force; Employer’s Liability limit not stated (lease references $500K EL for the landlord’s requirement)</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Bind WC before any hire and before permit issuance; confirm Employer’s Liability at ≥$1M/accident (the lease’s $500K figure is below the City requirement). Provide a written procurement timeline for the application.</w:t>
            </w:r>
          </w:p>
        </w:tc>
      </w:tr>
      <w:tr>
        <w:tc>
          <w:tcPr/>
          <w:p>
            <w:pPr>
              <w:pStyle w:val="Compact"/>
              <w:jc w:val="left"/>
            </w:pPr>
            <w:r>
              <w:t xml:space="preserve">H-4</w:t>
            </w:r>
          </w:p>
        </w:tc>
        <w:tc>
          <w:tcPr/>
          <w:p>
            <w:pPr>
              <w:pStyle w:val="Compact"/>
              <w:jc w:val="left"/>
            </w:pPr>
            <w:r>
              <w:t xml:space="preserve">Cannabis-Specific Crime/Theft ≥$500,000 (§9-5-16(A)(4))</w:t>
            </w:r>
          </w:p>
        </w:tc>
        <w:tc>
          <w:tcPr/>
          <w:p>
            <w:pPr>
              <w:pStyle w:val="Compact"/>
              <w:jc w:val="left"/>
            </w:pPr>
            <w:r>
              <w:t xml:space="preserve">Under negotiation with Canopy Risk Underwriters; not bound; no binder/commitment letter; underwriting blocked pending the Pinnacle security plan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Prioritize finalizing the security plan to unblock Canopy underwriting; obtain at least a binding commitment letter/binder for the application, and bind the policy before permit issuance. Identify a contingency specialty carrier.</w:t>
            </w:r>
          </w:p>
        </w:tc>
      </w:tr>
      <w:tr>
        <w:tc>
          <w:tcPr/>
          <w:p>
            <w:pPr>
              <w:pStyle w:val="Compact"/>
              <w:jc w:val="left"/>
            </w:pPr>
            <w:r>
              <w:t xml:space="preserve">H-5</w:t>
            </w:r>
          </w:p>
        </w:tc>
        <w:tc>
          <w:tcPr/>
          <w:p>
            <w:pPr>
              <w:pStyle w:val="Compact"/>
              <w:jc w:val="left"/>
            </w:pPr>
            <w:r>
              <w:t xml:space="preserve">30-day written notice of cancellation/non-renewal/material change (§9-5-16(D))</w:t>
            </w:r>
          </w:p>
        </w:tc>
        <w:tc>
          <w:tcPr/>
          <w:p>
            <w:pPr>
              <w:pStyle w:val="Compact"/>
              <w:jc w:val="left"/>
            </w:pPr>
            <w:r>
              <w:t xml:space="preserve">Not addressed</w:t>
            </w:r>
          </w:p>
        </w:tc>
        <w:tc>
          <w:tcPr/>
          <w:p>
            <w:pPr>
              <w:pStyle w:val="Compact"/>
              <w:jc w:val="left"/>
            </w:pPr>
            <w:r>
              <w:t xml:space="preserve">DATA GAP</w:t>
            </w:r>
          </w:p>
        </w:tc>
        <w:tc>
          <w:tcPr/>
          <w:p>
            <w:pPr>
              <w:pStyle w:val="Compact"/>
              <w:jc w:val="left"/>
            </w:pPr>
            <w:r>
              <w:t xml:space="preserve">MINOR</w:t>
            </w:r>
          </w:p>
        </w:tc>
        <w:tc>
          <w:tcPr/>
          <w:p>
            <w:pPr>
              <w:pStyle w:val="Compact"/>
              <w:jc w:val="left"/>
            </w:pPr>
            <w:r>
              <w:t xml:space="preserve">Confirm the 30-day notice endorsement on all policies.</w:t>
            </w:r>
          </w:p>
        </w:tc>
      </w:tr>
      <w:tr>
        <w:tc>
          <w:tcPr/>
          <w:p>
            <w:pPr>
              <w:pStyle w:val="Compact"/>
              <w:jc w:val="left"/>
            </w:pPr>
            <w:r>
              <w:t xml:space="preserve">H-6</w:t>
            </w:r>
          </w:p>
        </w:tc>
        <w:tc>
          <w:tcPr/>
          <w:p>
            <w:pPr>
              <w:pStyle w:val="Compact"/>
              <w:jc w:val="left"/>
            </w:pPr>
            <w:r>
              <w:t xml:space="preserve">City named additional insured on CGL and Product Liability (§9-5-16(B); Guide Item 16)</w:t>
            </w:r>
          </w:p>
        </w:tc>
        <w:tc>
          <w:tcPr/>
          <w:p>
            <w:pPr>
              <w:pStyle w:val="Compact"/>
              <w:jc w:val="left"/>
            </w:pPr>
            <w:r>
              <w:t xml:space="preserve">GL/Product certificates</w:t>
            </w:r>
            <w:r>
              <w:t xml:space="preserve"> </w:t>
            </w:r>
            <w:r>
              <w:t xml:space="preserve">“</w:t>
            </w:r>
            <w:r>
              <w:t xml:space="preserve">can be endorsed… upon request</w:t>
            </w:r>
            <w:r>
              <w:t xml:space="preserve">”</w:t>
            </w:r>
            <w:r>
              <w:t xml:space="preserve">; not yet endorsed</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Obtain additional-insured endorsements naming the City on CGL and Product Liability before permit issuance (and include with the application if policies are in force).</w:t>
            </w:r>
          </w:p>
        </w:tc>
      </w:tr>
      <w:tr>
        <w:tc>
          <w:tcPr/>
          <w:p>
            <w:pPr>
              <w:pStyle w:val="Compact"/>
              <w:jc w:val="left"/>
            </w:pPr>
            <w:r>
              <w:t xml:space="preserve">H-7</w:t>
            </w:r>
          </w:p>
        </w:tc>
        <w:tc>
          <w:tcPr/>
          <w:p>
            <w:pPr>
              <w:pStyle w:val="Compact"/>
              <w:jc w:val="left"/>
            </w:pPr>
            <w:r>
              <w:t xml:space="preserve">Insurers authorized in IL and rated ≥A- by AM Best (§9-5-16(C))</w:t>
            </w:r>
          </w:p>
        </w:tc>
        <w:tc>
          <w:tcPr/>
          <w:p>
            <w:pPr>
              <w:pStyle w:val="Compact"/>
              <w:jc w:val="left"/>
            </w:pPr>
            <w:r>
              <w:t xml:space="preserve">Carrier names and AM Best ratings not stated</w:t>
            </w:r>
          </w:p>
        </w:tc>
        <w:tc>
          <w:tcPr/>
          <w:p>
            <w:pPr>
              <w:pStyle w:val="Compact"/>
              <w:jc w:val="left"/>
            </w:pPr>
            <w:r>
              <w:t xml:space="preserve">DATA GAP</w:t>
            </w:r>
          </w:p>
        </w:tc>
        <w:tc>
          <w:tcPr/>
          <w:p>
            <w:pPr>
              <w:pStyle w:val="Compact"/>
              <w:jc w:val="left"/>
            </w:pPr>
            <w:r>
              <w:t xml:space="preserve">MAJOR</w:t>
            </w:r>
          </w:p>
        </w:tc>
        <w:tc>
          <w:tcPr/>
          <w:p>
            <w:pPr>
              <w:pStyle w:val="Compact"/>
              <w:jc w:val="left"/>
            </w:pPr>
            <w:r>
              <w:t xml:space="preserve">State each carrier’s name, IL authorization, and AM Best rating (≥A-).</w:t>
            </w:r>
          </w:p>
        </w:tc>
      </w:tr>
      <w:tr>
        <w:tc>
          <w:tcPr/>
          <w:p>
            <w:pPr>
              <w:pStyle w:val="Compact"/>
              <w:jc w:val="left"/>
            </w:pPr>
            <w:r>
              <w:t xml:space="preserve">H-8</w:t>
            </w:r>
          </w:p>
        </w:tc>
        <w:tc>
          <w:tcPr/>
          <w:p>
            <w:pPr>
              <w:pStyle w:val="Compact"/>
              <w:jc w:val="left"/>
            </w:pPr>
            <w:r>
              <w:t xml:space="preserve">Lease CGL limit ($1M/$2M) below City requirement</w:t>
            </w:r>
          </w:p>
        </w:tc>
        <w:tc>
          <w:tcPr/>
          <w:p>
            <w:pPr>
              <w:pStyle w:val="Compact"/>
              <w:jc w:val="left"/>
            </w:pPr>
            <w:r>
              <w:t xml:space="preserve">Lease §7(a) requires only $1M/$2M CGL; lease summary notes tenant must carry the higher City limit</w:t>
            </w:r>
          </w:p>
        </w:tc>
        <w:tc>
          <w:tcPr/>
          <w:p>
            <w:pPr>
              <w:pStyle w:val="Compact"/>
              <w:jc w:val="left"/>
            </w:pPr>
            <w:r>
              <w:t xml:space="preserve">INFO</w:t>
            </w:r>
          </w:p>
        </w:tc>
        <w:tc>
          <w:tcPr/>
          <w:p>
            <w:pPr>
              <w:pStyle w:val="Compact"/>
              <w:jc w:val="left"/>
            </w:pPr>
            <w:r>
              <w:t xml:space="preserve">INFO</w:t>
            </w:r>
          </w:p>
        </w:tc>
        <w:tc>
          <w:tcPr/>
          <w:p>
            <w:pPr>
              <w:pStyle w:val="Compact"/>
              <w:jc w:val="left"/>
            </w:pPr>
            <w:r>
              <w:t xml:space="preserve">Confirm the GL policy is written at the City’s $2M/$4M level (it is); no action beyond maintaining the higher limit.</w:t>
            </w:r>
          </w:p>
        </w:tc>
      </w:tr>
    </w:tbl>
    <w:bookmarkEnd w:id="31"/>
    <w:bookmarkStart w:id="32" w:name="group-i-bonding-financial-viability"/>
    <w:p>
      <w:pPr>
        <w:pStyle w:val="Heading3"/>
      </w:pPr>
      <w:r>
        <w:t xml:space="preserve">Group I — Bonding &amp; Financial Viability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I-1</w:t>
            </w:r>
          </w:p>
        </w:tc>
        <w:tc>
          <w:tcPr/>
          <w:p>
            <w:pPr>
              <w:pStyle w:val="Compact"/>
              <w:jc w:val="left"/>
            </w:pPr>
            <w:r>
              <w:t xml:space="preserve">Evidence of bonding capacity / commitment letter at application (§9-5-5(B)(16); Guide Item 17; Form Q26)</w:t>
            </w:r>
          </w:p>
        </w:tc>
        <w:tc>
          <w:tcPr/>
          <w:p>
            <w:pPr>
              <w:pStyle w:val="Compact"/>
              <w:jc w:val="left"/>
            </w:pPr>
            <w:r>
              <w:t xml:space="preserve">Only</w:t>
            </w:r>
            <w:r>
              <w:t xml:space="preserve"> </w:t>
            </w:r>
            <w:r>
              <w:t xml:space="preserve">“</w:t>
            </w:r>
            <w:r>
              <w:t xml:space="preserve">preliminary inquiry</w:t>
            </w:r>
            <w:r>
              <w:t xml:space="preserve">”</w:t>
            </w:r>
            <w:r>
              <w:t xml:space="preserve"> </w:t>
            </w:r>
            <w:r>
              <w:t xml:space="preserve">and a</w:t>
            </w:r>
            <w:r>
              <w:t xml:space="preserve"> </w:t>
            </w:r>
            <w:r>
              <w:t xml:space="preserve">“</w:t>
            </w:r>
            <w:r>
              <w:t xml:space="preserve">verbal</w:t>
            </w:r>
            <w:r>
              <w:t xml:space="preserve">”</w:t>
            </w:r>
            <w:r>
              <w:t xml:space="preserve"> </w:t>
            </w:r>
            <w:r>
              <w:t xml:space="preserve">indication from Thornfield Surety Group; no commitment letter; Ridgeline LOC only generally discussed</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Obtain a formal commitment letter (surety or bank) on letterhead, signed by an authorized officer, dated within 60 days of submission, confirming ability to provide the $50,000 bond/LOC. Without it the applicant receives</w:t>
            </w:r>
            <w:r>
              <w:t xml:space="preserve"> </w:t>
            </w:r>
            <w:r>
              <w:rPr>
                <w:b/>
                <w:bCs/>
              </w:rPr>
              <w:t xml:space="preserve">0 of 10</w:t>
            </w:r>
            <w:r>
              <w:t xml:space="preserve"> </w:t>
            </w:r>
            <w:r>
              <w:t xml:space="preserve">bonding-capacity points.</w:t>
            </w:r>
          </w:p>
        </w:tc>
      </w:tr>
      <w:tr>
        <w:tc>
          <w:tcPr/>
          <w:p>
            <w:pPr>
              <w:pStyle w:val="Compact"/>
              <w:jc w:val="left"/>
            </w:pPr>
            <w:r>
              <w:t xml:space="preserve">I-2</w:t>
            </w:r>
          </w:p>
        </w:tc>
        <w:tc>
          <w:tcPr/>
          <w:p>
            <w:pPr>
              <w:pStyle w:val="Compact"/>
              <w:jc w:val="left"/>
            </w:pPr>
            <w:r>
              <w:t xml:space="preserve">$50,000 performance bond or irrevocable LOC, form acceptable to City Attorney, surety ≥A- AM Best (§9-5-17)</w:t>
            </w:r>
          </w:p>
        </w:tc>
        <w:tc>
          <w:tcPr/>
          <w:p>
            <w:pPr>
              <w:pStyle w:val="Compact"/>
              <w:jc w:val="left"/>
            </w:pPr>
            <w:r>
              <w:t xml:space="preserve">Not yet obtained</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Obtain and submit before permit issuance; verify surety AM Best rating ≥A-; bond/LOC must run for the permit term + 1 year (§9-5-17(D)).</w:t>
            </w:r>
          </w:p>
        </w:tc>
      </w:tr>
      <w:tr>
        <w:tc>
          <w:tcPr/>
          <w:p>
            <w:pPr>
              <w:pStyle w:val="Compact"/>
              <w:jc w:val="left"/>
            </w:pPr>
            <w:r>
              <w:t xml:space="preserve">I-3</w:t>
            </w:r>
          </w:p>
        </w:tc>
        <w:tc>
          <w:tcPr/>
          <w:p>
            <w:pPr>
              <w:pStyle w:val="Compact"/>
              <w:jc w:val="left"/>
            </w:pPr>
            <w:r>
              <w:t xml:space="preserve">Capitalization evidence: bank statements, commitment letters, sources &amp; uses (Guide Item 17; Form Q24)</w:t>
            </w:r>
          </w:p>
        </w:tc>
        <w:tc>
          <w:tcPr/>
          <w:p>
            <w:pPr>
              <w:pStyle w:val="Compact"/>
              <w:jc w:val="left"/>
            </w:pPr>
            <w:r>
              <w:t xml:space="preserve">Business plan states $1.85M equity ($1.11M Okonkwo + $740K Ramachandran) and a sources-and-uses table; no bank statements or fund-verification documents attached</w:t>
            </w:r>
          </w:p>
        </w:tc>
        <w:tc>
          <w:tcPr/>
          <w:p>
            <w:pPr>
              <w:pStyle w:val="Compact"/>
              <w:jc w:val="left"/>
            </w:pPr>
            <w:r>
              <w:t xml:space="preserve">PARTIALLY COMPLIANT</w:t>
            </w:r>
          </w:p>
        </w:tc>
        <w:tc>
          <w:tcPr/>
          <w:p>
            <w:pPr>
              <w:pStyle w:val="Compact"/>
              <w:jc w:val="left"/>
            </w:pPr>
            <w:r>
              <w:t xml:space="preserve">MAJOR</w:t>
            </w:r>
          </w:p>
        </w:tc>
        <w:tc>
          <w:tcPr/>
          <w:p>
            <w:pPr>
              <w:pStyle w:val="Compact"/>
              <w:jc w:val="left"/>
            </w:pPr>
            <w:r>
              <w:t xml:space="preserve">Attach evidence of funds (bank/investment statements dated within 30 days, member contribution documentation) per Form Q24(c).</w:t>
            </w:r>
          </w:p>
        </w:tc>
      </w:tr>
      <w:tr>
        <w:tc>
          <w:tcPr/>
          <w:p>
            <w:pPr>
              <w:pStyle w:val="Compact"/>
              <w:jc w:val="left"/>
            </w:pPr>
            <w:r>
              <w:t xml:space="preserve">I-4</w:t>
            </w:r>
          </w:p>
        </w:tc>
        <w:tc>
          <w:tcPr/>
          <w:p>
            <w:pPr>
              <w:pStyle w:val="Compact"/>
              <w:jc w:val="left"/>
            </w:pPr>
            <w:r>
              <w:t xml:space="preserve">Three-year financial projections (§9-5-5(B)(8); Form Q25)</w:t>
            </w:r>
          </w:p>
        </w:tc>
        <w:tc>
          <w:tcPr/>
          <w:p>
            <w:pPr>
              <w:pStyle w:val="Compact"/>
              <w:jc w:val="left"/>
            </w:pPr>
            <w:r>
              <w:t xml:space="preserve">Provided (Years 1–3, plus 5-yr outlook)</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None.</w:t>
            </w:r>
          </w:p>
        </w:tc>
      </w:tr>
    </w:tbl>
    <w:bookmarkEnd w:id="32"/>
    <w:bookmarkStart w:id="33" w:name="X6a522404c660b84b8507289c7e9f0bb3775e069"/>
    <w:p>
      <w:pPr>
        <w:pStyle w:val="Heading3"/>
      </w:pPr>
      <w:r>
        <w:t xml:space="preserve">Group J — Application Form, Fee &amp; Submission Mechanics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J-1</w:t>
            </w:r>
          </w:p>
        </w:tc>
        <w:tc>
          <w:tcPr/>
          <w:p>
            <w:pPr>
              <w:pStyle w:val="Compact"/>
              <w:jc w:val="left"/>
            </w:pPr>
            <w:r>
              <w:t xml:space="preserve">Completed Application Form, all fields completed or</w:t>
            </w:r>
            <w:r>
              <w:t xml:space="preserve"> </w:t>
            </w:r>
            <w:r>
              <w:t xml:space="preserve">“</w:t>
            </w:r>
            <w:r>
              <w:t xml:space="preserve">N/A</w:t>
            </w:r>
            <w:r>
              <w:t xml:space="preserve">”</w:t>
            </w:r>
            <w:r>
              <w:t xml:space="preserve">, signed and notarized (Guide Item 1; Form §1, §14)</w:t>
            </w:r>
          </w:p>
        </w:tc>
        <w:tc>
          <w:tcPr/>
          <w:p>
            <w:pPr>
              <w:pStyle w:val="Compact"/>
              <w:jc w:val="left"/>
            </w:pPr>
            <w:r>
              <w:t xml:space="preserve">Official Form (v3.2) supplied as a blank template; no fields completed; no signature/notarization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Complete every field of the Form (or mark</w:t>
            </w:r>
            <w:r>
              <w:t xml:space="preserve"> </w:t>
            </w:r>
            <w:r>
              <w:t xml:space="preserve">“</w:t>
            </w:r>
            <w:r>
              <w:t xml:space="preserve">N/A</w:t>
            </w:r>
            <w:r>
              <w:t xml:space="preserve">”</w:t>
            </w:r>
            <w:r>
              <w:t xml:space="preserve">), transcribing the information contained in the supporting exhibits, ensure internal consistency with the exhibits, and obtain the authorized-signatory signature and notarization. A blank/incomplete Form will be returned without processing.</w:t>
            </w:r>
          </w:p>
        </w:tc>
      </w:tr>
      <w:tr>
        <w:tc>
          <w:tcPr/>
          <w:p>
            <w:pPr>
              <w:pStyle w:val="Compact"/>
              <w:jc w:val="left"/>
            </w:pPr>
            <w:r>
              <w:t xml:space="preserve">J-2</w:t>
            </w:r>
          </w:p>
        </w:tc>
        <w:tc>
          <w:tcPr/>
          <w:p>
            <w:pPr>
              <w:pStyle w:val="Compact"/>
              <w:jc w:val="left"/>
            </w:pPr>
            <w:r>
              <w:t xml:space="preserve">Non-refundable $5,000 application fee (§9-5-5(B)(18), §9-5-6; Guide Item 2; Form §13)</w:t>
            </w:r>
          </w:p>
        </w:tc>
        <w:tc>
          <w:tcPr/>
          <w:p>
            <w:pPr>
              <w:pStyle w:val="Compact"/>
              <w:jc w:val="left"/>
            </w:pPr>
            <w:r>
              <w:t xml:space="preserve">Not evidenced in package; Form §13 fee fields blank</w:t>
            </w:r>
          </w:p>
        </w:tc>
        <w:tc>
          <w:tcPr/>
          <w:p>
            <w:pPr>
              <w:pStyle w:val="Compact"/>
              <w:jc w:val="left"/>
            </w:pPr>
            <w:r>
              <w:t xml:space="preserve">NOT PROVIDED</w:t>
            </w:r>
          </w:p>
        </w:tc>
        <w:tc>
          <w:tcPr/>
          <w:p>
            <w:pPr>
              <w:pStyle w:val="Compact"/>
              <w:jc w:val="left"/>
            </w:pPr>
            <w:r>
              <w:t xml:space="preserve">MAJOR</w:t>
            </w:r>
          </w:p>
        </w:tc>
        <w:tc>
          <w:tcPr/>
          <w:p>
            <w:pPr>
              <w:pStyle w:val="Compact"/>
              <w:jc w:val="left"/>
            </w:pPr>
            <w:r>
              <w:t xml:space="preserve">Remit $5,000 with the submission. Reconcile the acceptable payment-method conflict (see B-discrepancies): safest is a certified or cashier’s check payable to</w:t>
            </w:r>
            <w:r>
              <w:t xml:space="preserve"> </w:t>
            </w:r>
            <w:r>
              <w:t xml:space="preserve">“</w:t>
            </w:r>
            <w:r>
              <w:t xml:space="preserve">City of Evanston.</w:t>
            </w:r>
            <w:r>
              <w:t xml:space="preserve">”</w:t>
            </w:r>
          </w:p>
        </w:tc>
      </w:tr>
      <w:tr>
        <w:tc>
          <w:tcPr/>
          <w:p>
            <w:pPr>
              <w:pStyle w:val="Compact"/>
              <w:jc w:val="left"/>
            </w:pPr>
            <w:r>
              <w:t xml:space="preserve">J-3</w:t>
            </w:r>
          </w:p>
        </w:tc>
        <w:tc>
          <w:tcPr/>
          <w:p>
            <w:pPr>
              <w:pStyle w:val="Compact"/>
              <w:jc w:val="left"/>
            </w:pPr>
            <w:r>
              <w:t xml:space="preserve">Submission format: three hard-copy sets + one electronic (USB/PDF) (§9-5-5(C); Guide §1; Form §1)</w:t>
            </w:r>
          </w:p>
        </w:tc>
        <w:tc>
          <w:tcPr/>
          <w:p>
            <w:pPr>
              <w:pStyle w:val="Compact"/>
              <w:jc w:val="left"/>
            </w:pPr>
            <w:r>
              <w:t xml:space="preserve">Not yet assembled</w:t>
            </w:r>
          </w:p>
        </w:tc>
        <w:tc>
          <w:tcPr/>
          <w:p>
            <w:pPr>
              <w:pStyle w:val="Compact"/>
              <w:jc w:val="left"/>
            </w:pPr>
            <w:r>
              <w:t xml:space="preserve">PENDING</w:t>
            </w:r>
          </w:p>
        </w:tc>
        <w:tc>
          <w:tcPr/>
          <w:p>
            <w:pPr>
              <w:pStyle w:val="Compact"/>
              <w:jc w:val="left"/>
            </w:pPr>
            <w:r>
              <w:t xml:space="preserve">—</w:t>
            </w:r>
          </w:p>
        </w:tc>
        <w:tc>
          <w:tcPr/>
          <w:p>
            <w:pPr>
              <w:pStyle w:val="Compact"/>
              <w:jc w:val="left"/>
            </w:pPr>
            <w:r>
              <w:t xml:space="preserve">Assemble three collated bound hard-copy sets and one USB/PDF at submission.</w:t>
            </w:r>
          </w:p>
        </w:tc>
      </w:tr>
      <w:tr>
        <w:tc>
          <w:tcPr/>
          <w:p>
            <w:pPr>
              <w:pStyle w:val="Compact"/>
              <w:jc w:val="left"/>
            </w:pPr>
            <w:r>
              <w:t xml:space="preserve">J-4</w:t>
            </w:r>
          </w:p>
        </w:tc>
        <w:tc>
          <w:tcPr/>
          <w:p>
            <w:pPr>
              <w:pStyle w:val="Compact"/>
              <w:jc w:val="left"/>
            </w:pPr>
            <w:r>
              <w:t xml:space="preserve">Application within the Feb. 1 – May 31, 2024 window (§9-5-7(A))</w:t>
            </w:r>
          </w:p>
        </w:tc>
        <w:tc>
          <w:tcPr/>
          <w:p>
            <w:pPr>
              <w:pStyle w:val="Compact"/>
              <w:jc w:val="left"/>
            </w:pPr>
            <w:r>
              <w:t xml:space="preserve">Target May 15, 2024</w:t>
            </w:r>
          </w:p>
        </w:tc>
        <w:tc>
          <w:tcPr/>
          <w:p>
            <w:pPr>
              <w:pStyle w:val="Compact"/>
              <w:jc w:val="left"/>
            </w:pPr>
            <w:r>
              <w:t xml:space="preserve">COMPLIANT (planned)</w:t>
            </w:r>
          </w:p>
        </w:tc>
        <w:tc>
          <w:tcPr/>
          <w:p>
            <w:pPr>
              <w:pStyle w:val="Compact"/>
              <w:jc w:val="left"/>
            </w:pPr>
            <w:r>
              <w:t xml:space="preserve">—</w:t>
            </w:r>
          </w:p>
        </w:tc>
        <w:tc>
          <w:tcPr/>
          <w:p>
            <w:pPr>
              <w:pStyle w:val="Compact"/>
              <w:jc w:val="left"/>
            </w:pPr>
            <w:r>
              <w:t xml:space="preserve">Submit on or before May 31; earlier submission strongly advised given B-3.</w:t>
            </w:r>
          </w:p>
        </w:tc>
      </w:tr>
      <w:tr>
        <w:tc>
          <w:tcPr/>
          <w:p>
            <w:pPr>
              <w:pStyle w:val="Compact"/>
              <w:jc w:val="left"/>
            </w:pPr>
            <w:r>
              <w:t xml:space="preserve">J-5</w:t>
            </w:r>
          </w:p>
        </w:tc>
        <w:tc>
          <w:tcPr/>
          <w:p>
            <w:pPr>
              <w:pStyle w:val="Compact"/>
              <w:jc w:val="left"/>
            </w:pPr>
            <w:r>
              <w:t xml:space="preserve">Cover sheet indexing all materials by checklist item (Guide §3)</w:t>
            </w:r>
          </w:p>
        </w:tc>
        <w:tc>
          <w:tcPr/>
          <w:p>
            <w:pPr>
              <w:pStyle w:val="Compact"/>
              <w:jc w:val="left"/>
            </w:pPr>
            <w:r>
              <w:t xml:space="preserve">Not in package</w:t>
            </w:r>
          </w:p>
        </w:tc>
        <w:tc>
          <w:tcPr/>
          <w:p>
            <w:pPr>
              <w:pStyle w:val="Compact"/>
              <w:jc w:val="left"/>
            </w:pPr>
            <w:r>
              <w:t xml:space="preserve">NOT PROVIDED</w:t>
            </w:r>
          </w:p>
        </w:tc>
        <w:tc>
          <w:tcPr/>
          <w:p>
            <w:pPr>
              <w:pStyle w:val="Compact"/>
              <w:jc w:val="left"/>
            </w:pPr>
            <w:r>
              <w:t xml:space="preserve">MINOR</w:t>
            </w:r>
          </w:p>
        </w:tc>
        <w:tc>
          <w:tcPr/>
          <w:p>
            <w:pPr>
              <w:pStyle w:val="Compact"/>
              <w:jc w:val="left"/>
            </w:pPr>
            <w:r>
              <w:t xml:space="preserve">Add an indexing cover sheet keyed to the Master Checklist item numbers.</w:t>
            </w:r>
          </w:p>
        </w:tc>
      </w:tr>
    </w:tbl>
    <w:bookmarkEnd w:id="33"/>
    <w:bookmarkStart w:id="34" w:name="Xdddee6c974772028d6f1236bc92f617dec5f2b2"/>
    <w:p>
      <w:pPr>
        <w:pStyle w:val="Heading3"/>
      </w:pPr>
      <w:r>
        <w:t xml:space="preserve">Group K — Pre-Issuance Conditions (forward-looking, §9-5-11)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 (Authority)</w:t>
            </w:r>
          </w:p>
        </w:tc>
        <w:tc>
          <w:tcPr/>
          <w:p>
            <w:pPr>
              <w:pStyle w:val="Compact"/>
              <w:jc w:val="left"/>
            </w:pPr>
            <w:r>
              <w:t xml:space="preserve">Submission status</w:t>
            </w:r>
          </w:p>
        </w:tc>
        <w:tc>
          <w:tcPr/>
          <w:p>
            <w:pPr>
              <w:pStyle w:val="Compact"/>
              <w:jc w:val="left"/>
            </w:pPr>
            <w:r>
              <w:t xml:space="preserve">Assessment</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K-1</w:t>
            </w:r>
          </w:p>
        </w:tc>
        <w:tc>
          <w:tcPr/>
          <w:p>
            <w:pPr>
              <w:pStyle w:val="Compact"/>
              <w:jc w:val="left"/>
            </w:pPr>
            <w:r>
              <w:t xml:space="preserve">City Council approval (§9-5-11(A))</w:t>
            </w:r>
          </w:p>
        </w:tc>
        <w:tc>
          <w:tcPr/>
          <w:p>
            <w:pPr>
              <w:pStyle w:val="Compact"/>
              <w:jc w:val="left"/>
            </w:pPr>
            <w:r>
              <w:t xml:space="preserve">Pending process</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N/A at submission.</w:t>
            </w:r>
          </w:p>
        </w:tc>
      </w:tr>
      <w:tr>
        <w:tc>
          <w:tcPr/>
          <w:p>
            <w:pPr>
              <w:pStyle w:val="Compact"/>
              <w:jc w:val="left"/>
            </w:pPr>
            <w:r>
              <w:t xml:space="preserve">K-2</w:t>
            </w:r>
          </w:p>
        </w:tc>
        <w:tc>
          <w:tcPr/>
          <w:p>
            <w:pPr>
              <w:pStyle w:val="Compact"/>
              <w:jc w:val="left"/>
            </w:pPr>
            <w:r>
              <w:t xml:space="preserve">Annual permit fee $15,000 (§9-5-11(B), §9-5-14)</w:t>
            </w:r>
          </w:p>
        </w:tc>
        <w:tc>
          <w:tcPr/>
          <w:p>
            <w:pPr>
              <w:pStyle w:val="Compact"/>
              <w:jc w:val="left"/>
            </w:pPr>
            <w:r>
              <w:t xml:space="preserve">Not yet due</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Due within 30 days of Council approval (Guide §6).</w:t>
            </w:r>
          </w:p>
        </w:tc>
      </w:tr>
      <w:tr>
        <w:tc>
          <w:tcPr/>
          <w:p>
            <w:pPr>
              <w:pStyle w:val="Compact"/>
              <w:jc w:val="left"/>
            </w:pPr>
            <w:r>
              <w:t xml:space="preserve">K-3</w:t>
            </w:r>
          </w:p>
        </w:tc>
        <w:tc>
          <w:tcPr/>
          <w:p>
            <w:pPr>
              <w:pStyle w:val="Compact"/>
              <w:jc w:val="left"/>
            </w:pPr>
            <w:r>
              <w:t xml:space="preserve">Final insurance certificates naming City as additional insured (§9-5-11(C))</w:t>
            </w:r>
          </w:p>
        </w:tc>
        <w:tc>
          <w:tcPr/>
          <w:p>
            <w:pPr>
              <w:pStyle w:val="Compact"/>
              <w:jc w:val="left"/>
            </w:pPr>
            <w:r>
              <w:t xml:space="preserve">See Group H</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Bind all coverages; obtain endorsements.</w:t>
            </w:r>
          </w:p>
        </w:tc>
      </w:tr>
      <w:tr>
        <w:tc>
          <w:tcPr/>
          <w:p>
            <w:pPr>
              <w:pStyle w:val="Compact"/>
              <w:jc w:val="left"/>
            </w:pPr>
            <w:r>
              <w:t xml:space="preserve">K-4</w:t>
            </w:r>
          </w:p>
        </w:tc>
        <w:tc>
          <w:tcPr/>
          <w:p>
            <w:pPr>
              <w:pStyle w:val="Compact"/>
              <w:jc w:val="left"/>
            </w:pPr>
            <w:r>
              <w:t xml:space="preserve">$50,000 bond/LOC, City-Attorney-approved form (§9-5-11(D), §9-5-17)</w:t>
            </w:r>
          </w:p>
        </w:tc>
        <w:tc>
          <w:tcPr/>
          <w:p>
            <w:pPr>
              <w:pStyle w:val="Compact"/>
              <w:jc w:val="left"/>
            </w:pPr>
            <w:r>
              <w:t xml:space="preserve">See I-2</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Obtain before issuance.</w:t>
            </w:r>
          </w:p>
        </w:tc>
      </w:tr>
      <w:tr>
        <w:tc>
          <w:tcPr/>
          <w:p>
            <w:pPr>
              <w:pStyle w:val="Compact"/>
              <w:jc w:val="left"/>
            </w:pPr>
            <w:r>
              <w:t xml:space="preserve">K-5</w:t>
            </w:r>
          </w:p>
        </w:tc>
        <w:tc>
          <w:tcPr/>
          <w:p>
            <w:pPr>
              <w:pStyle w:val="Compact"/>
              <w:jc w:val="left"/>
            </w:pPr>
            <w:r>
              <w:t xml:space="preserve">Building/fire/life-safety inspections + Certificate of Occupancy (§9-5-11(E))</w:t>
            </w:r>
          </w:p>
        </w:tc>
        <w:tc>
          <w:tcPr/>
          <w:p>
            <w:pPr>
              <w:pStyle w:val="Compact"/>
              <w:jc w:val="left"/>
            </w:pPr>
            <w:r>
              <w:t xml:space="preserve">Build-out not started</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Complete build-out and pass inspections.</w:t>
            </w:r>
          </w:p>
        </w:tc>
      </w:tr>
      <w:tr>
        <w:tc>
          <w:tcPr/>
          <w:p>
            <w:pPr>
              <w:pStyle w:val="Compact"/>
              <w:jc w:val="left"/>
            </w:pPr>
            <w:r>
              <w:t xml:space="preserve">K-6</w:t>
            </w:r>
          </w:p>
        </w:tc>
        <w:tc>
          <w:tcPr/>
          <w:p>
            <w:pPr>
              <w:pStyle w:val="Compact"/>
              <w:jc w:val="left"/>
            </w:pPr>
            <w:r>
              <w:t xml:space="preserve">Security systems installed, tested, verified by Coordinator/EPD (§9-5-11(F))</w:t>
            </w:r>
          </w:p>
        </w:tc>
        <w:tc>
          <w:tcPr/>
          <w:p>
            <w:pPr>
              <w:pStyle w:val="Compact"/>
              <w:jc w:val="left"/>
            </w:pPr>
            <w:r>
              <w:t xml:space="preserve">Not installed</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Install and schedule verification.</w:t>
            </w:r>
          </w:p>
        </w:tc>
      </w:tr>
      <w:tr>
        <w:tc>
          <w:tcPr/>
          <w:p>
            <w:pPr>
              <w:pStyle w:val="Compact"/>
              <w:jc w:val="left"/>
            </w:pPr>
            <w:r>
              <w:t xml:space="preserve">K-7</w:t>
            </w:r>
          </w:p>
        </w:tc>
        <w:tc>
          <w:tcPr/>
          <w:p>
            <w:pPr>
              <w:pStyle w:val="Compact"/>
              <w:jc w:val="left"/>
            </w:pPr>
            <w:r>
              <w:t xml:space="preserve">All opening employees hold valid Agent ID Cards (§9-5-11(G))</w:t>
            </w:r>
          </w:p>
        </w:tc>
        <w:tc>
          <w:tcPr/>
          <w:p>
            <w:pPr>
              <w:pStyle w:val="Compact"/>
              <w:jc w:val="left"/>
            </w:pPr>
            <w:r>
              <w:t xml:space="preserve">Not yet hired</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Verify before opening.</w:t>
            </w:r>
          </w:p>
        </w:tc>
      </w:tr>
      <w:tr>
        <w:tc>
          <w:tcPr/>
          <w:p>
            <w:pPr>
              <w:pStyle w:val="Compact"/>
              <w:jc w:val="left"/>
            </w:pPr>
            <w:r>
              <w:t xml:space="preserve">K-8</w:t>
            </w:r>
          </w:p>
        </w:tc>
        <w:tc>
          <w:tcPr/>
          <w:p>
            <w:pPr>
              <w:pStyle w:val="Compact"/>
              <w:jc w:val="left"/>
            </w:pPr>
            <w:r>
              <w:t xml:space="preserve">Signed community benefit agreement (§9-5-11(H))</w:t>
            </w:r>
          </w:p>
        </w:tc>
        <w:tc>
          <w:tcPr/>
          <w:p>
            <w:pPr>
              <w:pStyle w:val="Compact"/>
              <w:jc w:val="left"/>
            </w:pPr>
            <w:r>
              <w:t xml:space="preserve">Not yet executed</w:t>
            </w:r>
          </w:p>
        </w:tc>
        <w:tc>
          <w:tcPr/>
          <w:p>
            <w:pPr>
              <w:pStyle w:val="Compact"/>
              <w:jc w:val="left"/>
            </w:pPr>
            <w:r>
              <w:t xml:space="preserve">PENDING (PRE-ISSUANCE)</w:t>
            </w:r>
          </w:p>
        </w:tc>
        <w:tc>
          <w:tcPr/>
          <w:p>
            <w:pPr>
              <w:pStyle w:val="Compact"/>
              <w:jc w:val="left"/>
            </w:pPr>
            <w:r>
              <w:t xml:space="preserve">—</w:t>
            </w:r>
          </w:p>
        </w:tc>
        <w:tc>
          <w:tcPr/>
          <w:p>
            <w:pPr>
              <w:pStyle w:val="Compact"/>
              <w:jc w:val="left"/>
            </w:pPr>
            <w:r>
              <w:t xml:space="preserve">Execute before issuance.</w:t>
            </w:r>
          </w:p>
        </w:tc>
      </w:tr>
      <w:tr>
        <w:tc>
          <w:tcPr/>
          <w:p>
            <w:pPr>
              <w:pStyle w:val="Compact"/>
              <w:jc w:val="left"/>
            </w:pPr>
            <w:r>
              <w:t xml:space="preserve">K-9</w:t>
            </w:r>
          </w:p>
        </w:tc>
        <w:tc>
          <w:tcPr/>
          <w:p>
            <w:pPr>
              <w:pStyle w:val="Compact"/>
              <w:jc w:val="left"/>
            </w:pPr>
            <w:r>
              <w:t xml:space="preserve">Valid State license (conditional or permanent) at permit issuance (§9-5-11(I))</w:t>
            </w:r>
          </w:p>
        </w:tc>
        <w:tc>
          <w:tcPr/>
          <w:p>
            <w:pPr>
              <w:pStyle w:val="Compact"/>
              <w:jc w:val="left"/>
            </w:pPr>
            <w:r>
              <w:t xml:space="preserve">Conditional license expires Sept. 21, 2024 — see B-3</w:t>
            </w:r>
          </w:p>
        </w:tc>
        <w:tc>
          <w:tcPr/>
          <w:p>
            <w:pPr>
              <w:pStyle w:val="Compact"/>
              <w:jc w:val="left"/>
            </w:pPr>
            <w:r>
              <w:t xml:space="preserve">PENDING (PRE-ISSUANCE)</w:t>
            </w:r>
          </w:p>
        </w:tc>
        <w:tc>
          <w:tcPr/>
          <w:p>
            <w:pPr>
              <w:pStyle w:val="Compact"/>
              <w:jc w:val="left"/>
            </w:pPr>
            <w:r>
              <w:t xml:space="preserve">CRITICAL</w:t>
            </w:r>
          </w:p>
        </w:tc>
        <w:tc>
          <w:tcPr/>
          <w:p>
            <w:pPr>
              <w:pStyle w:val="Compact"/>
              <w:jc w:val="left"/>
            </w:pPr>
            <w:r>
              <w:t xml:space="preserve">Resolve the timeline in B-3; an expired State license blocks permit issuance.</w:t>
            </w:r>
          </w:p>
        </w:tc>
      </w:tr>
      <w:tr>
        <w:tc>
          <w:tcPr/>
          <w:p>
            <w:pPr>
              <w:pStyle w:val="Compact"/>
              <w:jc w:val="left"/>
            </w:pPr>
            <w:r>
              <w:t xml:space="preserve">K-10</w:t>
            </w:r>
          </w:p>
        </w:tc>
        <w:tc>
          <w:tcPr/>
          <w:p>
            <w:pPr>
              <w:pStyle w:val="Compact"/>
              <w:jc w:val="left"/>
            </w:pPr>
            <w:r>
              <w:t xml:space="preserve">Special-use approval by City Council (§9-5-11(J); §9-5-9(D))</w:t>
            </w:r>
          </w:p>
        </w:tc>
        <w:tc>
          <w:tcPr/>
          <w:p>
            <w:pPr>
              <w:pStyle w:val="Compact"/>
              <w:jc w:val="left"/>
            </w:pPr>
            <w:r>
              <w:t xml:space="preserve">Not yet filed — see C-7</w:t>
            </w:r>
          </w:p>
        </w:tc>
        <w:tc>
          <w:tcPr/>
          <w:p>
            <w:pPr>
              <w:pStyle w:val="Compact"/>
              <w:jc w:val="left"/>
            </w:pPr>
            <w:r>
              <w:t xml:space="preserve">PENDING (PRE-ISSUANCE)</w:t>
            </w:r>
          </w:p>
        </w:tc>
        <w:tc>
          <w:tcPr/>
          <w:p>
            <w:pPr>
              <w:pStyle w:val="Compact"/>
              <w:jc w:val="left"/>
            </w:pPr>
            <w:r>
              <w:t xml:space="preserve">MAJOR</w:t>
            </w:r>
          </w:p>
        </w:tc>
        <w:tc>
          <w:tcPr/>
          <w:p>
            <w:pPr>
              <w:pStyle w:val="Compact"/>
              <w:jc w:val="left"/>
            </w:pPr>
            <w:r>
              <w:t xml:space="preserve">File and obtain special-use approval before issuance.</w:t>
            </w:r>
          </w:p>
        </w:tc>
      </w:tr>
    </w:tbl>
    <w:p>
      <w:r>
        <w:pict>
          <v:rect style="width:0;height:1.5pt" o:hralign="center" o:hrstd="t" o:hr="t"/>
        </w:pict>
      </w:r>
    </w:p>
    <w:bookmarkEnd w:id="34"/>
    <w:bookmarkEnd w:id="35"/>
    <w:bookmarkStart w:id="36" w:name="Xcb0abb62cf35d61fba6f5599653d32015e230a4"/>
    <w:p>
      <w:pPr>
        <w:pStyle w:val="Heading2"/>
      </w:pPr>
      <w:r>
        <w:t xml:space="preserve">5. Part B — Cross-Document Discrepancies (Ordinance vs. Guide vs. Application Form)</w:t>
      </w:r>
    </w:p>
    <w:p>
      <w:pPr>
        <w:pStyle w:val="FirstParagraph"/>
      </w:pPr>
      <w:r>
        <w:t xml:space="preserve">These inconsistencies exist among the City’s own documents and bear directly on the applicant’s obligations. Where the documents conflict, the Ordinance is the controlling law, but the applicant should satisfy the most stringent reading to avoid a deficiency notice, and should raise the conflict with the Cannabis Licensing Coordinator.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Ordinance (Art. 5)</w:t>
            </w:r>
          </w:p>
        </w:tc>
        <w:tc>
          <w:tcPr/>
          <w:p>
            <w:pPr>
              <w:pStyle w:val="Compact"/>
              <w:jc w:val="left"/>
            </w:pPr>
            <w:r>
              <w:t xml:space="preserve">Guide</w:t>
            </w:r>
          </w:p>
        </w:tc>
        <w:tc>
          <w:tcPr/>
          <w:p>
            <w:pPr>
              <w:pStyle w:val="Compact"/>
              <w:jc w:val="left"/>
            </w:pPr>
            <w:r>
              <w:t xml:space="preserve">Application Form</w:t>
            </w:r>
          </w:p>
        </w:tc>
        <w:tc>
          <w:tcPr/>
          <w:p>
            <w:pPr>
              <w:pStyle w:val="Compact"/>
              <w:jc w:val="left"/>
            </w:pPr>
            <w:r>
              <w:t xml:space="preserve">Recommended treatment</w:t>
            </w:r>
          </w:p>
        </w:tc>
      </w:tr>
      <w:tr>
        <w:tc>
          <w:tcPr/>
          <w:p>
            <w:pPr>
              <w:pStyle w:val="Compact"/>
              <w:jc w:val="left"/>
            </w:pPr>
            <w:r>
              <w:t xml:space="preserve">B-1</w:t>
            </w:r>
          </w:p>
        </w:tc>
        <w:tc>
          <w:tcPr/>
          <w:p>
            <w:pPr>
              <w:pStyle w:val="Compact"/>
              <w:jc w:val="left"/>
            </w:pPr>
            <w:r>
              <w:t xml:space="preserve">Deficiency cure period</w:t>
            </w:r>
          </w:p>
        </w:tc>
        <w:tc>
          <w:tcPr/>
          <w:p>
            <w:pPr>
              <w:pStyle w:val="Compact"/>
              <w:jc w:val="left"/>
            </w:pPr>
            <w:r>
              <w:rPr>
                <w:b/>
                <w:bCs/>
              </w:rPr>
              <w:t xml:space="preserve">30 calendar days</w:t>
            </w:r>
            <w:r>
              <w:t xml:space="preserve"> </w:t>
            </w:r>
            <w:r>
              <w:t xml:space="preserve">(§9-5-7(C))</w:t>
            </w:r>
          </w:p>
        </w:tc>
        <w:tc>
          <w:tcPr/>
          <w:p>
            <w:pPr>
              <w:pStyle w:val="Compact"/>
              <w:jc w:val="left"/>
            </w:pPr>
            <w:r>
              <w:t xml:space="preserve">14 calendar days (§1, §3)</w:t>
            </w:r>
          </w:p>
        </w:tc>
        <w:tc>
          <w:tcPr/>
          <w:p>
            <w:pPr>
              <w:pStyle w:val="Compact"/>
              <w:jc w:val="left"/>
            </w:pPr>
            <w:r>
              <w:t xml:space="preserve">14 calendar days (§1, §13)</w:t>
            </w:r>
          </w:p>
        </w:tc>
        <w:tc>
          <w:tcPr/>
          <w:p>
            <w:pPr>
              <w:pStyle w:val="Compact"/>
              <w:jc w:val="left"/>
            </w:pPr>
            <w:r>
              <w:t xml:space="preserve">The Ordinance controls (30 days). The applicant should not rely on the shorter 14-day period in the Guide/Form; if a deficiency notice issues, confirm the 30-day cure window with the Coordinator in writing.</w:t>
            </w:r>
          </w:p>
        </w:tc>
      </w:tr>
      <w:tr>
        <w:tc>
          <w:tcPr/>
          <w:p>
            <w:pPr>
              <w:pStyle w:val="Compact"/>
              <w:jc w:val="left"/>
            </w:pPr>
            <w:r>
              <w:t xml:space="preserve">B-2</w:t>
            </w:r>
          </w:p>
        </w:tc>
        <w:tc>
          <w:tcPr/>
          <w:p>
            <w:pPr>
              <w:pStyle w:val="Compact"/>
              <w:jc w:val="left"/>
            </w:pPr>
            <w:r>
              <w:t xml:space="preserve">Maximum-occupancy formula</w:t>
            </w:r>
          </w:p>
        </w:tc>
        <w:tc>
          <w:tcPr/>
          <w:p>
            <w:pPr>
              <w:pStyle w:val="Compact"/>
              <w:jc w:val="left"/>
            </w:pPr>
            <w:r>
              <w:t xml:space="preserve">1 customer per 40 sq ft of</w:t>
            </w:r>
            <w:r>
              <w:t xml:space="preserve"> </w:t>
            </w:r>
            <w:r>
              <w:rPr>
                <w:b/>
                <w:bCs/>
              </w:rPr>
              <w:t xml:space="preserve">retail floor area</w:t>
            </w:r>
            <w:r>
              <w:t xml:space="preserve"> </w:t>
            </w:r>
            <w:r>
              <w:t xml:space="preserve">(§9-5-13(J); example: 1,600 sf → 40)</w:t>
            </w:r>
          </w:p>
        </w:tc>
        <w:tc>
          <w:tcPr/>
          <w:p>
            <w:pPr>
              <w:pStyle w:val="Compact"/>
              <w:jc w:val="left"/>
            </w:pPr>
            <w:r>
              <w:t xml:space="preserve">“</w:t>
            </w:r>
            <w:r>
              <w:t xml:space="preserve">calculated based on retail floor area per the ordinance</w:t>
            </w:r>
            <w:r>
              <w:t xml:space="preserve">”</w:t>
            </w:r>
            <w:r>
              <w:t xml:space="preserve"> </w:t>
            </w:r>
            <w:r>
              <w:t xml:space="preserve">(§7.8)</w:t>
            </w:r>
          </w:p>
        </w:tc>
        <w:tc>
          <w:tcPr/>
          <w:p>
            <w:pPr>
              <w:pStyle w:val="Compact"/>
              <w:jc w:val="left"/>
            </w:pPr>
            <w:r>
              <w:rPr>
                <w:b/>
                <w:bCs/>
              </w:rPr>
              <w:t xml:space="preserve">Total Dispensary Square Footage ÷ 40</w:t>
            </w:r>
            <w:r>
              <w:t xml:space="preserve"> </w:t>
            </w:r>
            <w:r>
              <w:t xml:space="preserve">(Q12) → 3,200 ÷ 40 = 80</w:t>
            </w:r>
          </w:p>
        </w:tc>
        <w:tc>
          <w:tcPr/>
          <w:p>
            <w:pPr>
              <w:pStyle w:val="Compact"/>
              <w:jc w:val="left"/>
            </w:pPr>
            <w:r>
              <w:t xml:space="preserve">The Ordinance controls. The Form’s formula is wrong and would yield 80, double the correct 40. The applicant correctly used 40; do not adopt the Form’s 80. Flag the Form error to the Coordinator.</w:t>
            </w:r>
          </w:p>
        </w:tc>
      </w:tr>
      <w:tr>
        <w:tc>
          <w:tcPr/>
          <w:p>
            <w:pPr>
              <w:pStyle w:val="Compact"/>
              <w:jc w:val="left"/>
            </w:pPr>
            <w:r>
              <w:t xml:space="preserve">B-3</w:t>
            </w:r>
          </w:p>
        </w:tc>
        <w:tc>
          <w:tcPr/>
          <w:p>
            <w:pPr>
              <w:pStyle w:val="Compact"/>
              <w:jc w:val="left"/>
            </w:pPr>
            <w:r>
              <w:t xml:space="preserve">Buffer measurement methodology</w:t>
            </w:r>
          </w:p>
        </w:tc>
        <w:tc>
          <w:tcPr/>
          <w:p>
            <w:pPr>
              <w:pStyle w:val="Compact"/>
              <w:jc w:val="left"/>
            </w:pPr>
            <w:r>
              <w:t xml:space="preserve">Nearest property line to nearest property line (§9-5-9(C)) — straight-line</w:t>
            </w:r>
          </w:p>
        </w:tc>
        <w:tc>
          <w:tcPr/>
          <w:p>
            <w:pPr>
              <w:pStyle w:val="Compact"/>
              <w:jc w:val="left"/>
            </w:pPr>
            <w:r>
              <w:t xml:space="preserve">“</w:t>
            </w:r>
            <w:r>
              <w:t xml:space="preserve">as set forth in the Application Form</w:t>
            </w:r>
            <w:r>
              <w:t xml:space="preserve">”</w:t>
            </w:r>
            <w:r>
              <w:t xml:space="preserve"> </w:t>
            </w:r>
            <w:r>
              <w:t xml:space="preserve">(Item 8)</w:t>
            </w:r>
          </w:p>
        </w:tc>
        <w:tc>
          <w:tcPr/>
          <w:p>
            <w:pPr>
              <w:pStyle w:val="Compact"/>
              <w:jc w:val="left"/>
            </w:pPr>
            <w:r>
              <w:t xml:space="preserve">“</w:t>
            </w:r>
            <w:r>
              <w:t xml:space="preserve">nearest pedestrian route</w:t>
            </w:r>
            <w:r>
              <w:t xml:space="preserve">”</w:t>
            </w:r>
            <w:r>
              <w:t xml:space="preserve">; straight-line</w:t>
            </w:r>
            <w:r>
              <w:t xml:space="preserve"> </w:t>
            </w:r>
            <w:r>
              <w:t xml:space="preserve">“</w:t>
            </w:r>
            <w:r>
              <w:t xml:space="preserve">not acceptable</w:t>
            </w:r>
            <w:r>
              <w:t xml:space="preserve">”</w:t>
            </w:r>
            <w:r>
              <w:t xml:space="preserve"> </w:t>
            </w:r>
            <w:r>
              <w:t xml:space="preserve">(Q6/Q7)</w:t>
            </w:r>
          </w:p>
        </w:tc>
        <w:tc>
          <w:tcPr/>
          <w:p>
            <w:pPr>
              <w:pStyle w:val="Compact"/>
              <w:jc w:val="left"/>
            </w:pPr>
            <w:r>
              <w:t xml:space="preserve">The Form is more demanding than the Ordinance. Satisfy the Form (pedestrian route) to avoid a deficiency; note that pedestrian distance ≥ straight-line distance, so substantive compliance is preserved.</w:t>
            </w:r>
          </w:p>
        </w:tc>
      </w:tr>
      <w:tr>
        <w:tc>
          <w:tcPr/>
          <w:p>
            <w:pPr>
              <w:pStyle w:val="Compact"/>
              <w:jc w:val="left"/>
            </w:pPr>
            <w:r>
              <w:t xml:space="preserve">B-4</w:t>
            </w:r>
          </w:p>
        </w:tc>
        <w:tc>
          <w:tcPr/>
          <w:p>
            <w:pPr>
              <w:pStyle w:val="Compact"/>
              <w:jc w:val="left"/>
            </w:pPr>
            <w:r>
              <w:t xml:space="preserve">Certificate of Good Standing recency</w:t>
            </w:r>
          </w:p>
        </w:tc>
        <w:tc>
          <w:tcPr/>
          <w:p>
            <w:pPr>
              <w:pStyle w:val="Compact"/>
              <w:jc w:val="left"/>
            </w:pPr>
            <w:r>
              <w:t xml:space="preserve">Within preceding</w:t>
            </w:r>
            <w:r>
              <w:t xml:space="preserve"> </w:t>
            </w:r>
            <w:r>
              <w:rPr>
                <w:b/>
                <w:bCs/>
              </w:rPr>
              <w:t xml:space="preserve">60 days</w:t>
            </w:r>
            <w:r>
              <w:t xml:space="preserve"> </w:t>
            </w:r>
            <w:r>
              <w:t xml:space="preserve">(§9-5-5(B)(3))</w:t>
            </w:r>
          </w:p>
        </w:tc>
        <w:tc>
          <w:tcPr/>
          <w:p>
            <w:pPr>
              <w:pStyle w:val="Compact"/>
              <w:jc w:val="left"/>
            </w:pPr>
            <w:r>
              <w:t xml:space="preserve">Within 60 days (Item 4)</w:t>
            </w:r>
          </w:p>
        </w:tc>
        <w:tc>
          <w:tcPr/>
          <w:p>
            <w:pPr>
              <w:pStyle w:val="Compact"/>
              <w:jc w:val="left"/>
            </w:pPr>
            <w:r>
              <w:t xml:space="preserve">Within</w:t>
            </w:r>
            <w:r>
              <w:t xml:space="preserve"> </w:t>
            </w:r>
            <w:r>
              <w:rPr>
                <w:b/>
                <w:bCs/>
              </w:rPr>
              <w:t xml:space="preserve">30 days</w:t>
            </w:r>
            <w:r>
              <w:t xml:space="preserve"> </w:t>
            </w:r>
            <w:r>
              <w:t xml:space="preserve">(§13 checklist)</w:t>
            </w:r>
          </w:p>
        </w:tc>
        <w:tc>
          <w:tcPr/>
          <w:p>
            <w:pPr>
              <w:pStyle w:val="Compact"/>
              <w:jc w:val="left"/>
            </w:pPr>
            <w:r>
              <w:t xml:space="preserve">Satisfy the stricter 30-day Form standard; flag the conflict.</w:t>
            </w:r>
          </w:p>
        </w:tc>
      </w:tr>
      <w:tr>
        <w:tc>
          <w:tcPr/>
          <w:p>
            <w:pPr>
              <w:pStyle w:val="Compact"/>
              <w:jc w:val="left"/>
            </w:pPr>
            <w:r>
              <w:t xml:space="preserve">B-5</w:t>
            </w:r>
          </w:p>
        </w:tc>
        <w:tc>
          <w:tcPr/>
          <w:p>
            <w:pPr>
              <w:pStyle w:val="Compact"/>
              <w:jc w:val="left"/>
            </w:pPr>
            <w:r>
              <w:t xml:space="preserve">Special-use zoning districts</w:t>
            </w:r>
          </w:p>
        </w:tc>
        <w:tc>
          <w:tcPr/>
          <w:p>
            <w:pPr>
              <w:pStyle w:val="Compact"/>
              <w:jc w:val="left"/>
            </w:pPr>
            <w:r>
              <w:t xml:space="preserve">C1a, C2, oC1 (§9-5-9(A))</w:t>
            </w:r>
          </w:p>
        </w:tc>
        <w:tc>
          <w:tcPr/>
          <w:p>
            <w:pPr>
              <w:pStyle w:val="Compact"/>
              <w:jc w:val="left"/>
            </w:pPr>
            <w:r>
              <w:t xml:space="preserve">C1a (Item 20)</w:t>
            </w:r>
          </w:p>
        </w:tc>
        <w:tc>
          <w:tcPr/>
          <w:p>
            <w:pPr>
              <w:pStyle w:val="Compact"/>
              <w:jc w:val="left"/>
            </w:pPr>
            <w:r>
              <w:t xml:space="preserve">“</w:t>
            </w:r>
            <w:r>
              <w:t xml:space="preserve">C1a Commercial Mixed-Use, C1 Commercial, and B2 Business</w:t>
            </w:r>
            <w:r>
              <w:t xml:space="preserve">”</w:t>
            </w:r>
            <w:r>
              <w:t xml:space="preserve"> </w:t>
            </w:r>
            <w:r>
              <w:t xml:space="preserve">(Q3 note)</w:t>
            </w:r>
          </w:p>
        </w:tc>
        <w:tc>
          <w:tcPr/>
          <w:p>
            <w:pPr>
              <w:pStyle w:val="Compact"/>
              <w:jc w:val="left"/>
            </w:pPr>
            <w:r>
              <w:t xml:space="preserve">The Form’s list (C1, B2) conflicts with the Ordinance (C2, oC1). The premises is C1a, so eligibility is unaffected; flag the Form error.</w:t>
            </w:r>
          </w:p>
        </w:tc>
      </w:tr>
      <w:tr>
        <w:tc>
          <w:tcPr/>
          <w:p>
            <w:pPr>
              <w:pStyle w:val="Compact"/>
              <w:jc w:val="left"/>
            </w:pPr>
            <w:r>
              <w:t xml:space="preserve">B-6</w:t>
            </w:r>
          </w:p>
        </w:tc>
        <w:tc>
          <w:tcPr/>
          <w:p>
            <w:pPr>
              <w:pStyle w:val="Compact"/>
              <w:jc w:val="left"/>
            </w:pPr>
            <w:r>
              <w:t xml:space="preserve">Application-fee payment methods</w:t>
            </w:r>
          </w:p>
        </w:tc>
        <w:tc>
          <w:tcPr/>
          <w:p>
            <w:pPr>
              <w:pStyle w:val="Compact"/>
              <w:jc w:val="left"/>
            </w:pPr>
            <w:r>
              <w:t xml:space="preserve">Certified check or EFT (§9-5-6(C))</w:t>
            </w:r>
          </w:p>
        </w:tc>
        <w:tc>
          <w:tcPr/>
          <w:p>
            <w:pPr>
              <w:pStyle w:val="Compact"/>
              <w:jc w:val="left"/>
            </w:pPr>
            <w:r>
              <w:t xml:space="preserve">Cashier’s check or money order (§1, Item 2)</w:t>
            </w:r>
          </w:p>
        </w:tc>
        <w:tc>
          <w:tcPr/>
          <w:p>
            <w:pPr>
              <w:pStyle w:val="Compact"/>
              <w:jc w:val="left"/>
            </w:pPr>
            <w:r>
              <w:t xml:space="preserve">Certified check, cashier’s check, or wire transfer (§1, §13)</w:t>
            </w:r>
          </w:p>
        </w:tc>
        <w:tc>
          <w:tcPr/>
          <w:p>
            <w:pPr>
              <w:pStyle w:val="Compact"/>
              <w:jc w:val="left"/>
            </w:pPr>
            <w:r>
              <w:t xml:space="preserve">Use a certified or cashier’s check (accepted under both Ordinance and Form).</w:t>
            </w:r>
            <w:r>
              <w:t xml:space="preserve"> </w:t>
            </w:r>
            <w:r>
              <w:t xml:space="preserve">“</w:t>
            </w:r>
            <w:r>
              <w:t xml:space="preserve">Money order</w:t>
            </w:r>
            <w:r>
              <w:t xml:space="preserve">”</w:t>
            </w:r>
            <w:r>
              <w:t xml:space="preserve"> </w:t>
            </w:r>
            <w:r>
              <w:t xml:space="preserve">(Guide) is not in the Ordinance;</w:t>
            </w:r>
            <w:r>
              <w:t xml:space="preserve"> </w:t>
            </w:r>
            <w:r>
              <w:t xml:space="preserve">“</w:t>
            </w:r>
            <w:r>
              <w:t xml:space="preserve">EFT/wire</w:t>
            </w:r>
            <w:r>
              <w:t xml:space="preserve">”</w:t>
            </w:r>
            <w:r>
              <w:t xml:space="preserve"> </w:t>
            </w:r>
            <w:r>
              <w:t xml:space="preserve">is. Flag the conflict.</w:t>
            </w:r>
          </w:p>
        </w:tc>
      </w:tr>
      <w:tr>
        <w:tc>
          <w:tcPr/>
          <w:p>
            <w:pPr>
              <w:pStyle w:val="Compact"/>
              <w:jc w:val="left"/>
            </w:pPr>
            <w:r>
              <w:t xml:space="preserve">B-7</w:t>
            </w:r>
          </w:p>
        </w:tc>
        <w:tc>
          <w:tcPr/>
          <w:p>
            <w:pPr>
              <w:pStyle w:val="Compact"/>
              <w:jc w:val="left"/>
            </w:pPr>
            <w:r>
              <w:t xml:space="preserve">Operating-hours citation</w:t>
            </w:r>
          </w:p>
        </w:tc>
        <w:tc>
          <w:tcPr/>
          <w:p>
            <w:pPr>
              <w:pStyle w:val="Compact"/>
              <w:jc w:val="left"/>
            </w:pPr>
            <w:r>
              <w:t xml:space="preserve">§9-5-13(F)</w:t>
            </w:r>
          </w:p>
        </w:tc>
        <w:tc>
          <w:tcPr/>
          <w:p>
            <w:pPr>
              <w:pStyle w:val="Compact"/>
              <w:jc w:val="left"/>
            </w:pPr>
            <w:r>
              <w:t xml:space="preserve">§7.7</w:t>
            </w:r>
          </w:p>
        </w:tc>
        <w:tc>
          <w:tcPr/>
          <w:p>
            <w:pPr>
              <w:pStyle w:val="Compact"/>
              <w:jc w:val="left"/>
            </w:pPr>
            <w:r>
              <w:t xml:space="preserve">Form Q11 cites</w:t>
            </w:r>
            <w:r>
              <w:t xml:space="preserve"> </w:t>
            </w:r>
            <w:r>
              <w:t xml:space="preserve">“</w:t>
            </w:r>
            <w:r>
              <w:t xml:space="preserve">§9-5-17</w:t>
            </w:r>
            <w:r>
              <w:t xml:space="preserve">”</w:t>
            </w:r>
            <w:r>
              <w:t xml:space="preserve"> </w:t>
            </w:r>
            <w:r>
              <w:t xml:space="preserve">(the bond section)</w:t>
            </w:r>
          </w:p>
        </w:tc>
        <w:tc>
          <w:tcPr/>
          <w:p>
            <w:pPr>
              <w:pStyle w:val="Compact"/>
              <w:jc w:val="left"/>
            </w:pPr>
            <w:r>
              <w:t xml:space="preserve">Form cross-reference error; the correct cite is §9-5-13(F).</w:t>
            </w:r>
          </w:p>
        </w:tc>
      </w:tr>
      <w:tr>
        <w:tc>
          <w:tcPr/>
          <w:p>
            <w:pPr>
              <w:pStyle w:val="Compact"/>
              <w:jc w:val="left"/>
            </w:pPr>
            <w:r>
              <w:t xml:space="preserve">B-8</w:t>
            </w:r>
          </w:p>
        </w:tc>
        <w:tc>
          <w:tcPr/>
          <w:p>
            <w:pPr>
              <w:pStyle w:val="Compact"/>
              <w:jc w:val="left"/>
            </w:pPr>
            <w:r>
              <w:t xml:space="preserve">Community-engagement citation</w:t>
            </w:r>
          </w:p>
        </w:tc>
        <w:tc>
          <w:tcPr/>
          <w:p>
            <w:pPr>
              <w:pStyle w:val="Compact"/>
              <w:jc w:val="left"/>
            </w:pPr>
            <w:r>
              <w:t xml:space="preserve">§9-5-8</w:t>
            </w:r>
          </w:p>
        </w:tc>
        <w:tc>
          <w:tcPr/>
          <w:p>
            <w:pPr>
              <w:pStyle w:val="Compact"/>
              <w:jc w:val="left"/>
            </w:pPr>
            <w:r>
              <w:t xml:space="preserve">Item 12</w:t>
            </w:r>
          </w:p>
        </w:tc>
        <w:tc>
          <w:tcPr/>
          <w:p>
            <w:pPr>
              <w:pStyle w:val="Compact"/>
              <w:jc w:val="left"/>
            </w:pPr>
            <w:r>
              <w:t xml:space="preserve">Form Q22 cites</w:t>
            </w:r>
            <w:r>
              <w:t xml:space="preserve"> </w:t>
            </w:r>
            <w:r>
              <w:t xml:space="preserve">“</w:t>
            </w:r>
            <w:r>
              <w:t xml:space="preserve">§9-5-15</w:t>
            </w:r>
            <w:r>
              <w:t xml:space="preserve">”</w:t>
            </w:r>
            <w:r>
              <w:t xml:space="preserve"> </w:t>
            </w:r>
            <w:r>
              <w:t xml:space="preserve">(community benefit)</w:t>
            </w:r>
          </w:p>
        </w:tc>
        <w:tc>
          <w:tcPr/>
          <w:p>
            <w:pPr>
              <w:pStyle w:val="Compact"/>
              <w:jc w:val="left"/>
            </w:pPr>
            <w:r>
              <w:t xml:space="preserve">Form cross-reference error; the correct cite is §9-5-8.</w:t>
            </w:r>
          </w:p>
        </w:tc>
      </w:tr>
      <w:tr>
        <w:tc>
          <w:tcPr/>
          <w:p>
            <w:pPr>
              <w:pStyle w:val="Compact"/>
              <w:jc w:val="left"/>
            </w:pPr>
            <w:r>
              <w:t xml:space="preserve">B-9</w:t>
            </w:r>
          </w:p>
        </w:tc>
        <w:tc>
          <w:tcPr/>
          <w:p>
            <w:pPr>
              <w:pStyle w:val="Compact"/>
              <w:jc w:val="left"/>
            </w:pPr>
            <w:r>
              <w:t xml:space="preserve">Agent-in-Charge availability</w:t>
            </w:r>
          </w:p>
        </w:tc>
        <w:tc>
          <w:tcPr/>
          <w:p>
            <w:pPr>
              <w:pStyle w:val="Compact"/>
              <w:jc w:val="left"/>
            </w:pPr>
            <w:r>
              <w:t xml:space="preserve">Present during all operating hours or</w:t>
            </w:r>
            <w:r>
              <w:t xml:space="preserve"> </w:t>
            </w:r>
            <w:r>
              <w:rPr>
                <w:b/>
                <w:bCs/>
              </w:rPr>
              <w:t xml:space="preserve">available to return within 30 minutes</w:t>
            </w:r>
            <w:r>
              <w:t xml:space="preserve"> </w:t>
            </w:r>
            <w:r>
              <w:t xml:space="preserve">(§9-5-13(I))</w:t>
            </w:r>
          </w:p>
        </w:tc>
        <w:tc>
          <w:tcPr/>
          <w:p>
            <w:pPr>
              <w:pStyle w:val="Compact"/>
              <w:jc w:val="left"/>
            </w:pPr>
            <w:r>
              <w:t xml:space="preserve">“</w:t>
            </w:r>
            <w:r>
              <w:t xml:space="preserve">available by telephone during all operating hours</w:t>
            </w:r>
            <w:r>
              <w:t xml:space="preserve">”</w:t>
            </w:r>
            <w:r>
              <w:t xml:space="preserve"> </w:t>
            </w:r>
            <w:r>
              <w:t xml:space="preserve">(Item 19)</w:t>
            </w:r>
          </w:p>
        </w:tc>
        <w:tc>
          <w:tcPr/>
          <w:p>
            <w:pPr>
              <w:pStyle w:val="Compact"/>
              <w:jc w:val="left"/>
            </w:pPr>
            <w:r>
              <w:t xml:space="preserve">“</w:t>
            </w:r>
            <w:r>
              <w:t xml:space="preserve">available by telephone during all operating hours</w:t>
            </w:r>
            <w:r>
              <w:t xml:space="preserve">”</w:t>
            </w:r>
            <w:r>
              <w:t xml:space="preserve"> </w:t>
            </w:r>
            <w:r>
              <w:t xml:space="preserve">(Q13)</w:t>
            </w:r>
          </w:p>
        </w:tc>
        <w:tc>
          <w:tcPr/>
          <w:p>
            <w:pPr>
              <w:pStyle w:val="Compact"/>
              <w:jc w:val="left"/>
            </w:pPr>
            <w:r>
              <w:t xml:space="preserve">The Ordinance is stricter. Plan for 30-minute return capability; do not rely on the Form’s telephone-only standard.</w:t>
            </w:r>
          </w:p>
        </w:tc>
      </w:tr>
      <w:tr>
        <w:tc>
          <w:tcPr/>
          <w:p>
            <w:pPr>
              <w:pStyle w:val="Compact"/>
              <w:jc w:val="left"/>
            </w:pPr>
            <w:r>
              <w:t xml:space="preserve">B-10</w:t>
            </w:r>
          </w:p>
        </w:tc>
        <w:tc>
          <w:tcPr/>
          <w:p>
            <w:pPr>
              <w:pStyle w:val="Compact"/>
              <w:jc w:val="left"/>
            </w:pPr>
            <w:r>
              <w:t xml:space="preserve">Completeness-determination timeline</w:t>
            </w:r>
          </w:p>
        </w:tc>
        <w:tc>
          <w:tcPr/>
          <w:p>
            <w:pPr>
              <w:pStyle w:val="Compact"/>
              <w:jc w:val="left"/>
            </w:pPr>
            <w:r>
              <w:t xml:space="preserve">Within 90 days of receipt (§9-5-7(C))</w:t>
            </w:r>
          </w:p>
        </w:tc>
        <w:tc>
          <w:tcPr/>
          <w:p>
            <w:pPr>
              <w:pStyle w:val="Compact"/>
              <w:jc w:val="left"/>
            </w:pPr>
            <w:r>
              <w:t xml:space="preserve">30-day target (§4)</w:t>
            </w:r>
          </w:p>
        </w:tc>
        <w:tc>
          <w:tcPr/>
          <w:p>
            <w:pPr>
              <w:pStyle w:val="Compact"/>
              <w:jc w:val="left"/>
            </w:pPr>
            <w:r>
              <w:t xml:space="preserve">90-day review begins on completeness determination (§1.6)</w:t>
            </w:r>
          </w:p>
        </w:tc>
        <w:tc>
          <w:tcPr/>
          <w:p>
            <w:pPr>
              <w:pStyle w:val="Compact"/>
              <w:jc w:val="left"/>
            </w:pPr>
            <w:r>
              <w:t xml:space="preserve">The 90-day Ordinance limit governs; the Guide’s 30 days is a target. Plan to the 90-day outer limit.</w:t>
            </w:r>
          </w:p>
        </w:tc>
      </w:tr>
      <w:tr>
        <w:tc>
          <w:tcPr/>
          <w:p>
            <w:pPr>
              <w:pStyle w:val="Compact"/>
              <w:jc w:val="left"/>
            </w:pPr>
            <w:r>
              <w:t xml:space="preserve">B-11</w:t>
            </w:r>
          </w:p>
        </w:tc>
        <w:tc>
          <w:tcPr/>
          <w:p>
            <w:pPr>
              <w:pStyle w:val="Compact"/>
              <w:jc w:val="left"/>
            </w:pPr>
            <w:r>
              <w:t xml:space="preserve">Social-equity qualifying bases</w:t>
            </w:r>
          </w:p>
        </w:tc>
        <w:tc>
          <w:tcPr/>
          <w:p>
            <w:pPr>
              <w:pStyle w:val="Compact"/>
              <w:jc w:val="left"/>
            </w:pPr>
            <w:r>
              <w:t xml:space="preserve">R3 residency (24 mo.), expunged cannabis conviction, or qualifying family member (§9-5-19(B))</w:t>
            </w:r>
          </w:p>
        </w:tc>
        <w:tc>
          <w:tcPr/>
          <w:p>
            <w:pPr>
              <w:pStyle w:val="Compact"/>
              <w:jc w:val="left"/>
            </w:pPr>
            <w:r>
              <w:t xml:space="preserve">R3 residency or prior cannabis arrest/conviction (§2)</w:t>
            </w:r>
          </w:p>
        </w:tc>
        <w:tc>
          <w:tcPr/>
          <w:p>
            <w:pPr>
              <w:pStyle w:val="Compact"/>
              <w:jc w:val="left"/>
            </w:pPr>
            <w:r>
              <w:t xml:space="preserve">Adds</w:t>
            </w:r>
            <w:r>
              <w:t xml:space="preserve"> </w:t>
            </w:r>
            <w:r>
              <w:t xml:space="preserve">“</w:t>
            </w:r>
            <w:r>
              <w:t xml:space="preserve">Resident of Disproportionately Impacted Area (410 ILCS 705/1-10)</w:t>
            </w:r>
            <w:r>
              <w:t xml:space="preserve">”</w:t>
            </w:r>
            <w:r>
              <w:t xml:space="preserve"> </w:t>
            </w:r>
            <w:r>
              <w:t xml:space="preserve">(Q19)</w:t>
            </w:r>
          </w:p>
        </w:tc>
        <w:tc>
          <w:tcPr/>
          <w:p>
            <w:pPr>
              <w:pStyle w:val="Compact"/>
              <w:jc w:val="left"/>
            </w:pPr>
            <w:r>
              <w:t xml:space="preserve">The State DIA basis is not a City eligibility criterion under §9-5-19(B). Okonkwo qualifies on the City’s R3-residency and expunged-conviction bases; disregard the Form’s DIA option for City eligibility.</w:t>
            </w:r>
          </w:p>
        </w:tc>
      </w:tr>
      <w:tr>
        <w:tc>
          <w:tcPr/>
          <w:p>
            <w:pPr>
              <w:pStyle w:val="Compact"/>
              <w:jc w:val="left"/>
            </w:pPr>
            <w:r>
              <w:t xml:space="preserve">B-12</w:t>
            </w:r>
          </w:p>
        </w:tc>
        <w:tc>
          <w:tcPr/>
          <w:p>
            <w:pPr>
              <w:pStyle w:val="Compact"/>
              <w:jc w:val="left"/>
            </w:pPr>
            <w:r>
              <w:t xml:space="preserve">Coordinator contact (City documents)</w:t>
            </w:r>
          </w:p>
        </w:tc>
        <w:tc>
          <w:tcPr/>
          <w:p>
            <w:pPr>
              <w:pStyle w:val="Compact"/>
              <w:jc w:val="left"/>
            </w:pPr>
            <w:r>
              <w:t xml:space="preserve">—</w:t>
            </w:r>
          </w:p>
        </w:tc>
        <w:tc>
          <w:tcPr/>
          <w:p>
            <w:pPr>
              <w:pStyle w:val="Compact"/>
              <w:jc w:val="left"/>
            </w:pPr>
            <w:r>
              <w:t xml:space="preserve">(847) 448-4311; rvasquezmorris@cityofevanston.org</w:t>
            </w:r>
          </w:p>
        </w:tc>
        <w:tc>
          <w:tcPr/>
          <w:p>
            <w:pPr>
              <w:pStyle w:val="Compact"/>
              <w:jc w:val="left"/>
            </w:pPr>
            <w:r>
              <w:t xml:space="preserve">(847) 448-8163; rvasquez-morris@cityofevanston.org</w:t>
            </w:r>
          </w:p>
        </w:tc>
        <w:tc>
          <w:tcPr/>
          <w:p>
            <w:pPr>
              <w:pStyle w:val="Compact"/>
              <w:jc w:val="left"/>
            </w:pPr>
            <w:r>
              <w:t xml:space="preserve">The City’s own coordinator phone and email differ between the Guide and the Form. Confirm the correct contact with the Department before submission.</w:t>
            </w:r>
          </w:p>
        </w:tc>
      </w:tr>
    </w:tbl>
    <w:p>
      <w:r>
        <w:pict>
          <v:rect style="width:0;height:1.5pt" o:hralign="center" o:hrstd="t" o:hr="t"/>
        </w:pict>
      </w:r>
    </w:p>
    <w:bookmarkEnd w:id="36"/>
    <w:bookmarkStart w:id="37" w:name="X89092f7f2aff0a90f8878ee6509edb04cea3f2c"/>
    <w:p>
      <w:pPr>
        <w:pStyle w:val="Heading2"/>
      </w:pPr>
      <w:r>
        <w:t xml:space="preserve">6. Part C — Critical Timeline Analysis: State Conditional License</w:t>
      </w:r>
    </w:p>
    <w:p>
      <w:pPr>
        <w:pStyle w:val="FirstParagraph"/>
      </w:pPr>
      <w:r>
        <w:rPr>
          <w:b/>
          <w:bCs/>
        </w:rPr>
        <w:t xml:space="preserve">Facts.</w:t>
      </w:r>
      <w:r>
        <w:t xml:space="preserve"> </w:t>
      </w:r>
      <w:r>
        <w:t xml:space="preserve">State Conditional Adult-Use Dispensing Organization License ADC-285-0147 was issued September 22, 2023 and</w:t>
      </w:r>
      <w:r>
        <w:t xml:space="preserve"> </w:t>
      </w:r>
      <w:r>
        <w:rPr>
          <w:b/>
          <w:bCs/>
        </w:rPr>
        <w:t xml:space="preserve">expires September 21, 2024</w:t>
      </w:r>
      <w:r>
        <w:t xml:space="preserve"> </w:t>
      </w:r>
      <w:r>
        <w:t xml:space="preserve">(one-year term). The State license (Condition 2) requires a complete conversion application within</w:t>
      </w:r>
      <w:r>
        <w:t xml:space="preserve"> </w:t>
      </w:r>
      <w:r>
        <w:rPr>
          <w:b/>
          <w:bCs/>
        </w:rPr>
        <w:t xml:space="preserve">180 days of the date of issuance of the final local dispensary permit</w:t>
      </w:r>
      <w:r>
        <w:t xml:space="preserve">. The local permit cannot issue unless the applicant holds a valid State license at that moment (§9-5-11(I)).</w:t>
      </w:r>
    </w:p>
    <w:p>
      <w:pPr>
        <w:pStyle w:val="BodyText"/>
      </w:pPr>
      <w:r>
        <w:rPr>
          <w:b/>
          <w:bCs/>
        </w:rPr>
        <w:t xml:space="preserve">Local processing estimate.</w:t>
      </w:r>
      <w:r>
        <w:t xml:space="preserve"> </w:t>
      </w:r>
      <w:r>
        <w:t xml:space="preserve">The Guide estimates 120–150 days from submission to City Council action, plus up to 30 days to assemble pre-issuance items. The Ordinance sets a 90-day outer limit for the completeness determination (§9-5-7(C)), a public hearing within 45 days of completeness (§9-5-7(D)), and then City Council action.</w:t>
      </w:r>
    </w:p>
    <w:p>
      <w:pPr>
        <w:pStyle w:val="BodyText"/>
      </w:pPr>
      <w:r>
        <w:rPr>
          <w:b/>
          <w:bCs/>
        </w:rPr>
        <w:t xml:space="preserve">Applicant’s own timeline (business plan §9.1):</w:t>
      </w:r>
      <w:r>
        <w:t xml:space="preserve"> </w:t>
      </w:r>
      <w:r>
        <w:t xml:space="preserve">May 15, 2024 submission → mid-August 2024 completeness → September–October 2024 public hearing →</w:t>
      </w:r>
      <w:r>
        <w:t xml:space="preserve"> </w:t>
      </w:r>
      <w:r>
        <w:t xml:space="preserve">“</w:t>
      </w:r>
      <w:r>
        <w:t xml:space="preserve">Late Q3 or Early Q4 2024</w:t>
      </w:r>
      <w:r>
        <w:t xml:space="preserve">”</w:t>
      </w:r>
      <w:r>
        <w:t xml:space="preserve"> </w:t>
      </w:r>
      <w:r>
        <w:t xml:space="preserve">local permit issuance.</w:t>
      </w:r>
    </w:p>
    <w:p>
      <w:pPr>
        <w:pStyle w:val="BodyText"/>
      </w:pPr>
      <w:r>
        <w:rPr>
          <w:b/>
          <w:bCs/>
        </w:rPr>
        <w:t xml:space="preserve">The gap.</w:t>
      </w:r>
      <w:r>
        <w:t xml:space="preserve"> </w:t>
      </w:r>
      <w:r>
        <w:t xml:space="preserve">Even on the applicant’s optimistic timeline, local permit issuance falls in late September to November 2024 —</w:t>
      </w:r>
      <w:r>
        <w:t xml:space="preserve"> </w:t>
      </w:r>
      <w:r>
        <w:rPr>
          <w:b/>
          <w:bCs/>
        </w:rPr>
        <w:t xml:space="preserve">at or after the September 21, 2024 expiration of the conditional license.</w:t>
      </w:r>
      <w:r>
        <w:t xml:space="preserve"> </w:t>
      </w:r>
      <w:r>
        <w:t xml:space="preserve">On the City’s 120–150 day estimate, permit issuance is October–November 2024, plainly after expiration.</w:t>
      </w:r>
    </w:p>
    <w:p>
      <w:pPr>
        <w:pStyle w:val="BodyText"/>
      </w:pPr>
      <w:r>
        <w:rPr>
          <w:b/>
          <w:bCs/>
        </w:rPr>
        <w:t xml:space="preserve">Consequences if unaddressed:</w:t>
      </w:r>
      <w:r>
        <w:t xml:space="preserve"> </w:t>
      </w:r>
      <w:r>
        <w:t xml:space="preserve">- The conditional license lapses before the local permit issues, so §9-5-11(I) (valid State license at issuance) cannot be satisfied — the local permit cannot issue.</w:t>
      </w:r>
      <w:r>
        <w:t xml:space="preserve"> </w:t>
      </w:r>
      <w:r>
        <w:t xml:space="preserve">- The 180-day State conversion clock cannot start on an expired conditional license; the conversion pathway is lost.</w:t>
      </w:r>
      <w:r>
        <w:t xml:space="preserve"> </w:t>
      </w:r>
      <w:r>
        <w:t xml:space="preserve">- Under State license Condition 3 and Section 5(a), failure to satisfy conversion conditions within the validity period can render the conditional license</w:t>
      </w:r>
      <w:r>
        <w:t xml:space="preserve"> </w:t>
      </w:r>
      <w:r>
        <w:t xml:space="preserve">“</w:t>
      </w:r>
      <w:r>
        <w:t xml:space="preserve">abandoned.</w:t>
      </w:r>
      <w:r>
        <w:t xml:space="preserve">”</w:t>
      </w:r>
    </w:p>
    <w:p>
      <w:pPr>
        <w:pStyle w:val="BodyText"/>
      </w:pPr>
      <w:r>
        <w:rPr>
          <w:b/>
          <w:bCs/>
        </w:rPr>
        <w:t xml:space="preserve">Remediation.</w:t>
      </w:r>
      <w:r>
        <w:t xml:space="preserve"> </w:t>
      </w:r>
      <w:r>
        <w:t xml:space="preserve">1.</w:t>
      </w:r>
      <w:r>
        <w:t xml:space="preserve"> </w:t>
      </w:r>
      <w:r>
        <w:rPr>
          <w:b/>
          <w:bCs/>
        </w:rPr>
        <w:t xml:space="preserve">File a State extension petition immediately.</w:t>
      </w:r>
      <w:r>
        <w:t xml:space="preserve"> </w:t>
      </w:r>
      <w:r>
        <w:t xml:space="preserve">State license Condition 4 permits a single extension of up to six months, but the petition must be filed</w:t>
      </w:r>
      <w:r>
        <w:t xml:space="preserve"> </w:t>
      </w:r>
      <w:r>
        <w:rPr>
          <w:b/>
          <w:bCs/>
        </w:rPr>
        <w:t xml:space="preserve">no later than 60 days before expiration — i.e., by approximately July 23, 2024</w:t>
      </w:r>
      <w:r>
        <w:t xml:space="preserve"> </w:t>
      </w:r>
      <w:r>
        <w:t xml:space="preserve">— with documented good cause (e.g., local-government approval delays). A six-month extension would carry the conditional license to approximately March 21, 2025, bridging the local permitting and conversion process.</w:t>
      </w:r>
      <w:r>
        <w:t xml:space="preserve"> </w:t>
      </w:r>
      <w:r>
        <w:t xml:space="preserve">2.</w:t>
      </w:r>
      <w:r>
        <w:t xml:space="preserve"> </w:t>
      </w:r>
      <w:r>
        <w:rPr>
          <w:b/>
          <w:bCs/>
        </w:rPr>
        <w:t xml:space="preserve">Submit the local application as early as possible</w:t>
      </w:r>
      <w:r>
        <w:t xml:space="preserve"> </w:t>
      </w:r>
      <w:r>
        <w:t xml:space="preserve">within the window (it opened February 1, 2024) rather than waiting until the May 15 target, to maximize the chance of permit issuance before expiration.</w:t>
      </w:r>
      <w:r>
        <w:t xml:space="preserve"> </w:t>
      </w:r>
      <w:r>
        <w:t xml:space="preserve">3.</w:t>
      </w:r>
      <w:r>
        <w:t xml:space="preserve"> </w:t>
      </w:r>
      <w:r>
        <w:rPr>
          <w:b/>
          <w:bCs/>
        </w:rPr>
        <w:t xml:space="preserve">Coordinate the conversion application</w:t>
      </w:r>
      <w:r>
        <w:t xml:space="preserve"> </w:t>
      </w:r>
      <w:r>
        <w:t xml:space="preserve">with Hargrove &amp; Sinclair so that, upon local permit issuance, the $100,000 conversion fee and operational-readiness package are submitted to IDFPR well within the 180-day window (and within any extended conditional-license term).</w:t>
      </w:r>
    </w:p>
    <w:p>
      <w:pPr>
        <w:pStyle w:val="BodyText"/>
      </w:pPr>
      <w:r>
        <w:t xml:space="preserve">This is the single highest-risk item in the package and is not addressed in any of the applicant’s documents.</w:t>
      </w:r>
    </w:p>
    <w:p>
      <w:r>
        <w:pict>
          <v:rect style="width:0;height:1.5pt" o:hralign="center" o:hrstd="t" o:hr="t"/>
        </w:pict>
      </w:r>
    </w:p>
    <w:bookmarkEnd w:id="37"/>
    <w:bookmarkStart w:id="38" w:name="part-d-application-scoring-impact"/>
    <w:p>
      <w:pPr>
        <w:pStyle w:val="Heading2"/>
      </w:pPr>
      <w:r>
        <w:t xml:space="preserve">7. Part D — Application Scoring Impact</w:t>
      </w:r>
    </w:p>
    <w:p>
      <w:pPr>
        <w:pStyle w:val="FirstParagraph"/>
      </w:pPr>
      <w:r>
        <w:t xml:space="preserve">The Ordinance scoring rubric (§9-5-10) totals 250 base points plus a 20-point social-equity bonus (270 maximum). Based on the package as it currently stands, the following scoring categories are materially affected by identified deficiencies: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 (max)</w:t>
            </w:r>
          </w:p>
        </w:tc>
        <w:tc>
          <w:tcPr/>
          <w:p>
            <w:pPr>
              <w:pStyle w:val="Compact"/>
              <w:jc w:val="left"/>
            </w:pPr>
            <w:r>
              <w:t xml:space="preserve">Impact of current deficiencies</w:t>
            </w:r>
          </w:p>
        </w:tc>
      </w:tr>
      <w:tr>
        <w:tc>
          <w:tcPr/>
          <w:p>
            <w:pPr>
              <w:pStyle w:val="Compact"/>
              <w:jc w:val="left"/>
            </w:pPr>
            <w:r>
              <w:t xml:space="preserve">Business Plan (60)</w:t>
            </w:r>
          </w:p>
        </w:tc>
        <w:tc>
          <w:tcPr/>
          <w:p>
            <w:pPr>
              <w:pStyle w:val="Compact"/>
              <w:jc w:val="left"/>
            </w:pPr>
            <w:r>
              <w:t xml:space="preserve">Strong submission; minimal impact. Clarify FT/PT split.</w:t>
            </w:r>
          </w:p>
        </w:tc>
      </w:tr>
      <w:tr>
        <w:tc>
          <w:tcPr/>
          <w:p>
            <w:pPr>
              <w:pStyle w:val="Compact"/>
              <w:jc w:val="left"/>
            </w:pPr>
            <w:r>
              <w:t xml:space="preserve">Security Plan (50)</w:t>
            </w:r>
          </w:p>
        </w:tc>
        <w:tc>
          <w:tcPr/>
          <w:p>
            <w:pPr>
              <w:pStyle w:val="Compact"/>
              <w:jc w:val="left"/>
            </w:pPr>
            <w:r>
              <w:t xml:space="preserve">Cannot be fully scored — the complete security plan is not in the package; consultant qualifications not stated. Risk of reduced score until attached.</w:t>
            </w:r>
          </w:p>
        </w:tc>
      </w:tr>
      <w:tr>
        <w:tc>
          <w:tcPr/>
          <w:p>
            <w:pPr>
              <w:pStyle w:val="Compact"/>
              <w:jc w:val="left"/>
            </w:pPr>
            <w:r>
              <w:t xml:space="preserve">Community Benefits Plan (40)</w:t>
            </w:r>
          </w:p>
        </w:tc>
        <w:tc>
          <w:tcPr/>
          <w:p>
            <w:pPr>
              <w:pStyle w:val="Compact"/>
              <w:jc w:val="left"/>
            </w:pPr>
            <w:r>
              <w:t xml:space="preserve">Substantively addressed; strengthen by naming specific beneficiary organizations.</w:t>
            </w:r>
          </w:p>
        </w:tc>
      </w:tr>
      <w:tr>
        <w:tc>
          <w:tcPr/>
          <w:p>
            <w:pPr>
              <w:pStyle w:val="Compact"/>
              <w:jc w:val="left"/>
            </w:pPr>
            <w:r>
              <w:t xml:space="preserve">Financial Viability (30)</w:t>
            </w:r>
          </w:p>
        </w:tc>
        <w:tc>
          <w:tcPr/>
          <w:p>
            <w:pPr>
              <w:pStyle w:val="Compact"/>
              <w:jc w:val="left"/>
            </w:pPr>
            <w:r>
              <w:rPr>
                <w:b/>
                <w:bCs/>
              </w:rPr>
              <w:t xml:space="preserve">Lose 10 of 10 bonding-capacity points</w:t>
            </w:r>
            <w:r>
              <w:t xml:space="preserve"> </w:t>
            </w:r>
            <w:r>
              <w:t xml:space="preserve">(no commitment letter — Form rubric). Capitalization not independently evidenced.</w:t>
            </w:r>
          </w:p>
        </w:tc>
      </w:tr>
      <w:tr>
        <w:tc>
          <w:tcPr/>
          <w:p>
            <w:pPr>
              <w:pStyle w:val="Compact"/>
              <w:jc w:val="left"/>
            </w:pPr>
            <w:r>
              <w:t xml:space="preserve">Diversity &amp; Inclusion Plan (25)</w:t>
            </w:r>
          </w:p>
        </w:tc>
        <w:tc>
          <w:tcPr/>
          <w:p>
            <w:pPr>
              <w:pStyle w:val="Compact"/>
              <w:jc w:val="left"/>
            </w:pPr>
            <w:r>
              <w:t xml:space="preserve">Reduced score — no named workforce-development partners, timeline, or contingency plan for the 50% R3 hiring pipeline (§9-5-20(C)).</w:t>
            </w:r>
          </w:p>
        </w:tc>
      </w:tr>
      <w:tr>
        <w:tc>
          <w:tcPr/>
          <w:p>
            <w:pPr>
              <w:pStyle w:val="Compact"/>
              <w:jc w:val="left"/>
            </w:pPr>
            <w:r>
              <w:t xml:space="preserve">Environmental Sustainability Plan (20)</w:t>
            </w:r>
          </w:p>
        </w:tc>
        <w:tc>
          <w:tcPr/>
          <w:p>
            <w:pPr>
              <w:pStyle w:val="Compact"/>
              <w:jc w:val="left"/>
            </w:pPr>
            <w:r>
              <w:rPr>
                <w:b/>
                <w:bCs/>
              </w:rPr>
              <w:t xml:space="preserve">At risk of very low score</w:t>
            </w:r>
            <w:r>
              <w:t xml:space="preserve"> </w:t>
            </w:r>
            <w:r>
              <w:t xml:space="preserve">— no standalone plan in the package.</w:t>
            </w:r>
          </w:p>
        </w:tc>
      </w:tr>
      <w:tr>
        <w:tc>
          <w:tcPr/>
          <w:p>
            <w:pPr>
              <w:pStyle w:val="Compact"/>
              <w:jc w:val="left"/>
            </w:pPr>
            <w:r>
              <w:t xml:space="preserve">Experience &amp; Qualifications (25)</w:t>
            </w:r>
          </w:p>
        </w:tc>
        <w:tc>
          <w:tcPr/>
          <w:p>
            <w:pPr>
              <w:pStyle w:val="Compact"/>
              <w:jc w:val="left"/>
            </w:pPr>
            <w:r>
              <w:t xml:space="preserve">Supported by Okonkwo (pharmacist) and Ramachandran (operations VP); attach resumes (Appendix B).</w:t>
            </w:r>
          </w:p>
        </w:tc>
      </w:tr>
      <w:tr>
        <w:tc>
          <w:tcPr/>
          <w:p>
            <w:pPr>
              <w:pStyle w:val="Compact"/>
              <w:jc w:val="left"/>
            </w:pPr>
            <w:r>
              <w:t xml:space="preserve">Social Equity Bonus (20)</w:t>
            </w:r>
          </w:p>
        </w:tc>
        <w:tc>
          <w:tcPr/>
          <w:p>
            <w:pPr>
              <w:pStyle w:val="Compact"/>
              <w:jc w:val="left"/>
            </w:pPr>
            <w:r>
              <w:t xml:space="preserve">Eligible once 24-month R3 residency and expungement documentation are provided and commitments signed.</w:t>
            </w:r>
          </w:p>
        </w:tc>
      </w:tr>
    </w:tbl>
    <w:p>
      <w:pPr>
        <w:pStyle w:val="BodyText"/>
      </w:pPr>
      <w:r>
        <w:rPr>
          <w:b/>
          <w:bCs/>
        </w:rPr>
        <w:t xml:space="preserve">Estimated avoidable point loss if deficiencies are cured before submission:</w:t>
      </w:r>
      <w:r>
        <w:t xml:space="preserve"> </w:t>
      </w:r>
      <w:r>
        <w:t xml:space="preserve">at least 10 (bonding) + material portions of Environmental (20), Diversity (25), and Security (50) categories. Curing these is well worth the effort given the competitive, scored process and the tiebreaker rules in §9-5-10(D).</w:t>
      </w:r>
    </w:p>
    <w:p>
      <w:r>
        <w:pict>
          <v:rect style="width:0;height:1.5pt" o:hralign="center" o:hrstd="t" o:hr="t"/>
        </w:pict>
      </w:r>
    </w:p>
    <w:bookmarkEnd w:id="38"/>
    <w:bookmarkStart w:id="43" w:name="Xce97ae18bf35bb35028f0c6ca7bf6123dbd54da"/>
    <w:p>
      <w:pPr>
        <w:pStyle w:val="Heading2"/>
      </w:pPr>
      <w:r>
        <w:t xml:space="preserve">8. Part E — Prioritized Remediation Action Plan</w:t>
      </w:r>
    </w:p>
    <w:bookmarkStart w:id="39" w:name="Xc93745d6a4c6338fff1fa87c4c9027f0f4d196f"/>
    <w:p>
      <w:pPr>
        <w:pStyle w:val="Heading3"/>
      </w:pPr>
      <w:r>
        <w:t xml:space="preserve">Tier 1 — Critical (resolve before submission; failure likely renders application incomplete or unviable)</w:t>
      </w:r>
    </w:p>
    <w:p>
      <w:pPr>
        <w:pStyle w:val="Compact"/>
        <w:numPr>
          <w:ilvl w:val="0"/>
          <w:numId w:val="1002"/>
        </w:numPr>
      </w:pPr>
      <w:r>
        <w:rPr>
          <w:b/>
          <w:bCs/>
        </w:rPr>
        <w:t xml:space="preserve">Obtain the Illinois-licensed P.E. odor-mitigation certification</w:t>
      </w:r>
      <w:r>
        <w:t xml:space="preserve"> </w:t>
      </w:r>
      <w:r>
        <w:t xml:space="preserve">and finalize HVAC/carbon-filtration specifications (E-3). Non-waivable; Form states the application</w:t>
      </w:r>
      <w:r>
        <w:t xml:space="preserve"> </w:t>
      </w:r>
      <w:r>
        <w:t xml:space="preserve">“</w:t>
      </w:r>
      <w:r>
        <w:t xml:space="preserve">will not proceed to scoring</w:t>
      </w:r>
      <w:r>
        <w:t xml:space="preserve">”</w:t>
      </w:r>
      <w:r>
        <w:t xml:space="preserve"> </w:t>
      </w:r>
      <w:r>
        <w:t xml:space="preserve">without it.</w:t>
      </w:r>
    </w:p>
    <w:p>
      <w:pPr>
        <w:pStyle w:val="Compact"/>
        <w:numPr>
          <w:ilvl w:val="0"/>
          <w:numId w:val="1002"/>
        </w:numPr>
      </w:pPr>
      <w:r>
        <w:rPr>
          <w:b/>
          <w:bCs/>
        </w:rPr>
        <w:t xml:space="preserve">Obtain a formal bonding-capacity commitment letter</w:t>
      </w:r>
      <w:r>
        <w:t xml:space="preserve"> </w:t>
      </w:r>
      <w:r>
        <w:t xml:space="preserve">from Thornfield Surety Group or Ridgeline Community Bank, on letterhead, signed, dated within 60 days of submission (I-1). Restores 10 Financial Viability points.</w:t>
      </w:r>
    </w:p>
    <w:p>
      <w:pPr>
        <w:pStyle w:val="Compact"/>
        <w:numPr>
          <w:ilvl w:val="0"/>
          <w:numId w:val="1002"/>
        </w:numPr>
      </w:pPr>
      <w:r>
        <w:rPr>
          <w:b/>
          <w:bCs/>
        </w:rPr>
        <w:t xml:space="preserve">File a State conditional-license extension petition by ~July 23, 2024</w:t>
      </w:r>
      <w:r>
        <w:t xml:space="preserve"> </w:t>
      </w:r>
      <w:r>
        <w:t xml:space="preserve">and consider earlier local submission (B-3 / Part C). Protects the entire project timeline.</w:t>
      </w:r>
    </w:p>
    <w:p>
      <w:pPr>
        <w:pStyle w:val="Compact"/>
        <w:numPr>
          <w:ilvl w:val="0"/>
          <w:numId w:val="1002"/>
        </w:numPr>
      </w:pPr>
      <w:r>
        <w:rPr>
          <w:b/>
          <w:bCs/>
        </w:rPr>
        <w:t xml:space="preserve">Hold a third community engagement session</w:t>
      </w:r>
      <w:r>
        <w:t xml:space="preserve"> </w:t>
      </w:r>
      <w:r>
        <w:t xml:space="preserve">with ≥14-day newspaper and website notice, and correct notice content to include a telephone number and an accurate use description (F-3, F-4). The two-session minimum is non-waivable.</w:t>
      </w:r>
    </w:p>
    <w:p>
      <w:pPr>
        <w:pStyle w:val="Compact"/>
        <w:numPr>
          <w:ilvl w:val="0"/>
          <w:numId w:val="1002"/>
        </w:numPr>
      </w:pPr>
      <w:r>
        <w:rPr>
          <w:b/>
          <w:bCs/>
        </w:rPr>
        <w:t xml:space="preserve">Complete the official Application Form</w:t>
      </w:r>
      <w:r>
        <w:t xml:space="preserve"> </w:t>
      </w:r>
      <w:r>
        <w:t xml:space="preserve">in full, sign, and notarize, ensuring consistency with all exhibits (J-1).</w:t>
      </w:r>
    </w:p>
    <w:bookmarkEnd w:id="39"/>
    <w:bookmarkStart w:id="40" w:name="X96dfe762101e525007e2df452c544fd7419c1c9"/>
    <w:p>
      <w:pPr>
        <w:pStyle w:val="Heading3"/>
      </w:pPr>
      <w:r>
        <w:t xml:space="preserve">Tier 2 — Major (curable; assemble before submission to avoid a deficiency notice)</w:t>
      </w:r>
    </w:p>
    <w:p>
      <w:pPr>
        <w:pStyle w:val="Compact"/>
        <w:numPr>
          <w:ilvl w:val="0"/>
          <w:numId w:val="1003"/>
        </w:numPr>
      </w:pPr>
      <w:r>
        <w:t xml:space="preserve">Execute principal-officer disclosure forms, attach photo IDs and ≤90-day proof of residency, complete background-check authorizations and fingerprinting, and complete criminal-history and prior-license disclosures (A-5 through A-10).</w:t>
      </w:r>
    </w:p>
    <w:p>
      <w:pPr>
        <w:pStyle w:val="Compact"/>
        <w:numPr>
          <w:ilvl w:val="0"/>
          <w:numId w:val="1003"/>
        </w:numPr>
      </w:pPr>
      <w:r>
        <w:t xml:space="preserve">Attach Articles, Operating Agreement, EIN letter, Certificate of Good Standing (≤30 days), and the organizational chart (A-1, A-2, A-3).</w:t>
      </w:r>
    </w:p>
    <w:p>
      <w:pPr>
        <w:pStyle w:val="Compact"/>
        <w:numPr>
          <w:ilvl w:val="0"/>
          <w:numId w:val="1003"/>
        </w:numPr>
      </w:pPr>
      <w:r>
        <w:t xml:space="preserve">Obtain a refreshed (≤60-day) pedestrian-route buffer survey and complete Form Q8 for other sensitive uses (D-4, D-5, D-7).</w:t>
      </w:r>
    </w:p>
    <w:p>
      <w:pPr>
        <w:pStyle w:val="Compact"/>
        <w:numPr>
          <w:ilvl w:val="0"/>
          <w:numId w:val="1003"/>
        </w:numPr>
      </w:pPr>
      <w:r>
        <w:t xml:space="preserve">File the special-use application with the ZBA and attach evidence of filing (C-7).</w:t>
      </w:r>
    </w:p>
    <w:p>
      <w:pPr>
        <w:pStyle w:val="Compact"/>
        <w:numPr>
          <w:ilvl w:val="0"/>
          <w:numId w:val="1003"/>
        </w:numPr>
      </w:pPr>
      <w:r>
        <w:t xml:space="preserve">Attach the architect/engineer-certified site plan and floor plan with camera/POS/vault/ADA detail (C-4).</w:t>
      </w:r>
    </w:p>
    <w:p>
      <w:pPr>
        <w:pStyle w:val="Compact"/>
        <w:numPr>
          <w:ilvl w:val="0"/>
          <w:numId w:val="1003"/>
        </w:numPr>
      </w:pPr>
      <w:r>
        <w:t xml:space="preserve">Attach the complete security plan with consultant qualifications; confirm alleyway camera coverage and quarterly panic-alarm testing (E-2).</w:t>
      </w:r>
    </w:p>
    <w:p>
      <w:pPr>
        <w:pStyle w:val="Compact"/>
        <w:numPr>
          <w:ilvl w:val="0"/>
          <w:numId w:val="1003"/>
        </w:numPr>
      </w:pPr>
      <w:r>
        <w:t xml:space="preserve">Prepare and attach standalone Environmental Sustainability, Waste Disposal, and Diversity &amp; Inclusion plans; name specific workforce-development partners and a hiring timeline/contingency (E-4, E-5, G-2, G-3).</w:t>
      </w:r>
    </w:p>
    <w:p>
      <w:pPr>
        <w:pStyle w:val="Compact"/>
        <w:numPr>
          <w:ilvl w:val="0"/>
          <w:numId w:val="1003"/>
        </w:numPr>
      </w:pPr>
      <w:r>
        <w:t xml:space="preserve">Document ≥24-month R3 residency and attach the expungement order; execute the social-equity commitment letters (G-4, G-5, G-7, G-8).</w:t>
      </w:r>
    </w:p>
    <w:p>
      <w:pPr>
        <w:pStyle w:val="Compact"/>
        <w:numPr>
          <w:ilvl w:val="0"/>
          <w:numId w:val="1003"/>
        </w:numPr>
      </w:pPr>
      <w:r>
        <w:t xml:space="preserve">Confirm Agent-in-Charge Agent ID Card (or application pending) and the signed compliance statement; plan for 30-minute return capability (E-9, B-9).</w:t>
      </w:r>
    </w:p>
    <w:p>
      <w:pPr>
        <w:pStyle w:val="Compact"/>
        <w:numPr>
          <w:ilvl w:val="0"/>
          <w:numId w:val="1003"/>
        </w:numPr>
      </w:pPr>
      <w:r>
        <w:t xml:space="preserve">Name the seed-to-sale vendor consistently and attach the COMPASS-integration confirmation letter (E-6).</w:t>
      </w:r>
    </w:p>
    <w:p>
      <w:pPr>
        <w:pStyle w:val="Compact"/>
        <w:numPr>
          <w:ilvl w:val="0"/>
          <w:numId w:val="1003"/>
        </w:numPr>
      </w:pPr>
      <w:r>
        <w:t xml:space="preserve">Attach capitalization evidence (bank statements dated within 30 days) (I-3).</w:t>
      </w:r>
    </w:p>
    <w:p>
      <w:pPr>
        <w:pStyle w:val="Compact"/>
        <w:numPr>
          <w:ilvl w:val="0"/>
          <w:numId w:val="1003"/>
        </w:numPr>
      </w:pPr>
      <w:r>
        <w:t xml:space="preserve">Bind (or obtain a commitment letter for) cannabis crime/theft insurance; bind workers’ compensation with ≥$1M Employer’s Liability; add the City as additional insured on CGL/Product Liability; state carrier AM Best ratings (H-3, H-4, H-6, H-7).</w:t>
      </w:r>
    </w:p>
    <w:p>
      <w:pPr>
        <w:pStyle w:val="Compact"/>
        <w:numPr>
          <w:ilvl w:val="0"/>
          <w:numId w:val="1003"/>
        </w:numPr>
      </w:pPr>
      <w:r>
        <w:t xml:space="preserve">Remit the $5,000 fee by certified/cashier’s check; assemble three hard-copy sets + USB/PDF; add an indexing cover sheet (J-2, J-3, J-5).</w:t>
      </w:r>
    </w:p>
    <w:bookmarkEnd w:id="40"/>
    <w:bookmarkStart w:id="41" w:name="X43de26446e959208f4ca73d67db057624988f89"/>
    <w:p>
      <w:pPr>
        <w:pStyle w:val="Heading3"/>
      </w:pPr>
      <w:r>
        <w:t xml:space="preserve">Tier 3 — Minor / consistency (correct before submission)</w:t>
      </w:r>
    </w:p>
    <w:p>
      <w:pPr>
        <w:pStyle w:val="Compact"/>
        <w:numPr>
          <w:ilvl w:val="0"/>
          <w:numId w:val="1004"/>
        </w:numPr>
      </w:pPr>
      <w:r>
        <w:t xml:space="preserve">Reconcile the registered-agent name (Northwest vs. Keystone), contact telephone ((872) vs. (847) 555-0193), email addresses (three variants), and parking count (8 vs. 12) across all documents (A-4, C-9, F-4).</w:t>
      </w:r>
    </w:p>
    <w:p>
      <w:pPr>
        <w:pStyle w:val="Compact"/>
        <w:numPr>
          <w:ilvl w:val="0"/>
          <w:numId w:val="1004"/>
        </w:numPr>
      </w:pPr>
      <w:r>
        <w:t xml:space="preserve">Clarify adult-use vs. medical scope to match the State license (B-5).</w:t>
      </w:r>
    </w:p>
    <w:p>
      <w:pPr>
        <w:pStyle w:val="Compact"/>
        <w:numPr>
          <w:ilvl w:val="0"/>
          <w:numId w:val="1004"/>
        </w:numPr>
      </w:pPr>
      <w:r>
        <w:t xml:space="preserve">Correct the</w:t>
      </w:r>
      <w:r>
        <w:t xml:space="preserve"> </w:t>
      </w:r>
      <w:r>
        <w:t xml:space="preserve">“</w:t>
      </w:r>
      <w:r>
        <w:t xml:space="preserve">State R3 designation</w:t>
      </w:r>
      <w:r>
        <w:t xml:space="preserve">”</w:t>
      </w:r>
      <w:r>
        <w:t xml:space="preserve"> </w:t>
      </w:r>
      <w:r>
        <w:t xml:space="preserve">characterization (R3 is a City designation) (G-9).</w:t>
      </w:r>
    </w:p>
    <w:p>
      <w:pPr>
        <w:pStyle w:val="Compact"/>
        <w:numPr>
          <w:ilvl w:val="0"/>
          <w:numId w:val="1004"/>
        </w:numPr>
      </w:pPr>
      <w:r>
        <w:t xml:space="preserve">Confirm the one-dispensary-per-block analysis (C-8).</w:t>
      </w:r>
    </w:p>
    <w:p>
      <w:pPr>
        <w:pStyle w:val="Compact"/>
        <w:numPr>
          <w:ilvl w:val="0"/>
          <w:numId w:val="1004"/>
        </w:numPr>
      </w:pPr>
      <w:r>
        <w:t xml:space="preserve">Attach community-engagement website-posting confirmations and a publisher’s affidavit; address written comments (F-6, F-7).</w:t>
      </w:r>
    </w:p>
    <w:bookmarkEnd w:id="41"/>
    <w:bookmarkStart w:id="42" w:name="X4e9b79b614c310f34b620b2c0b8fbab56ae52d7"/>
    <w:p>
      <w:pPr>
        <w:pStyle w:val="Heading3"/>
      </w:pPr>
      <w:r>
        <w:t xml:space="preserve">Tier 4 — Informational (raise with the Coordinator)</w:t>
      </w:r>
    </w:p>
    <w:p>
      <w:pPr>
        <w:pStyle w:val="Compact"/>
        <w:numPr>
          <w:ilvl w:val="0"/>
          <w:numId w:val="1005"/>
        </w:numPr>
      </w:pPr>
      <w:r>
        <w:t xml:space="preserve">Raise the cross-document discrepancies in Part B (cure period, occupancy formula, buffer methodology, Good Standing recency, zoning list, fee payment methods, AIC availability, coordinator contact) and request written confirmation of the controlling interpretation.</w:t>
      </w:r>
    </w:p>
    <w:p>
      <w:r>
        <w:pict>
          <v:rect style="width:0;height:1.5pt" o:hralign="center" o:hrstd="t" o:hr="t"/>
        </w:pict>
      </w:r>
    </w:p>
    <w:bookmarkEnd w:id="42"/>
    <w:bookmarkEnd w:id="43"/>
    <w:bookmarkStart w:id="44" w:name="closing-note"/>
    <w:p>
      <w:pPr>
        <w:pStyle w:val="Heading2"/>
      </w:pPr>
      <w:r>
        <w:t xml:space="preserve">9. Closing Note</w:t>
      </w:r>
    </w:p>
    <w:p>
      <w:pPr>
        <w:pStyle w:val="FirstParagraph"/>
      </w:pPr>
      <w:r>
        <w:t xml:space="preserve">This matrix reflects the application package as provided. Several</w:t>
      </w:r>
      <w:r>
        <w:t xml:space="preserve"> </w:t>
      </w:r>
      <w:r>
        <w:t xml:space="preserve">“</w:t>
      </w:r>
      <w:r>
        <w:t xml:space="preserve">NOT PROVIDED</w:t>
      </w:r>
      <w:r>
        <w:t xml:space="preserve">”</w:t>
      </w:r>
      <w:r>
        <w:t xml:space="preserve"> </w:t>
      </w:r>
      <w:r>
        <w:t xml:space="preserve">items may exist in completed form outside the documents supplied for review (for example, the standalone security plan, the organizational chart, or executed disclosure forms). Counsel should confirm against the applicant’s full submission binder that each Tier 1 and Tier 2 item is in fact assembled before the package is filed. Where this review marks an item</w:t>
      </w:r>
      <w:r>
        <w:t xml:space="preserve"> </w:t>
      </w:r>
      <w:r>
        <w:t xml:space="preserve">“</w:t>
      </w:r>
      <w:r>
        <w:t xml:space="preserve">NOT PROVIDED</w:t>
      </w:r>
      <w:r>
        <w:t xml:space="preserve">”</w:t>
      </w:r>
      <w:r>
        <w:t xml:space="preserve"> </w:t>
      </w:r>
      <w:r>
        <w:t xml:space="preserve">or</w:t>
      </w:r>
      <w:r>
        <w:t xml:space="preserve"> </w:t>
      </w:r>
      <w:r>
        <w:t xml:space="preserve">“</w:t>
      </w:r>
      <w:r>
        <w:t xml:space="preserve">DATA GAP,</w:t>
      </w:r>
      <w:r>
        <w:t xml:space="preserve">”</w:t>
      </w:r>
      <w:r>
        <w:t xml:space="preserve"> </w:t>
      </w:r>
      <w:r>
        <w:t xml:space="preserve">the absence is noted solely because the item did not appear in the eight documents reviewed; it is not a finding that the applicant cannot produce it.</w:t>
      </w:r>
    </w:p>
    <w:p>
      <w:pPr>
        <w:pStyle w:val="BodyText"/>
      </w:pPr>
      <w:r>
        <w:t xml:space="preserve">The most consequential risks are discrete and actionable: the missing P.E. odor certification, the missing bonding commitment letter, the State conditional-license expiration timeline, and the 12-day Session 2 notice. Resolving those four items, together with completing and notarizing the official Form, would move the package from</w:t>
      </w:r>
      <w:r>
        <w:t xml:space="preserve"> </w:t>
      </w:r>
      <w:r>
        <w:t xml:space="preserve">“</w:t>
      </w:r>
      <w:r>
        <w:t xml:space="preserve">not submission-ready</w:t>
      </w:r>
      <w:r>
        <w:t xml:space="preserve">”</w:t>
      </w:r>
      <w:r>
        <w:t xml:space="preserve"> </w:t>
      </w:r>
      <w:r>
        <w:t xml:space="preserve">to a strong, competitive submission.</w:t>
      </w:r>
    </w:p>
    <w:p>
      <w:pPr>
        <w:pStyle w:val="BodyText"/>
      </w:pPr>
      <w:r>
        <w:rPr>
          <w:i/>
          <w:iCs/>
        </w:rPr>
        <w:t xml:space="preserve">End of Compliance Requirements Matrix.</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2026-06-27T20:34:01Z</dcterms:created>
  <dcterms:modified xsi:type="dcterms:W3CDTF">2026-06-27T20:34:01Z</dcterms:modified>
</cp:coreProperties>
</file>

<file path=docProps/custom.xml><?xml version="1.0" encoding="utf-8"?>
<Properties xmlns="http://schemas.openxmlformats.org/officeDocument/2006/custom-properties" xmlns:vt="http://schemas.openxmlformats.org/officeDocument/2006/docPropsVTypes"/>
</file>