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40"/>
      </w:pPr>
      <w:r>
        <w:rPr>
          <w:b/>
          <w:color w:val="1F3864"/>
          <w:sz w:val="44"/>
        </w:rPr>
        <w:t xml:space="preserve">Buy-Side</w:t>
      </w:r>
      <w:r>
        <w:rPr>
          <w:b/>
          <w:color w:val="1F3864"/>
          <w:sz w:val="44"/>
        </w:rPr>
        <w:t xml:space="preserve"> </w:t>
      </w:r>
      <w:r>
        <w:rPr>
          <w:b/>
          <w:color w:val="1F3864"/>
          <w:sz w:val="44"/>
        </w:rPr>
        <w:t xml:space="preserve">CIM</w:t>
      </w:r>
      <w:r>
        <w:rPr>
          <w:b/>
          <w:color w:val="1F3864"/>
          <w:sz w:val="44"/>
        </w:rPr>
        <w:t xml:space="preserve"> </w:t>
      </w:r>
      <w:r>
        <w:rPr>
          <w:b/>
          <w:color w:val="1F3864"/>
          <w:sz w:val="44"/>
        </w:rPr>
        <w:t xml:space="preserve">Analysis</w:t>
      </w:r>
      <w:r>
        <w:rPr>
          <w:b/>
          <w:color w:val="1F3864"/>
          <w:sz w:val="44"/>
        </w:rPr>
        <w:t xml:space="preserve"> </w:t>
      </w:r>
      <w:r>
        <w:rPr>
          <w:b/>
          <w:color w:val="1F3864"/>
          <w:sz w:val="44"/>
        </w:rPr>
        <w:t xml:space="preserve">Memorandum</w:t>
      </w:r>
    </w:p>
    <w:p>
      <w:pPr>
        <w:pStyle w:val="Subtitle"/>
        <w:spacing w:after="160"/>
        <w:pBdr>
          <w:bottom w:val="single" w:sz="8" w:space="4" w:color="1F3864"/>
        </w:pBdr>
        <w:pBdr>
          <w:bottom w:val="single" w:sz="8" w:space="4" w:color="1F3864"/>
        </w:pBdr>
      </w:pPr>
      <w:r>
        <w:rPr>
          <w:i/>
          <w:color w:val="2E5496"/>
          <w:sz w:val="24"/>
        </w:rPr>
        <w:t xml:space="preserve">Cascade</w:t>
      </w:r>
      <w:r>
        <w:rPr>
          <w:i/>
          <w:color w:val="2E5496"/>
          <w:sz w:val="24"/>
        </w:rPr>
        <w:t xml:space="preserve"> </w:t>
      </w:r>
      <w:r>
        <w:rPr>
          <w:i/>
          <w:color w:val="2E5496"/>
          <w:sz w:val="24"/>
        </w:rPr>
        <w:t xml:space="preserve">Environmental</w:t>
      </w:r>
      <w:r>
        <w:rPr>
          <w:i/>
          <w:color w:val="2E5496"/>
          <w:sz w:val="24"/>
        </w:rPr>
        <w:t xml:space="preserve"> </w:t>
      </w:r>
      <w:r>
        <w:rPr>
          <w:i/>
          <w:color w:val="2E5496"/>
          <w:sz w:val="24"/>
        </w:rPr>
        <w:t xml:space="preserve">Solutions,</w:t>
      </w:r>
      <w:r>
        <w:rPr>
          <w:i/>
          <w:color w:val="2E5496"/>
          <w:sz w:val="24"/>
        </w:rPr>
        <w:t xml:space="preserve"> </w:t>
      </w:r>
      <w:r>
        <w:rPr>
          <w:i/>
          <w:color w:val="2E5496"/>
          <w:sz w:val="24"/>
        </w:rPr>
        <w:t xml:space="preserve">Inc. —</w:t>
      </w:r>
      <w:r>
        <w:rPr>
          <w:i/>
          <w:color w:val="2E5496"/>
          <w:sz w:val="24"/>
        </w:rPr>
        <w:t xml:space="preserve"> </w:t>
      </w:r>
      <w:r>
        <w:rPr>
          <w:i/>
          <w:color w:val="2E5496"/>
          <w:sz w:val="24"/>
        </w:rPr>
        <w:t xml:space="preserve">Project</w:t>
      </w:r>
      <w:r>
        <w:rPr>
          <w:i/>
          <w:color w:val="2E5496"/>
          <w:sz w:val="24"/>
        </w:rPr>
        <w:t xml:space="preserve"> </w:t>
      </w:r>
      <w:r>
        <w:rPr>
          <w:i/>
          <w:color w:val="2E5496"/>
          <w:sz w:val="24"/>
        </w:rPr>
        <w:t xml:space="preserve">Cascade</w:t>
      </w:r>
    </w:p>
    <w:p>
      <w:pPr>
        <w:pStyle w:val="FirstParagraph"/>
      </w:pPr>
      <w:r>
        <w:rPr>
          <w:b/>
          <w:bCs/>
        </w:rPr>
        <w:t xml:space="preserve">CONFIDENTIAL — INTERNAL USE ONLY — PREPARED FOR THE DEAL TEAM</w:t>
      </w:r>
    </w:p>
    <w:tbl>
      <w:tblPr>
        <w:tblStyle w:val="TableGrid"/>
        <w:tblW w:type="dxa" w:w="9700"/>
        <w:jc w:val="center"/>
        <w:tblLayout w:type="fixed"/>
        <w:tblLook w:firstRow="0" w:lastRow="0" w:firstColumn="0" w:lastColumn="0" w:noHBand="0" w:noVBand="0" w:val="0000"/>
        <w:tblCellMar>
          <w:top w:w="40" w:type="dxa"/>
          <w:bottom w:w="40" w:type="dxa"/>
          <w:left w:w="80" w:type="dxa"/>
          <w:right w:w="80" w:type="dxa"/>
        </w:tblCellMar>
        <w:tblCellMar>
          <w:top w:w="30" w:type="dxa"/>
          <w:bottom w:w="30" w:type="dxa"/>
          <w:left w:w="70" w:type="dxa"/>
          <w:right w:w="70" w:type="dxa"/>
        </w:tblCellMar>
      </w:tblPr>
      <w:tblGrid>
        <w:gridCol w:w="1343"/>
        <w:gridCol w:w="8357"/>
      </w:tblGrid>
      <w:tr>
        <w:trPr>
          <w:tblHeader w:val="true"/>
          <w:tblHeader w:val="true"/>
          <w:tblHeader w:val="true"/>
          <w:tblHeader w:val="true"/>
        </w:trPr>
        <w:tc>
          <w:tcPr>
            <w:shd w:val="clear" w:color="auto" w:fill="1F3864"/>
            <w:tcW w:w="1343" w:type="dxa"/>
            <w:shd w:val="clear" w:color="auto" w:fill="1F3864"/>
          </w:tcPr>
          <w:p>
            <w:pPr>
              <w:pStyle w:val="Compact"/>
              <w:spacing w:before="20" w:after="20" w:line="240" w:lineRule="auto"/>
              <w:jc w:val="left"/>
            </w:pPr>
            <w:r>
              <w:rPr>
                <w:rFonts w:ascii="Calibri" w:hAnsi="Calibri"/>
                <w:b/>
                <w:bCs/>
                <w:color w:val="FFFFFF"/>
                <w:sz w:val="18"/>
              </w:rPr>
              <w:t xml:space="preserve">To:</w:t>
            </w:r>
          </w:p>
        </w:tc>
        <w:tc>
          <w:tcPr>
            <w:shd w:val="clear" w:color="auto" w:fill="1F3864"/>
            <w:tcW w:w="8357" w:type="dxa"/>
            <w:shd w:val="clear" w:color="auto" w:fill="1F3864"/>
          </w:tcPr>
          <w:p>
            <w:pPr>
              <w:pStyle w:val="Compact"/>
              <w:spacing w:before="20" w:after="20" w:line="240" w:lineRule="auto"/>
              <w:jc w:val="left"/>
            </w:pPr>
            <w:r>
              <w:rPr>
                <w:rFonts w:ascii="Calibri" w:hAnsi="Calibri"/>
                <w:b/>
                <w:color w:val="FFFFFF"/>
                <w:sz w:val="18"/>
              </w:rPr>
              <w:t xml:space="preserve">Marcus Yuen, Partner (Deal Lead); Diane Holbrook, Managing Partner</w:t>
            </w:r>
          </w:p>
        </w:tc>
      </w:tr>
      <w:tr>
        <w:tc>
          <w:tcPr>
            <w:tcW w:w="1343" w:type="dxa"/>
          </w:tcPr>
          <w:p>
            <w:pPr>
              <w:pStyle w:val="Compact"/>
              <w:spacing w:before="20" w:after="20" w:line="240" w:lineRule="auto"/>
              <w:jc w:val="left"/>
            </w:pPr>
            <w:r>
              <w:rPr>
                <w:rFonts w:ascii="Calibri" w:hAnsi="Calibri"/>
                <w:b/>
                <w:bCs/>
                <w:color w:val="202020"/>
                <w:sz w:val="18"/>
              </w:rPr>
              <w:t xml:space="preserve">From:</w:t>
            </w:r>
          </w:p>
        </w:tc>
        <w:tc>
          <w:tcPr>
            <w:tcW w:w="8357" w:type="dxa"/>
          </w:tcPr>
          <w:p>
            <w:pPr>
              <w:pStyle w:val="Compact"/>
              <w:spacing w:before="20" w:after="20" w:line="240" w:lineRule="auto"/>
              <w:jc w:val="left"/>
            </w:pPr>
            <w:r>
              <w:rPr>
                <w:rFonts w:ascii="Calibri" w:hAnsi="Calibri"/>
                <w:color w:val="202020"/>
                <w:sz w:val="18"/>
              </w:rPr>
              <w:t xml:space="preserve">David Koh, Associate</w:t>
            </w:r>
          </w:p>
        </w:tc>
      </w:tr>
      <w:tr>
        <w:tc>
          <w:tcPr>
            <w:shd w:val="clear" w:color="auto" w:fill="EAEFF7"/>
            <w:tcW w:w="1343" w:type="dxa"/>
            <w:shd w:val="clear" w:color="auto" w:fill="EAEFF7"/>
          </w:tcPr>
          <w:p>
            <w:pPr>
              <w:pStyle w:val="Compact"/>
              <w:spacing w:before="20" w:after="20" w:line="240" w:lineRule="auto"/>
              <w:jc w:val="left"/>
            </w:pPr>
            <w:r>
              <w:rPr>
                <w:rFonts w:ascii="Calibri" w:hAnsi="Calibri"/>
                <w:b/>
                <w:bCs/>
                <w:color w:val="202020"/>
                <w:sz w:val="18"/>
              </w:rPr>
              <w:t xml:space="preserve">CC:</w:t>
            </w:r>
          </w:p>
        </w:tc>
        <w:tc>
          <w:tcPr>
            <w:shd w:val="clear" w:color="auto" w:fill="EAEFF7"/>
            <w:tcW w:w="8357" w:type="dxa"/>
            <w:shd w:val="clear" w:color="auto" w:fill="EAEFF7"/>
          </w:tcPr>
          <w:p>
            <w:pPr>
              <w:pStyle w:val="Compact"/>
              <w:spacing w:before="20" w:after="20" w:line="240" w:lineRule="auto"/>
              <w:jc w:val="left"/>
            </w:pPr>
            <w:r>
              <w:rPr>
                <w:rFonts w:ascii="Calibri" w:hAnsi="Calibri"/>
                <w:color w:val="202020"/>
                <w:sz w:val="18"/>
              </w:rPr>
              <w:t xml:space="preserve">Sarah Lindgren, Vice President</w:t>
            </w:r>
          </w:p>
        </w:tc>
      </w:tr>
      <w:tr>
        <w:tc>
          <w:tcPr>
            <w:tcW w:w="1343" w:type="dxa"/>
          </w:tcPr>
          <w:p>
            <w:pPr>
              <w:pStyle w:val="Compact"/>
              <w:spacing w:before="20" w:after="20" w:line="240" w:lineRule="auto"/>
              <w:jc w:val="left"/>
            </w:pPr>
            <w:r>
              <w:rPr>
                <w:rFonts w:ascii="Calibri" w:hAnsi="Calibri"/>
                <w:b/>
                <w:bCs/>
                <w:color w:val="202020"/>
                <w:sz w:val="18"/>
              </w:rPr>
              <w:t xml:space="preserve">Date:</w:t>
            </w:r>
          </w:p>
        </w:tc>
        <w:tc>
          <w:tcPr>
            <w:tcW w:w="8357" w:type="dxa"/>
          </w:tcPr>
          <w:p>
            <w:pPr>
              <w:pStyle w:val="Compact"/>
              <w:spacing w:before="20" w:after="20" w:line="240" w:lineRule="auto"/>
              <w:jc w:val="left"/>
            </w:pPr>
            <w:r>
              <w:rPr>
                <w:rFonts w:ascii="Calibri" w:hAnsi="Calibri"/>
                <w:color w:val="202020"/>
                <w:sz w:val="18"/>
              </w:rPr>
              <w:t xml:space="preserve">June 23, 2025</w:t>
            </w:r>
          </w:p>
        </w:tc>
      </w:tr>
      <w:tr>
        <w:tc>
          <w:tcPr>
            <w:shd w:val="clear" w:color="auto" w:fill="EAEFF7"/>
            <w:tcW w:w="1343" w:type="dxa"/>
            <w:shd w:val="clear" w:color="auto" w:fill="EAEFF7"/>
          </w:tcPr>
          <w:p>
            <w:pPr>
              <w:pStyle w:val="Compact"/>
              <w:spacing w:before="20" w:after="20" w:line="240" w:lineRule="auto"/>
              <w:jc w:val="left"/>
            </w:pPr>
            <w:r>
              <w:rPr>
                <w:rFonts w:ascii="Calibri" w:hAnsi="Calibri"/>
                <w:b/>
                <w:bCs/>
                <w:color w:val="202020"/>
                <w:sz w:val="18"/>
              </w:rPr>
              <w:t xml:space="preserve">Re:</w:t>
            </w:r>
          </w:p>
        </w:tc>
        <w:tc>
          <w:tcPr>
            <w:shd w:val="clear" w:color="auto" w:fill="EAEFF7"/>
            <w:tcW w:w="8357" w:type="dxa"/>
            <w:shd w:val="clear" w:color="auto" w:fill="EAEFF7"/>
          </w:tcPr>
          <w:p>
            <w:pPr>
              <w:pStyle w:val="Compact"/>
              <w:spacing w:before="20" w:after="20" w:line="240" w:lineRule="auto"/>
              <w:jc w:val="left"/>
            </w:pPr>
            <w:r>
              <w:rPr>
                <w:rFonts w:ascii="Calibri" w:hAnsi="Calibri"/>
                <w:color w:val="202020"/>
                <w:sz w:val="18"/>
              </w:rPr>
              <w:t xml:space="preserve">Buy-Side Analysis of Cascade Environmental Solutions, Inc. (</w:t>
            </w:r>
            <w:r>
              <w:rPr>
                <w:rFonts w:ascii="Calibri" w:hAnsi="Calibri"/>
                <w:color w:val="202020"/>
                <w:sz w:val="18"/>
              </w:rPr>
              <w:t xml:space="preserve">“</w:t>
            </w:r>
            <w:r>
              <w:rPr>
                <w:rFonts w:ascii="Calibri" w:hAnsi="Calibri"/>
                <w:color w:val="202020"/>
                <w:sz w:val="18"/>
              </w:rPr>
              <w:t xml:space="preserve">CES</w:t>
            </w:r>
            <w:r>
              <w:rPr>
                <w:rFonts w:ascii="Calibri" w:hAnsi="Calibri"/>
                <w:color w:val="202020"/>
                <w:sz w:val="18"/>
              </w:rPr>
              <w:t xml:space="preserve">”</w:t>
            </w:r>
            <w:r>
              <w:rPr>
                <w:rFonts w:ascii="Calibri" w:hAnsi="Calibri"/>
                <w:color w:val="202020"/>
                <w:sz w:val="18"/>
              </w:rPr>
              <w:t xml:space="preserve"> </w:t>
            </w:r>
            <w:r>
              <w:rPr>
                <w:rFonts w:ascii="Calibri" w:hAnsi="Calibri"/>
                <w:color w:val="202020"/>
                <w:sz w:val="18"/>
              </w:rPr>
              <w:t xml:space="preserve">or the</w:t>
            </w:r>
            <w:r>
              <w:rPr>
                <w:rFonts w:ascii="Calibri" w:hAnsi="Calibri"/>
                <w:color w:val="202020"/>
                <w:sz w:val="18"/>
              </w:rPr>
              <w:t xml:space="preserve"> </w:t>
            </w:r>
            <w:r>
              <w:rPr>
                <w:rFonts w:ascii="Calibri" w:hAnsi="Calibri"/>
                <w:color w:val="202020"/>
                <w:sz w:val="18"/>
              </w:rPr>
              <w:t xml:space="preserve">“</w:t>
            </w:r>
            <w:r>
              <w:rPr>
                <w:rFonts w:ascii="Calibri" w:hAnsi="Calibri"/>
                <w:color w:val="202020"/>
                <w:sz w:val="18"/>
              </w:rPr>
              <w:t xml:space="preserve">Company</w:t>
            </w:r>
            <w:r>
              <w:rPr>
                <w:rFonts w:ascii="Calibri" w:hAnsi="Calibri"/>
                <w:color w:val="202020"/>
                <w:sz w:val="18"/>
              </w:rPr>
              <w:t xml:space="preserve">”</w:t>
            </w:r>
            <w:r>
              <w:rPr>
                <w:rFonts w:ascii="Calibri" w:hAnsi="Calibri"/>
                <w:color w:val="202020"/>
                <w:sz w:val="18"/>
              </w:rPr>
              <w:t xml:space="preserve">) — Project Cascade</w:t>
            </w:r>
          </w:p>
        </w:tc>
      </w:tr>
      <w:tr>
        <w:tc>
          <w:tcPr>
            <w:tcW w:w="1343" w:type="dxa"/>
          </w:tcPr>
          <w:p>
            <w:pPr>
              <w:pStyle w:val="Compact"/>
              <w:spacing w:before="20" w:after="20" w:line="240" w:lineRule="auto"/>
              <w:jc w:val="left"/>
            </w:pPr>
            <w:r>
              <w:rPr>
                <w:rFonts w:ascii="Calibri" w:hAnsi="Calibri"/>
                <w:b/>
                <w:bCs/>
                <w:color w:val="202020"/>
                <w:sz w:val="18"/>
              </w:rPr>
              <w:t xml:space="preserve">Process:</w:t>
            </w:r>
          </w:p>
        </w:tc>
        <w:tc>
          <w:tcPr>
            <w:tcW w:w="8357" w:type="dxa"/>
          </w:tcPr>
          <w:p>
            <w:pPr>
              <w:pStyle w:val="Compact"/>
              <w:spacing w:before="20" w:after="20" w:line="240" w:lineRule="auto"/>
              <w:jc w:val="left"/>
            </w:pPr>
            <w:r>
              <w:rPr>
                <w:rFonts w:ascii="Calibri" w:hAnsi="Calibri"/>
                <w:color w:val="202020"/>
                <w:sz w:val="18"/>
              </w:rPr>
              <w:t xml:space="preserve">Sell-side process run by Greenleaf Advisory Group, LLC; IOI deadline July 14, 2025; target close Q4 2025</w:t>
            </w:r>
          </w:p>
        </w:tc>
      </w:tr>
      <w:tr>
        <w:tc>
          <w:tcPr>
            <w:shd w:val="clear" w:color="auto" w:fill="EAEFF7"/>
            <w:tcW w:w="1343" w:type="dxa"/>
            <w:shd w:val="clear" w:color="auto" w:fill="EAEFF7"/>
          </w:tcPr>
          <w:p>
            <w:pPr>
              <w:pStyle w:val="Compact"/>
              <w:spacing w:before="20" w:after="20" w:line="240" w:lineRule="auto"/>
              <w:jc w:val="left"/>
            </w:pPr>
            <w:r>
              <w:rPr>
                <w:rFonts w:ascii="Calibri" w:hAnsi="Calibri"/>
                <w:b/>
                <w:bCs/>
                <w:color w:val="202020"/>
                <w:sz w:val="18"/>
              </w:rPr>
              <w:t xml:space="preserve">Sources reviewed:</w:t>
            </w:r>
          </w:p>
        </w:tc>
        <w:tc>
          <w:tcPr>
            <w:shd w:val="clear" w:color="auto" w:fill="EAEFF7"/>
            <w:tcW w:w="8357" w:type="dxa"/>
            <w:shd w:val="clear" w:color="auto" w:fill="EAEFF7"/>
          </w:tcPr>
          <w:p>
            <w:pPr>
              <w:pStyle w:val="Compact"/>
              <w:spacing w:before="20" w:after="20" w:line="240" w:lineRule="auto"/>
              <w:jc w:val="left"/>
            </w:pPr>
            <w:r>
              <w:rPr>
                <w:rFonts w:ascii="Calibri" w:hAnsi="Calibri"/>
                <w:color w:val="202020"/>
                <w:sz w:val="18"/>
              </w:rPr>
              <w:t xml:space="preserve">Confidential Information Memorandum (June 9, 2025); Financial Exhibits (Income Statement, Balance Sheet, Cash Flow, EBITDA Bridge, Revenue by Segment, Capex Schedule); Customer Summary &amp; Backlog Report; Process Letter; Thornfield Sector Memo (June 12, 2025)</w:t>
            </w:r>
          </w:p>
        </w:tc>
      </w:tr>
    </w:tbl>
    <w:p>
      <w:r>
        <w:pict>
          <v:rect style="width:0;height:1.5pt" o:hralign="center" o:hrstd="t" o:hr="t"/>
        </w:pict>
      </w:r>
    </w:p>
    <w:bookmarkStart w:id="20" w:name="i.-executive-summary-and-recommendation"/>
    <w:p>
      <w:pPr>
        <w:pStyle w:val="Heading2"/>
      </w:pPr>
      <w:r>
        <w:t xml:space="preserve">I. Executive Summary and Recommendation</w:t>
      </w:r>
    </w:p>
    <w:p>
      <w:pPr>
        <w:pStyle w:val="FirstParagraph"/>
      </w:pPr>
      <w:r>
        <w:rPr>
          <w:b/>
          <w:bCs/>
        </w:rPr>
        <w:t xml:space="preserve">Recommendation: Proceed to submit a non-binding IOI, but at a valuation meaningfully below the sell-side guidance and subject to explicit conditions precedent.</w:t>
      </w:r>
      <w:r>
        <w:t xml:space="preserve"> </w:t>
      </w:r>
      <w:r>
        <w:t xml:space="preserve">CES is a genuinely attractive Pacific Northwest environmental services platform that fits Fund III’s sector mandate, and the regulatory tailwinds (PFAS, enforcement) and recurring-revenue characteristics are real. However, the CIM’s headline economics are flattered by (i) an arithmetic error in the Adjusted EBITDA bridge, (ii) EBITDA add-backs that are not defensible against the CIM’s own market data and sector benchmarks, (iii) financial exhibits that do not reconcile to the CIM or to themselves, (iv) a customer-concentration profile whose largest relationship is on an expired master service agreement, and (v) a growth plan that is almost entirely dependent on a two-year-old service line growing at roughly three times the rate sector experience supports. These issues are addressable through diligence, but they materially affect price, structure, and conditionality.</w:t>
      </w:r>
    </w:p>
    <w:p>
      <w:pPr>
        <w:pStyle w:val="BodyText"/>
      </w:pPr>
      <w:r>
        <w:rPr>
          <w:b/>
          <w:bCs/>
        </w:rPr>
        <w:t xml:space="preserve">Headline valuation gap.</w:t>
      </w:r>
      <w:r>
        <w:t xml:space="preserve"> </w:t>
      </w:r>
      <w:r>
        <w:t xml:space="preserve">The CIM guides to an enterprise value of</w:t>
      </w:r>
      <w:r>
        <w:t xml:space="preserve"> </w:t>
      </w:r>
      <w:r>
        <w:rPr>
          <w:b/>
          <w:bCs/>
        </w:rPr>
        <w:t xml:space="preserve">$136.8M–$171.0M</w:t>
      </w:r>
      <w:r>
        <w:t xml:space="preserve"> </w:t>
      </w:r>
      <w:r>
        <w:t xml:space="preserve">(8.0x–10.0x FY2024 Adjusted EBITDA of $17.1M). Our buy-side normalized FY2024 Adjusted EBITDA is</w:t>
      </w:r>
      <w:r>
        <w:t xml:space="preserve"> </w:t>
      </w:r>
      <w:r>
        <w:rPr>
          <w:b/>
          <w:bCs/>
        </w:rPr>
        <w:t xml:space="preserve">~$15.9M</w:t>
      </w:r>
      <w:r>
        <w:t xml:space="preserve"> </w:t>
      </w:r>
      <w:r>
        <w:t xml:space="preserve">(a ~$1.2M / 7% reduction), implying an EV of</w:t>
      </w:r>
      <w:r>
        <w:t xml:space="preserve"> </w:t>
      </w:r>
      <w:r>
        <w:rPr>
          <w:b/>
          <w:bCs/>
        </w:rPr>
        <w:t xml:space="preserve">~$127M–$159M</w:t>
      </w:r>
      <w:r>
        <w:t xml:space="preserve"> </w:t>
      </w:r>
      <w:r>
        <w:t xml:space="preserve">at 8.0x–10.0x, and</w:t>
      </w:r>
      <w:r>
        <w:t xml:space="preserve"> </w:t>
      </w:r>
      <w:r>
        <w:rPr>
          <w:b/>
          <w:bCs/>
        </w:rPr>
        <w:t xml:space="preserve">~$143M at a 9.0x midpoint</w:t>
      </w:r>
      <w:r>
        <w:t xml:space="preserve">. A more conservative case (further owner-compensation haircut and exhibits-implied EBITDA) supports</w:t>
      </w:r>
      <w:r>
        <w:t xml:space="preserve"> </w:t>
      </w:r>
      <w:r>
        <w:rPr>
          <w:b/>
          <w:bCs/>
        </w:rPr>
        <w:t xml:space="preserve">~$15.0M</w:t>
      </w:r>
      <w:r>
        <w:t xml:space="preserve"> </w:t>
      </w:r>
      <w:r>
        <w:t xml:space="preserve">of Adjusted EBITDA and an EV of</w:t>
      </w:r>
      <w:r>
        <w:t xml:space="preserve"> </w:t>
      </w:r>
      <w:r>
        <w:rPr>
          <w:b/>
          <w:bCs/>
        </w:rPr>
        <w:t xml:space="preserve">~$120M–$150M</w:t>
      </w:r>
      <w:r>
        <w:t xml:space="preserve">. We recommend an IOI enterprise-value range of</w:t>
      </w:r>
      <w:r>
        <w:t xml:space="preserve"> </w:t>
      </w:r>
      <w:r>
        <w:rPr>
          <w:b/>
          <w:bCs/>
        </w:rPr>
        <w:t xml:space="preserve">$130M–$150M</w:t>
      </w:r>
      <w:r>
        <w:t xml:space="preserve"> </w:t>
      </w:r>
      <w:r>
        <w:t xml:space="preserve">(cash-free, debt-free, normalized NWC), with a strong preference for the lower half pending diligence, and an earnout tied to PFAS revenue and the PNR contract renewal.</w:t>
      </w:r>
    </w:p>
    <w:p>
      <w:pPr>
        <w:pStyle w:val="BodyText"/>
      </w:pPr>
      <w:r>
        <w:rPr>
          <w:b/>
          <w:bCs/>
        </w:rPr>
        <w:t xml:space="preserve">The five issues that drive the valuation gap:</w:t>
      </w:r>
    </w:p>
    <w:p>
      <w:pPr>
        <w:numPr>
          <w:ilvl w:val="0"/>
          <w:numId w:val="1001"/>
        </w:numPr>
      </w:pPr>
      <w:r>
        <w:rPr>
          <w:b/>
          <w:bCs/>
        </w:rPr>
        <w:t xml:space="preserve">Adjusted EBITDA does not foot.</w:t>
      </w:r>
      <w:r>
        <w:t xml:space="preserve"> </w:t>
      </w:r>
      <w:r>
        <w:t xml:space="preserve">The six stated adjustments sum to</w:t>
      </w:r>
      <w:r>
        <w:t xml:space="preserve"> </w:t>
      </w:r>
      <w:r>
        <w:rPr>
          <w:b/>
          <w:bCs/>
        </w:rPr>
        <w:t xml:space="preserve">$4.7M</w:t>
      </w:r>
      <w:r>
        <w:t xml:space="preserve">, which when added to reported EBITDA of $12.1M yields</w:t>
      </w:r>
      <w:r>
        <w:t xml:space="preserve"> </w:t>
      </w:r>
      <w:r>
        <w:rPr>
          <w:b/>
          <w:bCs/>
        </w:rPr>
        <w:t xml:space="preserve">$16.8M</w:t>
      </w:r>
      <w:r>
        <w:t xml:space="preserve">, not the $17.1M presented. The $0.3M gap is an arithmetic error that, at an 8.0x–10.0x multiple, represents</w:t>
      </w:r>
      <w:r>
        <w:t xml:space="preserve"> </w:t>
      </w:r>
      <w:r>
        <w:rPr>
          <w:b/>
          <w:bCs/>
        </w:rPr>
        <w:t xml:space="preserve">$2.4M–$3.0M of enterprise value</w:t>
      </w:r>
      <w:r>
        <w:t xml:space="preserve"> </w:t>
      </w:r>
      <w:r>
        <w:t xml:space="preserve">on its own.</w:t>
      </w:r>
    </w:p>
    <w:p>
      <w:pPr>
        <w:numPr>
          <w:ilvl w:val="0"/>
          <w:numId w:val="1001"/>
        </w:numPr>
      </w:pPr>
      <w:r>
        <w:rPr>
          <w:b/>
          <w:bCs/>
        </w:rPr>
        <w:t xml:space="preserve">The related-party lease add-back is contradicted by the CIM’s own market data.</w:t>
      </w:r>
      <w:r>
        <w:t xml:space="preserve"> </w:t>
      </w:r>
      <w:r>
        <w:t xml:space="preserve">The $0.8M add-back assumes</w:t>
      </w:r>
      <w:r>
        <w:t xml:space="preserve"> </w:t>
      </w:r>
      <w:r>
        <w:t xml:space="preserve">“</w:t>
      </w:r>
      <w:r>
        <w:t xml:space="preserve">market rent</w:t>
      </w:r>
      <w:r>
        <w:t xml:space="preserve">”</w:t>
      </w:r>
      <w:r>
        <w:t xml:space="preserve"> </w:t>
      </w:r>
      <w:r>
        <w:t xml:space="preserve">of $0.6M against the $1.4M paid to the founder/owner. But the CIM’s own Industry Overview states that comparable</w:t>
      </w:r>
      <w:r>
        <w:t xml:space="preserve"> </w:t>
      </w:r>
      <w:r>
        <w:rPr>
          <w:i/>
          <w:iCs/>
        </w:rPr>
        <w:t xml:space="preserve">specialized environmental staging facilities</w:t>
      </w:r>
      <w:r>
        <w:t xml:space="preserve"> </w:t>
      </w:r>
      <w:r>
        <w:t xml:space="preserve">command</w:t>
      </w:r>
      <w:r>
        <w:t xml:space="preserve"> </w:t>
      </w:r>
      <w:r>
        <w:rPr>
          <w:b/>
          <w:bCs/>
        </w:rPr>
        <w:t xml:space="preserve">$1.0M–$1.2M annually</w:t>
      </w:r>
      <w:r>
        <w:t xml:space="preserve">. On the CIM’s own data, the defensible add-back is</w:t>
      </w:r>
      <w:r>
        <w:t xml:space="preserve"> </w:t>
      </w:r>
      <w:r>
        <w:rPr>
          <w:b/>
          <w:bCs/>
        </w:rPr>
        <w:t xml:space="preserve">$0.2M–$0.4M</w:t>
      </w:r>
      <w:r>
        <w:t xml:space="preserve">, not $0.8M — an overstatement of</w:t>
      </w:r>
      <w:r>
        <w:t xml:space="preserve"> </w:t>
      </w:r>
      <w:r>
        <w:rPr>
          <w:b/>
          <w:bCs/>
        </w:rPr>
        <w:t xml:space="preserve">$0.4M–$0.6M</w:t>
      </w:r>
      <w:r>
        <w:t xml:space="preserve"> </w:t>
      </w:r>
      <w:r>
        <w:t xml:space="preserve">($3.2M–$6.0M of EV).</w:t>
      </w:r>
    </w:p>
    <w:p>
      <w:pPr>
        <w:numPr>
          <w:ilvl w:val="0"/>
          <w:numId w:val="1001"/>
        </w:numPr>
      </w:pPr>
      <w:r>
        <w:rPr>
          <w:b/>
          <w:bCs/>
        </w:rPr>
        <w:t xml:space="preserve">The regulatory/legal add-back treats a recurring cost as one-time.</w:t>
      </w:r>
      <w:r>
        <w:t xml:space="preserve"> </w:t>
      </w:r>
      <w:r>
        <w:t xml:space="preserve">The full $1.2M DEQ enforcement add-back is inconsistent with sector benchmarks ($0.2M–$0.5M annual recurring regulatory run-rate) and with Thornfield’s own portfolio experience at GreenWorks and Allied Waste. A defensible add-back is</w:t>
      </w:r>
      <w:r>
        <w:t xml:space="preserve"> </w:t>
      </w:r>
      <w:r>
        <w:rPr>
          <w:b/>
          <w:bCs/>
        </w:rPr>
        <w:t xml:space="preserve">$0.7M–$0.9M</w:t>
      </w:r>
      <w:r>
        <w:t xml:space="preserve">.</w:t>
      </w:r>
    </w:p>
    <w:p>
      <w:pPr>
        <w:numPr>
          <w:ilvl w:val="0"/>
          <w:numId w:val="1001"/>
        </w:numPr>
      </w:pPr>
      <w:r>
        <w:rPr>
          <w:b/>
          <w:bCs/>
        </w:rPr>
        <w:t xml:space="preserve">The largest customer’s MSA has already expired.</w:t>
      </w:r>
      <w:r>
        <w:t xml:space="preserve"> </w:t>
      </w:r>
      <w:r>
        <w:t xml:space="preserve">Pacific Northwest Refining Co. (PNR) is 21.4% of FY2024 revenue ($18.7M) under an MSA that expired</w:t>
      </w:r>
      <w:r>
        <w:t xml:space="preserve"> </w:t>
      </w:r>
      <w:r>
        <w:rPr>
          <w:b/>
          <w:bCs/>
        </w:rPr>
        <w:t xml:space="preserve">March 31, 2025</w:t>
      </w:r>
      <w:r>
        <w:t xml:space="preserve"> </w:t>
      </w:r>
      <w:r>
        <w:t xml:space="preserve">— before the CIM was distributed (June 9, 2025). Renewal status is not disclosed. This is the single most important commercial diligence item.</w:t>
      </w:r>
    </w:p>
    <w:p>
      <w:pPr>
        <w:numPr>
          <w:ilvl w:val="0"/>
          <w:numId w:val="1001"/>
        </w:numPr>
      </w:pPr>
      <w:r>
        <w:rPr>
          <w:b/>
          <w:bCs/>
        </w:rPr>
        <w:t xml:space="preserve">The growth story is a PFAS story.</w:t>
      </w:r>
      <w:r>
        <w:t xml:space="preserve"> </w:t>
      </w:r>
      <w:r>
        <w:t xml:space="preserve">Ex-PFAS, CES is a low-single-digit grower: traditional remediation is projected to grow only</w:t>
      </w:r>
      <w:r>
        <w:t xml:space="preserve"> </w:t>
      </w:r>
      <w:r>
        <w:rPr>
          <w:b/>
          <w:bCs/>
        </w:rPr>
        <w:t xml:space="preserve">1.2% / 3.5% / 5.7%</w:t>
      </w:r>
      <w:r>
        <w:t xml:space="preserve"> </w:t>
      </w:r>
      <w:r>
        <w:t xml:space="preserve">in FY2025E–FY2027E. PFAS is</w:t>
      </w:r>
      <w:r>
        <w:t xml:space="preserve"> </w:t>
      </w:r>
      <w:r>
        <w:rPr>
          <w:b/>
          <w:bCs/>
        </w:rPr>
        <w:t xml:space="preserve">~64% of incremental revenue</w:t>
      </w:r>
      <w:r>
        <w:t xml:space="preserve"> </w:t>
      </w:r>
      <w:r>
        <w:t xml:space="preserve">(FY2024→FY2026E) and the entire margin-expansion thesis. The CIM projects PFAS growing</w:t>
      </w:r>
      <w:r>
        <w:t xml:space="preserve"> </w:t>
      </w:r>
      <w:r>
        <w:rPr>
          <w:b/>
          <w:bCs/>
        </w:rPr>
        <w:t xml:space="preserve">125.8%</w:t>
      </w:r>
      <w:r>
        <w:t xml:space="preserve"> </w:t>
      </w:r>
      <w:r>
        <w:t xml:space="preserve">in FY2025E; sector data and our GreenWorks analog support</w:t>
      </w:r>
      <w:r>
        <w:t xml:space="preserve"> </w:t>
      </w:r>
      <w:r>
        <w:rPr>
          <w:b/>
          <w:bCs/>
        </w:rPr>
        <w:t xml:space="preserve">30%–50%</w:t>
      </w:r>
      <w:r>
        <w:t xml:space="preserve">. With PE capacity down to two (from three) and no PFAS-specific backlog breakout provided, execution risk is high.</w:t>
      </w:r>
    </w:p>
    <w:p>
      <w:pPr>
        <w:pStyle w:val="FirstParagraph"/>
      </w:pPr>
      <w:r>
        <w:rPr>
          <w:b/>
          <w:bCs/>
        </w:rPr>
        <w:t xml:space="preserve">Fit with Fund III.</w:t>
      </w:r>
      <w:r>
        <w:t xml:space="preserve"> </w:t>
      </w:r>
      <w:r>
        <w:t xml:space="preserve">Fund III ($425M, 2023) targets $30M–$100M EV platforms in industrial/environmental services. At any defensible valuation, CES’s EV ($120M–$160M) is</w:t>
      </w:r>
      <w:r>
        <w:t xml:space="preserve"> </w:t>
      </w:r>
      <w:r>
        <w:rPr>
          <w:b/>
          <w:bCs/>
        </w:rPr>
        <w:t xml:space="preserve">above</w:t>
      </w:r>
      <w:r>
        <w:t xml:space="preserve"> </w:t>
      </w:r>
      <w:r>
        <w:t xml:space="preserve">the stated target range and would require an equity check of roughly</w:t>
      </w:r>
      <w:r>
        <w:t xml:space="preserve"> </w:t>
      </w:r>
      <w:r>
        <w:rPr>
          <w:b/>
          <w:bCs/>
        </w:rPr>
        <w:t xml:space="preserve">$80M–$95M</w:t>
      </w:r>
      <w:r>
        <w:t xml:space="preserve"> </w:t>
      </w:r>
      <w:r>
        <w:t xml:space="preserve">(assuming 3.0x–3.5x leverage), or ~19%–22% of the fund in a single position. This warrants an explicit investment-committee discussion of mandate limits, concentration, and potential co-investment before proceeding.</w:t>
      </w:r>
    </w:p>
    <w:p>
      <w:r>
        <w:pict>
          <v:rect style="width:0;height:1.5pt" o:hralign="center" o:hrstd="t" o:hr="t"/>
        </w:pict>
      </w:r>
    </w:p>
    <w:bookmarkEnd w:id="20"/>
    <w:bookmarkStart w:id="21" w:name="ii.-company-and-transaction-overview"/>
    <w:p>
      <w:pPr>
        <w:pStyle w:val="Heading2"/>
      </w:pPr>
      <w:r>
        <w:t xml:space="preserve">II. Company and Transaction Overview</w:t>
      </w:r>
    </w:p>
    <w:p>
      <w:pPr>
        <w:pStyle w:val="FirstParagraph"/>
      </w:pPr>
      <w:r>
        <w:rPr>
          <w:b/>
          <w:bCs/>
        </w:rPr>
        <w:t xml:space="preserve">Business.</w:t>
      </w:r>
      <w:r>
        <w:t xml:space="preserve"> </w:t>
      </w:r>
      <w:r>
        <w:t xml:space="preserve">CES is a Delaware C-corporation founded in 2009 by Randall Oakes (CEO/Chairman, age 61, 68% equity holder), headquartered at 4200 Industrial Way, Portland, OR. The Company provides environmental remediation, industrial cleaning, and emergency response across Oregon, Washington, Idaho, and Northern California from three facilities (Portland HQ/yard, Seattle office, Boise depot). CES employs 412 people, holds hazardous-waste transporter permits in all four states, and carries an Oregon DEQ Contractor License (ENV-2009-04821). Audited by Ridgeline Accounting Group, PC; seller counsel is Wexford, Mallory &amp; Chen LLP.</w:t>
      </w:r>
    </w:p>
    <w:p>
      <w:pPr>
        <w:pStyle w:val="BodyText"/>
      </w:pPr>
      <w:r>
        <w:rPr>
          <w:b/>
          <w:bCs/>
        </w:rPr>
        <w:t xml:space="preserve">FY2024 profile (as presented).</w:t>
      </w:r>
      <w:r>
        <w:t xml:space="preserve"> </w:t>
      </w:r>
      <w:r>
        <w:t xml:space="preserve">Revenue $87.3M (12.5% CAGR FY2021–FY2024); reported EBITDA $12.1M (13.9% margin); Adjusted EBITDA $17.1M (19.6% margin); contracted backlog $42.6M; pipeline $31.4M; 150+ active customers.</w:t>
      </w:r>
    </w:p>
    <w:p>
      <w:pPr>
        <w:pStyle w:val="BodyText"/>
      </w:pPr>
      <w:r>
        <w:rPr>
          <w:b/>
          <w:bCs/>
        </w:rPr>
        <w:t xml:space="preserve">Segment mix (FY2024).</w:t>
      </w:r>
      <w:r>
        <w:t xml:space="preserve"> </w:t>
      </w:r>
      <w:r>
        <w:t xml:space="preserve">Environmental Remediation $48.2M (55.2%, of which PFAS $6.2M); Industrial Cleaning $27.8M (31.8%); Emergency Response $11.3M (12.9%).</w:t>
      </w:r>
    </w:p>
    <w:p>
      <w:pPr>
        <w:pStyle w:val="BodyText"/>
      </w:pPr>
      <w:r>
        <w:rPr>
          <w:b/>
          <w:bCs/>
        </w:rPr>
        <w:t xml:space="preserve">Transaction.</w:t>
      </w:r>
      <w:r>
        <w:t xml:space="preserve"> </w:t>
      </w:r>
      <w:r>
        <w:t xml:space="preserve">Sale of 100% equity, cash-free/debt-free with normalized NWC, contemplated as a stock purchase. Three-phase process: IOIs due</w:t>
      </w:r>
      <w:r>
        <w:t xml:space="preserve"> </w:t>
      </w:r>
      <w:r>
        <w:rPr>
          <w:b/>
          <w:bCs/>
        </w:rPr>
        <w:t xml:space="preserve">July 14, 2025</w:t>
      </w:r>
      <w:r>
        <w:t xml:space="preserve">; management presentations in</w:t>
      </w:r>
      <w:r>
        <w:t xml:space="preserve"> </w:t>
      </w:r>
      <w:r>
        <w:rPr>
          <w:b/>
          <w:bCs/>
        </w:rPr>
        <w:t xml:space="preserve">August 2025</w:t>
      </w:r>
      <w:r>
        <w:t xml:space="preserve">; final bids and definitive documentation with</w:t>
      </w:r>
      <w:r>
        <w:t xml:space="preserve"> </w:t>
      </w:r>
      <w:r>
        <w:rPr>
          <w:b/>
          <w:bCs/>
        </w:rPr>
        <w:t xml:space="preserve">Q4 2025</w:t>
      </w:r>
      <w:r>
        <w:t xml:space="preserve"> </w:t>
      </w:r>
      <w:r>
        <w:t xml:space="preserve">target signing/closing. Existing Cascadia Commercial Bank debt (term loan + revolver) to be refinanced/repaid at closing. The founder intends to transition out of day-to-day operations within 18–24 months post-close. The headquarters real estate is owned personally by Mr. Oakes and leased to the Company; its treatment (lease vs. purchase) is open. All phantom equity units settle in</w:t>
      </w:r>
      <w:r>
        <w:t xml:space="preserve"> </w:t>
      </w:r>
      <w:r>
        <w:rPr>
          <w:b/>
          <w:bCs/>
        </w:rPr>
        <w:t xml:space="preserve">cash</w:t>
      </w:r>
      <w:r>
        <w:t xml:space="preserve"> </w:t>
      </w:r>
      <w:r>
        <w:t xml:space="preserve">at closing.</w:t>
      </w:r>
    </w:p>
    <w:p>
      <w:r>
        <w:pict>
          <v:rect style="width:0;height:1.5pt" o:hralign="center" o:hrstd="t" o:hr="t"/>
        </w:pict>
      </w:r>
    </w:p>
    <w:bookmarkEnd w:id="21"/>
    <w:bookmarkStart w:id="22" w:name="iii.-investment-thesis-strengths"/>
    <w:p>
      <w:pPr>
        <w:pStyle w:val="Heading2"/>
      </w:pPr>
      <w:r>
        <w:t xml:space="preserve">III. Investment Thesis (Strengths)</w:t>
      </w:r>
    </w:p>
    <w:p>
      <w:pPr>
        <w:pStyle w:val="FirstParagraph"/>
      </w:pPr>
      <w:r>
        <w:t xml:space="preserve">The strategic rationale for pursuing CES is sound, and several attributes are genuinely differentiated:</w:t>
      </w:r>
    </w:p>
    <w:p>
      <w:pPr>
        <w:pStyle w:val="Compact"/>
        <w:numPr>
          <w:ilvl w:val="0"/>
          <w:numId w:val="1002"/>
        </w:numPr>
      </w:pPr>
      <w:r>
        <w:rPr>
          <w:b/>
          <w:bCs/>
        </w:rPr>
        <w:t xml:space="preserve">Regulatory tailwinds are real and durable.</w:t>
      </w:r>
      <w:r>
        <w:t xml:space="preserve"> </w:t>
      </w:r>
      <w:r>
        <w:t xml:space="preserve">EPA’s 2024 national PFAS drinking-water standards, CERCLA/RCRA developments, and active Oregon/Washington state programs create multi-decade demand for investigation and remediation. This is a structural, non-cyclical demand driver.</w:t>
      </w:r>
    </w:p>
    <w:p>
      <w:pPr>
        <w:pStyle w:val="Compact"/>
        <w:numPr>
          <w:ilvl w:val="0"/>
          <w:numId w:val="1002"/>
        </w:numPr>
      </w:pPr>
      <w:r>
        <w:rPr>
          <w:b/>
          <w:bCs/>
        </w:rPr>
        <w:t xml:space="preserve">Integrated platform with cross-selling leverage.</w:t>
      </w:r>
      <w:r>
        <w:t xml:space="preserve"> </w:t>
      </w:r>
      <w:r>
        <w:t xml:space="preserve">Remediation + industrial cleaning + emergency response from a single provider reduces customer procurement complexity and deepens share-of-wallet; ~60% of revenue runs under MSAs and the Company reports a ~90% MSA renewal rate.</w:t>
      </w:r>
    </w:p>
    <w:p>
      <w:pPr>
        <w:pStyle w:val="Compact"/>
        <w:numPr>
          <w:ilvl w:val="0"/>
          <w:numId w:val="1002"/>
        </w:numPr>
      </w:pPr>
      <w:r>
        <w:rPr>
          <w:b/>
          <w:bCs/>
        </w:rPr>
        <w:t xml:space="preserve">High switching costs and credential-based moat.</w:t>
      </w:r>
      <w:r>
        <w:t xml:space="preserve"> </w:t>
      </w:r>
      <w:r>
        <w:t xml:space="preserve">Four-state hazardous-waste transporter permits, the DEQ contractor license, ISNetworld/Avetta qualifications, an EMR of 0.87, and PE-stamped work create barriers that take years to replicate.</w:t>
      </w:r>
    </w:p>
    <w:p>
      <w:pPr>
        <w:pStyle w:val="Compact"/>
        <w:numPr>
          <w:ilvl w:val="0"/>
          <w:numId w:val="1002"/>
        </w:numPr>
      </w:pPr>
      <w:r>
        <w:rPr>
          <w:b/>
          <w:bCs/>
        </w:rPr>
        <w:t xml:space="preserve">Recurring industrial cleaning base.</w:t>
      </w:r>
      <w:r>
        <w:t xml:space="preserve"> </w:t>
      </w:r>
      <w:r>
        <w:t xml:space="preserve">Refining/manufacturing turnaround and maintenance cleaning on scheduled cycles provides a predictable repeat-business floor.</w:t>
      </w:r>
    </w:p>
    <w:p>
      <w:pPr>
        <w:pStyle w:val="Compact"/>
        <w:numPr>
          <w:ilvl w:val="0"/>
          <w:numId w:val="1002"/>
        </w:numPr>
      </w:pPr>
      <w:r>
        <w:rPr>
          <w:b/>
          <w:bCs/>
        </w:rPr>
        <w:t xml:space="preserve">Fragmented market with tuck-in potential.</w:t>
      </w:r>
      <w:r>
        <w:t xml:space="preserve"> </w:t>
      </w:r>
      <w:r>
        <w:t xml:space="preserve">Management identifies 5–7 plausible add-on targets; a CES platform could consolidate the Pacific Northwest lower-middle market.</w:t>
      </w:r>
    </w:p>
    <w:p>
      <w:pPr>
        <w:pStyle w:val="Compact"/>
        <w:numPr>
          <w:ilvl w:val="0"/>
          <w:numId w:val="1002"/>
        </w:numPr>
      </w:pPr>
      <w:r>
        <w:rPr>
          <w:b/>
          <w:bCs/>
        </w:rPr>
        <w:t xml:space="preserve">Relevant Thornfield pattern recognition.</w:t>
      </w:r>
      <w:r>
        <w:t xml:space="preserve"> </w:t>
      </w:r>
      <w:r>
        <w:t xml:space="preserve">Our GreenWorks and Allied Waste investments give us direct, proprietary benchmarks for exactly the issues present here (capex understatement, recurring regulatory costs, emerging-service-line growth moderation, key-person risk). This is an edge in diligence and post-close value creation.</w:t>
      </w:r>
    </w:p>
    <w:p>
      <w:pPr>
        <w:pStyle w:val="Compact"/>
        <w:numPr>
          <w:ilvl w:val="0"/>
          <w:numId w:val="1002"/>
        </w:numPr>
      </w:pPr>
      <w:r>
        <w:rPr>
          <w:b/>
          <w:bCs/>
        </w:rPr>
        <w:t xml:space="preserve">Genuine growth track record.</w:t>
      </w:r>
      <w:r>
        <w:t xml:space="preserve"> </w:t>
      </w:r>
      <w:r>
        <w:t xml:space="preserve">Even after discounting PFAS, the core business has grown, and the 12.5% three-year CAGR is above the 5%–10% sector norm.</w:t>
      </w:r>
    </w:p>
    <w:p>
      <w:r>
        <w:pict>
          <v:rect style="width:0;height:1.5pt" o:hralign="center" o:hrstd="t" o:hr="t"/>
        </w:pict>
      </w:r>
    </w:p>
    <w:bookmarkEnd w:id="22"/>
    <w:bookmarkStart w:id="29" w:name="iv.-financial-analysis"/>
    <w:p>
      <w:pPr>
        <w:pStyle w:val="Heading2"/>
      </w:pPr>
      <w:r>
        <w:t xml:space="preserve">IV. Financial Analysis</w:t>
      </w:r>
    </w:p>
    <w:bookmarkStart w:id="23" w:name="X367ce68d2c9c6e83b2bfe74fc623e4214b3c819"/>
    <w:p>
      <w:pPr>
        <w:pStyle w:val="Heading3"/>
      </w:pPr>
      <w:r>
        <w:t xml:space="preserve">A. Historical Performance and Segment Mix</w:t>
      </w:r>
    </w:p>
    <w:p>
      <w:pPr>
        <w:pStyle w:val="FirstParagraph"/>
      </w:pPr>
      <w:r>
        <w:t xml:space="preserve">Revenue has grown from $61.4M (FY2021) to $87.3M (FY2024), a 12.5% CAGR, with reported EBITDA expanding from $7.4M (12.1%) to $12.1M (13.9%). On its face this is an attractive trajectory. Two observations temper it:</w:t>
      </w:r>
    </w:p>
    <w:p>
      <w:pPr>
        <w:numPr>
          <w:ilvl w:val="0"/>
          <w:numId w:val="1003"/>
        </w:numPr>
      </w:pPr>
      <w:r>
        <w:rPr>
          <w:b/>
          <w:bCs/>
        </w:rPr>
        <w:t xml:space="preserve">Growth is increasingly PFAS-dependent and the core is decelerating.</w:t>
      </w:r>
      <w:r>
        <w:t xml:space="preserve"> </w:t>
      </w:r>
      <w:r>
        <w:t xml:space="preserve">The financial exhibits break out</w:t>
      </w:r>
      <w:r>
        <w:t xml:space="preserve"> </w:t>
      </w:r>
      <w:r>
        <w:t xml:space="preserve">“</w:t>
      </w:r>
      <w:r>
        <w:t xml:space="preserve">traditional remediation</w:t>
      </w:r>
      <w:r>
        <w:t xml:space="preserve">”</w:t>
      </w:r>
      <w:r>
        <w:t xml:space="preserve"> </w:t>
      </w:r>
      <w:r>
        <w:t xml:space="preserve">(remediation ex-PFAS), which grows only</w:t>
      </w:r>
      <w:r>
        <w:t xml:space="preserve"> </w:t>
      </w:r>
      <w:r>
        <w:rPr>
          <w:b/>
          <w:bCs/>
        </w:rPr>
        <w:t xml:space="preserve">1.2% / 3.5% / 5.7%</w:t>
      </w:r>
      <w:r>
        <w:t xml:space="preserve"> </w:t>
      </w:r>
      <w:r>
        <w:t xml:space="preserve">in FY2025E–FY2027E. Industrial cleaning is projected at 7.6%–9.3% and emergency response is inherently variable. PFAS is the entire growth narrative: it is</w:t>
      </w:r>
      <w:r>
        <w:t xml:space="preserve"> </w:t>
      </w:r>
      <w:r>
        <w:rPr>
          <w:b/>
          <w:bCs/>
        </w:rPr>
        <w:t xml:space="preserve">~64% of incremental revenue</w:t>
      </w:r>
      <w:r>
        <w:t xml:space="preserve"> </w:t>
      </w:r>
      <w:r>
        <w:t xml:space="preserve">from FY2024 to FY2026E and</w:t>
      </w:r>
      <w:r>
        <w:t xml:space="preserve"> </w:t>
      </w:r>
      <w:r>
        <w:rPr>
          <w:b/>
          <w:bCs/>
        </w:rPr>
        <w:t xml:space="preserve">~70% of FY2025E growth</w:t>
      </w:r>
      <w:r>
        <w:t xml:space="preserve"> </w:t>
      </w:r>
      <w:r>
        <w:t xml:space="preserve">alone. Ex-PFAS, CES is roughly a 3%–5% grower, not a 12%+ grower.</w:t>
      </w:r>
    </w:p>
    <w:p>
      <w:pPr>
        <w:numPr>
          <w:ilvl w:val="0"/>
          <w:numId w:val="1003"/>
        </w:numPr>
      </w:pPr>
      <w:r>
        <w:rPr>
          <w:b/>
          <w:bCs/>
        </w:rPr>
        <w:t xml:space="preserve">Segment history does not reconcile between the CIM and the exhibits.</w:t>
      </w:r>
      <w:r>
        <w:t xml:space="preserve"> </w:t>
      </w:r>
      <w:r>
        <w:t xml:space="preserve">The CIM and the financial exhibits agree on total revenue for FY2021–FY2023 but</w:t>
      </w:r>
      <w:r>
        <w:t xml:space="preserve"> </w:t>
      </w:r>
      <w:r>
        <w:rPr>
          <w:b/>
          <w:bCs/>
        </w:rPr>
        <w:t xml:space="preserve">disagree on the segment split</w:t>
      </w:r>
      <w:r>
        <w:t xml:space="preserve"> </w:t>
      </w:r>
      <w:r>
        <w:t xml:space="preserve">(e.g., FY2021 Remediation: CIM $34.1M vs. exhibits $34.8M; FY2023 Remediation: CIM $41.5M vs. exhibits $42.5M; FY2021 Industrial Cleaning: CIM $20.1M vs. exhibits $19.2M). The differences offset at the total line. This suggests the segment breakout was revised and the historical segmentation is not yet reliable; QoE should lock down a consistent segment history.</w:t>
      </w:r>
    </w:p>
    <w:p>
      <w:pPr>
        <w:pStyle w:val="FirstParagraph"/>
      </w:pPr>
      <w:r>
        <w:rPr>
          <w:b/>
          <w:bCs/>
        </w:rPr>
        <w:t xml:space="preserve">Revenue by segment (FY2024A–FY2027E, $M):</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3564"/>
        <w:gridCol w:w="1534"/>
        <w:gridCol w:w="1534"/>
        <w:gridCol w:w="1534"/>
        <w:gridCol w:w="1534"/>
      </w:tblGrid>
      <w:tr>
        <w:trPr>
          <w:tblHeader w:val="on"/>
          <w:tblHeader w:val="true"/>
          <w:tblHeader w:val="true"/>
          <w:tblHeader w:val="true"/>
          <w:tblHeader w:val="true"/>
          <w:tblHeader w:val="true"/>
          <w:tblHeader w:val="true"/>
          <w:tblHeader w:val="true"/>
          <w:tblHeader w:val="true"/>
          <w:tblHeader w:val="true"/>
          <w:tblHeader w:val="true"/>
        </w:trPr>
        <w:tc>
          <w:tcPr>
            <w:shd w:val="clear" w:color="auto" w:fill="1F3864"/>
            <w:tcW w:w="3564" w:type="dxa"/>
            <w:shd w:val="clear" w:color="auto" w:fill="1F3864"/>
          </w:tcPr>
          <w:p>
            <w:pPr>
              <w:pStyle w:val="Compact"/>
              <w:spacing w:before="20" w:after="20" w:line="240" w:lineRule="auto"/>
              <w:jc w:val="left"/>
            </w:pPr>
            <w:r>
              <w:rPr>
                <w:rFonts w:ascii="Calibri" w:hAnsi="Calibri"/>
                <w:b/>
                <w:color w:val="FFFFFF"/>
                <w:sz w:val="18"/>
              </w:rPr>
              <w:t xml:space="preserve">Segment</w:t>
            </w:r>
          </w:p>
        </w:tc>
        <w:tc>
          <w:tcPr>
            <w:shd w:val="clear" w:color="auto" w:fill="1F3864"/>
            <w:tcW w:w="1534" w:type="dxa"/>
            <w:shd w:val="clear" w:color="auto" w:fill="1F3864"/>
          </w:tcPr>
          <w:p>
            <w:pPr>
              <w:pStyle w:val="Compact"/>
              <w:spacing w:before="20" w:after="20" w:line="240" w:lineRule="auto"/>
              <w:jc w:val="left"/>
            </w:pPr>
            <w:r>
              <w:rPr>
                <w:rFonts w:ascii="Calibri" w:hAnsi="Calibri"/>
                <w:b/>
                <w:color w:val="FFFFFF"/>
                <w:sz w:val="18"/>
              </w:rPr>
              <w:t xml:space="preserve">FY2024A</w:t>
            </w:r>
          </w:p>
        </w:tc>
        <w:tc>
          <w:tcPr>
            <w:shd w:val="clear" w:color="auto" w:fill="1F3864"/>
            <w:tcW w:w="1534" w:type="dxa"/>
            <w:shd w:val="clear" w:color="auto" w:fill="1F3864"/>
          </w:tcPr>
          <w:p>
            <w:pPr>
              <w:pStyle w:val="Compact"/>
              <w:spacing w:before="20" w:after="20" w:line="240" w:lineRule="auto"/>
              <w:jc w:val="left"/>
            </w:pPr>
            <w:r>
              <w:rPr>
                <w:rFonts w:ascii="Calibri" w:hAnsi="Calibri"/>
                <w:b/>
                <w:color w:val="FFFFFF"/>
                <w:sz w:val="18"/>
              </w:rPr>
              <w:t xml:space="preserve">FY2025E</w:t>
            </w:r>
          </w:p>
        </w:tc>
        <w:tc>
          <w:tcPr>
            <w:shd w:val="clear" w:color="auto" w:fill="1F3864"/>
            <w:tcW w:w="1534" w:type="dxa"/>
            <w:shd w:val="clear" w:color="auto" w:fill="1F3864"/>
          </w:tcPr>
          <w:p>
            <w:pPr>
              <w:pStyle w:val="Compact"/>
              <w:spacing w:before="20" w:after="20" w:line="240" w:lineRule="auto"/>
              <w:jc w:val="left"/>
            </w:pPr>
            <w:r>
              <w:rPr>
                <w:rFonts w:ascii="Calibri" w:hAnsi="Calibri"/>
                <w:b/>
                <w:color w:val="FFFFFF"/>
                <w:sz w:val="18"/>
              </w:rPr>
              <w:t xml:space="preserve">FY2026E</w:t>
            </w:r>
          </w:p>
        </w:tc>
        <w:tc>
          <w:tcPr>
            <w:shd w:val="clear" w:color="auto" w:fill="1F3864"/>
            <w:tcW w:w="1534" w:type="dxa"/>
            <w:shd w:val="clear" w:color="auto" w:fill="1F3864"/>
          </w:tcPr>
          <w:p>
            <w:pPr>
              <w:pStyle w:val="Compact"/>
              <w:spacing w:before="20" w:after="20" w:line="240" w:lineRule="auto"/>
              <w:jc w:val="left"/>
            </w:pPr>
            <w:r>
              <w:rPr>
                <w:rFonts w:ascii="Calibri" w:hAnsi="Calibri"/>
                <w:b/>
                <w:color w:val="FFFFFF"/>
                <w:sz w:val="18"/>
              </w:rPr>
              <w:t xml:space="preserve">FY2027E</w:t>
            </w:r>
          </w:p>
        </w:tc>
      </w:tr>
      <w:tr>
        <w:tc>
          <w:tcPr>
            <w:tcW w:w="3564" w:type="dxa"/>
          </w:tcPr>
          <w:p>
            <w:pPr>
              <w:pStyle w:val="Compact"/>
              <w:spacing w:before="20" w:after="20" w:line="240" w:lineRule="auto"/>
              <w:jc w:val="left"/>
            </w:pPr>
            <w:r>
              <w:rPr>
                <w:rFonts w:ascii="Calibri" w:hAnsi="Calibri"/>
                <w:color w:val="202020"/>
                <w:sz w:val="18"/>
              </w:rPr>
              <w:t xml:space="preserve">Environmental Remediation</w:t>
            </w:r>
          </w:p>
        </w:tc>
        <w:tc>
          <w:tcPr>
            <w:tcW w:w="1534" w:type="dxa"/>
          </w:tcPr>
          <w:p>
            <w:pPr>
              <w:pStyle w:val="Compact"/>
              <w:spacing w:before="20" w:after="20" w:line="240" w:lineRule="auto"/>
              <w:jc w:val="left"/>
            </w:pPr>
            <w:r>
              <w:rPr>
                <w:rFonts w:ascii="Calibri" w:hAnsi="Calibri"/>
                <w:color w:val="202020"/>
                <w:sz w:val="18"/>
              </w:rPr>
              <w:t xml:space="preserve">48.2</w:t>
            </w:r>
          </w:p>
        </w:tc>
        <w:tc>
          <w:tcPr>
            <w:tcW w:w="1534" w:type="dxa"/>
          </w:tcPr>
          <w:p>
            <w:pPr>
              <w:pStyle w:val="Compact"/>
              <w:spacing w:before="20" w:after="20" w:line="240" w:lineRule="auto"/>
              <w:jc w:val="left"/>
            </w:pPr>
            <w:r>
              <w:rPr>
                <w:rFonts w:ascii="Calibri" w:hAnsi="Calibri"/>
                <w:color w:val="202020"/>
                <w:sz w:val="18"/>
              </w:rPr>
              <w:t xml:space="preserve">56.0</w:t>
            </w:r>
          </w:p>
        </w:tc>
        <w:tc>
          <w:tcPr>
            <w:tcW w:w="1534" w:type="dxa"/>
          </w:tcPr>
          <w:p>
            <w:pPr>
              <w:pStyle w:val="Compact"/>
              <w:spacing w:before="20" w:after="20" w:line="240" w:lineRule="auto"/>
              <w:jc w:val="left"/>
            </w:pPr>
            <w:r>
              <w:rPr>
                <w:rFonts w:ascii="Calibri" w:hAnsi="Calibri"/>
                <w:color w:val="202020"/>
                <w:sz w:val="18"/>
              </w:rPr>
              <w:t xml:space="preserve">65.0</w:t>
            </w:r>
          </w:p>
        </w:tc>
        <w:tc>
          <w:tcPr>
            <w:tcW w:w="1534" w:type="dxa"/>
          </w:tcPr>
          <w:p>
            <w:pPr>
              <w:pStyle w:val="Compact"/>
              <w:spacing w:before="20" w:after="20" w:line="240" w:lineRule="auto"/>
              <w:jc w:val="left"/>
            </w:pPr>
            <w:r>
              <w:rPr>
                <w:rFonts w:ascii="Calibri" w:hAnsi="Calibri"/>
                <w:color w:val="202020"/>
                <w:sz w:val="18"/>
              </w:rPr>
              <w:t xml:space="preserve">72.0</w:t>
            </w:r>
          </w:p>
        </w:tc>
      </w:tr>
      <w:tr>
        <w:tc>
          <w:tcPr>
            <w:shd w:val="clear" w:color="auto" w:fill="EAEFF7"/>
            <w:tcW w:w="3564" w:type="dxa"/>
            <w:shd w:val="clear" w:color="auto" w:fill="EAEFF7"/>
          </w:tcPr>
          <w:p>
            <w:pPr>
              <w:pStyle w:val="Compact"/>
              <w:spacing w:before="20" w:after="20" w:line="240" w:lineRule="auto"/>
              <w:jc w:val="left"/>
            </w:pPr>
            <w:r>
              <w:rPr>
                <w:rFonts w:ascii="Calibri" w:hAnsi="Calibri"/>
                <w:color w:val="202020"/>
                <w:sz w:val="18"/>
              </w:rPr>
              <w:t xml:space="preserve">— of which PFAS</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6.2</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14.0</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22.0</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27.0</w:t>
            </w:r>
          </w:p>
        </w:tc>
      </w:tr>
      <w:tr>
        <w:tc>
          <w:tcPr>
            <w:tcW w:w="3564" w:type="dxa"/>
          </w:tcPr>
          <w:p>
            <w:pPr>
              <w:pStyle w:val="Compact"/>
              <w:spacing w:before="20" w:after="20" w:line="240" w:lineRule="auto"/>
              <w:jc w:val="left"/>
            </w:pPr>
            <w:r>
              <w:rPr>
                <w:rFonts w:ascii="Calibri" w:hAnsi="Calibri"/>
                <w:color w:val="202020"/>
                <w:sz w:val="18"/>
              </w:rPr>
              <w:t xml:space="preserve">— of which Traditional Remediation</w:t>
            </w:r>
          </w:p>
        </w:tc>
        <w:tc>
          <w:tcPr>
            <w:tcW w:w="1534" w:type="dxa"/>
          </w:tcPr>
          <w:p>
            <w:pPr>
              <w:pStyle w:val="Compact"/>
              <w:spacing w:before="20" w:after="20" w:line="240" w:lineRule="auto"/>
              <w:jc w:val="left"/>
            </w:pPr>
            <w:r>
              <w:rPr>
                <w:rFonts w:ascii="Calibri" w:hAnsi="Calibri"/>
                <w:color w:val="202020"/>
                <w:sz w:val="18"/>
              </w:rPr>
              <w:t xml:space="preserve">42.0</w:t>
            </w:r>
          </w:p>
        </w:tc>
        <w:tc>
          <w:tcPr>
            <w:tcW w:w="1534" w:type="dxa"/>
          </w:tcPr>
          <w:p>
            <w:pPr>
              <w:pStyle w:val="Compact"/>
              <w:spacing w:before="20" w:after="20" w:line="240" w:lineRule="auto"/>
              <w:jc w:val="left"/>
            </w:pPr>
            <w:r>
              <w:rPr>
                <w:rFonts w:ascii="Calibri" w:hAnsi="Calibri"/>
                <w:color w:val="202020"/>
                <w:sz w:val="18"/>
              </w:rPr>
              <w:t xml:space="preserve">42.5</w:t>
            </w:r>
          </w:p>
        </w:tc>
        <w:tc>
          <w:tcPr>
            <w:tcW w:w="1534" w:type="dxa"/>
          </w:tcPr>
          <w:p>
            <w:pPr>
              <w:pStyle w:val="Compact"/>
              <w:spacing w:before="20" w:after="20" w:line="240" w:lineRule="auto"/>
              <w:jc w:val="left"/>
            </w:pPr>
            <w:r>
              <w:rPr>
                <w:rFonts w:ascii="Calibri" w:hAnsi="Calibri"/>
                <w:color w:val="202020"/>
                <w:sz w:val="18"/>
              </w:rPr>
              <w:t xml:space="preserve">44.0</w:t>
            </w:r>
          </w:p>
        </w:tc>
        <w:tc>
          <w:tcPr>
            <w:tcW w:w="1534" w:type="dxa"/>
          </w:tcPr>
          <w:p>
            <w:pPr>
              <w:pStyle w:val="Compact"/>
              <w:spacing w:before="20" w:after="20" w:line="240" w:lineRule="auto"/>
              <w:jc w:val="left"/>
            </w:pPr>
            <w:r>
              <w:rPr>
                <w:rFonts w:ascii="Calibri" w:hAnsi="Calibri"/>
                <w:color w:val="202020"/>
                <w:sz w:val="18"/>
              </w:rPr>
              <w:t xml:space="preserve">46.5</w:t>
            </w:r>
          </w:p>
        </w:tc>
      </w:tr>
      <w:tr>
        <w:tc>
          <w:tcPr>
            <w:shd w:val="clear" w:color="auto" w:fill="EAEFF7"/>
            <w:tcW w:w="3564" w:type="dxa"/>
            <w:shd w:val="clear" w:color="auto" w:fill="EAEFF7"/>
          </w:tcPr>
          <w:p>
            <w:pPr>
              <w:pStyle w:val="Compact"/>
              <w:spacing w:before="20" w:after="20" w:line="240" w:lineRule="auto"/>
              <w:jc w:val="left"/>
            </w:pPr>
            <w:r>
              <w:rPr>
                <w:rFonts w:ascii="Calibri" w:hAnsi="Calibri"/>
                <w:color w:val="202020"/>
                <w:sz w:val="18"/>
              </w:rPr>
              <w:t xml:space="preserve">Industrial Cleaning</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27.8</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29.5</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32.0</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35.0</w:t>
            </w:r>
          </w:p>
        </w:tc>
      </w:tr>
      <w:tr>
        <w:tc>
          <w:tcPr>
            <w:tcW w:w="3564" w:type="dxa"/>
          </w:tcPr>
          <w:p>
            <w:pPr>
              <w:pStyle w:val="Compact"/>
              <w:spacing w:before="20" w:after="20" w:line="240" w:lineRule="auto"/>
              <w:jc w:val="left"/>
            </w:pPr>
            <w:r>
              <w:rPr>
                <w:rFonts w:ascii="Calibri" w:hAnsi="Calibri"/>
                <w:color w:val="202020"/>
                <w:sz w:val="18"/>
              </w:rPr>
              <w:t xml:space="preserve">Emergency Response</w:t>
            </w:r>
          </w:p>
        </w:tc>
        <w:tc>
          <w:tcPr>
            <w:tcW w:w="1534" w:type="dxa"/>
          </w:tcPr>
          <w:p>
            <w:pPr>
              <w:pStyle w:val="Compact"/>
              <w:spacing w:before="20" w:after="20" w:line="240" w:lineRule="auto"/>
              <w:jc w:val="left"/>
            </w:pPr>
            <w:r>
              <w:rPr>
                <w:rFonts w:ascii="Calibri" w:hAnsi="Calibri"/>
                <w:color w:val="202020"/>
                <w:sz w:val="18"/>
              </w:rPr>
              <w:t xml:space="preserve">11.3</w:t>
            </w:r>
          </w:p>
        </w:tc>
        <w:tc>
          <w:tcPr>
            <w:tcW w:w="1534" w:type="dxa"/>
          </w:tcPr>
          <w:p>
            <w:pPr>
              <w:pStyle w:val="Compact"/>
              <w:spacing w:before="20" w:after="20" w:line="240" w:lineRule="auto"/>
              <w:jc w:val="left"/>
            </w:pPr>
            <w:r>
              <w:rPr>
                <w:rFonts w:ascii="Calibri" w:hAnsi="Calibri"/>
                <w:color w:val="202020"/>
                <w:sz w:val="18"/>
              </w:rPr>
              <w:t xml:space="preserve">13.0</w:t>
            </w:r>
          </w:p>
        </w:tc>
        <w:tc>
          <w:tcPr>
            <w:tcW w:w="1534" w:type="dxa"/>
          </w:tcPr>
          <w:p>
            <w:pPr>
              <w:pStyle w:val="Compact"/>
              <w:spacing w:before="20" w:after="20" w:line="240" w:lineRule="auto"/>
              <w:jc w:val="left"/>
            </w:pPr>
            <w:r>
              <w:rPr>
                <w:rFonts w:ascii="Calibri" w:hAnsi="Calibri"/>
                <w:color w:val="202020"/>
                <w:sz w:val="18"/>
              </w:rPr>
              <w:t xml:space="preserve">15.0</w:t>
            </w:r>
          </w:p>
        </w:tc>
        <w:tc>
          <w:tcPr>
            <w:tcW w:w="1534" w:type="dxa"/>
          </w:tcPr>
          <w:p>
            <w:pPr>
              <w:pStyle w:val="Compact"/>
              <w:spacing w:before="20" w:after="20" w:line="240" w:lineRule="auto"/>
              <w:jc w:val="left"/>
            </w:pPr>
            <w:r>
              <w:rPr>
                <w:rFonts w:ascii="Calibri" w:hAnsi="Calibri"/>
                <w:color w:val="202020"/>
                <w:sz w:val="18"/>
              </w:rPr>
              <w:t xml:space="preserve">17.0</w:t>
            </w:r>
          </w:p>
        </w:tc>
      </w:tr>
      <w:tr>
        <w:tc>
          <w:tcPr>
            <w:shd w:val="clear" w:color="auto" w:fill="EAEFF7"/>
            <w:tcW w:w="3564" w:type="dxa"/>
            <w:shd w:val="clear" w:color="auto" w:fill="EAEFF7"/>
          </w:tcPr>
          <w:p>
            <w:pPr>
              <w:pStyle w:val="Compact"/>
              <w:spacing w:before="20" w:after="20" w:line="240" w:lineRule="auto"/>
              <w:jc w:val="left"/>
            </w:pPr>
            <w:r>
              <w:rPr>
                <w:rFonts w:ascii="Calibri" w:hAnsi="Calibri"/>
                <w:b/>
                <w:bCs/>
                <w:color w:val="202020"/>
                <w:sz w:val="18"/>
              </w:rPr>
              <w:t xml:space="preserve">Total</w:t>
            </w:r>
          </w:p>
        </w:tc>
        <w:tc>
          <w:tcPr>
            <w:shd w:val="clear" w:color="auto" w:fill="EAEFF7"/>
            <w:tcW w:w="1534" w:type="dxa"/>
            <w:shd w:val="clear" w:color="auto" w:fill="EAEFF7"/>
          </w:tcPr>
          <w:p>
            <w:pPr>
              <w:pStyle w:val="Compact"/>
              <w:spacing w:before="20" w:after="20" w:line="240" w:lineRule="auto"/>
              <w:jc w:val="left"/>
            </w:pPr>
            <w:r>
              <w:rPr>
                <w:rFonts w:ascii="Calibri" w:hAnsi="Calibri"/>
                <w:b/>
                <w:bCs/>
                <w:color w:val="202020"/>
                <w:sz w:val="18"/>
              </w:rPr>
              <w:t xml:space="preserve">87.3</w:t>
            </w:r>
          </w:p>
        </w:tc>
        <w:tc>
          <w:tcPr>
            <w:shd w:val="clear" w:color="auto" w:fill="EAEFF7"/>
            <w:tcW w:w="1534" w:type="dxa"/>
            <w:shd w:val="clear" w:color="auto" w:fill="EAEFF7"/>
          </w:tcPr>
          <w:p>
            <w:pPr>
              <w:pStyle w:val="Compact"/>
              <w:spacing w:before="20" w:after="20" w:line="240" w:lineRule="auto"/>
              <w:jc w:val="left"/>
            </w:pPr>
            <w:r>
              <w:rPr>
                <w:rFonts w:ascii="Calibri" w:hAnsi="Calibri"/>
                <w:b/>
                <w:bCs/>
                <w:color w:val="202020"/>
                <w:sz w:val="18"/>
              </w:rPr>
              <w:t xml:space="preserve">98.5</w:t>
            </w:r>
          </w:p>
        </w:tc>
        <w:tc>
          <w:tcPr>
            <w:shd w:val="clear" w:color="auto" w:fill="EAEFF7"/>
            <w:tcW w:w="1534" w:type="dxa"/>
            <w:shd w:val="clear" w:color="auto" w:fill="EAEFF7"/>
          </w:tcPr>
          <w:p>
            <w:pPr>
              <w:pStyle w:val="Compact"/>
              <w:spacing w:before="20" w:after="20" w:line="240" w:lineRule="auto"/>
              <w:jc w:val="left"/>
            </w:pPr>
            <w:r>
              <w:rPr>
                <w:rFonts w:ascii="Calibri" w:hAnsi="Calibri"/>
                <w:b/>
                <w:bCs/>
                <w:color w:val="202020"/>
                <w:sz w:val="18"/>
              </w:rPr>
              <w:t xml:space="preserve">112.0</w:t>
            </w:r>
          </w:p>
        </w:tc>
        <w:tc>
          <w:tcPr>
            <w:shd w:val="clear" w:color="auto" w:fill="EAEFF7"/>
            <w:tcW w:w="1534" w:type="dxa"/>
            <w:shd w:val="clear" w:color="auto" w:fill="EAEFF7"/>
          </w:tcPr>
          <w:p>
            <w:pPr>
              <w:pStyle w:val="Compact"/>
              <w:spacing w:before="20" w:after="20" w:line="240" w:lineRule="auto"/>
              <w:jc w:val="left"/>
            </w:pPr>
            <w:r>
              <w:rPr>
                <w:rFonts w:ascii="Calibri" w:hAnsi="Calibri"/>
                <w:b/>
                <w:bCs/>
                <w:color w:val="202020"/>
                <w:sz w:val="18"/>
              </w:rPr>
              <w:t xml:space="preserve">124.0</w:t>
            </w:r>
          </w:p>
        </w:tc>
      </w:tr>
      <w:tr>
        <w:tc>
          <w:tcPr>
            <w:tcW w:w="3564" w:type="dxa"/>
          </w:tcPr>
          <w:p>
            <w:pPr>
              <w:pStyle w:val="Compact"/>
              <w:spacing w:before="20" w:after="20" w:line="240" w:lineRule="auto"/>
              <w:jc w:val="left"/>
            </w:pPr>
            <w:r>
              <w:rPr>
                <w:rFonts w:ascii="Calibri" w:hAnsi="Calibri"/>
                <w:color w:val="202020"/>
                <w:sz w:val="18"/>
              </w:rPr>
              <w:t xml:space="preserve">YoY growth</w:t>
            </w:r>
          </w:p>
        </w:tc>
        <w:tc>
          <w:tcPr>
            <w:tcW w:w="1534" w:type="dxa"/>
          </w:tcPr>
          <w:p>
            <w:pPr>
              <w:pStyle w:val="Compact"/>
              <w:spacing w:before="20" w:after="20" w:line="240" w:lineRule="auto"/>
              <w:jc w:val="left"/>
            </w:pPr>
            <w:r>
              <w:rPr>
                <w:rFonts w:ascii="Calibri" w:hAnsi="Calibri"/>
                <w:color w:val="202020"/>
                <w:sz w:val="18"/>
              </w:rPr>
              <w:t xml:space="preserve">14.7%</w:t>
            </w:r>
          </w:p>
        </w:tc>
        <w:tc>
          <w:tcPr>
            <w:tcW w:w="1534" w:type="dxa"/>
          </w:tcPr>
          <w:p>
            <w:pPr>
              <w:pStyle w:val="Compact"/>
              <w:spacing w:before="20" w:after="20" w:line="240" w:lineRule="auto"/>
              <w:jc w:val="left"/>
            </w:pPr>
            <w:r>
              <w:rPr>
                <w:rFonts w:ascii="Calibri" w:hAnsi="Calibri"/>
                <w:color w:val="202020"/>
                <w:sz w:val="18"/>
              </w:rPr>
              <w:t xml:space="preserve">12.8%</w:t>
            </w:r>
          </w:p>
        </w:tc>
        <w:tc>
          <w:tcPr>
            <w:tcW w:w="1534" w:type="dxa"/>
          </w:tcPr>
          <w:p>
            <w:pPr>
              <w:pStyle w:val="Compact"/>
              <w:spacing w:before="20" w:after="20" w:line="240" w:lineRule="auto"/>
              <w:jc w:val="left"/>
            </w:pPr>
            <w:r>
              <w:rPr>
                <w:rFonts w:ascii="Calibri" w:hAnsi="Calibri"/>
                <w:color w:val="202020"/>
                <w:sz w:val="18"/>
              </w:rPr>
              <w:t xml:space="preserve">13.7%</w:t>
            </w:r>
          </w:p>
        </w:tc>
        <w:tc>
          <w:tcPr>
            <w:tcW w:w="1534" w:type="dxa"/>
          </w:tcPr>
          <w:p>
            <w:pPr>
              <w:pStyle w:val="Compact"/>
              <w:spacing w:before="20" w:after="20" w:line="240" w:lineRule="auto"/>
              <w:jc w:val="left"/>
            </w:pPr>
            <w:r>
              <w:rPr>
                <w:rFonts w:ascii="Calibri" w:hAnsi="Calibri"/>
                <w:color w:val="202020"/>
                <w:sz w:val="18"/>
              </w:rPr>
              <w:t xml:space="preserve">10.7%</w:t>
            </w:r>
          </w:p>
        </w:tc>
      </w:tr>
      <w:tr>
        <w:tc>
          <w:tcPr>
            <w:shd w:val="clear" w:color="auto" w:fill="EAEFF7"/>
            <w:tcW w:w="3564" w:type="dxa"/>
            <w:shd w:val="clear" w:color="auto" w:fill="EAEFF7"/>
          </w:tcPr>
          <w:p>
            <w:pPr>
              <w:pStyle w:val="Compact"/>
              <w:spacing w:before="20" w:after="20" w:line="240" w:lineRule="auto"/>
              <w:jc w:val="left"/>
            </w:pPr>
            <w:r>
              <w:rPr>
                <w:rFonts w:ascii="Calibri" w:hAnsi="Calibri"/>
                <w:color w:val="202020"/>
                <w:sz w:val="18"/>
              </w:rPr>
              <w:t xml:space="preserve">PFAS % of total revenue</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7.1%</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14.2%</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19.6%</w:t>
            </w:r>
          </w:p>
        </w:tc>
        <w:tc>
          <w:tcPr>
            <w:shd w:val="clear" w:color="auto" w:fill="EAEFF7"/>
            <w:tcW w:w="1534" w:type="dxa"/>
            <w:shd w:val="clear" w:color="auto" w:fill="EAEFF7"/>
          </w:tcPr>
          <w:p>
            <w:pPr>
              <w:pStyle w:val="Compact"/>
              <w:spacing w:before="20" w:after="20" w:line="240" w:lineRule="auto"/>
              <w:jc w:val="left"/>
            </w:pPr>
            <w:r>
              <w:rPr>
                <w:rFonts w:ascii="Calibri" w:hAnsi="Calibri"/>
                <w:color w:val="202020"/>
                <w:sz w:val="18"/>
              </w:rPr>
              <w:t xml:space="preserve">21.8%</w:t>
            </w:r>
          </w:p>
        </w:tc>
      </w:tr>
    </w:tbl>
    <w:p>
      <w:pPr>
        <w:pStyle w:val="BodyText"/>
      </w:pPr>
      <w:r>
        <w:rPr>
          <w:i/>
          <w:iCs/>
        </w:rPr>
        <w:t xml:space="preserve">Note: FY2025E–FY2027E segment figures above follow the CIM’s Section VI.F presentation; the financial exhibits’ Revenue-by-Segment tab shows slightly different sub-totals (e.g., FY2025E Remediation $56.5M vs. CIM $56.0M) — another minor inconsistency to reconcile.</w:t>
      </w:r>
    </w:p>
    <w:bookmarkEnd w:id="23"/>
    <w:bookmarkStart w:id="24" w:name="X4fda51888f1365238ac18ccb3b7902144e8def7"/>
    <w:p>
      <w:pPr>
        <w:pStyle w:val="Heading3"/>
      </w:pPr>
      <w:r>
        <w:t xml:space="preserve">B. EBITDA Quality and the Adjusted EBITDA Bridge</w:t>
      </w:r>
    </w:p>
    <w:p>
      <w:pPr>
        <w:pStyle w:val="FirstParagraph"/>
      </w:pPr>
      <w:r>
        <w:t xml:space="preserve">This is the most important financial issue. The CIM lifts reported EBITDA of $12.1M to Adjusted EBITDA of $17.1M via $5.0M of implied adjustments. The bridge does not withstand scrutiny on three counts.</w:t>
      </w:r>
    </w:p>
    <w:p>
      <w:pPr>
        <w:pStyle w:val="BodyText"/>
      </w:pPr>
      <w:r>
        <w:rPr>
          <w:b/>
          <w:bCs/>
        </w:rPr>
        <w:t xml:space="preserve">(1) The bridge does not foot (arithmetic error).</w:t>
      </w:r>
      <w:r>
        <w:t xml:space="preserve"> </w:t>
      </w:r>
      <w:r>
        <w:t xml:space="preserve">The six stated adjustments sum to</w:t>
      </w:r>
      <w:r>
        <w:t xml:space="preserve"> </w:t>
      </w:r>
      <w:r>
        <w:rPr>
          <w:b/>
          <w:bCs/>
        </w:rPr>
        <w:t xml:space="preserve">$4.7M</w:t>
      </w:r>
      <w:r>
        <w:t xml:space="preserve">, not $5.0M. Reported EBITDA $12.1M + $4.7M =</w:t>
      </w:r>
      <w:r>
        <w:t xml:space="preserve"> </w:t>
      </w:r>
      <w:r>
        <w:rPr>
          <w:b/>
          <w:bCs/>
        </w:rPr>
        <w:t xml:space="preserve">$16.8M</w:t>
      </w:r>
      <w:r>
        <w:t xml:space="preserve">, yet the CIM and the EBITDA Bridge tab both state $17.1M. The EBITDA Bridge tab is internally inconsistent: it lists</w:t>
      </w:r>
      <w:r>
        <w:t xml:space="preserve"> </w:t>
      </w:r>
      <w:r>
        <w:t xml:space="preserve">“</w:t>
      </w:r>
      <w:r>
        <w:t xml:space="preserve">Total Adjustments 4,700</w:t>
      </w:r>
      <w:r>
        <w:t xml:space="preserve">”</w:t>
      </w:r>
      <w:r>
        <w:t xml:space="preserve"> </w:t>
      </w:r>
      <w:r>
        <w:t xml:space="preserve">and</w:t>
      </w:r>
      <w:r>
        <w:t xml:space="preserve"> </w:t>
      </w:r>
      <w:r>
        <w:t xml:space="preserve">“</w:t>
      </w:r>
      <w:r>
        <w:t xml:space="preserve">Adjusted EBITDA 17,100</w:t>
      </w:r>
      <w:r>
        <w:t xml:space="preserve">”</w:t>
      </w:r>
      <w:r>
        <w:t xml:space="preserve"> </w:t>
      </w:r>
      <w:r>
        <w:t xml:space="preserve">in adjacent rows. The $0.3M overstatement is worth</w:t>
      </w:r>
      <w:r>
        <w:t xml:space="preserve"> </w:t>
      </w:r>
      <w:r>
        <w:rPr>
          <w:b/>
          <w:bCs/>
        </w:rPr>
        <w:t xml:space="preserve">$2.4M–$3.0M of EV</w:t>
      </w:r>
      <w:r>
        <w:t xml:space="preserve"> </w:t>
      </w:r>
      <w:r>
        <w:t xml:space="preserve">at 8.0x–10.0x before any other adjustment.</w:t>
      </w:r>
    </w:p>
    <w:p>
      <w:pPr>
        <w:pStyle w:val="BodyText"/>
      </w:pPr>
      <w:r>
        <w:rPr>
          <w:b/>
          <w:bCs/>
        </w:rPr>
        <w:t xml:space="preserve">(2) The related-party lease add-back is contradicted by the CIM’s own market data.</w:t>
      </w:r>
      <w:r>
        <w:t xml:space="preserve"> </w:t>
      </w:r>
      <w:r>
        <w:t xml:space="preserve">The $0.8M add-back assumes market rent of $0.6M against the $1.4M paid to Mr. Oakes (who owns the HQ personally). However, the CIM’s Industry Overview states that</w:t>
      </w:r>
      <w:r>
        <w:t xml:space="preserve"> </w:t>
      </w:r>
      <w:r>
        <w:t xml:space="preserve">“</w:t>
      </w:r>
      <w:r>
        <w:t xml:space="preserve">specialized environmental staging facilities commanding rates of</w:t>
      </w:r>
      <w:r>
        <w:t xml:space="preserve"> </w:t>
      </w:r>
      <w:r>
        <w:rPr>
          <w:b/>
          <w:bCs/>
        </w:rPr>
        <w:t xml:space="preserve">$1.0 million to $1.2 million annually</w:t>
      </w:r>
      <w:r>
        <w:t xml:space="preserve"> </w:t>
      </w:r>
      <w:r>
        <w:t xml:space="preserve">for properties of comparable acreage and infrastructure.</w:t>
      </w:r>
      <w:r>
        <w:t xml:space="preserve">”</w:t>
      </w:r>
      <w:r>
        <w:t xml:space="preserve"> </w:t>
      </w:r>
      <w:r>
        <w:t xml:space="preserve">The CES HQ is precisely such a facility (8.5 acres, permitted wash rack, secondary containment, roll-off/soil-stockpile staging). On the CIM’s own comparable, market rent is $1.0M–$1.2M, making the defensible above-market add-back</w:t>
      </w:r>
      <w:r>
        <w:t xml:space="preserve"> </w:t>
      </w:r>
      <w:r>
        <w:rPr>
          <w:b/>
          <w:bCs/>
        </w:rPr>
        <w:t xml:space="preserve">$0.2M–$0.4M</w:t>
      </w:r>
      <w:r>
        <w:t xml:space="preserve">, not $0.8M. The overstatement is</w:t>
      </w:r>
      <w:r>
        <w:t xml:space="preserve"> </w:t>
      </w:r>
      <w:r>
        <w:rPr>
          <w:b/>
          <w:bCs/>
        </w:rPr>
        <w:t xml:space="preserve">$0.4M–$0.6M</w:t>
      </w:r>
      <w:r>
        <w:t xml:space="preserve"> </w:t>
      </w:r>
      <w:r>
        <w:t xml:space="preserve">($3.2M–$6.0M of EV). This also has a real-estate/hold-up dimension addressed in Section VI.</w:t>
      </w:r>
    </w:p>
    <w:p>
      <w:pPr>
        <w:pStyle w:val="BodyText"/>
      </w:pPr>
      <w:r>
        <w:rPr>
          <w:b/>
          <w:bCs/>
        </w:rPr>
        <w:t xml:space="preserve">(3) The regulatory/legal add-back treats a recurring cost as one-time.</w:t>
      </w:r>
      <w:r>
        <w:t xml:space="preserve"> </w:t>
      </w:r>
      <w:r>
        <w:t xml:space="preserve">The $1.2M add-back ($875K DEQ settlement + $325K legal fees, August 14, 2024) is presented as fully non-recurring. Sector benchmarks and Thornfield’s portfolio experience say otherwise: environmental-services companies of this size incur</w:t>
      </w:r>
      <w:r>
        <w:t xml:space="preserve"> </w:t>
      </w:r>
      <w:r>
        <w:rPr>
          <w:b/>
          <w:bCs/>
        </w:rPr>
        <w:t xml:space="preserve">$0.2M–$0.5M per year</w:t>
      </w:r>
      <w:r>
        <w:t xml:space="preserve"> </w:t>
      </w:r>
      <w:r>
        <w:t xml:space="preserve">of recurring regulatory/compliance cost (routine defense, permit renewals, audits, minor enforcement responses, fines). At GreenWorks, a</w:t>
      </w:r>
      <w:r>
        <w:t xml:space="preserve"> </w:t>
      </w:r>
      <w:r>
        <w:t xml:space="preserve">“</w:t>
      </w:r>
      <w:r>
        <w:t xml:space="preserve">$380K one-time</w:t>
      </w:r>
      <w:r>
        <w:t xml:space="preserve">”</w:t>
      </w:r>
      <w:r>
        <w:t xml:space="preserve"> </w:t>
      </w:r>
      <w:r>
        <w:t xml:space="preserve">add-back was followed by ~$275K/year of recurring regulatory expense; at Allied Waste, recurring regulatory costs averaged ~$310K/year with a spike to $840K. Best-practice QoE normalizes to a run-rate and adds back only the excess. Assuming a $0.3M–$0.5M run-rate, the defensible add-back is</w:t>
      </w:r>
      <w:r>
        <w:t xml:space="preserve"> </w:t>
      </w:r>
      <w:r>
        <w:rPr>
          <w:b/>
          <w:bCs/>
        </w:rPr>
        <w:t xml:space="preserve">$0.7M–$0.9M</w:t>
      </w:r>
      <w:r>
        <w:t xml:space="preserve">, an overstatement of</w:t>
      </w:r>
      <w:r>
        <w:t xml:space="preserve"> </w:t>
      </w:r>
      <w:r>
        <w:rPr>
          <w:b/>
          <w:bCs/>
        </w:rPr>
        <w:t xml:space="preserve">$0.3M–$0.5M</w:t>
      </w:r>
      <w:r>
        <w:t xml:space="preserve"> </w:t>
      </w:r>
      <w:r>
        <w:t xml:space="preserve">($2.4M–$5.0M of EV). This requires CES’s full 10-year enforcement history to confirm the DEQ matter is isolated rather than systemic — particularly because it involved</w:t>
      </w:r>
      <w:r>
        <w:t xml:space="preserve"> </w:t>
      </w:r>
      <w:r>
        <w:rPr>
          <w:i/>
          <w:iCs/>
        </w:rPr>
        <w:t xml:space="preserve">improper storage of contaminated soils at the Portland facility</w:t>
      </w:r>
      <w:r>
        <w:t xml:space="preserve">, an operational compliance failure at the core site.</w:t>
      </w:r>
    </w:p>
    <w:p>
      <w:pPr>
        <w:pStyle w:val="BodyText"/>
      </w:pPr>
      <w:r>
        <w:rPr>
          <w:b/>
          <w:bCs/>
        </w:rPr>
        <w:t xml:space="preserve">Other adjustments require validation but are more defensible:</w:t>
      </w:r>
    </w:p>
    <w:p>
      <w:pPr>
        <w:pStyle w:val="Compact"/>
        <w:numPr>
          <w:ilvl w:val="0"/>
          <w:numId w:val="1004"/>
        </w:numPr>
      </w:pPr>
      <w:r>
        <w:rPr>
          <w:b/>
          <w:bCs/>
        </w:rPr>
        <w:t xml:space="preserve">Owner compensation normalization ($1.9M).</w:t>
      </w:r>
      <w:r>
        <w:t xml:space="preserve"> </w:t>
      </w:r>
      <w:r>
        <w:t xml:space="preserve">$2.4M total comp (including</w:t>
      </w:r>
      <w:r>
        <w:t xml:space="preserve"> </w:t>
      </w:r>
      <w:r>
        <w:t xml:space="preserve">“</w:t>
      </w:r>
      <w:r>
        <w:t xml:space="preserve">personal expenses allocated to the Company</w:t>
      </w:r>
      <w:r>
        <w:t xml:space="preserve">”</w:t>
      </w:r>
      <w:r>
        <w:t xml:space="preserve">) less a $0.5M replacement-CEO assumption. The personal-expense component must be substantiated as truly personal. The $0.5M replacement assumption may be light: a PE-licensed environmental-services CEO in the Pacific Northwest market could plausibly cost $0.75M–$1.0M total, which would reduce the defensible add-back to $1.4M–$1.65M.</w:t>
      </w:r>
    </w:p>
    <w:p>
      <w:pPr>
        <w:pStyle w:val="Compact"/>
        <w:numPr>
          <w:ilvl w:val="0"/>
          <w:numId w:val="1004"/>
        </w:numPr>
      </w:pPr>
      <w:r>
        <w:rPr>
          <w:b/>
          <w:bCs/>
        </w:rPr>
        <w:t xml:space="preserve">Phantom-unit stock-based compensation ($0.3M).</w:t>
      </w:r>
      <w:r>
        <w:t xml:space="preserve"> </w:t>
      </w:r>
      <w:r>
        <w:t xml:space="preserve">The non-cash P&amp;L expense is a reasonable add-back,</w:t>
      </w:r>
      <w:r>
        <w:t xml:space="preserve"> </w:t>
      </w:r>
      <w:r>
        <w:rPr>
          <w:b/>
          <w:bCs/>
        </w:rPr>
        <w:t xml:space="preserve">but all outstanding phantom units settle in cash at closing</w:t>
      </w:r>
      <w:r>
        <w:t xml:space="preserve">. That cash settlement is a real transaction/retention cost that is</w:t>
      </w:r>
      <w:r>
        <w:t xml:space="preserve"> </w:t>
      </w:r>
      <w:r>
        <w:rPr>
          <w:i/>
          <w:iCs/>
        </w:rPr>
        <w:t xml:space="preserve">not</w:t>
      </w:r>
      <w:r>
        <w:t xml:space="preserve"> </w:t>
      </w:r>
      <w:r>
        <w:t xml:space="preserve">captured in the add-back and must be sized and allocated between purchase price and closing/retention costs.</w:t>
      </w:r>
    </w:p>
    <w:p>
      <w:pPr>
        <w:pStyle w:val="Compact"/>
        <w:numPr>
          <w:ilvl w:val="0"/>
          <w:numId w:val="1004"/>
        </w:numPr>
      </w:pPr>
      <w:r>
        <w:rPr>
          <w:b/>
          <w:bCs/>
        </w:rPr>
        <w:t xml:space="preserve">Boise equipment relocation ($0.4M) and ERP/IT ($0.1M).</w:t>
      </w:r>
      <w:r>
        <w:t xml:space="preserve"> </w:t>
      </w:r>
      <w:r>
        <w:t xml:space="preserve">Appear genuinely one-time; verify.</w:t>
      </w:r>
    </w:p>
    <w:p>
      <w:pPr>
        <w:pStyle w:val="FirstParagraph"/>
      </w:pPr>
      <w:r>
        <w:rPr>
          <w:b/>
          <w:bCs/>
        </w:rPr>
        <w:t xml:space="preserve">Buy-side normalized FY2024 Adjusted EBITDA bridge ($M):</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3203"/>
        <w:gridCol w:w="1638"/>
        <w:gridCol w:w="2220"/>
        <w:gridCol w:w="2639"/>
      </w:tblGrid>
      <w:tr>
        <w:trPr>
          <w:tblHeader w:val="on"/>
          <w:tblHeader w:val="true"/>
          <w:tblHeader w:val="true"/>
          <w:tblHeader w:val="true"/>
          <w:tblHeader w:val="true"/>
          <w:tblHeader w:val="true"/>
          <w:tblHeader w:val="true"/>
          <w:tblHeader w:val="true"/>
          <w:tblHeader w:val="true"/>
        </w:trPr>
        <w:tc>
          <w:tcPr>
            <w:shd w:val="clear" w:color="auto" w:fill="1F3864"/>
            <w:tcW w:w="3203" w:type="dxa"/>
            <w:shd w:val="clear" w:color="auto" w:fill="1F3864"/>
          </w:tcPr>
          <w:p>
            <w:pPr>
              <w:pStyle w:val="Compact"/>
              <w:spacing w:before="20" w:after="20" w:line="240" w:lineRule="auto"/>
              <w:jc w:val="left"/>
            </w:pPr>
            <w:r>
              <w:rPr>
                <w:rFonts w:ascii="Calibri" w:hAnsi="Calibri"/>
                <w:b/>
                <w:color w:val="FFFFFF"/>
                <w:sz w:val="18"/>
              </w:rPr>
              <w:t xml:space="preserve">Item</w:t>
            </w:r>
          </w:p>
        </w:tc>
        <w:tc>
          <w:tcPr>
            <w:shd w:val="clear" w:color="auto" w:fill="1F3864"/>
            <w:tcW w:w="1638" w:type="dxa"/>
            <w:shd w:val="clear" w:color="auto" w:fill="1F3864"/>
          </w:tcPr>
          <w:p>
            <w:pPr>
              <w:pStyle w:val="Compact"/>
              <w:spacing w:before="20" w:after="20" w:line="240" w:lineRule="auto"/>
              <w:jc w:val="left"/>
            </w:pPr>
            <w:r>
              <w:rPr>
                <w:rFonts w:ascii="Calibri" w:hAnsi="Calibri"/>
                <w:b/>
                <w:color w:val="FFFFFF"/>
                <w:sz w:val="18"/>
              </w:rPr>
              <w:t xml:space="preserve">CIM (stated)</w:t>
            </w:r>
          </w:p>
        </w:tc>
        <w:tc>
          <w:tcPr>
            <w:shd w:val="clear" w:color="auto" w:fill="1F3864"/>
            <w:tcW w:w="2220" w:type="dxa"/>
            <w:shd w:val="clear" w:color="auto" w:fill="1F3864"/>
          </w:tcPr>
          <w:p>
            <w:pPr>
              <w:pStyle w:val="Compact"/>
              <w:spacing w:before="20" w:after="20" w:line="240" w:lineRule="auto"/>
              <w:jc w:val="left"/>
            </w:pPr>
            <w:r>
              <w:rPr>
                <w:rFonts w:ascii="Calibri" w:hAnsi="Calibri"/>
                <w:b/>
                <w:color w:val="FFFFFF"/>
                <w:sz w:val="18"/>
              </w:rPr>
              <w:t xml:space="preserve">Buy-side (normalized)</w:t>
            </w:r>
          </w:p>
        </w:tc>
        <w:tc>
          <w:tcPr>
            <w:shd w:val="clear" w:color="auto" w:fill="1F3864"/>
            <w:tcW w:w="2639" w:type="dxa"/>
            <w:shd w:val="clear" w:color="auto" w:fill="1F3864"/>
          </w:tcPr>
          <w:p>
            <w:pPr>
              <w:pStyle w:val="Compact"/>
              <w:spacing w:before="20" w:after="20" w:line="240" w:lineRule="auto"/>
              <w:jc w:val="left"/>
            </w:pPr>
            <w:r>
              <w:rPr>
                <w:rFonts w:ascii="Calibri" w:hAnsi="Calibri"/>
                <w:b/>
                <w:color w:val="FFFFFF"/>
                <w:sz w:val="18"/>
              </w:rPr>
              <w:t xml:space="preserve">Delta</w:t>
            </w:r>
          </w:p>
        </w:tc>
      </w:tr>
      <w:tr>
        <w:tc>
          <w:tcPr>
            <w:tcW w:w="3203" w:type="dxa"/>
          </w:tcPr>
          <w:p>
            <w:pPr>
              <w:pStyle w:val="Compact"/>
              <w:spacing w:before="20" w:after="20" w:line="240" w:lineRule="auto"/>
              <w:jc w:val="left"/>
            </w:pPr>
            <w:r>
              <w:rPr>
                <w:rFonts w:ascii="Calibri" w:hAnsi="Calibri"/>
                <w:color w:val="202020"/>
                <w:sz w:val="18"/>
              </w:rPr>
              <w:t xml:space="preserve">Reported EBITDA</w:t>
            </w:r>
          </w:p>
        </w:tc>
        <w:tc>
          <w:tcPr>
            <w:tcW w:w="1638" w:type="dxa"/>
          </w:tcPr>
          <w:p>
            <w:pPr>
              <w:pStyle w:val="Compact"/>
              <w:spacing w:before="20" w:after="20" w:line="240" w:lineRule="auto"/>
              <w:jc w:val="left"/>
            </w:pPr>
            <w:r>
              <w:rPr>
                <w:rFonts w:ascii="Calibri" w:hAnsi="Calibri"/>
                <w:color w:val="202020"/>
                <w:sz w:val="18"/>
              </w:rPr>
              <w:t xml:space="preserve">12.1</w:t>
            </w:r>
          </w:p>
        </w:tc>
        <w:tc>
          <w:tcPr>
            <w:tcW w:w="2220" w:type="dxa"/>
          </w:tcPr>
          <w:p>
            <w:pPr>
              <w:pStyle w:val="Compact"/>
              <w:spacing w:before="20" w:after="20" w:line="240" w:lineRule="auto"/>
              <w:jc w:val="left"/>
            </w:pPr>
            <w:r>
              <w:rPr>
                <w:rFonts w:ascii="Calibri" w:hAnsi="Calibri"/>
                <w:color w:val="202020"/>
                <w:sz w:val="18"/>
              </w:rPr>
              <w:t xml:space="preserve">12.1</w:t>
            </w:r>
          </w:p>
        </w:tc>
        <w:tc>
          <w:tcPr>
            <w:tcW w:w="2639" w:type="dxa"/>
          </w:tcPr>
          <w:p>
            <w:pPr>
              <w:pStyle w:val="Compact"/>
              <w:spacing w:before="20" w:after="20" w:line="240" w:lineRule="auto"/>
              <w:jc w:val="left"/>
            </w:pPr>
            <w:r>
              <w:rPr>
                <w:rFonts w:ascii="Calibri" w:hAnsi="Calibri"/>
                <w:color w:val="202020"/>
                <w:sz w:val="18"/>
              </w:rPr>
              <w:t xml:space="preserve">—</w:t>
            </w:r>
          </w:p>
        </w:tc>
      </w:tr>
      <w:tr>
        <w:tc>
          <w:tcPr>
            <w:shd w:val="clear" w:color="auto" w:fill="EAEFF7"/>
            <w:tcW w:w="3203" w:type="dxa"/>
            <w:shd w:val="clear" w:color="auto" w:fill="EAEFF7"/>
          </w:tcPr>
          <w:p>
            <w:pPr>
              <w:pStyle w:val="Compact"/>
              <w:spacing w:before="20" w:after="20" w:line="240" w:lineRule="auto"/>
              <w:jc w:val="left"/>
            </w:pPr>
            <w:r>
              <w:rPr>
                <w:rFonts w:ascii="Calibri" w:hAnsi="Calibri"/>
                <w:color w:val="202020"/>
                <w:sz w:val="18"/>
              </w:rPr>
              <w:t xml:space="preserve">(+) Owner compensation normalization</w:t>
            </w:r>
          </w:p>
        </w:tc>
        <w:tc>
          <w:tcPr>
            <w:shd w:val="clear" w:color="auto" w:fill="EAEFF7"/>
            <w:tcW w:w="1638" w:type="dxa"/>
            <w:shd w:val="clear" w:color="auto" w:fill="EAEFF7"/>
          </w:tcPr>
          <w:p>
            <w:pPr>
              <w:pStyle w:val="Compact"/>
              <w:spacing w:before="20" w:after="20" w:line="240" w:lineRule="auto"/>
              <w:jc w:val="left"/>
            </w:pPr>
            <w:r>
              <w:rPr>
                <w:rFonts w:ascii="Calibri" w:hAnsi="Calibri"/>
                <w:color w:val="202020"/>
                <w:sz w:val="18"/>
              </w:rPr>
              <w:t xml:space="preserve">1.9</w:t>
            </w:r>
          </w:p>
        </w:tc>
        <w:tc>
          <w:tcPr>
            <w:shd w:val="clear" w:color="auto" w:fill="EAEFF7"/>
            <w:tcW w:w="2220" w:type="dxa"/>
            <w:shd w:val="clear" w:color="auto" w:fill="EAEFF7"/>
          </w:tcPr>
          <w:p>
            <w:pPr>
              <w:pStyle w:val="Compact"/>
              <w:spacing w:before="20" w:after="20" w:line="240" w:lineRule="auto"/>
              <w:jc w:val="left"/>
            </w:pPr>
            <w:r>
              <w:rPr>
                <w:rFonts w:ascii="Calibri" w:hAnsi="Calibri"/>
                <w:color w:val="202020"/>
                <w:sz w:val="18"/>
              </w:rPr>
              <w:t xml:space="preserve">1.9</w:t>
            </w:r>
          </w:p>
        </w:tc>
        <w:tc>
          <w:tcPr>
            <w:shd w:val="clear" w:color="auto" w:fill="EAEFF7"/>
            <w:tcW w:w="2639" w:type="dxa"/>
            <w:shd w:val="clear" w:color="auto" w:fill="EAEFF7"/>
          </w:tcPr>
          <w:p>
            <w:pPr>
              <w:pStyle w:val="Compact"/>
              <w:spacing w:before="20" w:after="20" w:line="240" w:lineRule="auto"/>
              <w:jc w:val="left"/>
            </w:pPr>
            <w:r>
              <w:rPr>
                <w:rFonts w:ascii="Calibri" w:hAnsi="Calibri"/>
                <w:color w:val="202020"/>
                <w:sz w:val="18"/>
              </w:rPr>
              <w:t xml:space="preserve">— (pending QoE)</w:t>
            </w:r>
          </w:p>
        </w:tc>
      </w:tr>
      <w:tr>
        <w:tc>
          <w:tcPr>
            <w:tcW w:w="3203" w:type="dxa"/>
          </w:tcPr>
          <w:p>
            <w:pPr>
              <w:pStyle w:val="Compact"/>
              <w:spacing w:before="20" w:after="20" w:line="240" w:lineRule="auto"/>
              <w:jc w:val="left"/>
            </w:pPr>
            <w:r>
              <w:rPr>
                <w:rFonts w:ascii="Calibri" w:hAnsi="Calibri"/>
                <w:color w:val="202020"/>
                <w:sz w:val="18"/>
              </w:rPr>
              <w:t xml:space="preserve">(+) Related-party lease normalization</w:t>
            </w:r>
          </w:p>
        </w:tc>
        <w:tc>
          <w:tcPr>
            <w:tcW w:w="1638" w:type="dxa"/>
          </w:tcPr>
          <w:p>
            <w:pPr>
              <w:pStyle w:val="Compact"/>
              <w:spacing w:before="20" w:after="20" w:line="240" w:lineRule="auto"/>
              <w:jc w:val="left"/>
            </w:pPr>
            <w:r>
              <w:rPr>
                <w:rFonts w:ascii="Calibri" w:hAnsi="Calibri"/>
                <w:color w:val="202020"/>
                <w:sz w:val="18"/>
              </w:rPr>
              <w:t xml:space="preserve">0.8</w:t>
            </w:r>
          </w:p>
        </w:tc>
        <w:tc>
          <w:tcPr>
            <w:tcW w:w="2220" w:type="dxa"/>
          </w:tcPr>
          <w:p>
            <w:pPr>
              <w:pStyle w:val="Compact"/>
              <w:spacing w:before="20" w:after="20" w:line="240" w:lineRule="auto"/>
              <w:jc w:val="left"/>
            </w:pPr>
            <w:r>
              <w:rPr>
                <w:rFonts w:ascii="Calibri" w:hAnsi="Calibri"/>
                <w:color w:val="202020"/>
                <w:sz w:val="18"/>
              </w:rPr>
              <w:t xml:space="preserve">0.3</w:t>
            </w:r>
          </w:p>
        </w:tc>
        <w:tc>
          <w:tcPr>
            <w:tcW w:w="2639" w:type="dxa"/>
          </w:tcPr>
          <w:p>
            <w:pPr>
              <w:pStyle w:val="Compact"/>
              <w:spacing w:before="20" w:after="20" w:line="240" w:lineRule="auto"/>
              <w:jc w:val="left"/>
            </w:pPr>
            <w:r>
              <w:rPr>
                <w:rFonts w:ascii="Calibri" w:hAnsi="Calibri"/>
                <w:color w:val="202020"/>
                <w:sz w:val="18"/>
              </w:rPr>
              <w:t xml:space="preserve">(0.5)</w:t>
            </w:r>
          </w:p>
        </w:tc>
      </w:tr>
      <w:tr>
        <w:tc>
          <w:tcPr>
            <w:shd w:val="clear" w:color="auto" w:fill="EAEFF7"/>
            <w:tcW w:w="3203" w:type="dxa"/>
            <w:shd w:val="clear" w:color="auto" w:fill="EAEFF7"/>
          </w:tcPr>
          <w:p>
            <w:pPr>
              <w:pStyle w:val="Compact"/>
              <w:spacing w:before="20" w:after="20" w:line="240" w:lineRule="auto"/>
              <w:jc w:val="left"/>
            </w:pPr>
            <w:r>
              <w:rPr>
                <w:rFonts w:ascii="Calibri" w:hAnsi="Calibri"/>
                <w:color w:val="202020"/>
                <w:sz w:val="18"/>
              </w:rPr>
              <w:t xml:space="preserve">(+) One-time legal/regulatory costs</w:t>
            </w:r>
          </w:p>
        </w:tc>
        <w:tc>
          <w:tcPr>
            <w:shd w:val="clear" w:color="auto" w:fill="EAEFF7"/>
            <w:tcW w:w="1638" w:type="dxa"/>
            <w:shd w:val="clear" w:color="auto" w:fill="EAEFF7"/>
          </w:tcPr>
          <w:p>
            <w:pPr>
              <w:pStyle w:val="Compact"/>
              <w:spacing w:before="20" w:after="20" w:line="240" w:lineRule="auto"/>
              <w:jc w:val="left"/>
            </w:pPr>
            <w:r>
              <w:rPr>
                <w:rFonts w:ascii="Calibri" w:hAnsi="Calibri"/>
                <w:color w:val="202020"/>
                <w:sz w:val="18"/>
              </w:rPr>
              <w:t xml:space="preserve">1.2</w:t>
            </w:r>
          </w:p>
        </w:tc>
        <w:tc>
          <w:tcPr>
            <w:shd w:val="clear" w:color="auto" w:fill="EAEFF7"/>
            <w:tcW w:w="2220" w:type="dxa"/>
            <w:shd w:val="clear" w:color="auto" w:fill="EAEFF7"/>
          </w:tcPr>
          <w:p>
            <w:pPr>
              <w:pStyle w:val="Compact"/>
              <w:spacing w:before="20" w:after="20" w:line="240" w:lineRule="auto"/>
              <w:jc w:val="left"/>
            </w:pPr>
            <w:r>
              <w:rPr>
                <w:rFonts w:ascii="Calibri" w:hAnsi="Calibri"/>
                <w:color w:val="202020"/>
                <w:sz w:val="18"/>
              </w:rPr>
              <w:t xml:space="preserve">0.8</w:t>
            </w:r>
          </w:p>
        </w:tc>
        <w:tc>
          <w:tcPr>
            <w:shd w:val="clear" w:color="auto" w:fill="EAEFF7"/>
            <w:tcW w:w="2639" w:type="dxa"/>
            <w:shd w:val="clear" w:color="auto" w:fill="EAEFF7"/>
          </w:tcPr>
          <w:p>
            <w:pPr>
              <w:pStyle w:val="Compact"/>
              <w:spacing w:before="20" w:after="20" w:line="240" w:lineRule="auto"/>
              <w:jc w:val="left"/>
            </w:pPr>
            <w:r>
              <w:rPr>
                <w:rFonts w:ascii="Calibri" w:hAnsi="Calibri"/>
                <w:color w:val="202020"/>
                <w:sz w:val="18"/>
              </w:rPr>
              <w:t xml:space="preserve">(0.4)</w:t>
            </w:r>
          </w:p>
        </w:tc>
      </w:tr>
      <w:tr>
        <w:tc>
          <w:tcPr>
            <w:tcW w:w="3203" w:type="dxa"/>
          </w:tcPr>
          <w:p>
            <w:pPr>
              <w:pStyle w:val="Compact"/>
              <w:spacing w:before="20" w:after="20" w:line="240" w:lineRule="auto"/>
              <w:jc w:val="left"/>
            </w:pPr>
            <w:r>
              <w:rPr>
                <w:rFonts w:ascii="Calibri" w:hAnsi="Calibri"/>
                <w:color w:val="202020"/>
                <w:sz w:val="18"/>
              </w:rPr>
              <w:t xml:space="preserve">(+) Non-recurring equipment relocation</w:t>
            </w:r>
          </w:p>
        </w:tc>
        <w:tc>
          <w:tcPr>
            <w:tcW w:w="1638" w:type="dxa"/>
          </w:tcPr>
          <w:p>
            <w:pPr>
              <w:pStyle w:val="Compact"/>
              <w:spacing w:before="20" w:after="20" w:line="240" w:lineRule="auto"/>
              <w:jc w:val="left"/>
            </w:pPr>
            <w:r>
              <w:rPr>
                <w:rFonts w:ascii="Calibri" w:hAnsi="Calibri"/>
                <w:color w:val="202020"/>
                <w:sz w:val="18"/>
              </w:rPr>
              <w:t xml:space="preserve">0.4</w:t>
            </w:r>
          </w:p>
        </w:tc>
        <w:tc>
          <w:tcPr>
            <w:tcW w:w="2220" w:type="dxa"/>
          </w:tcPr>
          <w:p>
            <w:pPr>
              <w:pStyle w:val="Compact"/>
              <w:spacing w:before="20" w:after="20" w:line="240" w:lineRule="auto"/>
              <w:jc w:val="left"/>
            </w:pPr>
            <w:r>
              <w:rPr>
                <w:rFonts w:ascii="Calibri" w:hAnsi="Calibri"/>
                <w:color w:val="202020"/>
                <w:sz w:val="18"/>
              </w:rPr>
              <w:t xml:space="preserve">0.4</w:t>
            </w:r>
          </w:p>
        </w:tc>
        <w:tc>
          <w:tcPr>
            <w:tcW w:w="2639" w:type="dxa"/>
          </w:tcPr>
          <w:p>
            <w:pPr>
              <w:pStyle w:val="Compact"/>
              <w:spacing w:before="20" w:after="20" w:line="240" w:lineRule="auto"/>
              <w:jc w:val="left"/>
            </w:pPr>
            <w:r>
              <w:rPr>
                <w:rFonts w:ascii="Calibri" w:hAnsi="Calibri"/>
                <w:color w:val="202020"/>
                <w:sz w:val="18"/>
              </w:rPr>
              <w:t xml:space="preserve">—</w:t>
            </w:r>
          </w:p>
        </w:tc>
      </w:tr>
      <w:tr>
        <w:tc>
          <w:tcPr>
            <w:shd w:val="clear" w:color="auto" w:fill="EAEFF7"/>
            <w:tcW w:w="3203" w:type="dxa"/>
            <w:shd w:val="clear" w:color="auto" w:fill="EAEFF7"/>
          </w:tcPr>
          <w:p>
            <w:pPr>
              <w:pStyle w:val="Compact"/>
              <w:spacing w:before="20" w:after="20" w:line="240" w:lineRule="auto"/>
              <w:jc w:val="left"/>
            </w:pPr>
            <w:r>
              <w:rPr>
                <w:rFonts w:ascii="Calibri" w:hAnsi="Calibri"/>
                <w:color w:val="202020"/>
                <w:sz w:val="18"/>
              </w:rPr>
              <w:t xml:space="preserve">(+) Stock-based compensation (phantom)</w:t>
            </w:r>
          </w:p>
        </w:tc>
        <w:tc>
          <w:tcPr>
            <w:shd w:val="clear" w:color="auto" w:fill="EAEFF7"/>
            <w:tcW w:w="1638" w:type="dxa"/>
            <w:shd w:val="clear" w:color="auto" w:fill="EAEFF7"/>
          </w:tcPr>
          <w:p>
            <w:pPr>
              <w:pStyle w:val="Compact"/>
              <w:spacing w:before="20" w:after="20" w:line="240" w:lineRule="auto"/>
              <w:jc w:val="left"/>
            </w:pPr>
            <w:r>
              <w:rPr>
                <w:rFonts w:ascii="Calibri" w:hAnsi="Calibri"/>
                <w:color w:val="202020"/>
                <w:sz w:val="18"/>
              </w:rPr>
              <w:t xml:space="preserve">0.3</w:t>
            </w:r>
          </w:p>
        </w:tc>
        <w:tc>
          <w:tcPr>
            <w:shd w:val="clear" w:color="auto" w:fill="EAEFF7"/>
            <w:tcW w:w="2220" w:type="dxa"/>
            <w:shd w:val="clear" w:color="auto" w:fill="EAEFF7"/>
          </w:tcPr>
          <w:p>
            <w:pPr>
              <w:pStyle w:val="Compact"/>
              <w:spacing w:before="20" w:after="20" w:line="240" w:lineRule="auto"/>
              <w:jc w:val="left"/>
            </w:pPr>
            <w:r>
              <w:rPr>
                <w:rFonts w:ascii="Calibri" w:hAnsi="Calibri"/>
                <w:color w:val="202020"/>
                <w:sz w:val="18"/>
              </w:rPr>
              <w:t xml:space="preserve">0.3</w:t>
            </w:r>
          </w:p>
        </w:tc>
        <w:tc>
          <w:tcPr>
            <w:shd w:val="clear" w:color="auto" w:fill="EAEFF7"/>
            <w:tcW w:w="2639" w:type="dxa"/>
            <w:shd w:val="clear" w:color="auto" w:fill="EAEFF7"/>
          </w:tcPr>
          <w:p>
            <w:pPr>
              <w:pStyle w:val="Compact"/>
              <w:spacing w:before="20" w:after="20" w:line="240" w:lineRule="auto"/>
              <w:jc w:val="left"/>
            </w:pPr>
            <w:r>
              <w:rPr>
                <w:rFonts w:ascii="Calibri" w:hAnsi="Calibri"/>
                <w:color w:val="202020"/>
                <w:sz w:val="18"/>
              </w:rPr>
              <w:t xml:space="preserve">— (cash settlement separate)</w:t>
            </w:r>
          </w:p>
        </w:tc>
      </w:tr>
      <w:tr>
        <w:tc>
          <w:tcPr>
            <w:tcW w:w="3203" w:type="dxa"/>
          </w:tcPr>
          <w:p>
            <w:pPr>
              <w:pStyle w:val="Compact"/>
              <w:spacing w:before="20" w:after="20" w:line="240" w:lineRule="auto"/>
              <w:jc w:val="left"/>
            </w:pPr>
            <w:r>
              <w:rPr>
                <w:rFonts w:ascii="Calibri" w:hAnsi="Calibri"/>
                <w:color w:val="202020"/>
                <w:sz w:val="18"/>
              </w:rPr>
              <w:t xml:space="preserve">(+) One-time IT implementation</w:t>
            </w:r>
          </w:p>
        </w:tc>
        <w:tc>
          <w:tcPr>
            <w:tcW w:w="1638" w:type="dxa"/>
          </w:tcPr>
          <w:p>
            <w:pPr>
              <w:pStyle w:val="Compact"/>
              <w:spacing w:before="20" w:after="20" w:line="240" w:lineRule="auto"/>
              <w:jc w:val="left"/>
            </w:pPr>
            <w:r>
              <w:rPr>
                <w:rFonts w:ascii="Calibri" w:hAnsi="Calibri"/>
                <w:color w:val="202020"/>
                <w:sz w:val="18"/>
              </w:rPr>
              <w:t xml:space="preserve">0.1</w:t>
            </w:r>
          </w:p>
        </w:tc>
        <w:tc>
          <w:tcPr>
            <w:tcW w:w="2220" w:type="dxa"/>
          </w:tcPr>
          <w:p>
            <w:pPr>
              <w:pStyle w:val="Compact"/>
              <w:spacing w:before="20" w:after="20" w:line="240" w:lineRule="auto"/>
              <w:jc w:val="left"/>
            </w:pPr>
            <w:r>
              <w:rPr>
                <w:rFonts w:ascii="Calibri" w:hAnsi="Calibri"/>
                <w:color w:val="202020"/>
                <w:sz w:val="18"/>
              </w:rPr>
              <w:t xml:space="preserve">0.1</w:t>
            </w:r>
          </w:p>
        </w:tc>
        <w:tc>
          <w:tcPr>
            <w:tcW w:w="2639" w:type="dxa"/>
          </w:tcPr>
          <w:p>
            <w:pPr>
              <w:pStyle w:val="Compact"/>
              <w:spacing w:before="20" w:after="20" w:line="240" w:lineRule="auto"/>
              <w:jc w:val="left"/>
            </w:pPr>
            <w:r>
              <w:rPr>
                <w:rFonts w:ascii="Calibri" w:hAnsi="Calibri"/>
                <w:color w:val="202020"/>
                <w:sz w:val="18"/>
              </w:rPr>
              <w:t xml:space="preserve">—</w:t>
            </w:r>
          </w:p>
        </w:tc>
      </w:tr>
      <w:tr>
        <w:tc>
          <w:tcPr>
            <w:shd w:val="clear" w:color="auto" w:fill="EAEFF7"/>
            <w:tcW w:w="3203" w:type="dxa"/>
            <w:shd w:val="clear" w:color="auto" w:fill="EAEFF7"/>
          </w:tcPr>
          <w:p>
            <w:pPr>
              <w:pStyle w:val="Compact"/>
              <w:spacing w:before="20" w:after="20" w:line="240" w:lineRule="auto"/>
              <w:jc w:val="left"/>
            </w:pPr>
            <w:r>
              <w:rPr>
                <w:rFonts w:ascii="Calibri" w:hAnsi="Calibri"/>
                <w:b/>
                <w:bCs/>
                <w:color w:val="202020"/>
                <w:sz w:val="18"/>
              </w:rPr>
              <w:t xml:space="preserve">Sum of adjustments</w:t>
            </w:r>
          </w:p>
        </w:tc>
        <w:tc>
          <w:tcPr>
            <w:shd w:val="clear" w:color="auto" w:fill="EAEFF7"/>
            <w:tcW w:w="1638" w:type="dxa"/>
            <w:shd w:val="clear" w:color="auto" w:fill="EAEFF7"/>
          </w:tcPr>
          <w:p>
            <w:pPr>
              <w:pStyle w:val="Compact"/>
              <w:spacing w:before="20" w:after="20" w:line="240" w:lineRule="auto"/>
              <w:jc w:val="left"/>
            </w:pPr>
            <w:r>
              <w:rPr>
                <w:rFonts w:ascii="Calibri" w:hAnsi="Calibri"/>
                <w:b/>
                <w:bCs/>
                <w:color w:val="202020"/>
                <w:sz w:val="18"/>
              </w:rPr>
              <w:t xml:space="preserve">4.7</w:t>
            </w:r>
          </w:p>
        </w:tc>
        <w:tc>
          <w:tcPr>
            <w:shd w:val="clear" w:color="auto" w:fill="EAEFF7"/>
            <w:tcW w:w="2220" w:type="dxa"/>
            <w:shd w:val="clear" w:color="auto" w:fill="EAEFF7"/>
          </w:tcPr>
          <w:p>
            <w:pPr>
              <w:pStyle w:val="Compact"/>
              <w:spacing w:before="20" w:after="20" w:line="240" w:lineRule="auto"/>
              <w:jc w:val="left"/>
            </w:pPr>
            <w:r>
              <w:rPr>
                <w:rFonts w:ascii="Calibri" w:hAnsi="Calibri"/>
                <w:b/>
                <w:bCs/>
                <w:color w:val="202020"/>
                <w:sz w:val="18"/>
              </w:rPr>
              <w:t xml:space="preserve">3.8</w:t>
            </w:r>
          </w:p>
        </w:tc>
        <w:tc>
          <w:tcPr>
            <w:shd w:val="clear" w:color="auto" w:fill="EAEFF7"/>
            <w:tcW w:w="2639" w:type="dxa"/>
            <w:shd w:val="clear" w:color="auto" w:fill="EAEFF7"/>
          </w:tcPr>
          <w:p>
            <w:pPr>
              <w:pStyle w:val="Compact"/>
              <w:spacing w:before="20" w:after="20" w:line="240" w:lineRule="auto"/>
              <w:jc w:val="left"/>
            </w:pPr>
            <w:r>
              <w:rPr>
                <w:rFonts w:ascii="Calibri" w:hAnsi="Calibri"/>
                <w:b/>
                <w:bCs/>
                <w:color w:val="202020"/>
                <w:sz w:val="18"/>
              </w:rPr>
              <w:t xml:space="preserve">(0.9)</w:t>
            </w:r>
          </w:p>
        </w:tc>
      </w:tr>
      <w:tr>
        <w:tc>
          <w:tcPr>
            <w:tcW w:w="3203" w:type="dxa"/>
          </w:tcPr>
          <w:p>
            <w:pPr>
              <w:pStyle w:val="Compact"/>
              <w:spacing w:before="20" w:after="20" w:line="240" w:lineRule="auto"/>
              <w:jc w:val="left"/>
            </w:pPr>
            <w:r>
              <w:rPr>
                <w:rFonts w:ascii="Calibri" w:hAnsi="Calibri"/>
                <w:b/>
                <w:bCs/>
                <w:color w:val="202020"/>
                <w:sz w:val="18"/>
              </w:rPr>
              <w:t xml:space="preserve">Adjusted EBITDA</w:t>
            </w:r>
          </w:p>
        </w:tc>
        <w:tc>
          <w:tcPr>
            <w:tcW w:w="1638" w:type="dxa"/>
          </w:tcPr>
          <w:p>
            <w:pPr>
              <w:pStyle w:val="Compact"/>
              <w:spacing w:before="20" w:after="20" w:line="240" w:lineRule="auto"/>
              <w:jc w:val="left"/>
            </w:pPr>
            <w:r>
              <w:rPr>
                <w:rFonts w:ascii="Calibri" w:hAnsi="Calibri"/>
                <w:b/>
                <w:bCs/>
                <w:color w:val="202020"/>
                <w:sz w:val="18"/>
              </w:rPr>
              <w:t xml:space="preserve">17.1</w:t>
            </w:r>
          </w:p>
        </w:tc>
        <w:tc>
          <w:tcPr>
            <w:tcW w:w="2220" w:type="dxa"/>
          </w:tcPr>
          <w:p>
            <w:pPr>
              <w:pStyle w:val="Compact"/>
              <w:spacing w:before="20" w:after="20" w:line="240" w:lineRule="auto"/>
              <w:jc w:val="left"/>
            </w:pPr>
            <w:r>
              <w:rPr>
                <w:rFonts w:ascii="Calibri" w:hAnsi="Calibri"/>
                <w:b/>
                <w:bCs/>
                <w:color w:val="202020"/>
                <w:sz w:val="18"/>
              </w:rPr>
              <w:t xml:space="preserve">15.9</w:t>
            </w:r>
          </w:p>
        </w:tc>
        <w:tc>
          <w:tcPr>
            <w:tcW w:w="2639" w:type="dxa"/>
          </w:tcPr>
          <w:p>
            <w:pPr>
              <w:pStyle w:val="Compact"/>
              <w:spacing w:before="20" w:after="20" w:line="240" w:lineRule="auto"/>
              <w:jc w:val="left"/>
            </w:pPr>
            <w:r>
              <w:rPr>
                <w:rFonts w:ascii="Calibri" w:hAnsi="Calibri"/>
                <w:b/>
                <w:bCs/>
                <w:color w:val="202020"/>
                <w:sz w:val="18"/>
              </w:rPr>
              <w:t xml:space="preserve">(1.2)</w:t>
            </w:r>
          </w:p>
        </w:tc>
      </w:tr>
      <w:tr>
        <w:tc>
          <w:tcPr>
            <w:shd w:val="clear" w:color="auto" w:fill="EAEFF7"/>
            <w:tcW w:w="3203" w:type="dxa"/>
            <w:shd w:val="clear" w:color="auto" w:fill="EAEFF7"/>
          </w:tcPr>
          <w:p>
            <w:pPr>
              <w:pStyle w:val="Compact"/>
              <w:spacing w:before="20" w:after="20" w:line="240" w:lineRule="auto"/>
              <w:jc w:val="left"/>
            </w:pPr>
            <w:r>
              <w:rPr>
                <w:rFonts w:ascii="Calibri" w:hAnsi="Calibri"/>
                <w:i/>
                <w:iCs/>
                <w:color w:val="202020"/>
                <w:sz w:val="18"/>
              </w:rPr>
              <w:t xml:space="preserve">Memo: arithmetic correction to CIM</w:t>
            </w:r>
          </w:p>
        </w:tc>
        <w:tc>
          <w:tcPr>
            <w:shd w:val="clear" w:color="auto" w:fill="EAEFF7"/>
            <w:tcW w:w="1638" w:type="dxa"/>
            <w:shd w:val="clear" w:color="auto" w:fill="EAEFF7"/>
          </w:tcPr>
          <w:p>
            <w:pPr>
              <w:pStyle w:val="Compact"/>
              <w:spacing w:before="20" w:after="20" w:line="240" w:lineRule="auto"/>
              <w:jc w:val="left"/>
            </w:pPr>
            <w:r>
              <w:rPr>
                <w:rFonts w:ascii="Calibri" w:hAnsi="Calibri"/>
                <w:i/>
                <w:iCs/>
                <w:color w:val="202020"/>
                <w:sz w:val="18"/>
              </w:rPr>
              <w:t xml:space="preserve">+0.3 error</w:t>
            </w:r>
          </w:p>
        </w:tc>
        <w:tc>
          <w:tcPr>
            <w:shd w:val="clear" w:color="auto" w:fill="EAEFF7"/>
            <w:tcW w:w="2220" w:type="dxa"/>
            <w:shd w:val="clear" w:color="auto" w:fill="EAEFF7"/>
          </w:tcPr>
          <w:p>
            <w:pPr>
              <w:pStyle w:val="Compact"/>
              <w:spacing w:before="20" w:after="20" w:line="240" w:lineRule="auto"/>
              <w:jc w:val="left"/>
            </w:pPr>
            <w:r>
              <w:rPr>
                <w:rFonts w:ascii="Calibri" w:hAnsi="Calibri"/>
                <w:i/>
                <w:iCs/>
                <w:color w:val="202020"/>
                <w:sz w:val="18"/>
              </w:rPr>
              <w:t xml:space="preserve">—</w:t>
            </w:r>
          </w:p>
        </w:tc>
        <w:tc>
          <w:tcPr>
            <w:shd w:val="clear" w:color="auto" w:fill="EAEFF7"/>
            <w:tcW w:w="2639" w:type="dxa"/>
            <w:shd w:val="clear" w:color="auto" w:fill="EAEFF7"/>
          </w:tcPr>
          <w:p>
            <w:pPr>
              <w:pStyle w:val="Compact"/>
              <w:spacing w:before="20" w:after="20" w:line="240" w:lineRule="auto"/>
              <w:jc w:val="left"/>
            </w:pPr>
            <w:r>
              <w:rPr>
                <w:rFonts w:ascii="Calibri" w:hAnsi="Calibri"/>
                <w:i/>
                <w:iCs/>
                <w:color w:val="202020"/>
                <w:sz w:val="18"/>
              </w:rPr>
              <w:t xml:space="preserve">(0.3)</w:t>
            </w:r>
          </w:p>
        </w:tc>
      </w:tr>
    </w:tbl>
    <w:p>
      <w:pPr>
        <w:pStyle w:val="BodyText"/>
      </w:pPr>
      <w:r>
        <w:t xml:space="preserve">The buy-side figure of</w:t>
      </w:r>
      <w:r>
        <w:t xml:space="preserve"> </w:t>
      </w:r>
      <w:r>
        <w:rPr>
          <w:b/>
          <w:bCs/>
        </w:rPr>
        <w:t xml:space="preserve">~$15.9M</w:t>
      </w:r>
      <w:r>
        <w:t xml:space="preserve"> </w:t>
      </w:r>
      <w:r>
        <w:t xml:space="preserve">is ~7% below the CIM’s $17.1M. A conservative case that also (a) uses the exhibits-implied reported EBITDA of ~$11.1M (see Section IV.F) and/or (b) raises the replacement-CEO cost to $0.75M–$1.0M supports Adjusted EBITDA of</w:t>
      </w:r>
      <w:r>
        <w:t xml:space="preserve"> </w:t>
      </w:r>
      <w:r>
        <w:rPr>
          <w:b/>
          <w:bCs/>
        </w:rPr>
        <w:t xml:space="preserve">~$14.5M–$15.0M</w:t>
      </w:r>
      <w:r>
        <w:t xml:space="preserve">.</w:t>
      </w:r>
    </w:p>
    <w:bookmarkEnd w:id="24"/>
    <w:bookmarkStart w:id="25" w:name="c.-projections-assessment"/>
    <w:p>
      <w:pPr>
        <w:pStyle w:val="Heading3"/>
      </w:pPr>
      <w:r>
        <w:t xml:space="preserve">C. Projections Assessment</w:t>
      </w:r>
    </w:p>
    <w:p>
      <w:pPr>
        <w:pStyle w:val="FirstParagraph"/>
      </w:pPr>
      <w:r>
        <w:t xml:space="preserve">Management projects revenue of $98.5M / $112.0M / $124.0M and Adjusted EBITDA of $19.7M / $23.5M / $26.7M in FY2025E–FY2027E, with Adjusted EBITDA margin expanding from 19.6% to 21.5%. Three concerns:</w:t>
      </w:r>
    </w:p>
    <w:p>
      <w:pPr>
        <w:numPr>
          <w:ilvl w:val="0"/>
          <w:numId w:val="1005"/>
        </w:numPr>
      </w:pPr>
      <w:r>
        <w:rPr>
          <w:b/>
          <w:bCs/>
        </w:rPr>
        <w:t xml:space="preserve">PFAS growth is ~3x the achievable company-level rate.</w:t>
      </w:r>
      <w:r>
        <w:t xml:space="preserve"> </w:t>
      </w:r>
      <w:r>
        <w:t xml:space="preserve">The CIM projects PFAS revenue of $14.0M in FY2025E (+125.8%) and $22.0M in FY2026E (+57.1%). Industry analysts put the</w:t>
      </w:r>
      <w:r>
        <w:t xml:space="preserve"> </w:t>
      </w:r>
      <w:r>
        <w:rPr>
          <w:i/>
          <w:iCs/>
        </w:rPr>
        <w:t xml:space="preserve">market</w:t>
      </w:r>
      <w:r>
        <w:t xml:space="preserve"> </w:t>
      </w:r>
      <w:r>
        <w:t xml:space="preserve">at 25%–35% annual growth, but company-level growth is constrained by PE/technician availability, specialized capex, national-competitor entry, and the pace of</w:t>
      </w:r>
      <w:r>
        <w:t xml:space="preserve"> </w:t>
      </w:r>
      <w:r>
        <w:rPr>
          <w:i/>
          <w:iCs/>
        </w:rPr>
        <w:t xml:space="preserve">funded</w:t>
      </w:r>
      <w:r>
        <w:t xml:space="preserve"> </w:t>
      </w:r>
      <w:r>
        <w:t xml:space="preserve">enforcement (vs. investigation only). Our GreenWorks analog is directly on point: an emerging service line (vapor intrusion) projected at 80%+ growth in years two and three actually moderated to ~35% once it crossed $5M. We would expect CES’s PFAS practice to moderate to</w:t>
      </w:r>
      <w:r>
        <w:t xml:space="preserve"> </w:t>
      </w:r>
      <w:r>
        <w:rPr>
          <w:b/>
          <w:bCs/>
        </w:rPr>
        <w:t xml:space="preserve">30%–50%</w:t>
      </w:r>
      <w:r>
        <w:t xml:space="preserve"> </w:t>
      </w:r>
      <w:r>
        <w:t xml:space="preserve">now that it has crossed $5M. If PFAS reaches</w:t>
      </w:r>
      <w:r>
        <w:t xml:space="preserve"> </w:t>
      </w:r>
      <w:r>
        <w:rPr>
          <w:b/>
          <w:bCs/>
        </w:rPr>
        <w:t xml:space="preserve">$9M–$10M in FY2025</w:t>
      </w:r>
      <w:r>
        <w:t xml:space="preserve"> </w:t>
      </w:r>
      <w:r>
        <w:t xml:space="preserve">rather than $14M, the revenue trajectory and the margin-expansion thesis (which depends on PFAS’s above-average margins) both weaken materially.</w:t>
      </w:r>
    </w:p>
    <w:p>
      <w:pPr>
        <w:numPr>
          <w:ilvl w:val="0"/>
          <w:numId w:val="1005"/>
        </w:numPr>
      </w:pPr>
      <w:r>
        <w:rPr>
          <w:b/>
          <w:bCs/>
        </w:rPr>
        <w:t xml:space="preserve">No PFAS-specific backlog breakout is provided.</w:t>
      </w:r>
      <w:r>
        <w:t xml:space="preserve"> </w:t>
      </w:r>
      <w:r>
        <w:t xml:space="preserve">The Customer/Backlog Report discloses total and segment backlog but</w:t>
      </w:r>
      <w:r>
        <w:t xml:space="preserve"> </w:t>
      </w:r>
      <w:r>
        <w:rPr>
          <w:b/>
          <w:bCs/>
        </w:rPr>
        <w:t xml:space="preserve">not</w:t>
      </w:r>
      <w:r>
        <w:t xml:space="preserve"> </w:t>
      </w:r>
      <w:r>
        <w:t xml:space="preserve">a PFAS breakout, and does not split the $14.0M FY2025E PFAS figure between signed contracts and pipeline. This is the single most important projection question and must be requested immediately. Total contracted backlog converting in FY2025 is only</w:t>
      </w:r>
      <w:r>
        <w:t xml:space="preserve"> </w:t>
      </w:r>
      <w:r>
        <w:rPr>
          <w:b/>
          <w:bCs/>
        </w:rPr>
        <w:t xml:space="preserve">$33.0M (33.5% of FY2025E revenue)</w:t>
      </w:r>
      <w:r>
        <w:t xml:space="preserve">; adding a 35%–40% win rate on the $31.4M pipeline yields ~$11.0M–$12.6M, covering only</w:t>
      </w:r>
      <w:r>
        <w:t xml:space="preserve"> </w:t>
      </w:r>
      <w:r>
        <w:rPr>
          <w:b/>
          <w:bCs/>
        </w:rPr>
        <w:t xml:space="preserve">~45%–46% of FY2025E</w:t>
      </w:r>
      <w:r>
        <w:t xml:space="preserve">. The remaining</w:t>
      </w:r>
      <w:r>
        <w:t xml:space="preserve"> </w:t>
      </w:r>
      <w:r>
        <w:rPr>
          <w:b/>
          <w:bCs/>
        </w:rPr>
        <w:t xml:space="preserve">~$53M</w:t>
      </w:r>
      <w:r>
        <w:t xml:space="preserve"> </w:t>
      </w:r>
      <w:r>
        <w:t xml:space="preserve">must be sold in-year — normal for a services business, but it means FY2025E is not heavily pre-sold and the PFAS ramp is largely uncontracted.</w:t>
      </w:r>
    </w:p>
    <w:p>
      <w:pPr>
        <w:numPr>
          <w:ilvl w:val="0"/>
          <w:numId w:val="1005"/>
        </w:numPr>
      </w:pPr>
      <w:r>
        <w:rPr>
          <w:b/>
          <w:bCs/>
        </w:rPr>
        <w:t xml:space="preserve">PE capacity is a binding near-term constraint.</w:t>
      </w:r>
      <w:r>
        <w:t xml:space="preserve"> </w:t>
      </w:r>
      <w:r>
        <w:t xml:space="preserve">PE headcount fell from three to two in January 2025 (a retirement, not yet replaced). PFAS site assessment and remediation design require PE oversight. Growth at the projected pace would likely require hiring two to three additional PEs; environmental-PE recruitment typically runs</w:t>
      </w:r>
      <w:r>
        <w:t xml:space="preserve"> </w:t>
      </w:r>
      <w:r>
        <w:rPr>
          <w:b/>
          <w:bCs/>
        </w:rPr>
        <w:t xml:space="preserve">six to twelve months</w:t>
      </w:r>
      <w:r>
        <w:t xml:space="preserve"> </w:t>
      </w:r>
      <w:r>
        <w:t xml:space="preserve">in a tight market. Management’s PE hiring plan — and whether the loss of one-third of PE capacity creates a near-term execution bottleneck — is a critical diligence item. The same constraint applies more broadly to the remediation segment.</w:t>
      </w:r>
    </w:p>
    <w:p>
      <w:pPr>
        <w:numPr>
          <w:ilvl w:val="0"/>
          <w:numId w:val="1005"/>
        </w:numPr>
      </w:pPr>
      <w:r>
        <w:rPr>
          <w:b/>
          <w:bCs/>
        </w:rPr>
        <w:t xml:space="preserve">Projection methodology is not transparent.</w:t>
      </w:r>
      <w:r>
        <w:t xml:space="preserve"> </w:t>
      </w:r>
      <w:r>
        <w:t xml:space="preserve">The financial exhibits’ income statement does not present a reported or adjusted EBITDA line for FY2025E–FY2027E, and the CIM’s stated Adjusted EBITDA figures ($19.7M / $23.5M / $26.7M) do not cleanly reconcile to the exhibits’ projected P&amp;L (which implies EBIT + D&amp;A of ~$21.2M / $24.8M / $28.4M). The treatment of the related-party lease in the projections also appears inconsistent with the FY2024 adjustment (the projections continue to expense the full $1.4M lease, yet the implied Adjusted EBITDA looks as though the full lease has been removed). Request the complete projection build and the forward adjustment schedule.</w:t>
      </w:r>
    </w:p>
    <w:bookmarkEnd w:id="25"/>
    <w:bookmarkStart w:id="26" w:name="Xe364b682228696edb71de300d3841d8ca7b3e19"/>
    <w:p>
      <w:pPr>
        <w:pStyle w:val="Heading3"/>
      </w:pPr>
      <w:r>
        <w:t xml:space="preserve">D. Free Cash Flow, Capex, and Working Capital</w:t>
      </w:r>
    </w:p>
    <w:p>
      <w:pPr>
        <w:pStyle w:val="FirstParagraph"/>
      </w:pPr>
      <w:r>
        <w:rPr>
          <w:b/>
          <w:bCs/>
        </w:rPr>
        <w:t xml:space="preserve">FCF is thin and capex is likely understated.</w:t>
      </w:r>
      <w:r>
        <w:t xml:space="preserve"> </w:t>
      </w:r>
      <w:r>
        <w:t xml:space="preserve">The CIM reports FY2024 free cash flow of only</w:t>
      </w:r>
      <w:r>
        <w:t xml:space="preserve"> </w:t>
      </w:r>
      <w:r>
        <w:rPr>
          <w:b/>
          <w:bCs/>
        </w:rPr>
        <w:t xml:space="preserve">$2.0M</w:t>
      </w:r>
      <w:r>
        <w:t xml:space="preserve"> </w:t>
      </w:r>
      <w:r>
        <w:t xml:space="preserve">(operating cash flow $9.2M less capex $7.2M) — roughly</w:t>
      </w:r>
      <w:r>
        <w:t xml:space="preserve"> </w:t>
      </w:r>
      <w:r>
        <w:rPr>
          <w:b/>
          <w:bCs/>
        </w:rPr>
        <w:t xml:space="preserve">12% conversion</w:t>
      </w:r>
      <w:r>
        <w:t xml:space="preserve"> </w:t>
      </w:r>
      <w:r>
        <w:t xml:space="preserve">of the $17.1M Adjusted EBITDA. This is low and is driven by (a) capex at 8.2% of revenue and (b) a working-capital build (accounts receivable grew $2.1M). Two issues compound this:</w:t>
      </w:r>
    </w:p>
    <w:p>
      <w:pPr>
        <w:pStyle w:val="Compact"/>
        <w:numPr>
          <w:ilvl w:val="0"/>
          <w:numId w:val="1006"/>
        </w:numPr>
      </w:pPr>
      <w:r>
        <w:rPr>
          <w:b/>
          <w:bCs/>
        </w:rPr>
        <w:t xml:space="preserve">Maintenance capex is below the sector floor.</w:t>
      </w:r>
      <w:r>
        <w:t xml:space="preserve"> </w:t>
      </w:r>
      <w:r>
        <w:t xml:space="preserve">The CIM classifies maintenance capex at</w:t>
      </w:r>
      <w:r>
        <w:t xml:space="preserve"> </w:t>
      </w:r>
      <w:r>
        <w:rPr>
          <w:b/>
          <w:bCs/>
        </w:rPr>
        <w:t xml:space="preserve">$3.0M (3.4% of revenue)</w:t>
      </w:r>
      <w:r>
        <w:t xml:space="preserve">. Sector benchmark for environmental-services companies of this size and fleet intensity is</w:t>
      </w:r>
      <w:r>
        <w:t xml:space="preserve"> </w:t>
      </w:r>
      <w:r>
        <w:rPr>
          <w:b/>
          <w:bCs/>
        </w:rPr>
        <w:t xml:space="preserve">5%–7% of revenue</w:t>
      </w:r>
      <w:r>
        <w:t xml:space="preserve"> </w:t>
      </w:r>
      <w:r>
        <w:t xml:space="preserve">($4.4M–$6.1M), confirmed by our portfolio data (GreenWorks ~6.2%, Allied Waste ~5.8%). At GreenWorks, pre-sale maintenance capex was understated at ~3.5% and true post-close maintenance capex ran ~6.2% as deferred maintenance and equipment age surfaced. The CES fleet is ~4.5 years old on average with a &gt;$22M replacement value; maintenance capex should be rising, not flat at $3.0M. If true maintenance capex is ~$5.5M (sector midpoint), the</w:t>
      </w:r>
      <w:r>
        <w:t xml:space="preserve"> </w:t>
      </w:r>
      <w:r>
        <w:rPr>
          <w:b/>
          <w:bCs/>
        </w:rPr>
        <w:t xml:space="preserve">$2.5M annual difference</w:t>
      </w:r>
      <w:r>
        <w:t xml:space="preserve"> </w:t>
      </w:r>
      <w:r>
        <w:t xml:space="preserve">flows directly to lower free cash flow. At the CIM’s own capex total, FCF is only $2.0M; if maintenance capex is understated and total capex is correspondingly higher,</w:t>
      </w:r>
      <w:r>
        <w:t xml:space="preserve"> </w:t>
      </w:r>
      <w:r>
        <w:rPr>
          <w:b/>
          <w:bCs/>
        </w:rPr>
        <w:t xml:space="preserve">FCF could be near zero or negative</w:t>
      </w:r>
      <w:r>
        <w:t xml:space="preserve"> </w:t>
      </w:r>
      <w:r>
        <w:t xml:space="preserve">in a maintenance-normalized year. This is a critical issue for a leveraged transaction: the deal is a growth/roll-up story, not a cash-yield LBO, and debt paydown will be slow.</w:t>
      </w:r>
    </w:p>
    <w:p>
      <w:pPr>
        <w:pStyle w:val="Compact"/>
        <w:numPr>
          <w:ilvl w:val="0"/>
          <w:numId w:val="1006"/>
        </w:numPr>
      </w:pPr>
      <w:r>
        <w:rPr>
          <w:b/>
          <w:bCs/>
        </w:rPr>
        <w:t xml:space="preserve">DSO does not reconcile to the balance sheet.</w:t>
      </w:r>
      <w:r>
        <w:t xml:space="preserve"> </w:t>
      </w:r>
      <w:r>
        <w:t xml:space="preserve">The CIM states DSO of</w:t>
      </w:r>
      <w:r>
        <w:t xml:space="preserve"> </w:t>
      </w:r>
      <w:r>
        <w:rPr>
          <w:b/>
          <w:bCs/>
        </w:rPr>
        <w:t xml:space="preserve">52 days</w:t>
      </w:r>
      <w:r>
        <w:t xml:space="preserve">. Period-end accounts receivable of $16.9M against FY2024 revenue of $87.3M implies</w:t>
      </w:r>
      <w:r>
        <w:t xml:space="preserve"> </w:t>
      </w:r>
      <w:r>
        <w:rPr>
          <w:b/>
          <w:bCs/>
        </w:rPr>
        <w:t xml:space="preserve">~71 days</w:t>
      </w:r>
      <w:r>
        <w:t xml:space="preserve">; using average AR ($14.2M→$16.9M) implies</w:t>
      </w:r>
      <w:r>
        <w:t xml:space="preserve"> </w:t>
      </w:r>
      <w:r>
        <w:rPr>
          <w:b/>
          <w:bCs/>
        </w:rPr>
        <w:t xml:space="preserve">~65 days</w:t>
      </w:r>
      <w:r>
        <w:t xml:space="preserve">. Including the exhibits’ separate</w:t>
      </w:r>
      <w:r>
        <w:t xml:space="preserve"> </w:t>
      </w:r>
      <w:r>
        <w:t xml:space="preserve">“</w:t>
      </w:r>
      <w:r>
        <w:t xml:space="preserve">unbilled revenue</w:t>
      </w:r>
      <w:r>
        <w:t xml:space="preserve">”</w:t>
      </w:r>
      <w:r>
        <w:t xml:space="preserve"> </w:t>
      </w:r>
      <w:r>
        <w:t xml:space="preserve">of $2.7M pushes the figure toward</w:t>
      </w:r>
      <w:r>
        <w:t xml:space="preserve"> </w:t>
      </w:r>
      <w:r>
        <w:rPr>
          <w:b/>
          <w:bCs/>
        </w:rPr>
        <w:t xml:space="preserve">~82 days</w:t>
      </w:r>
      <w:r>
        <w:t xml:space="preserve">. The stated 52-day figure is not reconcilable to any reasonable revenue base and likely reflects a</w:t>
      </w:r>
      <w:r>
        <w:t xml:space="preserve"> </w:t>
      </w:r>
      <w:r>
        <w:t xml:space="preserve">“</w:t>
      </w:r>
      <w:r>
        <w:t xml:space="preserve">normalized</w:t>
      </w:r>
      <w:r>
        <w:t xml:space="preserve">”</w:t>
      </w:r>
      <w:r>
        <w:t xml:space="preserve"> </w:t>
      </w:r>
      <w:r>
        <w:t xml:space="preserve">rather than actual calculation. The ~14–19 day understatement implies roughly</w:t>
      </w:r>
      <w:r>
        <w:t xml:space="preserve"> </w:t>
      </w:r>
      <w:r>
        <w:rPr>
          <w:b/>
          <w:bCs/>
        </w:rPr>
        <w:t xml:space="preserve">$3.4M–$4.6M of additional working-capital need</w:t>
      </w:r>
      <w:r>
        <w:t xml:space="preserve"> </w:t>
      </w:r>
      <w:r>
        <w:t xml:space="preserve">not reflected in the headline metrics. NWC of $11.8M (13.5% of revenue) is within the 10%–14% sector range, but the DSO discrepancy suggests the receivables component is aging worse than presented.</w:t>
      </w:r>
    </w:p>
    <w:p>
      <w:pPr>
        <w:pStyle w:val="FirstParagraph"/>
      </w:pPr>
      <w:r>
        <w:rPr>
          <w:b/>
          <w:bCs/>
        </w:rPr>
        <w:t xml:space="preserve">Capex summary ($M):</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3388"/>
        <w:gridCol w:w="1578"/>
        <w:gridCol w:w="1578"/>
        <w:gridCol w:w="1578"/>
        <w:gridCol w:w="1578"/>
      </w:tblGrid>
      <w:tr>
        <w:trPr>
          <w:tblHeader w:val="on"/>
          <w:tblHeader w:val="true"/>
          <w:tblHeader w:val="true"/>
          <w:tblHeader w:val="true"/>
          <w:tblHeader w:val="true"/>
          <w:tblHeader w:val="true"/>
          <w:tblHeader w:val="true"/>
          <w:tblHeader w:val="true"/>
          <w:tblHeader w:val="true"/>
          <w:tblHeader w:val="true"/>
          <w:tblHeader w:val="true"/>
        </w:trPr>
        <w:tc>
          <w:tcPr>
            <w:shd w:val="clear" w:color="auto" w:fill="1F3864"/>
            <w:tcW w:w="3388" w:type="dxa"/>
            <w:shd w:val="clear" w:color="auto" w:fill="1F3864"/>
          </w:tcPr>
          <w:p>
            <w:pPr>
              <w:pStyle w:val="Compact"/>
              <w:spacing w:before="20" w:after="20" w:line="240" w:lineRule="auto"/>
            </w:pPr>
          </w:p>
        </w:tc>
        <w:tc>
          <w:tcPr>
            <w:shd w:val="clear" w:color="auto" w:fill="1F3864"/>
            <w:tcW w:w="1578" w:type="dxa"/>
            <w:shd w:val="clear" w:color="auto" w:fill="1F3864"/>
          </w:tcPr>
          <w:p>
            <w:pPr>
              <w:pStyle w:val="Compact"/>
              <w:spacing w:before="20" w:after="20" w:line="240" w:lineRule="auto"/>
              <w:jc w:val="left"/>
            </w:pPr>
            <w:r>
              <w:rPr>
                <w:rFonts w:ascii="Calibri" w:hAnsi="Calibri"/>
                <w:b/>
                <w:color w:val="FFFFFF"/>
                <w:sz w:val="18"/>
              </w:rPr>
              <w:t xml:space="preserve">FY2022A</w:t>
            </w:r>
          </w:p>
        </w:tc>
        <w:tc>
          <w:tcPr>
            <w:shd w:val="clear" w:color="auto" w:fill="1F3864"/>
            <w:tcW w:w="1578" w:type="dxa"/>
            <w:shd w:val="clear" w:color="auto" w:fill="1F3864"/>
          </w:tcPr>
          <w:p>
            <w:pPr>
              <w:pStyle w:val="Compact"/>
              <w:spacing w:before="20" w:after="20" w:line="240" w:lineRule="auto"/>
              <w:jc w:val="left"/>
            </w:pPr>
            <w:r>
              <w:rPr>
                <w:rFonts w:ascii="Calibri" w:hAnsi="Calibri"/>
                <w:b/>
                <w:color w:val="FFFFFF"/>
                <w:sz w:val="18"/>
              </w:rPr>
              <w:t xml:space="preserve">FY2023A</w:t>
            </w:r>
          </w:p>
        </w:tc>
        <w:tc>
          <w:tcPr>
            <w:shd w:val="clear" w:color="auto" w:fill="1F3864"/>
            <w:tcW w:w="1578" w:type="dxa"/>
            <w:shd w:val="clear" w:color="auto" w:fill="1F3864"/>
          </w:tcPr>
          <w:p>
            <w:pPr>
              <w:pStyle w:val="Compact"/>
              <w:spacing w:before="20" w:after="20" w:line="240" w:lineRule="auto"/>
              <w:jc w:val="left"/>
            </w:pPr>
            <w:r>
              <w:rPr>
                <w:rFonts w:ascii="Calibri" w:hAnsi="Calibri"/>
                <w:b/>
                <w:color w:val="FFFFFF"/>
                <w:sz w:val="18"/>
              </w:rPr>
              <w:t xml:space="preserve">FY2024A</w:t>
            </w:r>
          </w:p>
        </w:tc>
        <w:tc>
          <w:tcPr>
            <w:shd w:val="clear" w:color="auto" w:fill="1F3864"/>
            <w:tcW w:w="1578" w:type="dxa"/>
            <w:shd w:val="clear" w:color="auto" w:fill="1F3864"/>
          </w:tcPr>
          <w:p>
            <w:pPr>
              <w:pStyle w:val="Compact"/>
              <w:spacing w:before="20" w:after="20" w:line="240" w:lineRule="auto"/>
              <w:jc w:val="left"/>
            </w:pPr>
            <w:r>
              <w:rPr>
                <w:rFonts w:ascii="Calibri" w:hAnsi="Calibri"/>
                <w:b/>
                <w:color w:val="FFFFFF"/>
                <w:sz w:val="18"/>
              </w:rPr>
              <w:t xml:space="preserve">FY2025E</w:t>
            </w:r>
          </w:p>
        </w:tc>
      </w:tr>
      <w:tr>
        <w:tc>
          <w:tcPr>
            <w:tcW w:w="3388" w:type="dxa"/>
          </w:tcPr>
          <w:p>
            <w:pPr>
              <w:pStyle w:val="Compact"/>
              <w:spacing w:before="20" w:after="20" w:line="240" w:lineRule="auto"/>
              <w:jc w:val="left"/>
            </w:pPr>
            <w:r>
              <w:rPr>
                <w:rFonts w:ascii="Calibri" w:hAnsi="Calibri"/>
                <w:color w:val="202020"/>
                <w:sz w:val="18"/>
              </w:rPr>
              <w:t xml:space="preserve">Maintenance capex</w:t>
            </w:r>
          </w:p>
        </w:tc>
        <w:tc>
          <w:tcPr>
            <w:tcW w:w="1578" w:type="dxa"/>
          </w:tcPr>
          <w:p>
            <w:pPr>
              <w:pStyle w:val="Compact"/>
              <w:spacing w:before="20" w:after="20" w:line="240" w:lineRule="auto"/>
              <w:jc w:val="left"/>
            </w:pPr>
            <w:r>
              <w:rPr>
                <w:rFonts w:ascii="Calibri" w:hAnsi="Calibri"/>
                <w:color w:val="202020"/>
                <w:sz w:val="18"/>
              </w:rPr>
              <w:t xml:space="preserve">3.0</w:t>
            </w:r>
          </w:p>
        </w:tc>
        <w:tc>
          <w:tcPr>
            <w:tcW w:w="1578" w:type="dxa"/>
          </w:tcPr>
          <w:p>
            <w:pPr>
              <w:pStyle w:val="Compact"/>
              <w:spacing w:before="20" w:after="20" w:line="240" w:lineRule="auto"/>
              <w:jc w:val="left"/>
            </w:pPr>
            <w:r>
              <w:rPr>
                <w:rFonts w:ascii="Calibri" w:hAnsi="Calibri"/>
                <w:color w:val="202020"/>
                <w:sz w:val="18"/>
              </w:rPr>
              <w:t xml:space="preserve">3.0</w:t>
            </w:r>
          </w:p>
        </w:tc>
        <w:tc>
          <w:tcPr>
            <w:tcW w:w="1578" w:type="dxa"/>
          </w:tcPr>
          <w:p>
            <w:pPr>
              <w:pStyle w:val="Compact"/>
              <w:spacing w:before="20" w:after="20" w:line="240" w:lineRule="auto"/>
              <w:jc w:val="left"/>
            </w:pPr>
            <w:r>
              <w:rPr>
                <w:rFonts w:ascii="Calibri" w:hAnsi="Calibri"/>
                <w:color w:val="202020"/>
                <w:sz w:val="18"/>
              </w:rPr>
              <w:t xml:space="preserve">3.0</w:t>
            </w:r>
          </w:p>
        </w:tc>
        <w:tc>
          <w:tcPr>
            <w:tcW w:w="1578" w:type="dxa"/>
          </w:tcPr>
          <w:p>
            <w:pPr>
              <w:pStyle w:val="Compact"/>
              <w:spacing w:before="20" w:after="20" w:line="240" w:lineRule="auto"/>
              <w:jc w:val="left"/>
            </w:pPr>
            <w:r>
              <w:rPr>
                <w:rFonts w:ascii="Calibri" w:hAnsi="Calibri"/>
                <w:color w:val="202020"/>
                <w:sz w:val="18"/>
              </w:rPr>
              <w:t xml:space="preserve">3.0</w:t>
            </w:r>
          </w:p>
        </w:tc>
      </w:tr>
      <w:tr>
        <w:tc>
          <w:tcPr>
            <w:shd w:val="clear" w:color="auto" w:fill="EAEFF7"/>
            <w:tcW w:w="3388" w:type="dxa"/>
            <w:shd w:val="clear" w:color="auto" w:fill="EAEFF7"/>
          </w:tcPr>
          <w:p>
            <w:pPr>
              <w:pStyle w:val="Compact"/>
              <w:spacing w:before="20" w:after="20" w:line="240" w:lineRule="auto"/>
              <w:jc w:val="left"/>
            </w:pPr>
            <w:r>
              <w:rPr>
                <w:rFonts w:ascii="Calibri" w:hAnsi="Calibri"/>
                <w:color w:val="202020"/>
                <w:sz w:val="18"/>
              </w:rPr>
              <w:t xml:space="preserve">Growth capex</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1.1</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2.8</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4.2</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1.5</w:t>
            </w:r>
          </w:p>
        </w:tc>
      </w:tr>
      <w:tr>
        <w:tc>
          <w:tcPr>
            <w:tcW w:w="3388" w:type="dxa"/>
          </w:tcPr>
          <w:p>
            <w:pPr>
              <w:pStyle w:val="Compact"/>
              <w:spacing w:before="20" w:after="20" w:line="240" w:lineRule="auto"/>
              <w:jc w:val="left"/>
            </w:pPr>
            <w:r>
              <w:rPr>
                <w:rFonts w:ascii="Calibri" w:hAnsi="Calibri"/>
                <w:color w:val="202020"/>
                <w:sz w:val="18"/>
              </w:rPr>
              <w:t xml:space="preserve">Total capex</w:t>
            </w:r>
          </w:p>
        </w:tc>
        <w:tc>
          <w:tcPr>
            <w:tcW w:w="1578" w:type="dxa"/>
          </w:tcPr>
          <w:p>
            <w:pPr>
              <w:pStyle w:val="Compact"/>
              <w:spacing w:before="20" w:after="20" w:line="240" w:lineRule="auto"/>
              <w:jc w:val="left"/>
            </w:pPr>
            <w:r>
              <w:rPr>
                <w:rFonts w:ascii="Calibri" w:hAnsi="Calibri"/>
                <w:color w:val="202020"/>
                <w:sz w:val="18"/>
              </w:rPr>
              <w:t xml:space="preserve">4.1</w:t>
            </w:r>
          </w:p>
        </w:tc>
        <w:tc>
          <w:tcPr>
            <w:tcW w:w="1578" w:type="dxa"/>
          </w:tcPr>
          <w:p>
            <w:pPr>
              <w:pStyle w:val="Compact"/>
              <w:spacing w:before="20" w:after="20" w:line="240" w:lineRule="auto"/>
              <w:jc w:val="left"/>
            </w:pPr>
            <w:r>
              <w:rPr>
                <w:rFonts w:ascii="Calibri" w:hAnsi="Calibri"/>
                <w:color w:val="202020"/>
                <w:sz w:val="18"/>
              </w:rPr>
              <w:t xml:space="preserve">5.8</w:t>
            </w:r>
          </w:p>
        </w:tc>
        <w:tc>
          <w:tcPr>
            <w:tcW w:w="1578" w:type="dxa"/>
          </w:tcPr>
          <w:p>
            <w:pPr>
              <w:pStyle w:val="Compact"/>
              <w:spacing w:before="20" w:after="20" w:line="240" w:lineRule="auto"/>
              <w:jc w:val="left"/>
            </w:pPr>
            <w:r>
              <w:rPr>
                <w:rFonts w:ascii="Calibri" w:hAnsi="Calibri"/>
                <w:color w:val="202020"/>
                <w:sz w:val="18"/>
              </w:rPr>
              <w:t xml:space="preserve">7.2</w:t>
            </w:r>
          </w:p>
        </w:tc>
        <w:tc>
          <w:tcPr>
            <w:tcW w:w="1578" w:type="dxa"/>
          </w:tcPr>
          <w:p>
            <w:pPr>
              <w:pStyle w:val="Compact"/>
              <w:spacing w:before="20" w:after="20" w:line="240" w:lineRule="auto"/>
              <w:jc w:val="left"/>
            </w:pPr>
            <w:r>
              <w:rPr>
                <w:rFonts w:ascii="Calibri" w:hAnsi="Calibri"/>
                <w:color w:val="202020"/>
                <w:sz w:val="18"/>
              </w:rPr>
              <w:t xml:space="preserve">4.5</w:t>
            </w:r>
          </w:p>
        </w:tc>
      </w:tr>
      <w:tr>
        <w:tc>
          <w:tcPr>
            <w:shd w:val="clear" w:color="auto" w:fill="EAEFF7"/>
            <w:tcW w:w="3388" w:type="dxa"/>
            <w:shd w:val="clear" w:color="auto" w:fill="EAEFF7"/>
          </w:tcPr>
          <w:p>
            <w:pPr>
              <w:pStyle w:val="Compact"/>
              <w:spacing w:before="20" w:after="20" w:line="240" w:lineRule="auto"/>
              <w:jc w:val="left"/>
            </w:pPr>
            <w:r>
              <w:rPr>
                <w:rFonts w:ascii="Calibri" w:hAnsi="Calibri"/>
                <w:color w:val="202020"/>
                <w:sz w:val="18"/>
              </w:rPr>
              <w:t xml:space="preserve">Total capex % of revenue</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6.0%</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7.6%</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8.2%</w:t>
            </w:r>
          </w:p>
        </w:tc>
        <w:tc>
          <w:tcPr>
            <w:shd w:val="clear" w:color="auto" w:fill="EAEFF7"/>
            <w:tcW w:w="1578" w:type="dxa"/>
            <w:shd w:val="clear" w:color="auto" w:fill="EAEFF7"/>
          </w:tcPr>
          <w:p>
            <w:pPr>
              <w:pStyle w:val="Compact"/>
              <w:spacing w:before="20" w:after="20" w:line="240" w:lineRule="auto"/>
              <w:jc w:val="left"/>
            </w:pPr>
            <w:r>
              <w:rPr>
                <w:rFonts w:ascii="Calibri" w:hAnsi="Calibri"/>
                <w:color w:val="202020"/>
                <w:sz w:val="18"/>
              </w:rPr>
              <w:t xml:space="preserve">4.6%</w:t>
            </w:r>
          </w:p>
        </w:tc>
      </w:tr>
      <w:tr>
        <w:tc>
          <w:tcPr>
            <w:tcW w:w="3388" w:type="dxa"/>
          </w:tcPr>
          <w:p>
            <w:pPr>
              <w:pStyle w:val="Compact"/>
              <w:spacing w:before="20" w:after="20" w:line="240" w:lineRule="auto"/>
              <w:jc w:val="left"/>
            </w:pPr>
            <w:r>
              <w:rPr>
                <w:rFonts w:ascii="Calibri" w:hAnsi="Calibri"/>
                <w:color w:val="202020"/>
                <w:sz w:val="18"/>
              </w:rPr>
              <w:t xml:space="preserve">Maintenance capex % of revenue</w:t>
            </w:r>
          </w:p>
        </w:tc>
        <w:tc>
          <w:tcPr>
            <w:tcW w:w="1578" w:type="dxa"/>
          </w:tcPr>
          <w:p>
            <w:pPr>
              <w:pStyle w:val="Compact"/>
              <w:spacing w:before="20" w:after="20" w:line="240" w:lineRule="auto"/>
              <w:jc w:val="left"/>
            </w:pPr>
            <w:r>
              <w:rPr>
                <w:rFonts w:ascii="Calibri" w:hAnsi="Calibri"/>
                <w:color w:val="202020"/>
                <w:sz w:val="18"/>
              </w:rPr>
              <w:t xml:space="preserve">4.4%</w:t>
            </w:r>
          </w:p>
        </w:tc>
        <w:tc>
          <w:tcPr>
            <w:tcW w:w="1578" w:type="dxa"/>
          </w:tcPr>
          <w:p>
            <w:pPr>
              <w:pStyle w:val="Compact"/>
              <w:spacing w:before="20" w:after="20" w:line="240" w:lineRule="auto"/>
              <w:jc w:val="left"/>
            </w:pPr>
            <w:r>
              <w:rPr>
                <w:rFonts w:ascii="Calibri" w:hAnsi="Calibri"/>
                <w:color w:val="202020"/>
                <w:sz w:val="18"/>
              </w:rPr>
              <w:t xml:space="preserve">3.9%</w:t>
            </w:r>
          </w:p>
        </w:tc>
        <w:tc>
          <w:tcPr>
            <w:tcW w:w="1578" w:type="dxa"/>
          </w:tcPr>
          <w:p>
            <w:pPr>
              <w:pStyle w:val="Compact"/>
              <w:spacing w:before="20" w:after="20" w:line="240" w:lineRule="auto"/>
              <w:jc w:val="left"/>
            </w:pPr>
            <w:r>
              <w:rPr>
                <w:rFonts w:ascii="Calibri" w:hAnsi="Calibri"/>
                <w:color w:val="202020"/>
                <w:sz w:val="18"/>
              </w:rPr>
              <w:t xml:space="preserve">3.4%</w:t>
            </w:r>
          </w:p>
        </w:tc>
        <w:tc>
          <w:tcPr>
            <w:tcW w:w="1578" w:type="dxa"/>
          </w:tcPr>
          <w:p>
            <w:pPr>
              <w:pStyle w:val="Compact"/>
              <w:spacing w:before="20" w:after="20" w:line="240" w:lineRule="auto"/>
              <w:jc w:val="left"/>
            </w:pPr>
            <w:r>
              <w:rPr>
                <w:rFonts w:ascii="Calibri" w:hAnsi="Calibri"/>
                <w:color w:val="202020"/>
                <w:sz w:val="18"/>
              </w:rPr>
              <w:t xml:space="preserve">3.0%</w:t>
            </w:r>
          </w:p>
        </w:tc>
      </w:tr>
      <w:tr>
        <w:tc>
          <w:tcPr>
            <w:shd w:val="clear" w:color="auto" w:fill="EAEFF7"/>
            <w:tcW w:w="3388" w:type="dxa"/>
            <w:shd w:val="clear" w:color="auto" w:fill="EAEFF7"/>
          </w:tcPr>
          <w:p>
            <w:pPr>
              <w:pStyle w:val="Compact"/>
              <w:spacing w:before="20" w:after="20" w:line="240" w:lineRule="auto"/>
              <w:jc w:val="left"/>
            </w:pPr>
            <w:r>
              <w:rPr>
                <w:rFonts w:ascii="Calibri" w:hAnsi="Calibri"/>
                <w:i/>
                <w:iCs/>
                <w:color w:val="202020"/>
                <w:sz w:val="18"/>
              </w:rPr>
              <w:t xml:space="preserve">Sector benchmark (maintenance)</w:t>
            </w:r>
          </w:p>
        </w:tc>
        <w:tc>
          <w:tcPr>
            <w:shd w:val="clear" w:color="auto" w:fill="EAEFF7"/>
            <w:tcW w:w="1578" w:type="dxa"/>
            <w:shd w:val="clear" w:color="auto" w:fill="EAEFF7"/>
          </w:tcPr>
          <w:p>
            <w:pPr>
              <w:pStyle w:val="Compact"/>
              <w:spacing w:before="20" w:after="20" w:line="240" w:lineRule="auto"/>
              <w:jc w:val="left"/>
            </w:pPr>
            <w:r>
              <w:rPr>
                <w:rFonts w:ascii="Calibri" w:hAnsi="Calibri"/>
                <w:i/>
                <w:iCs/>
                <w:color w:val="202020"/>
                <w:sz w:val="18"/>
              </w:rPr>
              <w:t xml:space="preserve">5–7%</w:t>
            </w:r>
          </w:p>
        </w:tc>
        <w:tc>
          <w:tcPr>
            <w:shd w:val="clear" w:color="auto" w:fill="EAEFF7"/>
            <w:tcW w:w="1578" w:type="dxa"/>
            <w:shd w:val="clear" w:color="auto" w:fill="EAEFF7"/>
          </w:tcPr>
          <w:p>
            <w:pPr>
              <w:pStyle w:val="Compact"/>
              <w:spacing w:before="20" w:after="20" w:line="240" w:lineRule="auto"/>
              <w:jc w:val="left"/>
            </w:pPr>
            <w:r>
              <w:rPr>
                <w:rFonts w:ascii="Calibri" w:hAnsi="Calibri"/>
                <w:i/>
                <w:iCs/>
                <w:color w:val="202020"/>
                <w:sz w:val="18"/>
              </w:rPr>
              <w:t xml:space="preserve">5–7%</w:t>
            </w:r>
          </w:p>
        </w:tc>
        <w:tc>
          <w:tcPr>
            <w:shd w:val="clear" w:color="auto" w:fill="EAEFF7"/>
            <w:tcW w:w="1578" w:type="dxa"/>
            <w:shd w:val="clear" w:color="auto" w:fill="EAEFF7"/>
          </w:tcPr>
          <w:p>
            <w:pPr>
              <w:pStyle w:val="Compact"/>
              <w:spacing w:before="20" w:after="20" w:line="240" w:lineRule="auto"/>
              <w:jc w:val="left"/>
            </w:pPr>
            <w:r>
              <w:rPr>
                <w:rFonts w:ascii="Calibri" w:hAnsi="Calibri"/>
                <w:i/>
                <w:iCs/>
                <w:color w:val="202020"/>
                <w:sz w:val="18"/>
              </w:rPr>
              <w:t xml:space="preserve">5–7%</w:t>
            </w:r>
          </w:p>
        </w:tc>
        <w:tc>
          <w:tcPr>
            <w:shd w:val="clear" w:color="auto" w:fill="EAEFF7"/>
            <w:tcW w:w="1578" w:type="dxa"/>
            <w:shd w:val="clear" w:color="auto" w:fill="EAEFF7"/>
          </w:tcPr>
          <w:p>
            <w:pPr>
              <w:pStyle w:val="Compact"/>
              <w:spacing w:before="20" w:after="20" w:line="240" w:lineRule="auto"/>
              <w:jc w:val="left"/>
            </w:pPr>
            <w:r>
              <w:rPr>
                <w:rFonts w:ascii="Calibri" w:hAnsi="Calibri"/>
                <w:i/>
                <w:iCs/>
                <w:color w:val="202020"/>
                <w:sz w:val="18"/>
              </w:rPr>
              <w:t xml:space="preserve">5–7%</w:t>
            </w:r>
          </w:p>
        </w:tc>
      </w:tr>
    </w:tbl>
    <w:bookmarkEnd w:id="26"/>
    <w:bookmarkStart w:id="27" w:name="e.-balance-sheet-and-capital-structure"/>
    <w:p>
      <w:pPr>
        <w:pStyle w:val="Heading3"/>
      </w:pPr>
      <w:r>
        <w:t xml:space="preserve">E. Balance Sheet and Capital Structure</w:t>
      </w:r>
    </w:p>
    <w:p>
      <w:pPr>
        <w:pStyle w:val="Compact"/>
        <w:numPr>
          <w:ilvl w:val="0"/>
          <w:numId w:val="1007"/>
        </w:numPr>
      </w:pPr>
      <w:r>
        <w:rPr>
          <w:b/>
          <w:bCs/>
        </w:rPr>
        <w:t xml:space="preserve">Debt.</w:t>
      </w:r>
      <w:r>
        <w:t xml:space="preserve"> </w:t>
      </w:r>
      <w:r>
        <w:t xml:space="preserve">Total debt of $17.3M per the CIM: a senior term loan with Cascadia Commercial Bank ($14.2M total principal: $2.3M current / $11.9M non-current; SOFR + 3.75%; matures August 31, 2026) plus $3.1M drawn on an $8.0M revolver. The financial exhibits present the debt slightly differently (current portion of long-term debt $1.8M; senior term loan $14.2M; revolver $3.1M), which if read literally implies ~$19.1M of total debt. The current-portion split ($2.3M vs. $1.8M) and the total-debt figure must be reconciled; net debt is approximately</w:t>
      </w:r>
      <w:r>
        <w:t xml:space="preserve"> </w:t>
      </w:r>
      <w:r>
        <w:rPr>
          <w:b/>
          <w:bCs/>
        </w:rPr>
        <w:t xml:space="preserve">$15.0M</w:t>
      </w:r>
      <w:r>
        <w:t xml:space="preserve"> </w:t>
      </w:r>
      <w:r>
        <w:t xml:space="preserve">on a CIM basis (less cash $2.3M), pending confirmation. The August 2026 term-loan maturity is near-term and will require refinancing in any case.</w:t>
      </w:r>
    </w:p>
    <w:p>
      <w:pPr>
        <w:pStyle w:val="Compact"/>
        <w:numPr>
          <w:ilvl w:val="0"/>
          <w:numId w:val="1007"/>
        </w:numPr>
      </w:pPr>
      <w:r>
        <w:rPr>
          <w:b/>
          <w:bCs/>
        </w:rPr>
        <w:t xml:space="preserve">Cash.</w:t>
      </w:r>
      <w:r>
        <w:t xml:space="preserve"> </w:t>
      </w:r>
      <w:r>
        <w:t xml:space="preserve">$2.3M (CIM) vs. $4.1M (exhibits) — a $1.8M discrepancy.</w:t>
      </w:r>
    </w:p>
    <w:p>
      <w:pPr>
        <w:pStyle w:val="Compact"/>
        <w:numPr>
          <w:ilvl w:val="0"/>
          <w:numId w:val="1007"/>
        </w:numPr>
      </w:pPr>
      <w:r>
        <w:rPr>
          <w:b/>
          <w:bCs/>
        </w:rPr>
        <w:t xml:space="preserve">Working capital.</w:t>
      </w:r>
      <w:r>
        <w:t xml:space="preserve"> </w:t>
      </w:r>
      <w:r>
        <w:t xml:space="preserve">NWC $11.8M (13.5% of revenue); see DSO caveat above. A normalized-NWC target for the sale must be set and a true-up mechanism agreed.</w:t>
      </w:r>
    </w:p>
    <w:p>
      <w:pPr>
        <w:pStyle w:val="Compact"/>
        <w:numPr>
          <w:ilvl w:val="0"/>
          <w:numId w:val="1007"/>
        </w:numPr>
      </w:pPr>
      <w:r>
        <w:rPr>
          <w:b/>
          <w:bCs/>
        </w:rPr>
        <w:t xml:space="preserve">Distributions.</w:t>
      </w:r>
      <w:r>
        <w:t xml:space="preserve"> </w:t>
      </w:r>
      <w:r>
        <w:t xml:space="preserve">The cash-flow exhibits show shareholder distributions of $1.5M / $2.7M / $1.5M / $1.044M over FY2021–FY2024 (~$6.7M cumulative), with FY2022 at a 61% payout ratio. These owner distributions will not continue post-close (a modest FCF tailwind) but also signal the owner has been extracting cash ahead of a sale.</w:t>
      </w:r>
    </w:p>
    <w:p>
      <w:pPr>
        <w:pStyle w:val="Compact"/>
        <w:numPr>
          <w:ilvl w:val="0"/>
          <w:numId w:val="1007"/>
        </w:numPr>
      </w:pPr>
      <w:r>
        <w:rPr>
          <w:b/>
          <w:bCs/>
        </w:rPr>
        <w:t xml:space="preserve">Phantom units.</w:t>
      </w:r>
      <w:r>
        <w:t xml:space="preserve"> </w:t>
      </w:r>
      <w:r>
        <w:t xml:space="preserve">Settle in cash at closing; size and recipients to be confirmed and treated as a transaction/retention cost.</w:t>
      </w:r>
    </w:p>
    <w:bookmarkEnd w:id="27"/>
    <w:bookmarkStart w:id="28" w:name="X0f3ff4e315ae460ddf72e5db36e6d099a7f5e45"/>
    <w:p>
      <w:pPr>
        <w:pStyle w:val="Heading3"/>
      </w:pPr>
      <w:r>
        <w:t xml:space="preserve">F. Financial Statement Inconsistencies (CIM vs. Financial Exhibits)</w:t>
      </w:r>
    </w:p>
    <w:p>
      <w:pPr>
        <w:pStyle w:val="FirstParagraph"/>
      </w:pPr>
      <w:r>
        <w:t xml:space="preserve">The CIM and the financial exhibits tell materially different stories for the same periods. This is unusual and is itself a diligence finding — the sell-side data room does not internally reconcile. Key discrepancies (FY2024 unless noted):</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2006"/>
        <w:gridCol w:w="2261"/>
        <w:gridCol w:w="2457"/>
        <w:gridCol w:w="2976"/>
      </w:tblGrid>
      <w:tr>
        <w:trPr>
          <w:tblHeader w:val="on"/>
          <w:tblHeader w:val="true"/>
          <w:tblHeader w:val="true"/>
          <w:tblHeader w:val="true"/>
          <w:tblHeader w:val="true"/>
          <w:tblHeader w:val="true"/>
          <w:tblHeader w:val="true"/>
          <w:tblHeader w:val="true"/>
          <w:tblHeader w:val="true"/>
        </w:trPr>
        <w:tc>
          <w:tcPr>
            <w:shd w:val="clear" w:color="auto" w:fill="1F3864"/>
            <w:tcW w:w="2006" w:type="dxa"/>
            <w:shd w:val="clear" w:color="auto" w:fill="1F3864"/>
          </w:tcPr>
          <w:p>
            <w:pPr>
              <w:pStyle w:val="Compact"/>
              <w:spacing w:before="20" w:after="20" w:line="240" w:lineRule="auto"/>
              <w:jc w:val="left"/>
            </w:pPr>
            <w:r>
              <w:rPr>
                <w:rFonts w:ascii="Calibri" w:hAnsi="Calibri"/>
                <w:b/>
                <w:color w:val="FFFFFF"/>
                <w:sz w:val="18"/>
              </w:rPr>
              <w:t xml:space="preserve">Item</w:t>
            </w:r>
          </w:p>
        </w:tc>
        <w:tc>
          <w:tcPr>
            <w:shd w:val="clear" w:color="auto" w:fill="1F3864"/>
            <w:tcW w:w="2261" w:type="dxa"/>
            <w:shd w:val="clear" w:color="auto" w:fill="1F3864"/>
          </w:tcPr>
          <w:p>
            <w:pPr>
              <w:pStyle w:val="Compact"/>
              <w:spacing w:before="20" w:after="20" w:line="240" w:lineRule="auto"/>
              <w:jc w:val="left"/>
            </w:pPr>
            <w:r>
              <w:rPr>
                <w:rFonts w:ascii="Calibri" w:hAnsi="Calibri"/>
                <w:b/>
                <w:color w:val="FFFFFF"/>
                <w:sz w:val="18"/>
              </w:rPr>
              <w:t xml:space="preserve">CIM (Appendix A / Sec. VI.D)</w:t>
            </w:r>
          </w:p>
        </w:tc>
        <w:tc>
          <w:tcPr>
            <w:shd w:val="clear" w:color="auto" w:fill="1F3864"/>
            <w:tcW w:w="2457" w:type="dxa"/>
            <w:shd w:val="clear" w:color="auto" w:fill="1F3864"/>
          </w:tcPr>
          <w:p>
            <w:pPr>
              <w:pStyle w:val="Compact"/>
              <w:spacing w:before="20" w:after="20" w:line="240" w:lineRule="auto"/>
              <w:jc w:val="left"/>
            </w:pPr>
            <w:r>
              <w:rPr>
                <w:rFonts w:ascii="Calibri" w:hAnsi="Calibri"/>
                <w:b/>
                <w:color w:val="FFFFFF"/>
                <w:sz w:val="18"/>
              </w:rPr>
              <w:t xml:space="preserve">Financial Exhibits</w:t>
            </w:r>
          </w:p>
        </w:tc>
        <w:tc>
          <w:tcPr>
            <w:shd w:val="clear" w:color="auto" w:fill="1F3864"/>
            <w:tcW w:w="2976" w:type="dxa"/>
            <w:shd w:val="clear" w:color="auto" w:fill="1F3864"/>
          </w:tcPr>
          <w:p>
            <w:pPr>
              <w:pStyle w:val="Compact"/>
              <w:spacing w:before="20" w:after="20" w:line="240" w:lineRule="auto"/>
              <w:jc w:val="left"/>
            </w:pPr>
            <w:r>
              <w:rPr>
                <w:rFonts w:ascii="Calibri" w:hAnsi="Calibri"/>
                <w:b/>
                <w:color w:val="FFFFFF"/>
                <w:sz w:val="18"/>
              </w:rPr>
              <w:t xml:space="preserve">Observation</w:t>
            </w:r>
          </w:p>
        </w:tc>
      </w:tr>
      <w:tr>
        <w:tc>
          <w:tcPr>
            <w:tcW w:w="2006" w:type="dxa"/>
          </w:tcPr>
          <w:p>
            <w:pPr>
              <w:pStyle w:val="Compact"/>
              <w:spacing w:before="20" w:after="20" w:line="240" w:lineRule="auto"/>
              <w:jc w:val="left"/>
            </w:pPr>
            <w:r>
              <w:rPr>
                <w:rFonts w:ascii="Calibri" w:hAnsi="Calibri"/>
                <w:color w:val="202020"/>
                <w:sz w:val="18"/>
              </w:rPr>
              <w:t xml:space="preserve">Gross profit / margin</w:t>
            </w:r>
          </w:p>
        </w:tc>
        <w:tc>
          <w:tcPr>
            <w:tcW w:w="2261" w:type="dxa"/>
          </w:tcPr>
          <w:p>
            <w:pPr>
              <w:pStyle w:val="Compact"/>
              <w:spacing w:before="20" w:after="20" w:line="240" w:lineRule="auto"/>
              <w:jc w:val="left"/>
            </w:pPr>
            <w:r>
              <w:rPr>
                <w:rFonts w:ascii="Calibri" w:hAnsi="Calibri"/>
                <w:color w:val="202020"/>
                <w:sz w:val="18"/>
              </w:rPr>
              <w:t xml:space="preserve">$29.5M / 33.8%</w:t>
            </w:r>
          </w:p>
        </w:tc>
        <w:tc>
          <w:tcPr>
            <w:tcW w:w="2457" w:type="dxa"/>
          </w:tcPr>
          <w:p>
            <w:pPr>
              <w:pStyle w:val="Compact"/>
              <w:spacing w:before="20" w:after="20" w:line="240" w:lineRule="auto"/>
              <w:jc w:val="left"/>
            </w:pPr>
            <w:r>
              <w:rPr>
                <w:rFonts w:ascii="Calibri" w:hAnsi="Calibri"/>
                <w:color w:val="202020"/>
                <w:sz w:val="18"/>
              </w:rPr>
              <w:t xml:space="preserve">$28.8M / 33.0%</w:t>
            </w:r>
          </w:p>
        </w:tc>
        <w:tc>
          <w:tcPr>
            <w:tcW w:w="2976" w:type="dxa"/>
          </w:tcPr>
          <w:p>
            <w:pPr>
              <w:pStyle w:val="Compact"/>
              <w:spacing w:before="20" w:after="20" w:line="240" w:lineRule="auto"/>
              <w:jc w:val="left"/>
            </w:pPr>
            <w:r>
              <w:rPr>
                <w:rFonts w:ascii="Calibri" w:hAnsi="Calibri"/>
                <w:color w:val="202020"/>
                <w:sz w:val="18"/>
              </w:rPr>
              <w:t xml:space="preserve">CIM presents ~$0.7M more GP</w:t>
            </w:r>
          </w:p>
        </w:tc>
      </w:tr>
      <w:tr>
        <w:tc>
          <w:tcPr>
            <w:shd w:val="clear" w:color="auto" w:fill="EAEFF7"/>
            <w:tcW w:w="2006" w:type="dxa"/>
            <w:shd w:val="clear" w:color="auto" w:fill="EAEFF7"/>
          </w:tcPr>
          <w:p>
            <w:pPr>
              <w:pStyle w:val="Compact"/>
              <w:spacing w:before="20" w:after="20" w:line="240" w:lineRule="auto"/>
              <w:jc w:val="left"/>
            </w:pPr>
            <w:r>
              <w:rPr>
                <w:rFonts w:ascii="Calibri" w:hAnsi="Calibri"/>
                <w:color w:val="202020"/>
                <w:sz w:val="18"/>
              </w:rPr>
              <w:t xml:space="preserve">Operating income (EBIT)</w:t>
            </w:r>
          </w:p>
        </w:tc>
        <w:tc>
          <w:tcPr>
            <w:shd w:val="clear" w:color="auto" w:fill="EAEFF7"/>
            <w:tcW w:w="2261" w:type="dxa"/>
            <w:shd w:val="clear" w:color="auto" w:fill="EAEFF7"/>
          </w:tcPr>
          <w:p>
            <w:pPr>
              <w:pStyle w:val="Compact"/>
              <w:spacing w:before="20" w:after="20" w:line="240" w:lineRule="auto"/>
              <w:jc w:val="left"/>
            </w:pPr>
            <w:r>
              <w:rPr>
                <w:rFonts w:ascii="Calibri" w:hAnsi="Calibri"/>
                <w:color w:val="202020"/>
                <w:sz w:val="18"/>
              </w:rPr>
              <w:t xml:space="preserve">$7.8M</w:t>
            </w:r>
          </w:p>
        </w:tc>
        <w:tc>
          <w:tcPr>
            <w:shd w:val="clear" w:color="auto" w:fill="EAEFF7"/>
            <w:tcW w:w="2457" w:type="dxa"/>
            <w:shd w:val="clear" w:color="auto" w:fill="EAEFF7"/>
          </w:tcPr>
          <w:p>
            <w:pPr>
              <w:pStyle w:val="Compact"/>
              <w:spacing w:before="20" w:after="20" w:line="240" w:lineRule="auto"/>
              <w:jc w:val="left"/>
            </w:pPr>
            <w:r>
              <w:rPr>
                <w:rFonts w:ascii="Calibri" w:hAnsi="Calibri"/>
                <w:color w:val="202020"/>
                <w:sz w:val="18"/>
              </w:rPr>
              <w:t xml:space="preserve">$11.1M</w:t>
            </w:r>
          </w:p>
        </w:tc>
        <w:tc>
          <w:tcPr>
            <w:shd w:val="clear" w:color="auto" w:fill="EAEFF7"/>
            <w:tcW w:w="2976" w:type="dxa"/>
            <w:shd w:val="clear" w:color="auto" w:fill="EAEFF7"/>
          </w:tcPr>
          <w:p>
            <w:pPr>
              <w:pStyle w:val="Compact"/>
              <w:spacing w:before="20" w:after="20" w:line="240" w:lineRule="auto"/>
              <w:jc w:val="left"/>
            </w:pPr>
            <w:r>
              <w:rPr>
                <w:rFonts w:ascii="Calibri" w:hAnsi="Calibri"/>
                <w:color w:val="202020"/>
                <w:sz w:val="18"/>
              </w:rPr>
              <w:t xml:space="preserve">$3.3M gap; different expense classification</w:t>
            </w:r>
          </w:p>
        </w:tc>
      </w:tr>
      <w:tr>
        <w:tc>
          <w:tcPr>
            <w:tcW w:w="2006" w:type="dxa"/>
          </w:tcPr>
          <w:p>
            <w:pPr>
              <w:pStyle w:val="Compact"/>
              <w:spacing w:before="20" w:after="20" w:line="240" w:lineRule="auto"/>
              <w:jc w:val="left"/>
            </w:pPr>
            <w:r>
              <w:rPr>
                <w:rFonts w:ascii="Calibri" w:hAnsi="Calibri"/>
                <w:color w:val="202020"/>
                <w:sz w:val="18"/>
              </w:rPr>
              <w:t xml:space="preserve">Reported EBITDA</w:t>
            </w:r>
          </w:p>
        </w:tc>
        <w:tc>
          <w:tcPr>
            <w:tcW w:w="2261" w:type="dxa"/>
          </w:tcPr>
          <w:p>
            <w:pPr>
              <w:pStyle w:val="Compact"/>
              <w:spacing w:before="20" w:after="20" w:line="240" w:lineRule="auto"/>
              <w:jc w:val="left"/>
            </w:pPr>
            <w:r>
              <w:rPr>
                <w:rFonts w:ascii="Calibri" w:hAnsi="Calibri"/>
                <w:color w:val="202020"/>
                <w:sz w:val="18"/>
              </w:rPr>
              <w:t xml:space="preserve">$12.1M</w:t>
            </w:r>
          </w:p>
        </w:tc>
        <w:tc>
          <w:tcPr>
            <w:tcW w:w="2457" w:type="dxa"/>
          </w:tcPr>
          <w:p>
            <w:pPr>
              <w:pStyle w:val="Compact"/>
              <w:spacing w:before="20" w:after="20" w:line="240" w:lineRule="auto"/>
              <w:jc w:val="left"/>
            </w:pPr>
            <w:r>
              <w:rPr>
                <w:rFonts w:ascii="Calibri" w:hAnsi="Calibri"/>
                <w:color w:val="202020"/>
                <w:sz w:val="18"/>
              </w:rPr>
              <w:t xml:space="preserve">$12.1M (but P&amp;L implies ~$11.1M)</w:t>
            </w:r>
          </w:p>
        </w:tc>
        <w:tc>
          <w:tcPr>
            <w:tcW w:w="2976" w:type="dxa"/>
          </w:tcPr>
          <w:p>
            <w:pPr>
              <w:pStyle w:val="Compact"/>
              <w:spacing w:before="20" w:after="20" w:line="240" w:lineRule="auto"/>
              <w:jc w:val="left"/>
            </w:pPr>
            <w:r>
              <w:rPr>
                <w:rFonts w:ascii="Calibri" w:hAnsi="Calibri"/>
                <w:color w:val="202020"/>
                <w:sz w:val="18"/>
              </w:rPr>
              <w:t xml:space="preserve">Exhibits’ P&amp;L does not foot to EBITDA</w:t>
            </w:r>
          </w:p>
        </w:tc>
      </w:tr>
      <w:tr>
        <w:tc>
          <w:tcPr>
            <w:shd w:val="clear" w:color="auto" w:fill="EAEFF7"/>
            <w:tcW w:w="2006" w:type="dxa"/>
            <w:shd w:val="clear" w:color="auto" w:fill="EAEFF7"/>
          </w:tcPr>
          <w:p>
            <w:pPr>
              <w:pStyle w:val="Compact"/>
              <w:spacing w:before="20" w:after="20" w:line="240" w:lineRule="auto"/>
              <w:jc w:val="left"/>
            </w:pPr>
            <w:r>
              <w:rPr>
                <w:rFonts w:ascii="Calibri" w:hAnsi="Calibri"/>
                <w:color w:val="202020"/>
                <w:sz w:val="18"/>
              </w:rPr>
              <w:t xml:space="preserve">Net income</w:t>
            </w:r>
          </w:p>
        </w:tc>
        <w:tc>
          <w:tcPr>
            <w:shd w:val="clear" w:color="auto" w:fill="EAEFF7"/>
            <w:tcW w:w="2261" w:type="dxa"/>
            <w:shd w:val="clear" w:color="auto" w:fill="EAEFF7"/>
          </w:tcPr>
          <w:p>
            <w:pPr>
              <w:pStyle w:val="Compact"/>
              <w:spacing w:before="20" w:after="20" w:line="240" w:lineRule="auto"/>
              <w:jc w:val="left"/>
            </w:pPr>
            <w:r>
              <w:rPr>
                <w:rFonts w:ascii="Calibri" w:hAnsi="Calibri"/>
                <w:color w:val="202020"/>
                <w:sz w:val="18"/>
              </w:rPr>
              <w:t xml:space="preserve">$5.0M</w:t>
            </w:r>
          </w:p>
        </w:tc>
        <w:tc>
          <w:tcPr>
            <w:shd w:val="clear" w:color="auto" w:fill="EAEFF7"/>
            <w:tcW w:w="2457" w:type="dxa"/>
            <w:shd w:val="clear" w:color="auto" w:fill="EAEFF7"/>
          </w:tcPr>
          <w:p>
            <w:pPr>
              <w:pStyle w:val="Compact"/>
              <w:spacing w:before="20" w:after="20" w:line="240" w:lineRule="auto"/>
              <w:jc w:val="left"/>
            </w:pPr>
            <w:r>
              <w:rPr>
                <w:rFonts w:ascii="Calibri" w:hAnsi="Calibri"/>
                <w:color w:val="202020"/>
                <w:sz w:val="18"/>
              </w:rPr>
              <w:t xml:space="preserve">$6.7M</w:t>
            </w:r>
          </w:p>
        </w:tc>
        <w:tc>
          <w:tcPr>
            <w:shd w:val="clear" w:color="auto" w:fill="EAEFF7"/>
            <w:tcW w:w="2976" w:type="dxa"/>
            <w:shd w:val="clear" w:color="auto" w:fill="EAEFF7"/>
          </w:tcPr>
          <w:p>
            <w:pPr>
              <w:pStyle w:val="Compact"/>
              <w:spacing w:before="20" w:after="20" w:line="240" w:lineRule="auto"/>
              <w:jc w:val="left"/>
            </w:pPr>
            <w:r>
              <w:rPr>
                <w:rFonts w:ascii="Calibri" w:hAnsi="Calibri"/>
                <w:color w:val="202020"/>
                <w:sz w:val="18"/>
              </w:rPr>
              <w:t xml:space="preserve">$1.7M gap</w:t>
            </w:r>
          </w:p>
        </w:tc>
      </w:tr>
      <w:tr>
        <w:tc>
          <w:tcPr>
            <w:tcW w:w="2006" w:type="dxa"/>
          </w:tcPr>
          <w:p>
            <w:pPr>
              <w:pStyle w:val="Compact"/>
              <w:spacing w:before="20" w:after="20" w:line="240" w:lineRule="auto"/>
              <w:jc w:val="left"/>
            </w:pPr>
            <w:r>
              <w:rPr>
                <w:rFonts w:ascii="Calibri" w:hAnsi="Calibri"/>
                <w:color w:val="202020"/>
                <w:sz w:val="18"/>
              </w:rPr>
              <w:t xml:space="preserve">Cash</w:t>
            </w:r>
          </w:p>
        </w:tc>
        <w:tc>
          <w:tcPr>
            <w:tcW w:w="2261" w:type="dxa"/>
          </w:tcPr>
          <w:p>
            <w:pPr>
              <w:pStyle w:val="Compact"/>
              <w:spacing w:before="20" w:after="20" w:line="240" w:lineRule="auto"/>
              <w:jc w:val="left"/>
            </w:pPr>
            <w:r>
              <w:rPr>
                <w:rFonts w:ascii="Calibri" w:hAnsi="Calibri"/>
                <w:color w:val="202020"/>
                <w:sz w:val="18"/>
              </w:rPr>
              <w:t xml:space="preserve">$2.3M</w:t>
            </w:r>
          </w:p>
        </w:tc>
        <w:tc>
          <w:tcPr>
            <w:tcW w:w="2457" w:type="dxa"/>
          </w:tcPr>
          <w:p>
            <w:pPr>
              <w:pStyle w:val="Compact"/>
              <w:spacing w:before="20" w:after="20" w:line="240" w:lineRule="auto"/>
              <w:jc w:val="left"/>
            </w:pPr>
            <w:r>
              <w:rPr>
                <w:rFonts w:ascii="Calibri" w:hAnsi="Calibri"/>
                <w:color w:val="202020"/>
                <w:sz w:val="18"/>
              </w:rPr>
              <w:t xml:space="preserve">$4.1M</w:t>
            </w:r>
          </w:p>
        </w:tc>
        <w:tc>
          <w:tcPr>
            <w:tcW w:w="2976" w:type="dxa"/>
          </w:tcPr>
          <w:p>
            <w:pPr>
              <w:pStyle w:val="Compact"/>
              <w:spacing w:before="20" w:after="20" w:line="240" w:lineRule="auto"/>
              <w:jc w:val="left"/>
            </w:pPr>
            <w:r>
              <w:rPr>
                <w:rFonts w:ascii="Calibri" w:hAnsi="Calibri"/>
                <w:color w:val="202020"/>
                <w:sz w:val="18"/>
              </w:rPr>
              <w:t xml:space="preserve">$1.8M gap</w:t>
            </w:r>
          </w:p>
        </w:tc>
      </w:tr>
      <w:tr>
        <w:tc>
          <w:tcPr>
            <w:shd w:val="clear" w:color="auto" w:fill="EAEFF7"/>
            <w:tcW w:w="2006" w:type="dxa"/>
            <w:shd w:val="clear" w:color="auto" w:fill="EAEFF7"/>
          </w:tcPr>
          <w:p>
            <w:pPr>
              <w:pStyle w:val="Compact"/>
              <w:spacing w:before="20" w:after="20" w:line="240" w:lineRule="auto"/>
              <w:jc w:val="left"/>
            </w:pPr>
            <w:r>
              <w:rPr>
                <w:rFonts w:ascii="Calibri" w:hAnsi="Calibri"/>
                <w:color w:val="202020"/>
                <w:sz w:val="18"/>
              </w:rPr>
              <w:t xml:space="preserve">PP&amp;E, net</w:t>
            </w:r>
          </w:p>
        </w:tc>
        <w:tc>
          <w:tcPr>
            <w:shd w:val="clear" w:color="auto" w:fill="EAEFF7"/>
            <w:tcW w:w="2261" w:type="dxa"/>
            <w:shd w:val="clear" w:color="auto" w:fill="EAEFF7"/>
          </w:tcPr>
          <w:p>
            <w:pPr>
              <w:pStyle w:val="Compact"/>
              <w:spacing w:before="20" w:after="20" w:line="240" w:lineRule="auto"/>
              <w:jc w:val="left"/>
            </w:pPr>
            <w:r>
              <w:rPr>
                <w:rFonts w:ascii="Calibri" w:hAnsi="Calibri"/>
                <w:color w:val="202020"/>
                <w:sz w:val="18"/>
              </w:rPr>
              <w:t xml:space="preserve">$18.7M</w:t>
            </w:r>
          </w:p>
        </w:tc>
        <w:tc>
          <w:tcPr>
            <w:shd w:val="clear" w:color="auto" w:fill="EAEFF7"/>
            <w:tcW w:w="2457" w:type="dxa"/>
            <w:shd w:val="clear" w:color="auto" w:fill="EAEFF7"/>
          </w:tcPr>
          <w:p>
            <w:pPr>
              <w:pStyle w:val="Compact"/>
              <w:spacing w:before="20" w:after="20" w:line="240" w:lineRule="auto"/>
              <w:jc w:val="left"/>
            </w:pPr>
            <w:r>
              <w:rPr>
                <w:rFonts w:ascii="Calibri" w:hAnsi="Calibri"/>
                <w:color w:val="202020"/>
                <w:sz w:val="18"/>
              </w:rPr>
              <w:t xml:space="preserve">$21.3M</w:t>
            </w:r>
          </w:p>
        </w:tc>
        <w:tc>
          <w:tcPr>
            <w:shd w:val="clear" w:color="auto" w:fill="EAEFF7"/>
            <w:tcW w:w="2976" w:type="dxa"/>
            <w:shd w:val="clear" w:color="auto" w:fill="EAEFF7"/>
          </w:tcPr>
          <w:p>
            <w:pPr>
              <w:pStyle w:val="Compact"/>
              <w:spacing w:before="20" w:after="20" w:line="240" w:lineRule="auto"/>
              <w:jc w:val="left"/>
            </w:pPr>
            <w:r>
              <w:rPr>
                <w:rFonts w:ascii="Calibri" w:hAnsi="Calibri"/>
                <w:color w:val="202020"/>
                <w:sz w:val="18"/>
              </w:rPr>
              <w:t xml:space="preserve">$2.6M gap</w:t>
            </w:r>
          </w:p>
        </w:tc>
      </w:tr>
      <w:tr>
        <w:tc>
          <w:tcPr>
            <w:tcW w:w="2006" w:type="dxa"/>
          </w:tcPr>
          <w:p>
            <w:pPr>
              <w:pStyle w:val="Compact"/>
              <w:spacing w:before="20" w:after="20" w:line="240" w:lineRule="auto"/>
              <w:jc w:val="left"/>
            </w:pPr>
            <w:r>
              <w:rPr>
                <w:rFonts w:ascii="Calibri" w:hAnsi="Calibri"/>
                <w:color w:val="202020"/>
                <w:sz w:val="18"/>
              </w:rPr>
              <w:t xml:space="preserve">Goodwill / intangibles</w:t>
            </w:r>
          </w:p>
        </w:tc>
        <w:tc>
          <w:tcPr>
            <w:tcW w:w="2261" w:type="dxa"/>
          </w:tcPr>
          <w:p>
            <w:pPr>
              <w:pStyle w:val="Compact"/>
              <w:spacing w:before="20" w:after="20" w:line="240" w:lineRule="auto"/>
              <w:jc w:val="left"/>
            </w:pPr>
            <w:r>
              <w:rPr>
                <w:rFonts w:ascii="Calibri" w:hAnsi="Calibri"/>
                <w:color w:val="202020"/>
                <w:sz w:val="18"/>
              </w:rPr>
              <w:t xml:space="preserve">not presented</w:t>
            </w:r>
          </w:p>
        </w:tc>
        <w:tc>
          <w:tcPr>
            <w:tcW w:w="2457" w:type="dxa"/>
          </w:tcPr>
          <w:p>
            <w:pPr>
              <w:pStyle w:val="Compact"/>
              <w:spacing w:before="20" w:after="20" w:line="240" w:lineRule="auto"/>
              <w:jc w:val="left"/>
            </w:pPr>
            <w:r>
              <w:rPr>
                <w:rFonts w:ascii="Calibri" w:hAnsi="Calibri"/>
                <w:color w:val="202020"/>
                <w:sz w:val="18"/>
              </w:rPr>
              <w:t xml:space="preserve">$2.5M</w:t>
            </w:r>
          </w:p>
        </w:tc>
        <w:tc>
          <w:tcPr>
            <w:tcW w:w="2976" w:type="dxa"/>
          </w:tcPr>
          <w:p>
            <w:pPr>
              <w:pStyle w:val="Compact"/>
              <w:spacing w:before="20" w:after="20" w:line="240" w:lineRule="auto"/>
              <w:jc w:val="left"/>
            </w:pPr>
            <w:r>
              <w:rPr>
                <w:rFonts w:ascii="Calibri" w:hAnsi="Calibri"/>
                <w:color w:val="202020"/>
                <w:sz w:val="18"/>
              </w:rPr>
              <w:t xml:space="preserve">Unexplained; no acquisitions disclosed</w:t>
            </w:r>
          </w:p>
        </w:tc>
      </w:tr>
      <w:tr>
        <w:tc>
          <w:tcPr>
            <w:shd w:val="clear" w:color="auto" w:fill="EAEFF7"/>
            <w:tcW w:w="2006" w:type="dxa"/>
            <w:shd w:val="clear" w:color="auto" w:fill="EAEFF7"/>
          </w:tcPr>
          <w:p>
            <w:pPr>
              <w:pStyle w:val="Compact"/>
              <w:spacing w:before="20" w:after="20" w:line="240" w:lineRule="auto"/>
              <w:jc w:val="left"/>
            </w:pPr>
            <w:r>
              <w:rPr>
                <w:rFonts w:ascii="Calibri" w:hAnsi="Calibri"/>
                <w:color w:val="202020"/>
                <w:sz w:val="18"/>
              </w:rPr>
              <w:t xml:space="preserve">Total assets</w:t>
            </w:r>
          </w:p>
        </w:tc>
        <w:tc>
          <w:tcPr>
            <w:shd w:val="clear" w:color="auto" w:fill="EAEFF7"/>
            <w:tcW w:w="2261" w:type="dxa"/>
            <w:shd w:val="clear" w:color="auto" w:fill="EAEFF7"/>
          </w:tcPr>
          <w:p>
            <w:pPr>
              <w:pStyle w:val="Compact"/>
              <w:spacing w:before="20" w:after="20" w:line="240" w:lineRule="auto"/>
              <w:jc w:val="left"/>
            </w:pPr>
            <w:r>
              <w:rPr>
                <w:rFonts w:ascii="Calibri" w:hAnsi="Calibri"/>
                <w:color w:val="202020"/>
                <w:sz w:val="18"/>
              </w:rPr>
              <w:t xml:space="preserve">$46.1M</w:t>
            </w:r>
          </w:p>
        </w:tc>
        <w:tc>
          <w:tcPr>
            <w:shd w:val="clear" w:color="auto" w:fill="EAEFF7"/>
            <w:tcW w:w="2457" w:type="dxa"/>
            <w:shd w:val="clear" w:color="auto" w:fill="EAEFF7"/>
          </w:tcPr>
          <w:p>
            <w:pPr>
              <w:pStyle w:val="Compact"/>
              <w:spacing w:before="20" w:after="20" w:line="240" w:lineRule="auto"/>
              <w:jc w:val="left"/>
            </w:pPr>
            <w:r>
              <w:rPr>
                <w:rFonts w:ascii="Calibri" w:hAnsi="Calibri"/>
                <w:color w:val="202020"/>
                <w:sz w:val="18"/>
              </w:rPr>
              <w:t xml:space="preserve">$50.0M</w:t>
            </w:r>
          </w:p>
        </w:tc>
        <w:tc>
          <w:tcPr>
            <w:shd w:val="clear" w:color="auto" w:fill="EAEFF7"/>
            <w:tcW w:w="2976" w:type="dxa"/>
            <w:shd w:val="clear" w:color="auto" w:fill="EAEFF7"/>
          </w:tcPr>
          <w:p>
            <w:pPr>
              <w:pStyle w:val="Compact"/>
              <w:spacing w:before="20" w:after="20" w:line="240" w:lineRule="auto"/>
              <w:jc w:val="left"/>
            </w:pPr>
            <w:r>
              <w:rPr>
                <w:rFonts w:ascii="Calibri" w:hAnsi="Calibri"/>
                <w:color w:val="202020"/>
                <w:sz w:val="18"/>
              </w:rPr>
              <w:t xml:space="preserve">$3.9M gap</w:t>
            </w:r>
          </w:p>
        </w:tc>
      </w:tr>
      <w:tr>
        <w:tc>
          <w:tcPr>
            <w:tcW w:w="2006" w:type="dxa"/>
          </w:tcPr>
          <w:p>
            <w:pPr>
              <w:pStyle w:val="Compact"/>
              <w:spacing w:before="20" w:after="20" w:line="240" w:lineRule="auto"/>
              <w:jc w:val="left"/>
            </w:pPr>
            <w:r>
              <w:rPr>
                <w:rFonts w:ascii="Calibri" w:hAnsi="Calibri"/>
                <w:color w:val="202020"/>
                <w:sz w:val="18"/>
              </w:rPr>
              <w:t xml:space="preserve">Stockholders’ equity</w:t>
            </w:r>
          </w:p>
        </w:tc>
        <w:tc>
          <w:tcPr>
            <w:tcW w:w="2261" w:type="dxa"/>
          </w:tcPr>
          <w:p>
            <w:pPr>
              <w:pStyle w:val="Compact"/>
              <w:spacing w:before="20" w:after="20" w:line="240" w:lineRule="auto"/>
              <w:jc w:val="left"/>
            </w:pPr>
            <w:r>
              <w:rPr>
                <w:rFonts w:ascii="Calibri" w:hAnsi="Calibri"/>
                <w:color w:val="202020"/>
                <w:sz w:val="18"/>
              </w:rPr>
              <w:t xml:space="preserve">$17.1M</w:t>
            </w:r>
          </w:p>
        </w:tc>
        <w:tc>
          <w:tcPr>
            <w:tcW w:w="2457" w:type="dxa"/>
          </w:tcPr>
          <w:p>
            <w:pPr>
              <w:pStyle w:val="Compact"/>
              <w:spacing w:before="20" w:after="20" w:line="240" w:lineRule="auto"/>
              <w:jc w:val="left"/>
            </w:pPr>
            <w:r>
              <w:rPr>
                <w:rFonts w:ascii="Calibri" w:hAnsi="Calibri"/>
                <w:color w:val="202020"/>
                <w:sz w:val="18"/>
              </w:rPr>
              <w:t xml:space="preserve">$18.8M</w:t>
            </w:r>
          </w:p>
        </w:tc>
        <w:tc>
          <w:tcPr>
            <w:tcW w:w="2976" w:type="dxa"/>
          </w:tcPr>
          <w:p>
            <w:pPr>
              <w:pStyle w:val="Compact"/>
              <w:spacing w:before="20" w:after="20" w:line="240" w:lineRule="auto"/>
              <w:jc w:val="left"/>
            </w:pPr>
            <w:r>
              <w:rPr>
                <w:rFonts w:ascii="Calibri" w:hAnsi="Calibri"/>
                <w:color w:val="202020"/>
                <w:sz w:val="18"/>
              </w:rPr>
              <w:t xml:space="preserve">$1.7M gap</w:t>
            </w:r>
          </w:p>
        </w:tc>
      </w:tr>
      <w:tr>
        <w:tc>
          <w:tcPr>
            <w:shd w:val="clear" w:color="auto" w:fill="EAEFF7"/>
            <w:tcW w:w="2006" w:type="dxa"/>
            <w:shd w:val="clear" w:color="auto" w:fill="EAEFF7"/>
          </w:tcPr>
          <w:p>
            <w:pPr>
              <w:pStyle w:val="Compact"/>
              <w:spacing w:before="20" w:after="20" w:line="240" w:lineRule="auto"/>
              <w:jc w:val="left"/>
            </w:pPr>
            <w:r>
              <w:rPr>
                <w:rFonts w:ascii="Calibri" w:hAnsi="Calibri"/>
                <w:color w:val="202020"/>
                <w:sz w:val="18"/>
              </w:rPr>
              <w:t xml:space="preserve">Free cash flow</w:t>
            </w:r>
          </w:p>
        </w:tc>
        <w:tc>
          <w:tcPr>
            <w:shd w:val="clear" w:color="auto" w:fill="EAEFF7"/>
            <w:tcW w:w="2261" w:type="dxa"/>
            <w:shd w:val="clear" w:color="auto" w:fill="EAEFF7"/>
          </w:tcPr>
          <w:p>
            <w:pPr>
              <w:pStyle w:val="Compact"/>
              <w:spacing w:before="20" w:after="20" w:line="240" w:lineRule="auto"/>
              <w:jc w:val="left"/>
            </w:pPr>
            <w:r>
              <w:rPr>
                <w:rFonts w:ascii="Calibri" w:hAnsi="Calibri"/>
                <w:color w:val="202020"/>
                <w:sz w:val="18"/>
              </w:rPr>
              <w:t xml:space="preserve">$2.0M</w:t>
            </w:r>
          </w:p>
        </w:tc>
        <w:tc>
          <w:tcPr>
            <w:shd w:val="clear" w:color="auto" w:fill="EAEFF7"/>
            <w:tcW w:w="2457" w:type="dxa"/>
            <w:shd w:val="clear" w:color="auto" w:fill="EAEFF7"/>
          </w:tcPr>
          <w:p>
            <w:pPr>
              <w:pStyle w:val="Compact"/>
              <w:spacing w:before="20" w:after="20" w:line="240" w:lineRule="auto"/>
              <w:jc w:val="left"/>
            </w:pPr>
            <w:r>
              <w:rPr>
                <w:rFonts w:ascii="Calibri" w:hAnsi="Calibri"/>
                <w:color w:val="202020"/>
                <w:sz w:val="18"/>
              </w:rPr>
              <w:t xml:space="preserve">$2.8M</w:t>
            </w:r>
          </w:p>
        </w:tc>
        <w:tc>
          <w:tcPr>
            <w:shd w:val="clear" w:color="auto" w:fill="EAEFF7"/>
            <w:tcW w:w="2976" w:type="dxa"/>
            <w:shd w:val="clear" w:color="auto" w:fill="EAEFF7"/>
          </w:tcPr>
          <w:p>
            <w:pPr>
              <w:pStyle w:val="Compact"/>
              <w:spacing w:before="20" w:after="20" w:line="240" w:lineRule="auto"/>
              <w:jc w:val="left"/>
            </w:pPr>
            <w:r>
              <w:rPr>
                <w:rFonts w:ascii="Calibri" w:hAnsi="Calibri"/>
                <w:color w:val="202020"/>
                <w:sz w:val="18"/>
              </w:rPr>
              <w:t xml:space="preserve">$0.8M gap</w:t>
            </w:r>
          </w:p>
        </w:tc>
      </w:tr>
      <w:tr>
        <w:tc>
          <w:tcPr>
            <w:tcW w:w="2006" w:type="dxa"/>
          </w:tcPr>
          <w:p>
            <w:pPr>
              <w:pStyle w:val="Compact"/>
              <w:spacing w:before="20" w:after="20" w:line="240" w:lineRule="auto"/>
              <w:jc w:val="left"/>
            </w:pPr>
            <w:r>
              <w:rPr>
                <w:rFonts w:ascii="Calibri" w:hAnsi="Calibri"/>
                <w:color w:val="202020"/>
                <w:sz w:val="18"/>
              </w:rPr>
              <w:t xml:space="preserve">Segment split (FY21–23)</w:t>
            </w:r>
          </w:p>
        </w:tc>
        <w:tc>
          <w:tcPr>
            <w:tcW w:w="2261" w:type="dxa"/>
          </w:tcPr>
          <w:p>
            <w:pPr>
              <w:pStyle w:val="Compact"/>
              <w:spacing w:before="20" w:after="20" w:line="240" w:lineRule="auto"/>
              <w:jc w:val="left"/>
            </w:pPr>
            <w:r>
              <w:rPr>
                <w:rFonts w:ascii="Calibri" w:hAnsi="Calibri"/>
                <w:color w:val="202020"/>
                <w:sz w:val="18"/>
              </w:rPr>
              <w:t xml:space="preserve">differs</w:t>
            </w:r>
          </w:p>
        </w:tc>
        <w:tc>
          <w:tcPr>
            <w:tcW w:w="2457" w:type="dxa"/>
          </w:tcPr>
          <w:p>
            <w:pPr>
              <w:pStyle w:val="Compact"/>
              <w:spacing w:before="20" w:after="20" w:line="240" w:lineRule="auto"/>
              <w:jc w:val="left"/>
            </w:pPr>
            <w:r>
              <w:rPr>
                <w:rFonts w:ascii="Calibri" w:hAnsi="Calibri"/>
                <w:color w:val="202020"/>
                <w:sz w:val="18"/>
              </w:rPr>
              <w:t xml:space="preserve">differs</w:t>
            </w:r>
          </w:p>
        </w:tc>
        <w:tc>
          <w:tcPr>
            <w:tcW w:w="2976" w:type="dxa"/>
          </w:tcPr>
          <w:p>
            <w:pPr>
              <w:pStyle w:val="Compact"/>
              <w:spacing w:before="20" w:after="20" w:line="240" w:lineRule="auto"/>
              <w:jc w:val="left"/>
            </w:pPr>
            <w:r>
              <w:rPr>
                <w:rFonts w:ascii="Calibri" w:hAnsi="Calibri"/>
                <w:color w:val="202020"/>
                <w:sz w:val="18"/>
              </w:rPr>
              <w:t xml:space="preserve">Totals match; segments do not</w:t>
            </w:r>
          </w:p>
        </w:tc>
      </w:tr>
    </w:tbl>
    <w:p>
      <w:pPr>
        <w:pStyle w:val="BodyText"/>
      </w:pPr>
      <w:r>
        <w:rPr>
          <w:b/>
          <w:bCs/>
        </w:rPr>
        <w:t xml:space="preserve">Two items deserve particular emphasis:</w:t>
      </w:r>
    </w:p>
    <w:p>
      <w:pPr>
        <w:pStyle w:val="Compact"/>
        <w:numPr>
          <w:ilvl w:val="0"/>
          <w:numId w:val="1008"/>
        </w:numPr>
      </w:pPr>
      <w:r>
        <w:rPr>
          <w:b/>
          <w:bCs/>
        </w:rPr>
        <w:t xml:space="preserve">The exhibits’ income statement does not reconcile to reported EBITDA in any historical year.</w:t>
      </w:r>
      <w:r>
        <w:t xml:space="preserve"> </w:t>
      </w:r>
      <w:r>
        <w:t xml:space="preserve">In the exhibits,</w:t>
      </w:r>
      <w:r>
        <w:t xml:space="preserve"> </w:t>
      </w:r>
      <w:r>
        <w:t xml:space="preserve">“</w:t>
      </w:r>
      <w:r>
        <w:t xml:space="preserve">Operating Income (EBIT)</w:t>
      </w:r>
      <w:r>
        <w:t xml:space="preserve">”</w:t>
      </w:r>
      <w:r>
        <w:t xml:space="preserve"> </w:t>
      </w:r>
      <w:r>
        <w:t xml:space="preserve">plus D&amp;A exceeds</w:t>
      </w:r>
      <w:r>
        <w:t xml:space="preserve"> </w:t>
      </w:r>
      <w:r>
        <w:t xml:space="preserve">“</w:t>
      </w:r>
      <w:r>
        <w:t xml:space="preserve">Reported EBITDA</w:t>
      </w:r>
      <w:r>
        <w:t xml:space="preserve">”</w:t>
      </w:r>
      <w:r>
        <w:t xml:space="preserve"> </w:t>
      </w:r>
      <w:r>
        <w:t xml:space="preserve">every year (FY2024: $11.1M + $4.2M = $15.3M vs. $12.1M reported; the gap is $1.5M / $1.7M / $2.6M / $3.2M for FY2021–FY2024). The exhibits’ own P&amp;L implies FY2024 EBITDA of roughly</w:t>
      </w:r>
      <w:r>
        <w:t xml:space="preserve"> </w:t>
      </w:r>
      <w:r>
        <w:rPr>
          <w:b/>
          <w:bCs/>
        </w:rPr>
        <w:t xml:space="preserve">$11.1M</w:t>
      </w:r>
      <w:r>
        <w:t xml:space="preserve"> </w:t>
      </w:r>
      <w:r>
        <w:t xml:space="preserve">(gross profit less operating expenses, before D&amp;A) — about</w:t>
      </w:r>
      <w:r>
        <w:t xml:space="preserve"> </w:t>
      </w:r>
      <w:r>
        <w:rPr>
          <w:b/>
          <w:bCs/>
        </w:rPr>
        <w:t xml:space="preserve">$1.0M below</w:t>
      </w:r>
      <w:r>
        <w:t xml:space="preserve"> </w:t>
      </w:r>
      <w:r>
        <w:t xml:space="preserve">the $12.1M that anchors the Adjusted EBITDA bridge. The $12.1M appears to be carried from the CIM rather than computed from the detailed P&amp;L.</w:t>
      </w:r>
      <w:r>
        <w:t xml:space="preserve"> </w:t>
      </w:r>
      <w:r>
        <w:rPr>
          <w:b/>
          <w:bCs/>
        </w:rPr>
        <w:t xml:space="preserve">The starting point of the entire valuation bridge is not corroborated by the detailed financials.</w:t>
      </w:r>
    </w:p>
    <w:p>
      <w:pPr>
        <w:pStyle w:val="Compact"/>
        <w:numPr>
          <w:ilvl w:val="0"/>
          <w:numId w:val="1008"/>
        </w:numPr>
      </w:pPr>
      <w:r>
        <w:rPr>
          <w:b/>
          <w:bCs/>
        </w:rPr>
        <w:t xml:space="preserve">$2.5M of goodwill/intangibles is unexplained.</w:t>
      </w:r>
      <w:r>
        <w:t xml:space="preserve"> </w:t>
      </w:r>
      <w:r>
        <w:t xml:space="preserve">The exhibits carry a constant $2.5M goodwill &amp; intangible asset balance (FY2021–FY2024) that the CIM balance sheet omits entirely. The CIM describes CES as organically founded in 2009 with no acquisitions. Either an acquisition is undisclosed (which would affect the organic-growth narrative and may carry integration/retention issues) or the balance is erroneous. This must be explained.</w:t>
      </w:r>
    </w:p>
    <w:p>
      <w:pPr>
        <w:pStyle w:val="FirstParagraph"/>
      </w:pPr>
      <w:r>
        <w:t xml:space="preserve">Additionally, the exhibits’</w:t>
      </w:r>
      <w:r>
        <w:t xml:space="preserve"> </w:t>
      </w:r>
      <w:r>
        <w:rPr>
          <w:b/>
          <w:bCs/>
        </w:rPr>
        <w:t xml:space="preserve">retained-earnings rollforward does not tie</w:t>
      </w:r>
      <w:r>
        <w:t xml:space="preserve"> </w:t>
      </w:r>
      <w:r>
        <w:t xml:space="preserve">to net income less distributions (cumulative gap ~$1.1M over FY2021–FY2024), and the</w:t>
      </w:r>
      <w:r>
        <w:t xml:space="preserve"> </w:t>
      </w:r>
      <w:r>
        <w:rPr>
          <w:b/>
          <w:bCs/>
        </w:rPr>
        <w:t xml:space="preserve">cash-flow statement</w:t>
      </w:r>
      <w:r>
        <w:t xml:space="preserve"> </w:t>
      </w:r>
      <w:r>
        <w:t xml:space="preserve">differs from the CIM Appendix A (operating cash flow $10.0M vs. $9.2M; FCF $2.8M vs. $2.0M). A full QoE with reconciled, audited financials is a condition to proceeding past IOI.</w:t>
      </w:r>
    </w:p>
    <w:p>
      <w:r>
        <w:pict>
          <v:rect style="width:0;height:1.5pt" o:hralign="center" o:hrstd="t" o:hr="t"/>
        </w:pict>
      </w:r>
    </w:p>
    <w:bookmarkEnd w:id="28"/>
    <w:bookmarkEnd w:id="29"/>
    <w:bookmarkStart w:id="33" w:name="v.-customer-and-backlog-analysis"/>
    <w:p>
      <w:pPr>
        <w:pStyle w:val="Heading2"/>
      </w:pPr>
      <w:r>
        <w:t xml:space="preserve">V. Customer and Backlog Analysis</w:t>
      </w:r>
    </w:p>
    <w:bookmarkStart w:id="30" w:name="a.-concentration-and-contract-risk"/>
    <w:p>
      <w:pPr>
        <w:pStyle w:val="Heading3"/>
      </w:pPr>
      <w:r>
        <w:t xml:space="preserve">A. Concentration and Contract Risk</w:t>
      </w:r>
    </w:p>
    <w:p>
      <w:pPr>
        <w:pStyle w:val="FirstParagraph"/>
      </w:pPr>
      <w:r>
        <w:t xml:space="preserve">CES’s top 10 customers are</w:t>
      </w:r>
      <w:r>
        <w:t xml:space="preserve"> </w:t>
      </w:r>
      <w:r>
        <w:rPr>
          <w:b/>
          <w:bCs/>
        </w:rPr>
        <w:t xml:space="preserve">71.0%</w:t>
      </w:r>
      <w:r>
        <w:t xml:space="preserve"> </w:t>
      </w:r>
      <w:r>
        <w:t xml:space="preserve">of FY2024 revenue; the top 5 are</w:t>
      </w:r>
      <w:r>
        <w:t xml:space="preserve"> </w:t>
      </w:r>
      <w:r>
        <w:rPr>
          <w:b/>
          <w:bCs/>
        </w:rPr>
        <w:t xml:space="preserve">52.5%</w:t>
      </w:r>
      <w:r>
        <w:t xml:space="preserve">. Concentration has been declining modestly (top 10 was 74.3% in FY2021), which is favorable, but the level remains high and several specific risks stand out:</w:t>
      </w:r>
    </w:p>
    <w:p>
      <w:pPr>
        <w:pStyle w:val="Compact"/>
        <w:numPr>
          <w:ilvl w:val="0"/>
          <w:numId w:val="1009"/>
        </w:numPr>
      </w:pPr>
      <w:r>
        <w:rPr>
          <w:b/>
          <w:bCs/>
        </w:rPr>
        <w:t xml:space="preserve">PNR (21.4%, $18.7M) — MSA expired March 31, 2025.</w:t>
      </w:r>
      <w:r>
        <w:t xml:space="preserve"> </w:t>
      </w:r>
      <w:r>
        <w:t xml:space="preserve">This is the largest customer and the deepest relationship (on-site near-daily; preferred-provider status), yet its MSA expired</w:t>
      </w:r>
      <w:r>
        <w:t xml:space="preserve"> </w:t>
      </w:r>
      <w:r>
        <w:rPr>
          <w:b/>
          <w:bCs/>
        </w:rPr>
        <w:t xml:space="preserve">before the CIM was distributed</w:t>
      </w:r>
      <w:r>
        <w:t xml:space="preserve"> </w:t>
      </w:r>
      <w:r>
        <w:t xml:space="preserve">and renewal status is not disclosed in any document. A 21.4% customer on a lapsed contract is the single largest commercial risk in the deal. Renewal status, renewal terms (pricing, duration, exclusivity), and the relationship’s transferability post-founder must be confirmed as a first-order diligence item and, ideally, a condition to a binding bid.</w:t>
      </w:r>
    </w:p>
    <w:p>
      <w:pPr>
        <w:pStyle w:val="Compact"/>
        <w:numPr>
          <w:ilvl w:val="0"/>
          <w:numId w:val="1009"/>
        </w:numPr>
      </w:pPr>
      <w:r>
        <w:rPr>
          <w:b/>
          <w:bCs/>
        </w:rPr>
        <w:t xml:space="preserve">Near-term expirations across the top 5.</w:t>
      </w:r>
      <w:r>
        <w:t xml:space="preserve"> </w:t>
      </w:r>
      <w:r>
        <w:t xml:space="preserve">Meridian Lumber &amp; Paper MSA expires December 31, 2025; Willamette Steel is month-to-month; ODOT is annual renewal (July). Only Columbia Basin Power Authority (through December 31, 2027) provides multi-year visibility among the top 5.</w:t>
      </w:r>
    </w:p>
    <w:p>
      <w:pPr>
        <w:pStyle w:val="Compact"/>
        <w:numPr>
          <w:ilvl w:val="0"/>
          <w:numId w:val="1009"/>
        </w:numPr>
      </w:pPr>
      <w:r>
        <w:rPr>
          <w:b/>
          <w:bCs/>
        </w:rPr>
        <w:t xml:space="preserve">Cyclical end-market exposure.</w:t>
      </w:r>
      <w:r>
        <w:t xml:space="preserve"> </w:t>
      </w:r>
      <w:r>
        <w:t xml:space="preserve">Oil &amp; gas/refining is 25.7% of revenue (PNR plus other refining); forest products and steel (Meridian, Willamette) add further cyclical exposure. These should be stress-tested under a downside industrial scenario.</w:t>
      </w:r>
    </w:p>
    <w:p>
      <w:pPr>
        <w:pStyle w:val="Compact"/>
        <w:numPr>
          <w:ilvl w:val="0"/>
          <w:numId w:val="1009"/>
        </w:numPr>
      </w:pPr>
      <w:r>
        <w:rPr>
          <w:b/>
          <w:bCs/>
        </w:rPr>
        <w:t xml:space="preserve">“</w:t>
      </w:r>
      <w:r>
        <w:rPr>
          <w:b/>
          <w:bCs/>
        </w:rPr>
        <w:t xml:space="preserve">8+ year average top-10 relationship</w:t>
      </w:r>
      <w:r>
        <w:rPr>
          <w:b/>
          <w:bCs/>
        </w:rPr>
        <w:t xml:space="preserve">”</w:t>
      </w:r>
      <w:r>
        <w:rPr>
          <w:b/>
          <w:bCs/>
        </w:rPr>
        <w:t xml:space="preserve"> </w:t>
      </w:r>
      <w:r>
        <w:rPr>
          <w:b/>
          <w:bCs/>
        </w:rPr>
        <w:t xml:space="preserve">claim is not supported by the data.</w:t>
      </w:r>
      <w:r>
        <w:t xml:space="preserve"> </w:t>
      </w:r>
      <w:r>
        <w:t xml:space="preserve">The Customer/Backlog Report’s own relationship-since dates (PNR 2012, ODOT 2014, Columbia Basin 2016, Meridian 2017, Willamette 2018, and several top-10 customers at only 3–5 years) imply an average closer to</w:t>
      </w:r>
      <w:r>
        <w:t xml:space="preserve"> </w:t>
      </w:r>
      <w:r>
        <w:rPr>
          <w:b/>
          <w:bCs/>
        </w:rPr>
        <w:t xml:space="preserve">~7 years</w:t>
      </w:r>
      <w:r>
        <w:t xml:space="preserve">, with multiple top-10 relationships of 3–5 years. The CIM also states PNR</w:t>
      </w:r>
      <w:r>
        <w:t xml:space="preserve"> </w:t>
      </w:r>
      <w:r>
        <w:t xml:space="preserve">“</w:t>
      </w:r>
      <w:r>
        <w:t xml:space="preserve">dating back to 2011</w:t>
      </w:r>
      <w:r>
        <w:t xml:space="preserve">”</w:t>
      </w:r>
      <w:r>
        <w:t xml:space="preserve"> </w:t>
      </w:r>
      <w:r>
        <w:t xml:space="preserve">while the Report states</w:t>
      </w:r>
      <w:r>
        <w:t xml:space="preserve"> </w:t>
      </w:r>
      <w:r>
        <w:t xml:space="preserve">“</w:t>
      </w:r>
      <w:r>
        <w:t xml:space="preserve">since 2012.</w:t>
      </w:r>
      <w:r>
        <w:t xml:space="preserve">”</w:t>
      </w:r>
      <w:r>
        <w:t xml:space="preserve"> </w:t>
      </w:r>
      <w:r>
        <w:t xml:space="preserve">The longevity narrative is somewhat overstated.</w:t>
      </w:r>
    </w:p>
    <w:bookmarkEnd w:id="30"/>
    <w:bookmarkStart w:id="31" w:name="b.-backlog-and-pipeline-coverage"/>
    <w:p>
      <w:pPr>
        <w:pStyle w:val="Heading3"/>
      </w:pPr>
      <w:r>
        <w:t xml:space="preserve">B. Backlog and Pipeline Coverage</w:t>
      </w:r>
    </w:p>
    <w:p>
      <w:pPr>
        <w:pStyle w:val="Compact"/>
        <w:numPr>
          <w:ilvl w:val="0"/>
          <w:numId w:val="1010"/>
        </w:numPr>
      </w:pPr>
      <w:r>
        <w:rPr>
          <w:b/>
          <w:bCs/>
        </w:rPr>
        <w:t xml:space="preserve">Contracted backlog $42.6M</w:t>
      </w:r>
      <w:r>
        <w:t xml:space="preserve"> </w:t>
      </w:r>
      <w:r>
        <w:t xml:space="preserve">(Remediation $26.8M / 62.9%; Industrial Cleaning $11.4M / 26.8%; Emergency Response $4.4M / 10.3%). Conversion: $18.2M in H1 2025, $14.8M in H2 2025, $9.6M in 2026+ — i.e.,</w:t>
      </w:r>
      <w:r>
        <w:t xml:space="preserve"> </w:t>
      </w:r>
      <w:r>
        <w:rPr>
          <w:b/>
          <w:bCs/>
        </w:rPr>
        <w:t xml:space="preserve">~$33.0M (77.5%) converts in FY2025</w:t>
      </w:r>
      <w:r>
        <w:t xml:space="preserve">.</w:t>
      </w:r>
    </w:p>
    <w:p>
      <w:pPr>
        <w:pStyle w:val="Compact"/>
        <w:numPr>
          <w:ilvl w:val="0"/>
          <w:numId w:val="1010"/>
        </w:numPr>
      </w:pPr>
      <w:r>
        <w:rPr>
          <w:b/>
          <w:bCs/>
        </w:rPr>
        <w:t xml:space="preserve">Pipeline $31.4M</w:t>
      </w:r>
      <w:r>
        <w:t xml:space="preserve"> </w:t>
      </w:r>
      <w:r>
        <w:t xml:space="preserve">(Remediation $19.2M / 61.1%; Industrial Cleaning $7.8M; Emergency Response $4.4M). At a 35%–40% historical win rate, expected yield is</w:t>
      </w:r>
      <w:r>
        <w:t xml:space="preserve"> </w:t>
      </w:r>
      <w:r>
        <w:rPr>
          <w:b/>
          <w:bCs/>
        </w:rPr>
        <w:t xml:space="preserve">$11.0M–$12.6M</w:t>
      </w:r>
      <w:r>
        <w:t xml:space="preserve">.</w:t>
      </w:r>
    </w:p>
    <w:p>
      <w:pPr>
        <w:pStyle w:val="Compact"/>
        <w:numPr>
          <w:ilvl w:val="0"/>
          <w:numId w:val="1010"/>
        </w:numPr>
      </w:pPr>
      <w:r>
        <w:rPr>
          <w:b/>
          <w:bCs/>
        </w:rPr>
        <w:t xml:space="preserve">Coverage of FY2025E ($98.5M):</w:t>
      </w:r>
      <w:r>
        <w:t xml:space="preserve"> </w:t>
      </w:r>
      <w:r>
        <w:t xml:space="preserve">backlog $33.0M (33.5%) + pipeline yield $11.0M–$12.6M (11%–13%) =</w:t>
      </w:r>
      <w:r>
        <w:t xml:space="preserve"> </w:t>
      </w:r>
      <w:r>
        <w:rPr>
          <w:b/>
          <w:bCs/>
        </w:rPr>
        <w:t xml:space="preserve">~45%–46% covered</w:t>
      </w:r>
      <w:r>
        <w:t xml:space="preserve">;</w:t>
      </w:r>
      <w:r>
        <w:t xml:space="preserve"> </w:t>
      </w:r>
      <w:r>
        <w:rPr>
          <w:b/>
          <w:bCs/>
        </w:rPr>
        <w:t xml:space="preserve">~$53M must be sold in-year</w:t>
      </w:r>
      <w:r>
        <w:t xml:space="preserve">. The PFAS portion of the FY2025E ramp is largely within this uncovered, in-year bucket — reinforcing the need for a PFAS-specific backlog breakout.</w:t>
      </w:r>
    </w:p>
    <w:p>
      <w:pPr>
        <w:pStyle w:val="Compact"/>
        <w:numPr>
          <w:ilvl w:val="0"/>
          <w:numId w:val="1010"/>
        </w:numPr>
      </w:pPr>
      <w:r>
        <w:rPr>
          <w:b/>
          <w:bCs/>
        </w:rPr>
        <w:t xml:space="preserve">Retention signals are mixed-positive.</w:t>
      </w:r>
      <w:r>
        <w:t xml:space="preserve"> </w:t>
      </w:r>
      <w:r>
        <w:t xml:space="preserve">The Company reports a ~90% MSA renewal rate and no top-10 customer lost in five years, and ~60% of revenue is MSA-based. These are credible sticky-revenue indicators, but they must be read against the PNR MSA expiration and the month-to-month Willamette arrangement.</w:t>
      </w:r>
    </w:p>
    <w:bookmarkEnd w:id="31"/>
    <w:bookmarkStart w:id="32" w:name="c.-customer-disclosure-inconsistencies"/>
    <w:p>
      <w:pPr>
        <w:pStyle w:val="Heading3"/>
      </w:pPr>
      <w:r>
        <w:t xml:space="preserve">C. Customer Disclosure Inconsistencies</w:t>
      </w:r>
    </w:p>
    <w:p>
      <w:pPr>
        <w:pStyle w:val="FirstParagraph"/>
      </w:pPr>
      <w:r>
        <w:t xml:space="preserve">The CIM and the Customer/Backlog Report present</w:t>
      </w:r>
      <w:r>
        <w:t xml:space="preserve"> </w:t>
      </w:r>
      <w:r>
        <w:rPr>
          <w:b/>
          <w:bCs/>
        </w:rPr>
        <w:t xml:space="preserve">different customer names for positions #6–#10</w:t>
      </w:r>
      <w:r>
        <w:t xml:space="preserve">, despite identical revenue figures:</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1217"/>
        <w:gridCol w:w="3115"/>
        <w:gridCol w:w="3637"/>
        <w:gridCol w:w="1731"/>
      </w:tblGrid>
      <w:tr>
        <w:trPr>
          <w:tblHeader w:val="on"/>
          <w:tblHeader w:val="true"/>
          <w:tblHeader w:val="true"/>
          <w:tblHeader w:val="true"/>
          <w:tblHeader w:val="true"/>
          <w:tblHeader w:val="true"/>
          <w:tblHeader w:val="true"/>
          <w:tblHeader w:val="true"/>
          <w:tblHeader w:val="true"/>
        </w:trPr>
        <w:tc>
          <w:tcPr>
            <w:shd w:val="clear" w:color="auto" w:fill="1F3864"/>
            <w:tcW w:w="1217" w:type="dxa"/>
            <w:shd w:val="clear" w:color="auto" w:fill="1F3864"/>
          </w:tcPr>
          <w:p>
            <w:pPr>
              <w:pStyle w:val="Compact"/>
              <w:spacing w:before="20" w:after="20" w:line="240" w:lineRule="auto"/>
              <w:jc w:val="left"/>
            </w:pPr>
            <w:r>
              <w:rPr>
                <w:rFonts w:ascii="Calibri" w:hAnsi="Calibri"/>
                <w:b/>
                <w:color w:val="FFFFFF"/>
                <w:sz w:val="18"/>
              </w:rPr>
              <w:t xml:space="preserve">Rank</w:t>
            </w:r>
          </w:p>
        </w:tc>
        <w:tc>
          <w:tcPr>
            <w:shd w:val="clear" w:color="auto" w:fill="1F3864"/>
            <w:tcW w:w="3115" w:type="dxa"/>
            <w:shd w:val="clear" w:color="auto" w:fill="1F3864"/>
          </w:tcPr>
          <w:p>
            <w:pPr>
              <w:pStyle w:val="Compact"/>
              <w:spacing w:before="20" w:after="20" w:line="240" w:lineRule="auto"/>
              <w:jc w:val="left"/>
            </w:pPr>
            <w:r>
              <w:rPr>
                <w:rFonts w:ascii="Calibri" w:hAnsi="Calibri"/>
                <w:b/>
                <w:color w:val="FFFFFF"/>
                <w:sz w:val="18"/>
              </w:rPr>
              <w:t xml:space="preserve">CIM name</w:t>
            </w:r>
          </w:p>
        </w:tc>
        <w:tc>
          <w:tcPr>
            <w:shd w:val="clear" w:color="auto" w:fill="1F3864"/>
            <w:tcW w:w="3637" w:type="dxa"/>
            <w:shd w:val="clear" w:color="auto" w:fill="1F3864"/>
          </w:tcPr>
          <w:p>
            <w:pPr>
              <w:pStyle w:val="Compact"/>
              <w:spacing w:before="20" w:after="20" w:line="240" w:lineRule="auto"/>
              <w:jc w:val="left"/>
            </w:pPr>
            <w:r>
              <w:rPr>
                <w:rFonts w:ascii="Calibri" w:hAnsi="Calibri"/>
                <w:b/>
                <w:color w:val="FFFFFF"/>
                <w:sz w:val="18"/>
              </w:rPr>
              <w:t xml:space="preserve">Report name</w:t>
            </w:r>
          </w:p>
        </w:tc>
        <w:tc>
          <w:tcPr>
            <w:shd w:val="clear" w:color="auto" w:fill="1F3864"/>
            <w:tcW w:w="1731" w:type="dxa"/>
            <w:shd w:val="clear" w:color="auto" w:fill="1F3864"/>
          </w:tcPr>
          <w:p>
            <w:pPr>
              <w:pStyle w:val="Compact"/>
              <w:spacing w:before="20" w:after="20" w:line="240" w:lineRule="auto"/>
              <w:jc w:val="left"/>
            </w:pPr>
            <w:r>
              <w:rPr>
                <w:rFonts w:ascii="Calibri" w:hAnsi="Calibri"/>
                <w:b/>
                <w:color w:val="FFFFFF"/>
                <w:sz w:val="18"/>
              </w:rPr>
              <w:t xml:space="preserve">FY2024 Rev</w:t>
            </w:r>
          </w:p>
        </w:tc>
      </w:tr>
      <w:tr>
        <w:tc>
          <w:tcPr>
            <w:tcW w:w="1217" w:type="dxa"/>
          </w:tcPr>
          <w:p>
            <w:pPr>
              <w:pStyle w:val="Compact"/>
              <w:spacing w:before="20" w:after="20" w:line="240" w:lineRule="auto"/>
              <w:jc w:val="left"/>
            </w:pPr>
            <w:r>
              <w:rPr>
                <w:rFonts w:ascii="Calibri" w:hAnsi="Calibri"/>
                <w:color w:val="202020"/>
                <w:sz w:val="18"/>
              </w:rPr>
              <w:t xml:space="preserve">6</w:t>
            </w:r>
          </w:p>
        </w:tc>
        <w:tc>
          <w:tcPr>
            <w:tcW w:w="3115" w:type="dxa"/>
          </w:tcPr>
          <w:p>
            <w:pPr>
              <w:pStyle w:val="Compact"/>
              <w:spacing w:before="20" w:after="20" w:line="240" w:lineRule="auto"/>
              <w:jc w:val="left"/>
            </w:pPr>
            <w:r>
              <w:rPr>
                <w:rFonts w:ascii="Calibri" w:hAnsi="Calibri"/>
                <w:color w:val="202020"/>
                <w:sz w:val="18"/>
              </w:rPr>
              <w:t xml:space="preserve">Cascade Terminals, Inc.</w:t>
            </w:r>
          </w:p>
        </w:tc>
        <w:tc>
          <w:tcPr>
            <w:tcW w:w="3637" w:type="dxa"/>
          </w:tcPr>
          <w:p>
            <w:pPr>
              <w:pStyle w:val="Compact"/>
              <w:spacing w:before="20" w:after="20" w:line="240" w:lineRule="auto"/>
              <w:jc w:val="left"/>
            </w:pPr>
            <w:r>
              <w:rPr>
                <w:rFonts w:ascii="Calibri" w:hAnsi="Calibri"/>
                <w:color w:val="202020"/>
                <w:sz w:val="18"/>
              </w:rPr>
              <w:t xml:space="preserve">Clearwater Municipal Utility District</w:t>
            </w:r>
          </w:p>
        </w:tc>
        <w:tc>
          <w:tcPr>
            <w:tcW w:w="1731" w:type="dxa"/>
          </w:tcPr>
          <w:p>
            <w:pPr>
              <w:pStyle w:val="Compact"/>
              <w:spacing w:before="20" w:after="20" w:line="240" w:lineRule="auto"/>
              <w:jc w:val="left"/>
            </w:pPr>
            <w:r>
              <w:rPr>
                <w:rFonts w:ascii="Calibri" w:hAnsi="Calibri"/>
                <w:color w:val="202020"/>
                <w:sz w:val="18"/>
              </w:rPr>
              <w:t xml:space="preserve">$3.8M</w:t>
            </w:r>
          </w:p>
        </w:tc>
      </w:tr>
      <w:tr>
        <w:tc>
          <w:tcPr>
            <w:shd w:val="clear" w:color="auto" w:fill="EAEFF7"/>
            <w:tcW w:w="1217" w:type="dxa"/>
            <w:shd w:val="clear" w:color="auto" w:fill="EAEFF7"/>
          </w:tcPr>
          <w:p>
            <w:pPr>
              <w:pStyle w:val="Compact"/>
              <w:spacing w:before="20" w:after="20" w:line="240" w:lineRule="auto"/>
              <w:jc w:val="left"/>
            </w:pPr>
            <w:r>
              <w:rPr>
                <w:rFonts w:ascii="Calibri" w:hAnsi="Calibri"/>
                <w:color w:val="202020"/>
                <w:sz w:val="18"/>
              </w:rPr>
              <w:t xml:space="preserve">7</w:t>
            </w:r>
          </w:p>
        </w:tc>
        <w:tc>
          <w:tcPr>
            <w:shd w:val="clear" w:color="auto" w:fill="EAEFF7"/>
            <w:tcW w:w="3115" w:type="dxa"/>
            <w:shd w:val="clear" w:color="auto" w:fill="EAEFF7"/>
          </w:tcPr>
          <w:p>
            <w:pPr>
              <w:pStyle w:val="Compact"/>
              <w:spacing w:before="20" w:after="20" w:line="240" w:lineRule="auto"/>
              <w:jc w:val="left"/>
            </w:pPr>
            <w:r>
              <w:rPr>
                <w:rFonts w:ascii="Calibri" w:hAnsi="Calibri"/>
                <w:color w:val="202020"/>
                <w:sz w:val="18"/>
              </w:rPr>
              <w:t xml:space="preserve">Puget Sound Utilities Group</w:t>
            </w:r>
          </w:p>
        </w:tc>
        <w:tc>
          <w:tcPr>
            <w:shd w:val="clear" w:color="auto" w:fill="EAEFF7"/>
            <w:tcW w:w="3637" w:type="dxa"/>
            <w:shd w:val="clear" w:color="auto" w:fill="EAEFF7"/>
          </w:tcPr>
          <w:p>
            <w:pPr>
              <w:pStyle w:val="Compact"/>
              <w:spacing w:before="20" w:after="20" w:line="240" w:lineRule="auto"/>
              <w:jc w:val="left"/>
            </w:pPr>
            <w:r>
              <w:rPr>
                <w:rFonts w:ascii="Calibri" w:hAnsi="Calibri"/>
                <w:color w:val="202020"/>
                <w:sz w:val="18"/>
              </w:rPr>
              <w:t xml:space="preserve">Northshore Industrial Park</w:t>
            </w:r>
          </w:p>
        </w:tc>
        <w:tc>
          <w:tcPr>
            <w:shd w:val="clear" w:color="auto" w:fill="EAEFF7"/>
            <w:tcW w:w="1731" w:type="dxa"/>
            <w:shd w:val="clear" w:color="auto" w:fill="EAEFF7"/>
          </w:tcPr>
          <w:p>
            <w:pPr>
              <w:pStyle w:val="Compact"/>
              <w:spacing w:before="20" w:after="20" w:line="240" w:lineRule="auto"/>
              <w:jc w:val="left"/>
            </w:pPr>
            <w:r>
              <w:rPr>
                <w:rFonts w:ascii="Calibri" w:hAnsi="Calibri"/>
                <w:color w:val="202020"/>
                <w:sz w:val="18"/>
              </w:rPr>
              <w:t xml:space="preserve">$3.6M</w:t>
            </w:r>
          </w:p>
        </w:tc>
      </w:tr>
      <w:tr>
        <w:tc>
          <w:tcPr>
            <w:tcW w:w="1217" w:type="dxa"/>
          </w:tcPr>
          <w:p>
            <w:pPr>
              <w:pStyle w:val="Compact"/>
              <w:spacing w:before="20" w:after="20" w:line="240" w:lineRule="auto"/>
              <w:jc w:val="left"/>
            </w:pPr>
            <w:r>
              <w:rPr>
                <w:rFonts w:ascii="Calibri" w:hAnsi="Calibri"/>
                <w:color w:val="202020"/>
                <w:sz w:val="18"/>
              </w:rPr>
              <w:t xml:space="preserve">8</w:t>
            </w:r>
          </w:p>
        </w:tc>
        <w:tc>
          <w:tcPr>
            <w:tcW w:w="3115" w:type="dxa"/>
          </w:tcPr>
          <w:p>
            <w:pPr>
              <w:pStyle w:val="Compact"/>
              <w:spacing w:before="20" w:after="20" w:line="240" w:lineRule="auto"/>
              <w:jc w:val="left"/>
            </w:pPr>
            <w:r>
              <w:rPr>
                <w:rFonts w:ascii="Calibri" w:hAnsi="Calibri"/>
                <w:color w:val="202020"/>
                <w:sz w:val="18"/>
              </w:rPr>
              <w:t xml:space="preserve">City of Portland — BES</w:t>
            </w:r>
          </w:p>
        </w:tc>
        <w:tc>
          <w:tcPr>
            <w:tcW w:w="3637" w:type="dxa"/>
          </w:tcPr>
          <w:p>
            <w:pPr>
              <w:pStyle w:val="Compact"/>
              <w:spacing w:before="20" w:after="20" w:line="240" w:lineRule="auto"/>
              <w:jc w:val="left"/>
            </w:pPr>
            <w:r>
              <w:rPr>
                <w:rFonts w:ascii="Calibri" w:hAnsi="Calibri"/>
                <w:color w:val="202020"/>
                <w:sz w:val="18"/>
              </w:rPr>
              <w:t xml:space="preserve">Summit Materials Processing</w:t>
            </w:r>
          </w:p>
        </w:tc>
        <w:tc>
          <w:tcPr>
            <w:tcW w:w="1731" w:type="dxa"/>
          </w:tcPr>
          <w:p>
            <w:pPr>
              <w:pStyle w:val="Compact"/>
              <w:spacing w:before="20" w:after="20" w:line="240" w:lineRule="auto"/>
              <w:jc w:val="left"/>
            </w:pPr>
            <w:r>
              <w:rPr>
                <w:rFonts w:ascii="Calibri" w:hAnsi="Calibri"/>
                <w:color w:val="202020"/>
                <w:sz w:val="18"/>
              </w:rPr>
              <w:t xml:space="preserve">$3.2M</w:t>
            </w:r>
          </w:p>
        </w:tc>
      </w:tr>
      <w:tr>
        <w:tc>
          <w:tcPr>
            <w:shd w:val="clear" w:color="auto" w:fill="EAEFF7"/>
            <w:tcW w:w="1217" w:type="dxa"/>
            <w:shd w:val="clear" w:color="auto" w:fill="EAEFF7"/>
          </w:tcPr>
          <w:p>
            <w:pPr>
              <w:pStyle w:val="Compact"/>
              <w:spacing w:before="20" w:after="20" w:line="240" w:lineRule="auto"/>
              <w:jc w:val="left"/>
            </w:pPr>
            <w:r>
              <w:rPr>
                <w:rFonts w:ascii="Calibri" w:hAnsi="Calibri"/>
                <w:color w:val="202020"/>
                <w:sz w:val="18"/>
              </w:rPr>
              <w:t xml:space="preserve">9</w:t>
            </w:r>
          </w:p>
        </w:tc>
        <w:tc>
          <w:tcPr>
            <w:shd w:val="clear" w:color="auto" w:fill="EAEFF7"/>
            <w:tcW w:w="3115" w:type="dxa"/>
            <w:shd w:val="clear" w:color="auto" w:fill="EAEFF7"/>
          </w:tcPr>
          <w:p>
            <w:pPr>
              <w:pStyle w:val="Compact"/>
              <w:spacing w:before="20" w:after="20" w:line="240" w:lineRule="auto"/>
              <w:jc w:val="left"/>
            </w:pPr>
            <w:r>
              <w:rPr>
                <w:rFonts w:ascii="Calibri" w:hAnsi="Calibri"/>
                <w:color w:val="202020"/>
                <w:sz w:val="18"/>
              </w:rPr>
              <w:t xml:space="preserve">Northern Pacific Rail Systems</w:t>
            </w:r>
          </w:p>
        </w:tc>
        <w:tc>
          <w:tcPr>
            <w:shd w:val="clear" w:color="auto" w:fill="EAEFF7"/>
            <w:tcW w:w="3637" w:type="dxa"/>
            <w:shd w:val="clear" w:color="auto" w:fill="EAEFF7"/>
          </w:tcPr>
          <w:p>
            <w:pPr>
              <w:pStyle w:val="Compact"/>
              <w:spacing w:before="20" w:after="20" w:line="240" w:lineRule="auto"/>
              <w:jc w:val="left"/>
            </w:pPr>
            <w:r>
              <w:rPr>
                <w:rFonts w:ascii="Calibri" w:hAnsi="Calibri"/>
                <w:color w:val="202020"/>
                <w:sz w:val="18"/>
              </w:rPr>
              <w:t xml:space="preserve">Timberline Construction Group</w:t>
            </w:r>
          </w:p>
        </w:tc>
        <w:tc>
          <w:tcPr>
            <w:shd w:val="clear" w:color="auto" w:fill="EAEFF7"/>
            <w:tcW w:w="1731" w:type="dxa"/>
            <w:shd w:val="clear" w:color="auto" w:fill="EAEFF7"/>
          </w:tcPr>
          <w:p>
            <w:pPr>
              <w:pStyle w:val="Compact"/>
              <w:spacing w:before="20" w:after="20" w:line="240" w:lineRule="auto"/>
              <w:jc w:val="left"/>
            </w:pPr>
            <w:r>
              <w:rPr>
                <w:rFonts w:ascii="Calibri" w:hAnsi="Calibri"/>
                <w:color w:val="202020"/>
                <w:sz w:val="18"/>
              </w:rPr>
              <w:t xml:space="preserve">$2.9M</w:t>
            </w:r>
          </w:p>
        </w:tc>
      </w:tr>
      <w:tr>
        <w:tc>
          <w:tcPr>
            <w:tcW w:w="1217" w:type="dxa"/>
          </w:tcPr>
          <w:p>
            <w:pPr>
              <w:pStyle w:val="Compact"/>
              <w:spacing w:before="20" w:after="20" w:line="240" w:lineRule="auto"/>
              <w:jc w:val="left"/>
            </w:pPr>
            <w:r>
              <w:rPr>
                <w:rFonts w:ascii="Calibri" w:hAnsi="Calibri"/>
                <w:color w:val="202020"/>
                <w:sz w:val="18"/>
              </w:rPr>
              <w:t xml:space="preserve">10</w:t>
            </w:r>
          </w:p>
        </w:tc>
        <w:tc>
          <w:tcPr>
            <w:tcW w:w="3115" w:type="dxa"/>
          </w:tcPr>
          <w:p>
            <w:pPr>
              <w:pStyle w:val="Compact"/>
              <w:spacing w:before="20" w:after="20" w:line="240" w:lineRule="auto"/>
              <w:jc w:val="left"/>
            </w:pPr>
            <w:r>
              <w:rPr>
                <w:rFonts w:ascii="Calibri" w:hAnsi="Calibri"/>
                <w:color w:val="202020"/>
                <w:sz w:val="18"/>
              </w:rPr>
              <w:t xml:space="preserve">Tidewater Chemical Corp.</w:t>
            </w:r>
          </w:p>
        </w:tc>
        <w:tc>
          <w:tcPr>
            <w:tcW w:w="3637" w:type="dxa"/>
          </w:tcPr>
          <w:p>
            <w:pPr>
              <w:pStyle w:val="Compact"/>
              <w:spacing w:before="20" w:after="20" w:line="240" w:lineRule="auto"/>
              <w:jc w:val="left"/>
            </w:pPr>
            <w:r>
              <w:rPr>
                <w:rFonts w:ascii="Calibri" w:hAnsi="Calibri"/>
                <w:color w:val="202020"/>
                <w:sz w:val="18"/>
              </w:rPr>
              <w:t xml:space="preserve">Harborview Port Authority</w:t>
            </w:r>
          </w:p>
        </w:tc>
        <w:tc>
          <w:tcPr>
            <w:tcW w:w="1731" w:type="dxa"/>
          </w:tcPr>
          <w:p>
            <w:pPr>
              <w:pStyle w:val="Compact"/>
              <w:spacing w:before="20" w:after="20" w:line="240" w:lineRule="auto"/>
              <w:jc w:val="left"/>
            </w:pPr>
            <w:r>
              <w:rPr>
                <w:rFonts w:ascii="Calibri" w:hAnsi="Calibri"/>
                <w:color w:val="202020"/>
                <w:sz w:val="18"/>
              </w:rPr>
              <w:t xml:space="preserve">$2.7M</w:t>
            </w:r>
          </w:p>
        </w:tc>
      </w:tr>
    </w:tbl>
    <w:p>
      <w:pPr>
        <w:pStyle w:val="BodyText"/>
      </w:pPr>
      <w:r>
        <w:t xml:space="preserve">The top 5 match, but the bottom half of the top 10 is entirely different (different names, segments, and contract types). One of the two documents is wrong (or both are). This undermines the reliability of the customer disclosure and must be reconciled before any customer-dilution or concentration analysis can be trusted. The segment-served and contract-type columns for these positions also differ.</w:t>
      </w:r>
    </w:p>
    <w:p>
      <w:r>
        <w:pict>
          <v:rect style="width:0;height:1.5pt" o:hralign="center" o:hrstd="t" o:hr="t"/>
        </w:pict>
      </w:r>
    </w:p>
    <w:bookmarkEnd w:id="32"/>
    <w:bookmarkEnd w:id="33"/>
    <w:bookmarkStart w:id="34" w:name="vi.-key-risks"/>
    <w:p>
      <w:pPr>
        <w:pStyle w:val="Heading2"/>
      </w:pPr>
      <w:r>
        <w:t xml:space="preserve">VI. Key Risks</w:t>
      </w:r>
    </w:p>
    <w:p>
      <w:pPr>
        <w:pStyle w:val="Compact"/>
        <w:numPr>
          <w:ilvl w:val="0"/>
          <w:numId w:val="1011"/>
        </w:numPr>
      </w:pPr>
      <w:r>
        <w:rPr>
          <w:b/>
          <w:bCs/>
        </w:rPr>
        <w:t xml:space="preserve">PNR contract expiration (21.4% of revenue).</w:t>
      </w:r>
      <w:r>
        <w:t xml:space="preserve"> </w:t>
      </w:r>
      <w:r>
        <w:t xml:space="preserve">Largest customer, MSA lapsed pre-CIM, renewal undisclosed. Deal-defining commercial risk.</w:t>
      </w:r>
    </w:p>
    <w:p>
      <w:pPr>
        <w:pStyle w:val="Compact"/>
        <w:numPr>
          <w:ilvl w:val="0"/>
          <w:numId w:val="1011"/>
        </w:numPr>
      </w:pPr>
      <w:r>
        <w:rPr>
          <w:b/>
          <w:bCs/>
        </w:rPr>
        <w:t xml:space="preserve">PFAS execution / projection risk.</w:t>
      </w:r>
      <w:r>
        <w:t xml:space="preserve"> </w:t>
      </w:r>
      <w:r>
        <w:t xml:space="preserve">~64% of incremental growth and the entire margin-expansion thesis rest on a two-year-old service line growing ~3x the achievable rate, with no PFAS-specific backlog breakout and PE capacity reduced by one-third.</w:t>
      </w:r>
    </w:p>
    <w:p>
      <w:pPr>
        <w:pStyle w:val="Compact"/>
        <w:numPr>
          <w:ilvl w:val="0"/>
          <w:numId w:val="1011"/>
        </w:numPr>
      </w:pPr>
      <w:r>
        <w:rPr>
          <w:b/>
          <w:bCs/>
        </w:rPr>
        <w:t xml:space="preserve">EBITDA quality.</w:t>
      </w:r>
      <w:r>
        <w:t xml:space="preserve"> </w:t>
      </w:r>
      <w:r>
        <w:t xml:space="preserve">$1.2M+ of the $17.1M Adjusted EBITDA is not defensible (arithmetic error + lease + regulatory), and the reported-EBITDA base itself is not corroborated by the detailed financials.</w:t>
      </w:r>
    </w:p>
    <w:p>
      <w:pPr>
        <w:pStyle w:val="Compact"/>
        <w:numPr>
          <w:ilvl w:val="0"/>
          <w:numId w:val="1011"/>
        </w:numPr>
      </w:pPr>
      <w:r>
        <w:rPr>
          <w:b/>
          <w:bCs/>
        </w:rPr>
        <w:t xml:space="preserve">Capex/FCF.</w:t>
      </w:r>
      <w:r>
        <w:t xml:space="preserve"> </w:t>
      </w:r>
      <w:r>
        <w:t xml:space="preserve">Maintenance capex likely understated by ~$2.5M/year; FCF is thin (~$2.0M) and could be near zero on a maintenance-normalized basis — challenging for leverage and debt paydown.</w:t>
      </w:r>
    </w:p>
    <w:p>
      <w:pPr>
        <w:pStyle w:val="Compact"/>
        <w:numPr>
          <w:ilvl w:val="0"/>
          <w:numId w:val="1011"/>
        </w:numPr>
      </w:pPr>
      <w:r>
        <w:rPr>
          <w:b/>
          <w:bCs/>
        </w:rPr>
        <w:t xml:space="preserve">Working capital.</w:t>
      </w:r>
      <w:r>
        <w:t xml:space="preserve"> </w:t>
      </w:r>
      <w:r>
        <w:t xml:space="preserve">Stated 52-day DSO does not reconcile to the balance sheet (~65–71 days); ~$3.4M–$4.6M of additional WC may be required.</w:t>
      </w:r>
    </w:p>
    <w:p>
      <w:pPr>
        <w:pStyle w:val="Compact"/>
        <w:numPr>
          <w:ilvl w:val="0"/>
          <w:numId w:val="1011"/>
        </w:numPr>
      </w:pPr>
      <w:r>
        <w:rPr>
          <w:b/>
          <w:bCs/>
        </w:rPr>
        <w:t xml:space="preserve">Related-party real estate / hold-up.</w:t>
      </w:r>
      <w:r>
        <w:t xml:space="preserve"> </w:t>
      </w:r>
      <w:r>
        <w:t xml:space="preserve">HQ owned by the founder, leased above market,</w:t>
      </w:r>
      <w:r>
        <w:t xml:space="preserve"> </w:t>
      </w:r>
      <w:r>
        <w:t xml:space="preserve">“</w:t>
      </w:r>
      <w:r>
        <w:t xml:space="preserve">purpose-built</w:t>
      </w:r>
      <w:r>
        <w:t xml:space="preserve">”</w:t>
      </w:r>
      <w:r>
        <w:t xml:space="preserve"> </w:t>
      </w:r>
      <w:r>
        <w:t xml:space="preserve">and customized — creating switching costs and hold-up leverage for Mr. Oakes post-close (lease to 2029). The DEQ enforcement action occurred</w:t>
      </w:r>
      <w:r>
        <w:t xml:space="preserve"> </w:t>
      </w:r>
      <w:r>
        <w:rPr>
          <w:i/>
          <w:iCs/>
        </w:rPr>
        <w:t xml:space="preserve">at this facility</w:t>
      </w:r>
      <w:r>
        <w:t xml:space="preserve">.</w:t>
      </w:r>
    </w:p>
    <w:p>
      <w:pPr>
        <w:pStyle w:val="Compact"/>
        <w:numPr>
          <w:ilvl w:val="0"/>
          <w:numId w:val="1011"/>
        </w:numPr>
      </w:pPr>
      <w:r>
        <w:rPr>
          <w:b/>
          <w:bCs/>
        </w:rPr>
        <w:t xml:space="preserve">Key-person and management transition.</w:t>
      </w:r>
      <w:r>
        <w:t xml:space="preserve"> </w:t>
      </w:r>
      <w:r>
        <w:t xml:space="preserve">Founder (61, 68% owner) exits in 18–24 months; VP Operations Janet Prewitt (18-year tenure) holds key remediation client relationships; PE headcount down to two. Retention agreements should be a closing condition (GreenWorks lost a key PM within six months of close).</w:t>
      </w:r>
    </w:p>
    <w:p>
      <w:pPr>
        <w:pStyle w:val="Compact"/>
        <w:numPr>
          <w:ilvl w:val="0"/>
          <w:numId w:val="1011"/>
        </w:numPr>
      </w:pPr>
      <w:r>
        <w:rPr>
          <w:b/>
          <w:bCs/>
        </w:rPr>
        <w:t xml:space="preserve">Regulatory/compliance history.</w:t>
      </w:r>
      <w:r>
        <w:t xml:space="preserve"> </w:t>
      </w:r>
      <w:r>
        <w:t xml:space="preserve">The DEQ matter must be confirmed as isolated via a 10-year enforcement history; recurring regulatory costs should be normalized, not fully added back.</w:t>
      </w:r>
    </w:p>
    <w:p>
      <w:pPr>
        <w:pStyle w:val="Compact"/>
        <w:numPr>
          <w:ilvl w:val="0"/>
          <w:numId w:val="1011"/>
        </w:numPr>
      </w:pPr>
      <w:r>
        <w:rPr>
          <w:b/>
          <w:bCs/>
        </w:rPr>
        <w:t xml:space="preserve">Financial-statement reliability.</w:t>
      </w:r>
      <w:r>
        <w:t xml:space="preserve"> </w:t>
      </w:r>
      <w:r>
        <w:t xml:space="preserve">CIM and exhibits do not reconcile; goodwill is unexplained; retained earnings do not roll forward. Full QoE is a gate.</w:t>
      </w:r>
    </w:p>
    <w:p>
      <w:pPr>
        <w:pStyle w:val="Compact"/>
        <w:numPr>
          <w:ilvl w:val="0"/>
          <w:numId w:val="1011"/>
        </w:numPr>
      </w:pPr>
      <w:r>
        <w:rPr>
          <w:b/>
          <w:bCs/>
        </w:rPr>
        <w:t xml:space="preserve">Cyclical end-market exposure.</w:t>
      </w:r>
      <w:r>
        <w:t xml:space="preserve"> </w:t>
      </w:r>
      <w:r>
        <w:t xml:space="preserve">~26% refining plus forest products/steel; downside stress-testing required.</w:t>
      </w:r>
    </w:p>
    <w:p>
      <w:pPr>
        <w:pStyle w:val="Compact"/>
        <w:numPr>
          <w:ilvl w:val="0"/>
          <w:numId w:val="1011"/>
        </w:numPr>
      </w:pPr>
      <w:r>
        <w:rPr>
          <w:b/>
          <w:bCs/>
        </w:rPr>
        <w:t xml:space="preserve">Fund fit / concentration.</w:t>
      </w:r>
      <w:r>
        <w:t xml:space="preserve"> </w:t>
      </w:r>
      <w:r>
        <w:t xml:space="preserve">EV above Fund III’s $30M–$100M target range; equity check ~$80M–$95M (~19%–22% of fund) — mandate/concentration/co-investment discussion required.</w:t>
      </w:r>
    </w:p>
    <w:p>
      <w:r>
        <w:pict>
          <v:rect style="width:0;height:1.5pt" o:hralign="center" o:hrstd="t" o:hr="t"/>
        </w:pict>
      </w:r>
    </w:p>
    <w:bookmarkEnd w:id="34"/>
    <w:bookmarkStart w:id="39" w:name="vii.-valuation-analysis"/>
    <w:p>
      <w:pPr>
        <w:pStyle w:val="Heading2"/>
      </w:pPr>
      <w:r>
        <w:t xml:space="preserve">VII. Valuation Analysis</w:t>
      </w:r>
    </w:p>
    <w:bookmarkStart w:id="35" w:name="a.-buy-side-normalized-ebitda"/>
    <w:p>
      <w:pPr>
        <w:pStyle w:val="Heading3"/>
      </w:pPr>
      <w:r>
        <w:t xml:space="preserve">A. Buy-Side Normalized EBITDA</w:t>
      </w:r>
    </w:p>
    <w:p>
      <w:pPr>
        <w:pStyle w:val="FirstParagraph"/>
      </w:pPr>
      <w:r>
        <w:t xml:space="preserve">Starting from reported EBITDA of $12.1M and applying defensible adjustments (Section IV.B), buy-side normalized FY2024 Adjusted EBITDA is</w:t>
      </w:r>
      <w:r>
        <w:t xml:space="preserve"> </w:t>
      </w:r>
      <w:r>
        <w:rPr>
          <w:b/>
          <w:bCs/>
        </w:rPr>
        <w:t xml:space="preserve">~$15.9M</w:t>
      </w:r>
      <w:r>
        <w:t xml:space="preserve">. A conservative case (exhibits-implied reported EBITDA ~$11.1M and/or higher replacement-CEO cost) supports</w:t>
      </w:r>
      <w:r>
        <w:t xml:space="preserve"> </w:t>
      </w:r>
      <w:r>
        <w:rPr>
          <w:b/>
          <w:bCs/>
        </w:rPr>
        <w:t xml:space="preserve">~$14.5M–$15.0M</w:t>
      </w:r>
      <w:r>
        <w:t xml:space="preserve">. The CIM’s $17.1M is not supported.</w:t>
      </w:r>
    </w:p>
    <w:bookmarkEnd w:id="35"/>
    <w:bookmarkStart w:id="36" w:name="b.-enterprise-value-sensitivity-m"/>
    <w:p>
      <w:pPr>
        <w:pStyle w:val="Heading3"/>
      </w:pPr>
      <w:r>
        <w:t xml:space="preserve">B. Enterprise Value Sensitivity ($M)</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3624"/>
        <w:gridCol w:w="1519"/>
        <w:gridCol w:w="1519"/>
        <w:gridCol w:w="1519"/>
        <w:gridCol w:w="1519"/>
      </w:tblGrid>
      <w:tr>
        <w:trPr>
          <w:tblHeader w:val="on"/>
          <w:tblHeader w:val="true"/>
          <w:tblHeader w:val="true"/>
          <w:tblHeader w:val="true"/>
          <w:tblHeader w:val="true"/>
          <w:tblHeader w:val="true"/>
          <w:tblHeader w:val="true"/>
          <w:tblHeader w:val="true"/>
          <w:tblHeader w:val="true"/>
          <w:tblHeader w:val="true"/>
          <w:tblHeader w:val="true"/>
        </w:trPr>
        <w:tc>
          <w:tcPr>
            <w:shd w:val="clear" w:color="auto" w:fill="1F3864"/>
            <w:tcW w:w="3624" w:type="dxa"/>
            <w:shd w:val="clear" w:color="auto" w:fill="1F3864"/>
          </w:tcPr>
          <w:p>
            <w:pPr>
              <w:pStyle w:val="Compact"/>
              <w:spacing w:before="20" w:after="20" w:line="240" w:lineRule="auto"/>
              <w:jc w:val="left"/>
            </w:pPr>
            <w:r>
              <w:rPr>
                <w:rFonts w:ascii="Calibri" w:hAnsi="Calibri"/>
                <w:b/>
                <w:color w:val="FFFFFF"/>
                <w:sz w:val="18"/>
              </w:rPr>
              <w:t xml:space="preserve">Adjusted EBITDA scenario</w:t>
            </w:r>
          </w:p>
        </w:tc>
        <w:tc>
          <w:tcPr>
            <w:shd w:val="clear" w:color="auto" w:fill="1F3864"/>
            <w:tcW w:w="1519" w:type="dxa"/>
            <w:shd w:val="clear" w:color="auto" w:fill="1F3864"/>
          </w:tcPr>
          <w:p>
            <w:pPr>
              <w:pStyle w:val="Compact"/>
              <w:spacing w:before="20" w:after="20" w:line="240" w:lineRule="auto"/>
              <w:jc w:val="left"/>
            </w:pPr>
            <w:r>
              <w:rPr>
                <w:rFonts w:ascii="Calibri" w:hAnsi="Calibri"/>
                <w:b/>
                <w:color w:val="FFFFFF"/>
                <w:sz w:val="18"/>
              </w:rPr>
              <w:t xml:space="preserve">7.0x</w:t>
            </w:r>
          </w:p>
        </w:tc>
        <w:tc>
          <w:tcPr>
            <w:shd w:val="clear" w:color="auto" w:fill="1F3864"/>
            <w:tcW w:w="1519" w:type="dxa"/>
            <w:shd w:val="clear" w:color="auto" w:fill="1F3864"/>
          </w:tcPr>
          <w:p>
            <w:pPr>
              <w:pStyle w:val="Compact"/>
              <w:spacing w:before="20" w:after="20" w:line="240" w:lineRule="auto"/>
              <w:jc w:val="left"/>
            </w:pPr>
            <w:r>
              <w:rPr>
                <w:rFonts w:ascii="Calibri" w:hAnsi="Calibri"/>
                <w:b/>
                <w:color w:val="FFFFFF"/>
                <w:sz w:val="18"/>
              </w:rPr>
              <w:t xml:space="preserve">8.0x</w:t>
            </w:r>
          </w:p>
        </w:tc>
        <w:tc>
          <w:tcPr>
            <w:shd w:val="clear" w:color="auto" w:fill="1F3864"/>
            <w:tcW w:w="1519" w:type="dxa"/>
            <w:shd w:val="clear" w:color="auto" w:fill="1F3864"/>
          </w:tcPr>
          <w:p>
            <w:pPr>
              <w:pStyle w:val="Compact"/>
              <w:spacing w:before="20" w:after="20" w:line="240" w:lineRule="auto"/>
              <w:jc w:val="left"/>
            </w:pPr>
            <w:r>
              <w:rPr>
                <w:rFonts w:ascii="Calibri" w:hAnsi="Calibri"/>
                <w:b/>
                <w:color w:val="FFFFFF"/>
                <w:sz w:val="18"/>
              </w:rPr>
              <w:t xml:space="preserve">9.0x</w:t>
            </w:r>
          </w:p>
        </w:tc>
        <w:tc>
          <w:tcPr>
            <w:shd w:val="clear" w:color="auto" w:fill="1F3864"/>
            <w:tcW w:w="1519" w:type="dxa"/>
            <w:shd w:val="clear" w:color="auto" w:fill="1F3864"/>
          </w:tcPr>
          <w:p>
            <w:pPr>
              <w:pStyle w:val="Compact"/>
              <w:spacing w:before="20" w:after="20" w:line="240" w:lineRule="auto"/>
              <w:jc w:val="left"/>
            </w:pPr>
            <w:r>
              <w:rPr>
                <w:rFonts w:ascii="Calibri" w:hAnsi="Calibri"/>
                <w:b/>
                <w:color w:val="FFFFFF"/>
                <w:sz w:val="18"/>
              </w:rPr>
              <w:t xml:space="preserve">10.0x</w:t>
            </w:r>
          </w:p>
        </w:tc>
      </w:tr>
      <w:tr>
        <w:tc>
          <w:tcPr>
            <w:tcW w:w="3624" w:type="dxa"/>
          </w:tcPr>
          <w:p>
            <w:pPr>
              <w:pStyle w:val="Compact"/>
              <w:spacing w:before="20" w:after="20" w:line="240" w:lineRule="auto"/>
              <w:jc w:val="left"/>
            </w:pPr>
            <w:r>
              <w:rPr>
                <w:rFonts w:ascii="Calibri" w:hAnsi="Calibri"/>
                <w:color w:val="202020"/>
                <w:sz w:val="18"/>
              </w:rPr>
              <w:t xml:space="preserve">CIM stated — $17.1M</w:t>
            </w:r>
          </w:p>
        </w:tc>
        <w:tc>
          <w:tcPr>
            <w:tcW w:w="1519" w:type="dxa"/>
          </w:tcPr>
          <w:p>
            <w:pPr>
              <w:pStyle w:val="Compact"/>
              <w:spacing w:before="20" w:after="20" w:line="240" w:lineRule="auto"/>
              <w:jc w:val="left"/>
            </w:pPr>
            <w:r>
              <w:rPr>
                <w:rFonts w:ascii="Calibri" w:hAnsi="Calibri"/>
                <w:color w:val="202020"/>
                <w:sz w:val="18"/>
              </w:rPr>
              <w:t xml:space="preserve">119.7</w:t>
            </w:r>
          </w:p>
        </w:tc>
        <w:tc>
          <w:tcPr>
            <w:tcW w:w="1519" w:type="dxa"/>
          </w:tcPr>
          <w:p>
            <w:pPr>
              <w:pStyle w:val="Compact"/>
              <w:spacing w:before="20" w:after="20" w:line="240" w:lineRule="auto"/>
              <w:jc w:val="left"/>
            </w:pPr>
            <w:r>
              <w:rPr>
                <w:rFonts w:ascii="Calibri" w:hAnsi="Calibri"/>
                <w:color w:val="202020"/>
                <w:sz w:val="18"/>
              </w:rPr>
              <w:t xml:space="preserve">136.8</w:t>
            </w:r>
          </w:p>
        </w:tc>
        <w:tc>
          <w:tcPr>
            <w:tcW w:w="1519" w:type="dxa"/>
          </w:tcPr>
          <w:p>
            <w:pPr>
              <w:pStyle w:val="Compact"/>
              <w:spacing w:before="20" w:after="20" w:line="240" w:lineRule="auto"/>
              <w:jc w:val="left"/>
            </w:pPr>
            <w:r>
              <w:rPr>
                <w:rFonts w:ascii="Calibri" w:hAnsi="Calibri"/>
                <w:color w:val="202020"/>
                <w:sz w:val="18"/>
              </w:rPr>
              <w:t xml:space="preserve">153.9</w:t>
            </w:r>
          </w:p>
        </w:tc>
        <w:tc>
          <w:tcPr>
            <w:tcW w:w="1519" w:type="dxa"/>
          </w:tcPr>
          <w:p>
            <w:pPr>
              <w:pStyle w:val="Compact"/>
              <w:spacing w:before="20" w:after="20" w:line="240" w:lineRule="auto"/>
              <w:jc w:val="left"/>
            </w:pPr>
            <w:r>
              <w:rPr>
                <w:rFonts w:ascii="Calibri" w:hAnsi="Calibri"/>
                <w:color w:val="202020"/>
                <w:sz w:val="18"/>
              </w:rPr>
              <w:t xml:space="preserve">171.0</w:t>
            </w:r>
          </w:p>
        </w:tc>
      </w:tr>
      <w:tr>
        <w:tc>
          <w:tcPr>
            <w:shd w:val="clear" w:color="auto" w:fill="EAEFF7"/>
            <w:tcW w:w="3624" w:type="dxa"/>
            <w:shd w:val="clear" w:color="auto" w:fill="EAEFF7"/>
          </w:tcPr>
          <w:p>
            <w:pPr>
              <w:pStyle w:val="Compact"/>
              <w:spacing w:before="20" w:after="20" w:line="240" w:lineRule="auto"/>
              <w:jc w:val="left"/>
            </w:pPr>
            <w:r>
              <w:rPr>
                <w:rFonts w:ascii="Calibri" w:hAnsi="Calibri"/>
                <w:color w:val="202020"/>
                <w:sz w:val="18"/>
              </w:rPr>
              <w:t xml:space="preserve">Arithmetic-corrected — $16.8M</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117.6</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134.4</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151.2</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168.0</w:t>
            </w:r>
          </w:p>
        </w:tc>
      </w:tr>
      <w:tr>
        <w:tc>
          <w:tcPr>
            <w:tcW w:w="3624" w:type="dxa"/>
          </w:tcPr>
          <w:p>
            <w:pPr>
              <w:pStyle w:val="Compact"/>
              <w:spacing w:before="20" w:after="20" w:line="240" w:lineRule="auto"/>
              <w:jc w:val="left"/>
            </w:pPr>
            <w:r>
              <w:rPr>
                <w:rFonts w:ascii="Calibri" w:hAnsi="Calibri"/>
                <w:b/>
                <w:bCs/>
                <w:color w:val="202020"/>
                <w:sz w:val="18"/>
              </w:rPr>
              <w:t xml:space="preserve">Buy-side normalized — $15.9M</w:t>
            </w:r>
          </w:p>
        </w:tc>
        <w:tc>
          <w:tcPr>
            <w:tcW w:w="1519" w:type="dxa"/>
          </w:tcPr>
          <w:p>
            <w:pPr>
              <w:pStyle w:val="Compact"/>
              <w:spacing w:before="20" w:after="20" w:line="240" w:lineRule="auto"/>
              <w:jc w:val="left"/>
            </w:pPr>
            <w:r>
              <w:rPr>
                <w:rFonts w:ascii="Calibri" w:hAnsi="Calibri"/>
                <w:b/>
                <w:bCs/>
                <w:color w:val="202020"/>
                <w:sz w:val="18"/>
              </w:rPr>
              <w:t xml:space="preserve">111.3</w:t>
            </w:r>
          </w:p>
        </w:tc>
        <w:tc>
          <w:tcPr>
            <w:tcW w:w="1519" w:type="dxa"/>
          </w:tcPr>
          <w:p>
            <w:pPr>
              <w:pStyle w:val="Compact"/>
              <w:spacing w:before="20" w:after="20" w:line="240" w:lineRule="auto"/>
              <w:jc w:val="left"/>
            </w:pPr>
            <w:r>
              <w:rPr>
                <w:rFonts w:ascii="Calibri" w:hAnsi="Calibri"/>
                <w:b/>
                <w:bCs/>
                <w:color w:val="202020"/>
                <w:sz w:val="18"/>
              </w:rPr>
              <w:t xml:space="preserve">127.2</w:t>
            </w:r>
          </w:p>
        </w:tc>
        <w:tc>
          <w:tcPr>
            <w:tcW w:w="1519" w:type="dxa"/>
          </w:tcPr>
          <w:p>
            <w:pPr>
              <w:pStyle w:val="Compact"/>
              <w:spacing w:before="20" w:after="20" w:line="240" w:lineRule="auto"/>
              <w:jc w:val="left"/>
            </w:pPr>
            <w:r>
              <w:rPr>
                <w:rFonts w:ascii="Calibri" w:hAnsi="Calibri"/>
                <w:b/>
                <w:bCs/>
                <w:color w:val="202020"/>
                <w:sz w:val="18"/>
              </w:rPr>
              <w:t xml:space="preserve">143.1</w:t>
            </w:r>
          </w:p>
        </w:tc>
        <w:tc>
          <w:tcPr>
            <w:tcW w:w="1519" w:type="dxa"/>
          </w:tcPr>
          <w:p>
            <w:pPr>
              <w:pStyle w:val="Compact"/>
              <w:spacing w:before="20" w:after="20" w:line="240" w:lineRule="auto"/>
              <w:jc w:val="left"/>
            </w:pPr>
            <w:r>
              <w:rPr>
                <w:rFonts w:ascii="Calibri" w:hAnsi="Calibri"/>
                <w:b/>
                <w:bCs/>
                <w:color w:val="202020"/>
                <w:sz w:val="18"/>
              </w:rPr>
              <w:t xml:space="preserve">159.0</w:t>
            </w:r>
          </w:p>
        </w:tc>
      </w:tr>
      <w:tr>
        <w:tc>
          <w:tcPr>
            <w:shd w:val="clear" w:color="auto" w:fill="EAEFF7"/>
            <w:tcW w:w="3624" w:type="dxa"/>
            <w:shd w:val="clear" w:color="auto" w:fill="EAEFF7"/>
          </w:tcPr>
          <w:p>
            <w:pPr>
              <w:pStyle w:val="Compact"/>
              <w:spacing w:before="20" w:after="20" w:line="240" w:lineRule="auto"/>
              <w:jc w:val="left"/>
            </w:pPr>
            <w:r>
              <w:rPr>
                <w:rFonts w:ascii="Calibri" w:hAnsi="Calibri"/>
                <w:color w:val="202020"/>
                <w:sz w:val="18"/>
              </w:rPr>
              <w:t xml:space="preserve">Conservative — $15.0M</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105.0</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120.0</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135.0</w:t>
            </w:r>
          </w:p>
        </w:tc>
        <w:tc>
          <w:tcPr>
            <w:shd w:val="clear" w:color="auto" w:fill="EAEFF7"/>
            <w:tcW w:w="1519" w:type="dxa"/>
            <w:shd w:val="clear" w:color="auto" w:fill="EAEFF7"/>
          </w:tcPr>
          <w:p>
            <w:pPr>
              <w:pStyle w:val="Compact"/>
              <w:spacing w:before="20" w:after="20" w:line="240" w:lineRule="auto"/>
              <w:jc w:val="left"/>
            </w:pPr>
            <w:r>
              <w:rPr>
                <w:rFonts w:ascii="Calibri" w:hAnsi="Calibri"/>
                <w:color w:val="202020"/>
                <w:sz w:val="18"/>
              </w:rPr>
              <w:t xml:space="preserve">150.0</w:t>
            </w:r>
          </w:p>
        </w:tc>
      </w:tr>
    </w:tbl>
    <w:p>
      <w:pPr>
        <w:pStyle w:val="BodyText"/>
      </w:pPr>
      <w:r>
        <w:t xml:space="preserve">The CIM’s headline range is</w:t>
      </w:r>
      <w:r>
        <w:t xml:space="preserve"> </w:t>
      </w:r>
      <w:r>
        <w:rPr>
          <w:b/>
          <w:bCs/>
        </w:rPr>
        <w:t xml:space="preserve">$136.8M–$171.0M</w:t>
      </w:r>
      <w:r>
        <w:t xml:space="preserve">. A defensible buy-side range at 8.0x–10.0x is</w:t>
      </w:r>
      <w:r>
        <w:t xml:space="preserve"> </w:t>
      </w:r>
      <w:r>
        <w:rPr>
          <w:b/>
          <w:bCs/>
        </w:rPr>
        <w:t xml:space="preserve">~$127M–$159M</w:t>
      </w:r>
      <w:r>
        <w:t xml:space="preserve">; at a 9.0x midpoint,</w:t>
      </w:r>
      <w:r>
        <w:t xml:space="preserve"> </w:t>
      </w:r>
      <w:r>
        <w:rPr>
          <w:b/>
          <w:bCs/>
        </w:rPr>
        <w:t xml:space="preserve">~$143M</w:t>
      </w:r>
      <w:r>
        <w:t xml:space="preserve">. Given the concentration, PFAS, and capex risks, we would anchor toward 8.0x–9.0x on the buy-side normalized figure.</w:t>
      </w:r>
    </w:p>
    <w:bookmarkEnd w:id="36"/>
    <w:bookmarkStart w:id="37" w:name="X18f76b5276e75eca309e67482a792dad05879b0"/>
    <w:p>
      <w:pPr>
        <w:pStyle w:val="Heading3"/>
      </w:pPr>
      <w:r>
        <w:t xml:space="preserve">C. Equity Value and Capital-Structure Implications</w:t>
      </w:r>
    </w:p>
    <w:p>
      <w:pPr>
        <w:pStyle w:val="FirstParagraph"/>
      </w:pPr>
      <w:r>
        <w:t xml:space="preserve">Indicative at a 9.0x buy-side EV of</w:t>
      </w:r>
      <w:r>
        <w:t xml:space="preserve"> </w:t>
      </w:r>
      <w:r>
        <w:rPr>
          <w:b/>
          <w:bCs/>
        </w:rPr>
        <w:t xml:space="preserve">~$143M</w:t>
      </w:r>
      <w:r>
        <w:t xml:space="preserve">:</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5768"/>
        <w:gridCol w:w="3932"/>
      </w:tblGrid>
      <w:tr>
        <w:trPr>
          <w:tblHeader w:val="on"/>
          <w:tblHeader w:val="true"/>
          <w:tblHeader w:val="true"/>
          <w:tblHeader w:val="true"/>
          <w:tblHeader w:val="true"/>
        </w:trPr>
        <w:tc>
          <w:tcPr>
            <w:shd w:val="clear" w:color="auto" w:fill="1F3864"/>
            <w:tcW w:w="5768" w:type="dxa"/>
            <w:shd w:val="clear" w:color="auto" w:fill="1F3864"/>
          </w:tcPr>
          <w:p>
            <w:pPr>
              <w:pStyle w:val="Compact"/>
              <w:spacing w:before="20" w:after="20" w:line="240" w:lineRule="auto"/>
            </w:pPr>
          </w:p>
        </w:tc>
        <w:tc>
          <w:tcPr>
            <w:shd w:val="clear" w:color="auto" w:fill="1F3864"/>
            <w:tcW w:w="3932" w:type="dxa"/>
            <w:shd w:val="clear" w:color="auto" w:fill="1F3864"/>
          </w:tcPr>
          <w:p>
            <w:pPr>
              <w:pStyle w:val="Compact"/>
              <w:spacing w:before="20" w:after="20" w:line="240" w:lineRule="auto"/>
              <w:jc w:val="left"/>
            </w:pPr>
            <w:r>
              <w:rPr>
                <w:rFonts w:ascii="Calibri" w:hAnsi="Calibri"/>
                <w:b/>
                <w:color w:val="FFFFFF"/>
                <w:sz w:val="18"/>
              </w:rPr>
              <w:t xml:space="preserve">Amount</w:t>
            </w:r>
          </w:p>
        </w:tc>
      </w:tr>
      <w:tr>
        <w:tc>
          <w:tcPr>
            <w:tcW w:w="5768" w:type="dxa"/>
          </w:tcPr>
          <w:p>
            <w:pPr>
              <w:pStyle w:val="Compact"/>
              <w:spacing w:before="20" w:after="20" w:line="240" w:lineRule="auto"/>
              <w:jc w:val="left"/>
            </w:pPr>
            <w:r>
              <w:rPr>
                <w:rFonts w:ascii="Calibri" w:hAnsi="Calibri"/>
                <w:color w:val="202020"/>
                <w:sz w:val="18"/>
              </w:rPr>
              <w:t xml:space="preserve">Enterprise value (9.0x × $15.9M)</w:t>
            </w:r>
          </w:p>
        </w:tc>
        <w:tc>
          <w:tcPr>
            <w:tcW w:w="3932" w:type="dxa"/>
          </w:tcPr>
          <w:p>
            <w:pPr>
              <w:pStyle w:val="Compact"/>
              <w:spacing w:before="20" w:after="20" w:line="240" w:lineRule="auto"/>
              <w:jc w:val="left"/>
            </w:pPr>
            <w:r>
              <w:rPr>
                <w:rFonts w:ascii="Calibri" w:hAnsi="Calibri"/>
                <w:color w:val="202020"/>
                <w:sz w:val="18"/>
              </w:rPr>
              <w:t xml:space="preserve">$143.1M</w:t>
            </w:r>
          </w:p>
        </w:tc>
      </w:tr>
      <w:tr>
        <w:tc>
          <w:tcPr>
            <w:shd w:val="clear" w:color="auto" w:fill="EAEFF7"/>
            <w:tcW w:w="5768" w:type="dxa"/>
            <w:shd w:val="clear" w:color="auto" w:fill="EAEFF7"/>
          </w:tcPr>
          <w:p>
            <w:pPr>
              <w:pStyle w:val="Compact"/>
              <w:spacing w:before="20" w:after="20" w:line="240" w:lineRule="auto"/>
              <w:jc w:val="left"/>
            </w:pPr>
            <w:r>
              <w:rPr>
                <w:rFonts w:ascii="Calibri" w:hAnsi="Calibri"/>
                <w:color w:val="202020"/>
                <w:sz w:val="18"/>
              </w:rPr>
              <w:t xml:space="preserve">Less: net debt (debt $17.3M less cash $2.3M)</w:t>
            </w:r>
          </w:p>
        </w:tc>
        <w:tc>
          <w:tcPr>
            <w:shd w:val="clear" w:color="auto" w:fill="EAEFF7"/>
            <w:tcW w:w="3932" w:type="dxa"/>
            <w:shd w:val="clear" w:color="auto" w:fill="EAEFF7"/>
          </w:tcPr>
          <w:p>
            <w:pPr>
              <w:pStyle w:val="Compact"/>
              <w:spacing w:before="20" w:after="20" w:line="240" w:lineRule="auto"/>
              <w:jc w:val="left"/>
            </w:pPr>
            <w:r>
              <w:rPr>
                <w:rFonts w:ascii="Calibri" w:hAnsi="Calibri"/>
                <w:color w:val="202020"/>
                <w:sz w:val="18"/>
              </w:rPr>
              <w:t xml:space="preserve">($15.0M)</w:t>
            </w:r>
          </w:p>
        </w:tc>
      </w:tr>
      <w:tr>
        <w:tc>
          <w:tcPr>
            <w:tcW w:w="5768" w:type="dxa"/>
          </w:tcPr>
          <w:p>
            <w:pPr>
              <w:pStyle w:val="Compact"/>
              <w:spacing w:before="20" w:after="20" w:line="240" w:lineRule="auto"/>
              <w:jc w:val="left"/>
            </w:pPr>
            <w:r>
              <w:rPr>
                <w:rFonts w:ascii="Calibri" w:hAnsi="Calibri"/>
                <w:color w:val="202020"/>
                <w:sz w:val="18"/>
              </w:rPr>
              <w:t xml:space="preserve">Less: phantom-unit cash settlement at close</w:t>
            </w:r>
          </w:p>
        </w:tc>
        <w:tc>
          <w:tcPr>
            <w:tcW w:w="3932" w:type="dxa"/>
          </w:tcPr>
          <w:p>
            <w:pPr>
              <w:pStyle w:val="Compact"/>
              <w:spacing w:before="20" w:after="20" w:line="240" w:lineRule="auto"/>
              <w:jc w:val="left"/>
            </w:pPr>
            <w:r>
              <w:rPr>
                <w:rFonts w:ascii="Calibri" w:hAnsi="Calibri"/>
                <w:color w:val="202020"/>
                <w:sz w:val="18"/>
              </w:rPr>
              <w:t xml:space="preserve">(TBD)</w:t>
            </w:r>
          </w:p>
        </w:tc>
      </w:tr>
      <w:tr>
        <w:tc>
          <w:tcPr>
            <w:shd w:val="clear" w:color="auto" w:fill="EAEFF7"/>
            <w:tcW w:w="5768" w:type="dxa"/>
            <w:shd w:val="clear" w:color="auto" w:fill="EAEFF7"/>
          </w:tcPr>
          <w:p>
            <w:pPr>
              <w:pStyle w:val="Compact"/>
              <w:spacing w:before="20" w:after="20" w:line="240" w:lineRule="auto"/>
              <w:jc w:val="left"/>
            </w:pPr>
            <w:r>
              <w:rPr>
                <w:rFonts w:ascii="Calibri" w:hAnsi="Calibri"/>
                <w:color w:val="202020"/>
                <w:sz w:val="18"/>
              </w:rPr>
              <w:t xml:space="preserve">Plus/less: NWC true-up to normalized target</w:t>
            </w:r>
          </w:p>
        </w:tc>
        <w:tc>
          <w:tcPr>
            <w:shd w:val="clear" w:color="auto" w:fill="EAEFF7"/>
            <w:tcW w:w="3932" w:type="dxa"/>
            <w:shd w:val="clear" w:color="auto" w:fill="EAEFF7"/>
          </w:tcPr>
          <w:p>
            <w:pPr>
              <w:pStyle w:val="Compact"/>
              <w:spacing w:before="20" w:after="20" w:line="240" w:lineRule="auto"/>
              <w:jc w:val="left"/>
            </w:pPr>
            <w:r>
              <w:rPr>
                <w:rFonts w:ascii="Calibri" w:hAnsi="Calibri"/>
                <w:color w:val="202020"/>
                <w:sz w:val="18"/>
              </w:rPr>
              <w:t xml:space="preserve">(TBD)</w:t>
            </w:r>
          </w:p>
        </w:tc>
      </w:tr>
      <w:tr>
        <w:tc>
          <w:tcPr>
            <w:tcW w:w="5768" w:type="dxa"/>
          </w:tcPr>
          <w:p>
            <w:pPr>
              <w:pStyle w:val="Compact"/>
              <w:spacing w:before="20" w:after="20" w:line="240" w:lineRule="auto"/>
              <w:jc w:val="left"/>
            </w:pPr>
            <w:r>
              <w:rPr>
                <w:rFonts w:ascii="Calibri" w:hAnsi="Calibri"/>
                <w:b/>
                <w:bCs/>
                <w:color w:val="202020"/>
                <w:sz w:val="18"/>
              </w:rPr>
              <w:t xml:space="preserve">Indicative equity value to sellers</w:t>
            </w:r>
          </w:p>
        </w:tc>
        <w:tc>
          <w:tcPr>
            <w:tcW w:w="3932" w:type="dxa"/>
          </w:tcPr>
          <w:p>
            <w:pPr>
              <w:pStyle w:val="Compact"/>
              <w:spacing w:before="20" w:after="20" w:line="240" w:lineRule="auto"/>
              <w:jc w:val="left"/>
            </w:pPr>
            <w:r>
              <w:rPr>
                <w:rFonts w:ascii="Calibri" w:hAnsi="Calibri"/>
                <w:b/>
                <w:bCs/>
                <w:color w:val="202020"/>
                <w:sz w:val="18"/>
              </w:rPr>
              <w:t xml:space="preserve">~$128M</w:t>
            </w:r>
            <w:r>
              <w:rPr>
                <w:rFonts w:ascii="Calibri" w:hAnsi="Calibri"/>
                <w:color w:val="202020"/>
                <w:sz w:val="18"/>
              </w:rPr>
              <w:t xml:space="preserve"> </w:t>
            </w:r>
            <w:r>
              <w:rPr>
                <w:rFonts w:ascii="Calibri" w:hAnsi="Calibri"/>
                <w:color w:val="202020"/>
                <w:sz w:val="18"/>
              </w:rPr>
              <w:t xml:space="preserve">(pre-phantom/NWC)</w:t>
            </w:r>
          </w:p>
        </w:tc>
      </w:tr>
    </w:tbl>
    <w:p>
      <w:pPr>
        <w:pStyle w:val="BodyText"/>
      </w:pPr>
      <w:r>
        <w:rPr>
          <w:b/>
          <w:bCs/>
        </w:rPr>
        <w:t xml:space="preserve">Leverage and equity check (illustrative):</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2433"/>
        <w:gridCol w:w="1874"/>
        <w:gridCol w:w="2540"/>
        <w:gridCol w:w="2853"/>
      </w:tblGrid>
      <w:tr>
        <w:trPr>
          <w:tblHeader w:val="on"/>
          <w:tblHeader w:val="true"/>
          <w:tblHeader w:val="true"/>
          <w:tblHeader w:val="true"/>
          <w:tblHeader w:val="true"/>
          <w:tblHeader w:val="true"/>
          <w:tblHeader w:val="true"/>
          <w:tblHeader w:val="true"/>
          <w:tblHeader w:val="true"/>
        </w:trPr>
        <w:tc>
          <w:tcPr>
            <w:shd w:val="clear" w:color="auto" w:fill="1F3864"/>
            <w:tcW w:w="2433" w:type="dxa"/>
            <w:shd w:val="clear" w:color="auto" w:fill="1F3864"/>
          </w:tcPr>
          <w:p>
            <w:pPr>
              <w:pStyle w:val="Compact"/>
              <w:spacing w:before="20" w:after="20" w:line="240" w:lineRule="auto"/>
              <w:jc w:val="left"/>
            </w:pPr>
            <w:r>
              <w:rPr>
                <w:rFonts w:ascii="Calibri" w:hAnsi="Calibri"/>
                <w:b/>
                <w:color w:val="FFFFFF"/>
                <w:sz w:val="18"/>
              </w:rPr>
              <w:t xml:space="preserve">Leverage</w:t>
            </w:r>
          </w:p>
        </w:tc>
        <w:tc>
          <w:tcPr>
            <w:shd w:val="clear" w:color="auto" w:fill="1F3864"/>
            <w:tcW w:w="1874" w:type="dxa"/>
            <w:shd w:val="clear" w:color="auto" w:fill="1F3864"/>
          </w:tcPr>
          <w:p>
            <w:pPr>
              <w:pStyle w:val="Compact"/>
              <w:spacing w:before="20" w:after="20" w:line="240" w:lineRule="auto"/>
              <w:jc w:val="left"/>
            </w:pPr>
            <w:r>
              <w:rPr>
                <w:rFonts w:ascii="Calibri" w:hAnsi="Calibri"/>
                <w:b/>
                <w:color w:val="FFFFFF"/>
                <w:sz w:val="18"/>
              </w:rPr>
              <w:t xml:space="preserve">Debt</w:t>
            </w:r>
          </w:p>
        </w:tc>
        <w:tc>
          <w:tcPr>
            <w:shd w:val="clear" w:color="auto" w:fill="1F3864"/>
            <w:tcW w:w="2540" w:type="dxa"/>
            <w:shd w:val="clear" w:color="auto" w:fill="1F3864"/>
          </w:tcPr>
          <w:p>
            <w:pPr>
              <w:pStyle w:val="Compact"/>
              <w:spacing w:before="20" w:after="20" w:line="240" w:lineRule="auto"/>
              <w:jc w:val="left"/>
            </w:pPr>
            <w:r>
              <w:rPr>
                <w:rFonts w:ascii="Calibri" w:hAnsi="Calibri"/>
                <w:b/>
                <w:color w:val="FFFFFF"/>
                <w:sz w:val="18"/>
              </w:rPr>
              <w:t xml:space="preserve">Equity check</w:t>
            </w:r>
          </w:p>
        </w:tc>
        <w:tc>
          <w:tcPr>
            <w:shd w:val="clear" w:color="auto" w:fill="1F3864"/>
            <w:tcW w:w="2853" w:type="dxa"/>
            <w:shd w:val="clear" w:color="auto" w:fill="1F3864"/>
          </w:tcPr>
          <w:p>
            <w:pPr>
              <w:pStyle w:val="Compact"/>
              <w:spacing w:before="20" w:after="20" w:line="240" w:lineRule="auto"/>
              <w:jc w:val="left"/>
            </w:pPr>
            <w:r>
              <w:rPr>
                <w:rFonts w:ascii="Calibri" w:hAnsi="Calibri"/>
                <w:b/>
                <w:color w:val="FFFFFF"/>
                <w:sz w:val="18"/>
              </w:rPr>
              <w:t xml:space="preserve">% of $425M fund</w:t>
            </w:r>
          </w:p>
        </w:tc>
      </w:tr>
      <w:tr>
        <w:tc>
          <w:tcPr>
            <w:tcW w:w="2433" w:type="dxa"/>
          </w:tcPr>
          <w:p>
            <w:pPr>
              <w:pStyle w:val="Compact"/>
              <w:spacing w:before="20" w:after="20" w:line="240" w:lineRule="auto"/>
              <w:jc w:val="left"/>
            </w:pPr>
            <w:r>
              <w:rPr>
                <w:rFonts w:ascii="Calibri" w:hAnsi="Calibri"/>
                <w:color w:val="202020"/>
                <w:sz w:val="18"/>
              </w:rPr>
              <w:t xml:space="preserve">3.0x EBITDA</w:t>
            </w:r>
          </w:p>
        </w:tc>
        <w:tc>
          <w:tcPr>
            <w:tcW w:w="1874" w:type="dxa"/>
          </w:tcPr>
          <w:p>
            <w:pPr>
              <w:pStyle w:val="Compact"/>
              <w:spacing w:before="20" w:after="20" w:line="240" w:lineRule="auto"/>
              <w:jc w:val="left"/>
            </w:pPr>
            <w:r>
              <w:rPr>
                <w:rFonts w:ascii="Calibri" w:hAnsi="Calibri"/>
                <w:color w:val="202020"/>
                <w:sz w:val="18"/>
              </w:rPr>
              <w:t xml:space="preserve">$47.7M</w:t>
            </w:r>
          </w:p>
        </w:tc>
        <w:tc>
          <w:tcPr>
            <w:tcW w:w="2540" w:type="dxa"/>
          </w:tcPr>
          <w:p>
            <w:pPr>
              <w:pStyle w:val="Compact"/>
              <w:spacing w:before="20" w:after="20" w:line="240" w:lineRule="auto"/>
              <w:jc w:val="left"/>
            </w:pPr>
            <w:r>
              <w:rPr>
                <w:rFonts w:ascii="Calibri" w:hAnsi="Calibri"/>
                <w:color w:val="202020"/>
                <w:sz w:val="18"/>
              </w:rPr>
              <w:t xml:space="preserve">$95.4M</w:t>
            </w:r>
          </w:p>
        </w:tc>
        <w:tc>
          <w:tcPr>
            <w:tcW w:w="2853" w:type="dxa"/>
          </w:tcPr>
          <w:p>
            <w:pPr>
              <w:pStyle w:val="Compact"/>
              <w:spacing w:before="20" w:after="20" w:line="240" w:lineRule="auto"/>
              <w:jc w:val="left"/>
            </w:pPr>
            <w:r>
              <w:rPr>
                <w:rFonts w:ascii="Calibri" w:hAnsi="Calibri"/>
                <w:color w:val="202020"/>
                <w:sz w:val="18"/>
              </w:rPr>
              <w:t xml:space="preserve">22.4%</w:t>
            </w:r>
          </w:p>
        </w:tc>
      </w:tr>
      <w:tr>
        <w:tc>
          <w:tcPr>
            <w:shd w:val="clear" w:color="auto" w:fill="EAEFF7"/>
            <w:tcW w:w="2433" w:type="dxa"/>
            <w:shd w:val="clear" w:color="auto" w:fill="EAEFF7"/>
          </w:tcPr>
          <w:p>
            <w:pPr>
              <w:pStyle w:val="Compact"/>
              <w:spacing w:before="20" w:after="20" w:line="240" w:lineRule="auto"/>
              <w:jc w:val="left"/>
            </w:pPr>
            <w:r>
              <w:rPr>
                <w:rFonts w:ascii="Calibri" w:hAnsi="Calibri"/>
                <w:color w:val="202020"/>
                <w:sz w:val="18"/>
              </w:rPr>
              <w:t xml:space="preserve">3.5x EBITDA</w:t>
            </w:r>
          </w:p>
        </w:tc>
        <w:tc>
          <w:tcPr>
            <w:shd w:val="clear" w:color="auto" w:fill="EAEFF7"/>
            <w:tcW w:w="1874" w:type="dxa"/>
            <w:shd w:val="clear" w:color="auto" w:fill="EAEFF7"/>
          </w:tcPr>
          <w:p>
            <w:pPr>
              <w:pStyle w:val="Compact"/>
              <w:spacing w:before="20" w:after="20" w:line="240" w:lineRule="auto"/>
              <w:jc w:val="left"/>
            </w:pPr>
            <w:r>
              <w:rPr>
                <w:rFonts w:ascii="Calibri" w:hAnsi="Calibri"/>
                <w:color w:val="202020"/>
                <w:sz w:val="18"/>
              </w:rPr>
              <w:t xml:space="preserve">$55.6M</w:t>
            </w:r>
          </w:p>
        </w:tc>
        <w:tc>
          <w:tcPr>
            <w:shd w:val="clear" w:color="auto" w:fill="EAEFF7"/>
            <w:tcW w:w="2540" w:type="dxa"/>
            <w:shd w:val="clear" w:color="auto" w:fill="EAEFF7"/>
          </w:tcPr>
          <w:p>
            <w:pPr>
              <w:pStyle w:val="Compact"/>
              <w:spacing w:before="20" w:after="20" w:line="240" w:lineRule="auto"/>
              <w:jc w:val="left"/>
            </w:pPr>
            <w:r>
              <w:rPr>
                <w:rFonts w:ascii="Calibri" w:hAnsi="Calibri"/>
                <w:color w:val="202020"/>
                <w:sz w:val="18"/>
              </w:rPr>
              <w:t xml:space="preserve">$87.4M</w:t>
            </w:r>
          </w:p>
        </w:tc>
        <w:tc>
          <w:tcPr>
            <w:shd w:val="clear" w:color="auto" w:fill="EAEFF7"/>
            <w:tcW w:w="2853" w:type="dxa"/>
            <w:shd w:val="clear" w:color="auto" w:fill="EAEFF7"/>
          </w:tcPr>
          <w:p>
            <w:pPr>
              <w:pStyle w:val="Compact"/>
              <w:spacing w:before="20" w:after="20" w:line="240" w:lineRule="auto"/>
              <w:jc w:val="left"/>
            </w:pPr>
            <w:r>
              <w:rPr>
                <w:rFonts w:ascii="Calibri" w:hAnsi="Calibri"/>
                <w:color w:val="202020"/>
                <w:sz w:val="18"/>
              </w:rPr>
              <w:t xml:space="preserve">20.6%</w:t>
            </w:r>
          </w:p>
        </w:tc>
      </w:tr>
      <w:tr>
        <w:tc>
          <w:tcPr>
            <w:tcW w:w="2433" w:type="dxa"/>
          </w:tcPr>
          <w:p>
            <w:pPr>
              <w:pStyle w:val="Compact"/>
              <w:spacing w:before="20" w:after="20" w:line="240" w:lineRule="auto"/>
              <w:jc w:val="left"/>
            </w:pPr>
            <w:r>
              <w:rPr>
                <w:rFonts w:ascii="Calibri" w:hAnsi="Calibri"/>
                <w:color w:val="202020"/>
                <w:sz w:val="18"/>
              </w:rPr>
              <w:t xml:space="preserve">4.0x EBITDA</w:t>
            </w:r>
          </w:p>
        </w:tc>
        <w:tc>
          <w:tcPr>
            <w:tcW w:w="1874" w:type="dxa"/>
          </w:tcPr>
          <w:p>
            <w:pPr>
              <w:pStyle w:val="Compact"/>
              <w:spacing w:before="20" w:after="20" w:line="240" w:lineRule="auto"/>
              <w:jc w:val="left"/>
            </w:pPr>
            <w:r>
              <w:rPr>
                <w:rFonts w:ascii="Calibri" w:hAnsi="Calibri"/>
                <w:color w:val="202020"/>
                <w:sz w:val="18"/>
              </w:rPr>
              <w:t xml:space="preserve">$63.6M</w:t>
            </w:r>
          </w:p>
        </w:tc>
        <w:tc>
          <w:tcPr>
            <w:tcW w:w="2540" w:type="dxa"/>
          </w:tcPr>
          <w:p>
            <w:pPr>
              <w:pStyle w:val="Compact"/>
              <w:spacing w:before="20" w:after="20" w:line="240" w:lineRule="auto"/>
              <w:jc w:val="left"/>
            </w:pPr>
            <w:r>
              <w:rPr>
                <w:rFonts w:ascii="Calibri" w:hAnsi="Calibri"/>
                <w:color w:val="202020"/>
                <w:sz w:val="18"/>
              </w:rPr>
              <w:t xml:space="preserve">$79.5M</w:t>
            </w:r>
          </w:p>
        </w:tc>
        <w:tc>
          <w:tcPr>
            <w:tcW w:w="2853" w:type="dxa"/>
          </w:tcPr>
          <w:p>
            <w:pPr>
              <w:pStyle w:val="Compact"/>
              <w:spacing w:before="20" w:after="20" w:line="240" w:lineRule="auto"/>
              <w:jc w:val="left"/>
            </w:pPr>
            <w:r>
              <w:rPr>
                <w:rFonts w:ascii="Calibri" w:hAnsi="Calibri"/>
                <w:color w:val="202020"/>
                <w:sz w:val="18"/>
              </w:rPr>
              <w:t xml:space="preserve">18.7%</w:t>
            </w:r>
          </w:p>
        </w:tc>
      </w:tr>
    </w:tbl>
    <w:p>
      <w:pPr>
        <w:pStyle w:val="BodyText"/>
      </w:pPr>
      <w:r>
        <w:t xml:space="preserve">Given thin FCF (~$2.0M) and the capex/working-capital concerns, lenders may cap leverage at</w:t>
      </w:r>
      <w:r>
        <w:t xml:space="preserve"> </w:t>
      </w:r>
      <w:r>
        <w:rPr>
          <w:b/>
          <w:bCs/>
        </w:rPr>
        <w:t xml:space="preserve">3.0x–3.5x</w:t>
      </w:r>
      <w:r>
        <w:t xml:space="preserve">, implying an equity check of</w:t>
      </w:r>
      <w:r>
        <w:t xml:space="preserve"> </w:t>
      </w:r>
      <w:r>
        <w:rPr>
          <w:b/>
          <w:bCs/>
        </w:rPr>
        <w:t xml:space="preserve">~$80M–$95M</w:t>
      </w:r>
      <w:r>
        <w:t xml:space="preserve"> </w:t>
      </w:r>
      <w:r>
        <w:t xml:space="preserve">— a concentrated position for Fund III. Co-investment or a club deal should be considered. The HQ real estate, if purchased, adds to uses but becomes an owned asset; if leased, the above-market rent (or a negotiated market rent) is an ongoing P&amp;L item.</w:t>
      </w:r>
    </w:p>
    <w:bookmarkEnd w:id="37"/>
    <w:bookmarkStart w:id="38" w:name="d.-returns-considerations"/>
    <w:p>
      <w:pPr>
        <w:pStyle w:val="Heading3"/>
      </w:pPr>
      <w:r>
        <w:t xml:space="preserve">D. Returns Considerations</w:t>
      </w:r>
    </w:p>
    <w:p>
      <w:pPr>
        <w:pStyle w:val="FirstParagraph"/>
      </w:pPr>
      <w:r>
        <w:t xml:space="preserve">The deal is a</w:t>
      </w:r>
      <w:r>
        <w:t xml:space="preserve"> </w:t>
      </w:r>
      <w:r>
        <w:rPr>
          <w:b/>
          <w:bCs/>
        </w:rPr>
        <w:t xml:space="preserve">growth-and-multiple-expansion story, not a cash-yield LBO.</w:t>
      </w:r>
      <w:r>
        <w:t xml:space="preserve"> </w:t>
      </w:r>
      <w:r>
        <w:t xml:space="preserve">With initial FCF of only ~$2.0M–$2.8M, debt paydown is slow and returns depend on (a) PFAS revenue materializing at or near plan, (b) margin expansion to 20%+, and (c) holding the 8.0x–10.0x exit multiple. If PFAS moderates to a 30%–50% company-level growth rate and Adjusted EBITDA reaches only ~$18M–$20M by FY2027 (vs. the projected $26.7M), returns compress meaningfully. The base case should be underwritten to a</w:t>
      </w:r>
      <w:r>
        <w:t xml:space="preserve"> </w:t>
      </w:r>
      <w:r>
        <w:rPr>
          <w:b/>
          <w:bCs/>
        </w:rPr>
        <w:t xml:space="preserve">discounted PFAS ramp</w:t>
      </w:r>
      <w:r>
        <w:t xml:space="preserve"> </w:t>
      </w:r>
      <w:r>
        <w:t xml:space="preserve">(e.g., FY2025E PFAS ~$9M–$10M, FY2026E ~$13M–$15M) with the sell-side plan treated as upside. An earnout tied to PFAS revenue and PNR renewal de-risks the bridge.</w:t>
      </w:r>
    </w:p>
    <w:p>
      <w:r>
        <w:pict>
          <v:rect style="width:0;height:1.5pt" o:hralign="center" o:hrstd="t" o:hr="t"/>
        </w:pict>
      </w:r>
    </w:p>
    <w:bookmarkEnd w:id="38"/>
    <w:bookmarkEnd w:id="39"/>
    <w:bookmarkStart w:id="40" w:name="Xee4eb0715a6c171c830837c32e5495cb987ed51"/>
    <w:p>
      <w:pPr>
        <w:pStyle w:val="Heading2"/>
      </w:pPr>
      <w:r>
        <w:t xml:space="preserve">VIII. Diligence Priorities and Request List</w:t>
      </w:r>
    </w:p>
    <w:p>
      <w:pPr>
        <w:pStyle w:val="FirstParagraph"/>
      </w:pPr>
      <w:r>
        <w:rPr>
          <w:b/>
          <w:bCs/>
        </w:rPr>
        <w:t xml:space="preserve">Priority 1 — Commercial (request before/at IOI):</w:t>
      </w:r>
    </w:p>
    <w:p>
      <w:pPr>
        <w:pStyle w:val="Compact"/>
        <w:numPr>
          <w:ilvl w:val="0"/>
          <w:numId w:val="1012"/>
        </w:numPr>
      </w:pPr>
      <w:r>
        <w:t xml:space="preserve">PNR MSA: current renewal status, executed amendment or new MSA, term, pricing, change-of-control provisions, and post-founder relationship plan.</w:t>
      </w:r>
    </w:p>
    <w:p>
      <w:pPr>
        <w:pStyle w:val="Compact"/>
        <w:numPr>
          <w:ilvl w:val="0"/>
          <w:numId w:val="1012"/>
        </w:numPr>
      </w:pPr>
      <w:r>
        <w:t xml:space="preserve">PFAS backlog breakout: signed contracts vs. pipeline supporting the $14.0M FY2025E; customer names, terms, and PE-stamped scope for the largest PFAS engagements.</w:t>
      </w:r>
    </w:p>
    <w:p>
      <w:pPr>
        <w:pStyle w:val="Compact"/>
        <w:numPr>
          <w:ilvl w:val="0"/>
          <w:numId w:val="1012"/>
        </w:numPr>
      </w:pPr>
      <w:r>
        <w:t xml:space="preserve">Reconciled top-10 customer list (resolve the CIM vs. Report name discrepancy for positions #6–#10) with contract type, expiration, and relationship-since for each.</w:t>
      </w:r>
    </w:p>
    <w:p>
      <w:pPr>
        <w:pStyle w:val="Compact"/>
        <w:numPr>
          <w:ilvl w:val="0"/>
          <w:numId w:val="1012"/>
        </w:numPr>
      </w:pPr>
      <w:r>
        <w:t xml:space="preserve">Backlog detail by customer and by signed-vs-pipeline, with PFAS identified separately.</w:t>
      </w:r>
    </w:p>
    <w:p>
      <w:pPr>
        <w:pStyle w:val="FirstParagraph"/>
      </w:pPr>
      <w:r>
        <w:rPr>
          <w:b/>
          <w:bCs/>
        </w:rPr>
        <w:t xml:space="preserve">Priority 2 — Financial/QoE (engage QoE provider for Phase II):</w:t>
      </w:r>
    </w:p>
    <w:p>
      <w:pPr>
        <w:pStyle w:val="Compact"/>
        <w:numPr>
          <w:ilvl w:val="0"/>
          <w:numId w:val="1013"/>
        </w:numPr>
      </w:pPr>
      <w:r>
        <w:t xml:space="preserve">Reconciled, audited income statement, balance sheet, and cash-flow statement (CIM vs. exhibits); confirm reported EBITDA starting point.</w:t>
      </w:r>
    </w:p>
    <w:p>
      <w:pPr>
        <w:pStyle w:val="Compact"/>
        <w:numPr>
          <w:ilvl w:val="0"/>
          <w:numId w:val="1013"/>
        </w:numPr>
      </w:pPr>
      <w:r>
        <w:t xml:space="preserve">Adjusted EBITDA bridge rebuilt from audited financials; substantiation of every add-back, including personal expenses in owner compensation and the replacement-CEO assumption.</w:t>
      </w:r>
    </w:p>
    <w:p>
      <w:pPr>
        <w:pStyle w:val="Compact"/>
        <w:numPr>
          <w:ilvl w:val="0"/>
          <w:numId w:val="1013"/>
        </w:numPr>
      </w:pPr>
      <w:r>
        <w:t xml:space="preserve">Complete projection build and forward adjustment schedule, with explicit treatment of the related-party lease.</w:t>
      </w:r>
    </w:p>
    <w:p>
      <w:pPr>
        <w:pStyle w:val="Compact"/>
        <w:numPr>
          <w:ilvl w:val="0"/>
          <w:numId w:val="1013"/>
        </w:numPr>
      </w:pPr>
      <w:r>
        <w:t xml:space="preserve">Fleet age and condition assessment; maintenance vs. growth capex reclassification; capex forecast normalized to sector benchmarks.</w:t>
      </w:r>
    </w:p>
    <w:p>
      <w:pPr>
        <w:pStyle w:val="Compact"/>
        <w:numPr>
          <w:ilvl w:val="0"/>
          <w:numId w:val="1013"/>
        </w:numPr>
      </w:pPr>
      <w:r>
        <w:t xml:space="preserve">DSO recomputed from balance-sheet AR and trailing revenue; AR aging; unbilled-revenue analysis; NWC normalization target.</w:t>
      </w:r>
    </w:p>
    <w:p>
      <w:pPr>
        <w:pStyle w:val="Compact"/>
        <w:numPr>
          <w:ilvl w:val="0"/>
          <w:numId w:val="1013"/>
        </w:numPr>
      </w:pPr>
      <w:r>
        <w:t xml:space="preserve">Goodwill/intangibles origin; full acquisition history, if any.</w:t>
      </w:r>
    </w:p>
    <w:p>
      <w:pPr>
        <w:pStyle w:val="Compact"/>
        <w:numPr>
          <w:ilvl w:val="0"/>
          <w:numId w:val="1013"/>
        </w:numPr>
      </w:pPr>
      <w:r>
        <w:t xml:space="preserve">Debt reconciliation (current portion, total, payoff letters from Cascadia Commercial Bank).</w:t>
      </w:r>
    </w:p>
    <w:p>
      <w:pPr>
        <w:pStyle w:val="Compact"/>
        <w:numPr>
          <w:ilvl w:val="0"/>
          <w:numId w:val="1013"/>
        </w:numPr>
      </w:pPr>
      <w:r>
        <w:t xml:space="preserve">Phantom-unit settlement obligation: amount, recipients, vesting, and proposed treatment.</w:t>
      </w:r>
    </w:p>
    <w:p>
      <w:pPr>
        <w:pStyle w:val="FirstParagraph"/>
      </w:pPr>
      <w:r>
        <w:rPr>
          <w:b/>
          <w:bCs/>
        </w:rPr>
        <w:t xml:space="preserve">Priority 3 — Regulatory/Environmental:</w:t>
      </w:r>
    </w:p>
    <w:p>
      <w:pPr>
        <w:pStyle w:val="Compact"/>
        <w:numPr>
          <w:ilvl w:val="0"/>
          <w:numId w:val="1014"/>
        </w:numPr>
      </w:pPr>
      <w:r>
        <w:t xml:space="preserve">10-year regulatory enforcement history (all states); confirm the August 2024 DEQ matter is isolated; ongoing compliance program and run-rate cost.</w:t>
      </w:r>
    </w:p>
    <w:p>
      <w:pPr>
        <w:pStyle w:val="Compact"/>
        <w:numPr>
          <w:ilvl w:val="0"/>
          <w:numId w:val="1014"/>
        </w:numPr>
      </w:pPr>
      <w:r>
        <w:t xml:space="preserve">Permit renewal calendar; status of all four-state hazardous-waste transporter permits and the DEQ contractor license.</w:t>
      </w:r>
    </w:p>
    <w:p>
      <w:pPr>
        <w:pStyle w:val="Compact"/>
        <w:numPr>
          <w:ilvl w:val="0"/>
          <w:numId w:val="1014"/>
        </w:numPr>
      </w:pPr>
      <w:r>
        <w:t xml:space="preserve">Environmental compliance status of the Portland HQ/yard (site of the DEQ action).</w:t>
      </w:r>
    </w:p>
    <w:p>
      <w:pPr>
        <w:pStyle w:val="FirstParagraph"/>
      </w:pPr>
      <w:r>
        <w:rPr>
          <w:b/>
          <w:bCs/>
        </w:rPr>
        <w:t xml:space="preserve">Priority 4 — Real estate / related party:</w:t>
      </w:r>
    </w:p>
    <w:p>
      <w:pPr>
        <w:pStyle w:val="Compact"/>
        <w:numPr>
          <w:ilvl w:val="0"/>
          <w:numId w:val="1015"/>
        </w:numPr>
      </w:pPr>
      <w:r>
        <w:t xml:space="preserve">HQ appraisal and market-rent substantiation (reconcile the $0.6M normalization against the CIM’s own $1.0M–$1.2M specialized-facility comparable); proposed post-close lease or purchase terms; environmental condition of the property.</w:t>
      </w:r>
    </w:p>
    <w:p>
      <w:pPr>
        <w:pStyle w:val="Compact"/>
        <w:numPr>
          <w:ilvl w:val="0"/>
          <w:numId w:val="1015"/>
        </w:numPr>
      </w:pPr>
      <w:r>
        <w:t xml:space="preserve">All related-party arrangements (beyond the lease) and their terms.</w:t>
      </w:r>
    </w:p>
    <w:p>
      <w:pPr>
        <w:pStyle w:val="FirstParagraph"/>
      </w:pPr>
      <w:r>
        <w:rPr>
          <w:b/>
          <w:bCs/>
        </w:rPr>
        <w:t xml:space="preserve">Priority 5 — Management/people:</w:t>
      </w:r>
    </w:p>
    <w:p>
      <w:pPr>
        <w:pStyle w:val="Compact"/>
        <w:numPr>
          <w:ilvl w:val="0"/>
          <w:numId w:val="1016"/>
        </w:numPr>
      </w:pPr>
      <w:r>
        <w:t xml:space="preserve">Founder transition plan and retention/consulting terms; retention agreements for Janet Prewitt (VP Operations) and other key personnel as a closing condition.</w:t>
      </w:r>
    </w:p>
    <w:p>
      <w:pPr>
        <w:pStyle w:val="Compact"/>
        <w:numPr>
          <w:ilvl w:val="0"/>
          <w:numId w:val="1016"/>
        </w:numPr>
      </w:pPr>
      <w:r>
        <w:t xml:space="preserve">PE hiring plan and timeline; current PE capacity and project coverage.</w:t>
      </w:r>
    </w:p>
    <w:p>
      <w:pPr>
        <w:pStyle w:val="Compact"/>
        <w:numPr>
          <w:ilvl w:val="0"/>
          <w:numId w:val="1016"/>
        </w:numPr>
      </w:pPr>
      <w:r>
        <w:t xml:space="preserve">Minority shareholder (32%) rights: tag-along, drag-along, ROFR, and any required consents.</w:t>
      </w:r>
    </w:p>
    <w:p>
      <w:pPr>
        <w:pStyle w:val="FirstParagraph"/>
      </w:pPr>
      <w:r>
        <w:rPr>
          <w:b/>
          <w:bCs/>
        </w:rPr>
        <w:t xml:space="preserve">Priority 6 — Insurance/losses:</w:t>
      </w:r>
    </w:p>
    <w:p>
      <w:pPr>
        <w:pStyle w:val="Compact"/>
        <w:numPr>
          <w:ilvl w:val="0"/>
          <w:numId w:val="1017"/>
        </w:numPr>
      </w:pPr>
      <w:r>
        <w:t xml:space="preserve">Claims history, EMR trajectory, and environmental/pollution liability insurance limits relative to the DEQ matter and PFAS work.</w:t>
      </w:r>
    </w:p>
    <w:p>
      <w:r>
        <w:pict>
          <v:rect style="width:0;height:1.5pt" o:hralign="center" o:hrstd="t" o:hr="t"/>
        </w:pict>
      </w:r>
    </w:p>
    <w:bookmarkEnd w:id="40"/>
    <w:bookmarkStart w:id="41" w:name="ix.-recommendation-and-ioi-guidance"/>
    <w:p>
      <w:pPr>
        <w:pStyle w:val="Heading2"/>
      </w:pPr>
      <w:r>
        <w:t xml:space="preserve">IX. Recommendation and IOI Guidance</w:t>
      </w:r>
    </w:p>
    <w:p>
      <w:pPr>
        <w:pStyle w:val="FirstParagraph"/>
      </w:pPr>
      <w:r>
        <w:rPr>
          <w:b/>
          <w:bCs/>
        </w:rPr>
        <w:t xml:space="preserve">Proceed with an IOI, conditionally and at a disciplined valuation.</w:t>
      </w:r>
      <w:r>
        <w:t xml:space="preserve"> </w:t>
      </w:r>
      <w:r>
        <w:t xml:space="preserve">CES is a quality platform in an attractive, tailwind-driven sector, and Thornfield’s sector experience is a genuine diligence and value-creation edge. But the sell-side economics are overstated by ~$1.2M+ of Adjusted EBITDA, the growth plan is PFAS-dependent and ~3x aggressive, the largest customer is on an expired contract, and the data room does not internally reconcile. These are diligence issues, not disqualifiers — but they justify a price and structure that protect against the downside.</w:t>
      </w:r>
    </w:p>
    <w:p>
      <w:pPr>
        <w:pStyle w:val="BodyText"/>
      </w:pPr>
      <w:r>
        <w:rPr>
          <w:b/>
          <w:bCs/>
        </w:rPr>
        <w:t xml:space="preserve">Proposed IOI terms:</w:t>
      </w:r>
    </w:p>
    <w:p>
      <w:pPr>
        <w:pStyle w:val="Compact"/>
        <w:numPr>
          <w:ilvl w:val="0"/>
          <w:numId w:val="1018"/>
        </w:numPr>
      </w:pPr>
      <w:r>
        <w:rPr>
          <w:b/>
          <w:bCs/>
        </w:rPr>
        <w:t xml:space="preserve">Enterprise value range: $130M–$150M</w:t>
      </w:r>
      <w:r>
        <w:t xml:space="preserve"> </w:t>
      </w:r>
      <w:r>
        <w:t xml:space="preserve">(cash-free, debt-free, normalized NWC), corresponding to ~8.2x–9.4x buy-side normalized FY2024 Adjusted EBITDA of ~$15.9M. Indicate willingness to move toward the upper end only upon satisfactory resolution of the PNR renewal and PFAS backlog items.</w:t>
      </w:r>
    </w:p>
    <w:p>
      <w:pPr>
        <w:pStyle w:val="Compact"/>
        <w:numPr>
          <w:ilvl w:val="0"/>
          <w:numId w:val="1018"/>
        </w:numPr>
      </w:pPr>
      <w:r>
        <w:rPr>
          <w:b/>
          <w:bCs/>
        </w:rPr>
        <w:t xml:space="preserve">Structure:</w:t>
      </w:r>
      <w:r>
        <w:t xml:space="preserve"> </w:t>
      </w:r>
      <w:r>
        <w:t xml:space="preserve">Stock purchase; existing debt refinanced/repaid at closing; normalized-NWC target with true-up; HQ real estate either purchased at appraised fair market value or leased at documented market rent (reject the $0.6M normalization).</w:t>
      </w:r>
    </w:p>
    <w:p>
      <w:pPr>
        <w:pStyle w:val="Compact"/>
        <w:numPr>
          <w:ilvl w:val="0"/>
          <w:numId w:val="1018"/>
        </w:numPr>
      </w:pPr>
      <w:r>
        <w:rPr>
          <w:b/>
          <w:bCs/>
        </w:rPr>
        <w:t xml:space="preserve">Earnout:</w:t>
      </w:r>
      <w:r>
        <w:t xml:space="preserve"> </w:t>
      </w:r>
      <w:r>
        <w:t xml:space="preserve">A portion of consideration (e.g., $10M–$15M) tied to (a) PFAS revenue achievement (e.g., ≥$11M in FY2025 and ≥$16M in FY2026) and (b) PNR contract renewal/retention through a defined post-close period.</w:t>
      </w:r>
    </w:p>
    <w:p>
      <w:pPr>
        <w:pStyle w:val="Compact"/>
        <w:numPr>
          <w:ilvl w:val="0"/>
          <w:numId w:val="1018"/>
        </w:numPr>
      </w:pPr>
      <w:r>
        <w:rPr>
          <w:b/>
          <w:bCs/>
        </w:rPr>
        <w:t xml:space="preserve">Management/retention:</w:t>
      </w:r>
      <w:r>
        <w:t xml:space="preserve"> </w:t>
      </w:r>
      <w:r>
        <w:t xml:space="preserve">Founder transition advisory period (18–24 months) with retention agreements for key personnel (notably VP Operations) as a closing condition.</w:t>
      </w:r>
    </w:p>
    <w:p>
      <w:pPr>
        <w:pStyle w:val="Compact"/>
        <w:numPr>
          <w:ilvl w:val="0"/>
          <w:numId w:val="1018"/>
        </w:numPr>
      </w:pPr>
      <w:r>
        <w:rPr>
          <w:b/>
          <w:bCs/>
        </w:rPr>
        <w:t xml:space="preserve">Conditions to a binding bid:</w:t>
      </w:r>
      <w:r>
        <w:t xml:space="preserve"> </w:t>
      </w:r>
      <w:r>
        <w:t xml:space="preserve">satisfactory QoE (reconciled financials and rebuilt EBITDA bridge); confirmed PNR renewal; PFAS backlog breakout; fleet/capex assessment; 10-year regulatory history; and HQ real-estate resolution.</w:t>
      </w:r>
    </w:p>
    <w:p>
      <w:pPr>
        <w:pStyle w:val="Compact"/>
        <w:numPr>
          <w:ilvl w:val="0"/>
          <w:numId w:val="1018"/>
        </w:numPr>
      </w:pPr>
      <w:r>
        <w:rPr>
          <w:b/>
          <w:bCs/>
        </w:rPr>
        <w:t xml:space="preserve">Financing:</w:t>
      </w:r>
      <w:r>
        <w:t xml:space="preserve"> </w:t>
      </w:r>
      <w:r>
        <w:t xml:space="preserve">Indicate committed equity from Fund III (and potential co-investment) and anticipated senior debt at ~3.0x–3.5x EBITDA; lender to be confirmed in Phase II.</w:t>
      </w:r>
    </w:p>
    <w:p>
      <w:pPr>
        <w:pStyle w:val="Compact"/>
        <w:numPr>
          <w:ilvl w:val="0"/>
          <w:numId w:val="1018"/>
        </w:numPr>
      </w:pPr>
      <w:r>
        <w:rPr>
          <w:b/>
          <w:bCs/>
        </w:rPr>
        <w:t xml:space="preserve">Timeline:</w:t>
      </w:r>
      <w:r>
        <w:t xml:space="preserve"> </w:t>
      </w:r>
      <w:r>
        <w:t xml:space="preserve">Indicate ability to complete confirmatory diligence and reach a binding bid within the Q4 2025 target.</w:t>
      </w:r>
    </w:p>
    <w:p>
      <w:pPr>
        <w:pStyle w:val="FirstParagraph"/>
      </w:pPr>
      <w:r>
        <w:rPr>
          <w:b/>
          <w:bCs/>
        </w:rPr>
        <w:t xml:space="preserve">Next steps for the deal team:</w:t>
      </w:r>
      <w:r>
        <w:t xml:space="preserve"> </w:t>
      </w:r>
      <w:r>
        <w:t xml:space="preserve">(1) circulate this memo for IC discussion of fund fit/concentration; (2) submit the Priority 1 commercial requests to Greenleaf immediately, ahead of the IOI; (3) select a QoE provider and buyer’s counsel (Calloway, Barrett &amp; Sims LLP) for Phase II; (4) prepare the IOI letter for IC approval by July 10, 2025.</w:t>
      </w:r>
    </w:p>
    <w:p>
      <w:r>
        <w:pict>
          <v:rect style="width:0;height:1.5pt" o:hralign="center" o:hrstd="t" o:hr="t"/>
        </w:pict>
      </w:r>
    </w:p>
    <w:bookmarkEnd w:id="41"/>
    <w:bookmarkStart w:id="42" w:name="X3fa63fdf59c4a460c40b4a7b9892c7367c86113"/>
    <w:p>
      <w:pPr>
        <w:pStyle w:val="Heading2"/>
      </w:pPr>
      <w:r>
        <w:t xml:space="preserve">Appendix: Summary of Identified Inconsistencies and Adjustments</w:t>
      </w:r>
    </w:p>
    <w:tbl>
      <w:tblPr>
        <w:tblStyle w:val="TableGrid"/>
        <w:tblW w:type="dxa" w:w="9700"/>
        <w:jc w:val="center"/>
        <w:tblLayout w:type="fixed"/>
        <w:tblLook w:firstRow="1" w:lastRow="0" w:firstColumn="0" w:lastColumn="0" w:noHBand="0" w:noVBand="0" w:val="0020"/>
        <w:tblCellMar>
          <w:top w:w="40" w:type="dxa"/>
          <w:bottom w:w="40" w:type="dxa"/>
          <w:left w:w="80" w:type="dxa"/>
          <w:right w:w="80" w:type="dxa"/>
        </w:tblCellMar>
        <w:tblCellMar>
          <w:top w:w="30" w:type="dxa"/>
          <w:bottom w:w="30" w:type="dxa"/>
          <w:left w:w="70" w:type="dxa"/>
          <w:right w:w="70" w:type="dxa"/>
        </w:tblCellMar>
      </w:tblPr>
      <w:tblGrid>
        <w:gridCol w:w="696"/>
        <w:gridCol w:w="2197"/>
        <w:gridCol w:w="2197"/>
        <w:gridCol w:w="2548"/>
        <w:gridCol w:w="2062"/>
      </w:tblGrid>
      <w:tr>
        <w:trPr>
          <w:tblHeader w:val="on"/>
          <w:tblHeader w:val="true"/>
          <w:tblHeader w:val="true"/>
          <w:tblHeader w:val="true"/>
          <w:tblHeader w:val="true"/>
          <w:tblHeader w:val="true"/>
          <w:tblHeader w:val="true"/>
          <w:tblHeader w:val="true"/>
          <w:tblHeader w:val="true"/>
          <w:tblHeader w:val="true"/>
          <w:tblHeader w:val="true"/>
        </w:trPr>
        <w:tc>
          <w:tcPr>
            <w:shd w:val="clear" w:color="auto" w:fill="1F3864"/>
            <w:tcW w:w="696" w:type="dxa"/>
            <w:shd w:val="clear" w:color="auto" w:fill="1F3864"/>
          </w:tcPr>
          <w:p>
            <w:pPr>
              <w:pStyle w:val="Compact"/>
              <w:spacing w:before="20" w:after="20" w:line="240" w:lineRule="auto"/>
              <w:jc w:val="left"/>
            </w:pPr>
            <w:r>
              <w:rPr>
                <w:rFonts w:ascii="Calibri" w:hAnsi="Calibri"/>
                <w:b/>
                <w:color w:val="FFFFFF"/>
                <w:sz w:val="18"/>
              </w:rPr>
              <w:t xml:space="preserve">#</w:t>
            </w:r>
          </w:p>
        </w:tc>
        <w:tc>
          <w:tcPr>
            <w:shd w:val="clear" w:color="auto" w:fill="1F3864"/>
            <w:tcW w:w="2197" w:type="dxa"/>
            <w:shd w:val="clear" w:color="auto" w:fill="1F3864"/>
          </w:tcPr>
          <w:p>
            <w:pPr>
              <w:pStyle w:val="Compact"/>
              <w:spacing w:before="20" w:after="20" w:line="240" w:lineRule="auto"/>
              <w:jc w:val="left"/>
            </w:pPr>
            <w:r>
              <w:rPr>
                <w:rFonts w:ascii="Calibri" w:hAnsi="Calibri"/>
                <w:b/>
                <w:color w:val="FFFFFF"/>
                <w:sz w:val="18"/>
              </w:rPr>
              <w:t xml:space="preserve">Issue</w:t>
            </w:r>
          </w:p>
        </w:tc>
        <w:tc>
          <w:tcPr>
            <w:shd w:val="clear" w:color="auto" w:fill="1F3864"/>
            <w:tcW w:w="2197" w:type="dxa"/>
            <w:shd w:val="clear" w:color="auto" w:fill="1F3864"/>
          </w:tcPr>
          <w:p>
            <w:pPr>
              <w:pStyle w:val="Compact"/>
              <w:spacing w:before="20" w:after="20" w:line="240" w:lineRule="auto"/>
              <w:jc w:val="left"/>
            </w:pPr>
            <w:r>
              <w:rPr>
                <w:rFonts w:ascii="Calibri" w:hAnsi="Calibri"/>
                <w:b/>
                <w:color w:val="FFFFFF"/>
                <w:sz w:val="18"/>
              </w:rPr>
              <w:t xml:space="preserve">CIM position</w:t>
            </w:r>
          </w:p>
        </w:tc>
        <w:tc>
          <w:tcPr>
            <w:shd w:val="clear" w:color="auto" w:fill="1F3864"/>
            <w:tcW w:w="2548" w:type="dxa"/>
            <w:shd w:val="clear" w:color="auto" w:fill="1F3864"/>
          </w:tcPr>
          <w:p>
            <w:pPr>
              <w:pStyle w:val="Compact"/>
              <w:spacing w:before="20" w:after="20" w:line="240" w:lineRule="auto"/>
              <w:jc w:val="left"/>
            </w:pPr>
            <w:r>
              <w:rPr>
                <w:rFonts w:ascii="Calibri" w:hAnsi="Calibri"/>
                <w:b/>
                <w:color w:val="FFFFFF"/>
                <w:sz w:val="18"/>
              </w:rPr>
              <w:t xml:space="preserve">Buy-side position</w:t>
            </w:r>
          </w:p>
        </w:tc>
        <w:tc>
          <w:tcPr>
            <w:shd w:val="clear" w:color="auto" w:fill="1F3864"/>
            <w:tcW w:w="2062" w:type="dxa"/>
            <w:shd w:val="clear" w:color="auto" w:fill="1F3864"/>
          </w:tcPr>
          <w:p>
            <w:pPr>
              <w:pStyle w:val="Compact"/>
              <w:spacing w:before="20" w:after="20" w:line="240" w:lineRule="auto"/>
              <w:jc w:val="left"/>
            </w:pPr>
            <w:r>
              <w:rPr>
                <w:rFonts w:ascii="Calibri" w:hAnsi="Calibri"/>
                <w:b/>
                <w:color w:val="FFFFFF"/>
                <w:sz w:val="18"/>
              </w:rPr>
              <w:t xml:space="preserve">EV impact</w:t>
            </w:r>
          </w:p>
        </w:tc>
      </w:tr>
      <w:tr>
        <w:tc>
          <w:tcPr>
            <w:tcW w:w="696" w:type="dxa"/>
          </w:tcPr>
          <w:p>
            <w:pPr>
              <w:pStyle w:val="Compact"/>
              <w:spacing w:before="20" w:after="20" w:line="240" w:lineRule="auto"/>
              <w:jc w:val="left"/>
            </w:pPr>
            <w:r>
              <w:rPr>
                <w:rFonts w:ascii="Calibri" w:hAnsi="Calibri"/>
                <w:color w:val="202020"/>
                <w:sz w:val="18"/>
              </w:rPr>
              <w:t xml:space="preserve">1</w:t>
            </w:r>
          </w:p>
        </w:tc>
        <w:tc>
          <w:tcPr>
            <w:tcW w:w="2197" w:type="dxa"/>
          </w:tcPr>
          <w:p>
            <w:pPr>
              <w:pStyle w:val="Compact"/>
              <w:spacing w:before="20" w:after="20" w:line="240" w:lineRule="auto"/>
              <w:jc w:val="left"/>
            </w:pPr>
            <w:r>
              <w:rPr>
                <w:rFonts w:ascii="Calibri" w:hAnsi="Calibri"/>
                <w:color w:val="202020"/>
                <w:sz w:val="18"/>
              </w:rPr>
              <w:t xml:space="preserve">Adjusted EBITDA arithmetic</w:t>
            </w:r>
          </w:p>
        </w:tc>
        <w:tc>
          <w:tcPr>
            <w:tcW w:w="2197" w:type="dxa"/>
          </w:tcPr>
          <w:p>
            <w:pPr>
              <w:pStyle w:val="Compact"/>
              <w:spacing w:before="20" w:after="20" w:line="240" w:lineRule="auto"/>
              <w:jc w:val="left"/>
            </w:pPr>
            <w:r>
              <w:rPr>
                <w:rFonts w:ascii="Calibri" w:hAnsi="Calibri"/>
                <w:color w:val="202020"/>
                <w:sz w:val="18"/>
              </w:rPr>
              <w:t xml:space="preserve">$17.1M</w:t>
            </w:r>
          </w:p>
        </w:tc>
        <w:tc>
          <w:tcPr>
            <w:tcW w:w="2548" w:type="dxa"/>
          </w:tcPr>
          <w:p>
            <w:pPr>
              <w:pStyle w:val="Compact"/>
              <w:spacing w:before="20" w:after="20" w:line="240" w:lineRule="auto"/>
              <w:jc w:val="left"/>
            </w:pPr>
            <w:r>
              <w:rPr>
                <w:rFonts w:ascii="Calibri" w:hAnsi="Calibri"/>
                <w:color w:val="202020"/>
                <w:sz w:val="18"/>
              </w:rPr>
              <w:t xml:space="preserve">$16.8M (sum of stated adjustments)</w:t>
            </w:r>
          </w:p>
        </w:tc>
        <w:tc>
          <w:tcPr>
            <w:tcW w:w="2062" w:type="dxa"/>
          </w:tcPr>
          <w:p>
            <w:pPr>
              <w:pStyle w:val="Compact"/>
              <w:spacing w:before="20" w:after="20" w:line="240" w:lineRule="auto"/>
              <w:jc w:val="left"/>
            </w:pPr>
            <w:r>
              <w:rPr>
                <w:rFonts w:ascii="Calibri" w:hAnsi="Calibri"/>
                <w:color w:val="202020"/>
                <w:sz w:val="18"/>
              </w:rPr>
              <w:t xml:space="preserve">($2.4M–$3.0M)</w:t>
            </w:r>
          </w:p>
        </w:tc>
      </w:tr>
      <w:tr>
        <w:tc>
          <w:tcPr>
            <w:shd w:val="clear" w:color="auto" w:fill="EAEFF7"/>
            <w:tcW w:w="696" w:type="dxa"/>
            <w:shd w:val="clear" w:color="auto" w:fill="EAEFF7"/>
          </w:tcPr>
          <w:p>
            <w:pPr>
              <w:pStyle w:val="Compact"/>
              <w:spacing w:before="20" w:after="20" w:line="240" w:lineRule="auto"/>
              <w:jc w:val="left"/>
            </w:pPr>
            <w:r>
              <w:rPr>
                <w:rFonts w:ascii="Calibri" w:hAnsi="Calibri"/>
                <w:color w:val="202020"/>
                <w:sz w:val="18"/>
              </w:rPr>
              <w:t xml:space="preserve">2</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Related-party lease add-back</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$0.8M (market rent $0.6M)</w:t>
            </w:r>
          </w:p>
        </w:tc>
        <w:tc>
          <w:tcPr>
            <w:shd w:val="clear" w:color="auto" w:fill="EAEFF7"/>
            <w:tcW w:w="2548" w:type="dxa"/>
            <w:shd w:val="clear" w:color="auto" w:fill="EAEFF7"/>
          </w:tcPr>
          <w:p>
            <w:pPr>
              <w:pStyle w:val="Compact"/>
              <w:spacing w:before="20" w:after="20" w:line="240" w:lineRule="auto"/>
              <w:jc w:val="left"/>
            </w:pPr>
            <w:r>
              <w:rPr>
                <w:rFonts w:ascii="Calibri" w:hAnsi="Calibri"/>
                <w:color w:val="202020"/>
                <w:sz w:val="18"/>
              </w:rPr>
              <w:t xml:space="preserve">$0.2M–$0.4M (CIM’s own data: $1.0–1.2M)</w:t>
            </w:r>
          </w:p>
        </w:tc>
        <w:tc>
          <w:tcPr>
            <w:shd w:val="clear" w:color="auto" w:fill="EAEFF7"/>
            <w:tcW w:w="2062" w:type="dxa"/>
            <w:shd w:val="clear" w:color="auto" w:fill="EAEFF7"/>
          </w:tcPr>
          <w:p>
            <w:pPr>
              <w:pStyle w:val="Compact"/>
              <w:spacing w:before="20" w:after="20" w:line="240" w:lineRule="auto"/>
              <w:jc w:val="left"/>
            </w:pPr>
            <w:r>
              <w:rPr>
                <w:rFonts w:ascii="Calibri" w:hAnsi="Calibri"/>
                <w:color w:val="202020"/>
                <w:sz w:val="18"/>
              </w:rPr>
              <w:t xml:space="preserve">($3.2M–$6.0M)</w:t>
            </w:r>
          </w:p>
        </w:tc>
      </w:tr>
      <w:tr>
        <w:tc>
          <w:tcPr>
            <w:tcW w:w="696" w:type="dxa"/>
          </w:tcPr>
          <w:p>
            <w:pPr>
              <w:pStyle w:val="Compact"/>
              <w:spacing w:before="20" w:after="20" w:line="240" w:lineRule="auto"/>
              <w:jc w:val="left"/>
            </w:pPr>
            <w:r>
              <w:rPr>
                <w:rFonts w:ascii="Calibri" w:hAnsi="Calibri"/>
                <w:color w:val="202020"/>
                <w:sz w:val="18"/>
              </w:rPr>
              <w:t xml:space="preserve">3</w:t>
            </w:r>
          </w:p>
        </w:tc>
        <w:tc>
          <w:tcPr>
            <w:tcW w:w="2197" w:type="dxa"/>
          </w:tcPr>
          <w:p>
            <w:pPr>
              <w:pStyle w:val="Compact"/>
              <w:spacing w:before="20" w:after="20" w:line="240" w:lineRule="auto"/>
              <w:jc w:val="left"/>
            </w:pPr>
            <w:r>
              <w:rPr>
                <w:rFonts w:ascii="Calibri" w:hAnsi="Calibri"/>
                <w:color w:val="202020"/>
                <w:sz w:val="18"/>
              </w:rPr>
              <w:t xml:space="preserve">Regulatory/legal add-back</w:t>
            </w:r>
          </w:p>
        </w:tc>
        <w:tc>
          <w:tcPr>
            <w:tcW w:w="2197" w:type="dxa"/>
          </w:tcPr>
          <w:p>
            <w:pPr>
              <w:pStyle w:val="Compact"/>
              <w:spacing w:before="20" w:after="20" w:line="240" w:lineRule="auto"/>
              <w:jc w:val="left"/>
            </w:pPr>
            <w:r>
              <w:rPr>
                <w:rFonts w:ascii="Calibri" w:hAnsi="Calibri"/>
                <w:color w:val="202020"/>
                <w:sz w:val="18"/>
              </w:rPr>
              <w:t xml:space="preserve">$1.2M (fully one-time)</w:t>
            </w:r>
          </w:p>
        </w:tc>
        <w:tc>
          <w:tcPr>
            <w:tcW w:w="2548" w:type="dxa"/>
          </w:tcPr>
          <w:p>
            <w:pPr>
              <w:pStyle w:val="Compact"/>
              <w:spacing w:before="20" w:after="20" w:line="240" w:lineRule="auto"/>
              <w:jc w:val="left"/>
            </w:pPr>
            <w:r>
              <w:rPr>
                <w:rFonts w:ascii="Calibri" w:hAnsi="Calibri"/>
                <w:color w:val="202020"/>
                <w:sz w:val="18"/>
              </w:rPr>
              <w:t xml:space="preserve">$0.7M–$0.9M (normalize run-rate)</w:t>
            </w:r>
          </w:p>
        </w:tc>
        <w:tc>
          <w:tcPr>
            <w:tcW w:w="2062" w:type="dxa"/>
          </w:tcPr>
          <w:p>
            <w:pPr>
              <w:pStyle w:val="Compact"/>
              <w:spacing w:before="20" w:after="20" w:line="240" w:lineRule="auto"/>
              <w:jc w:val="left"/>
            </w:pPr>
            <w:r>
              <w:rPr>
                <w:rFonts w:ascii="Calibri" w:hAnsi="Calibri"/>
                <w:color w:val="202020"/>
                <w:sz w:val="18"/>
              </w:rPr>
              <w:t xml:space="preserve">($2.4M–$5.0M)</w:t>
            </w:r>
          </w:p>
        </w:tc>
      </w:tr>
      <w:tr>
        <w:tc>
          <w:tcPr>
            <w:shd w:val="clear" w:color="auto" w:fill="EAEFF7"/>
            <w:tcW w:w="696" w:type="dxa"/>
            <w:shd w:val="clear" w:color="auto" w:fill="EAEFF7"/>
          </w:tcPr>
          <w:p>
            <w:pPr>
              <w:pStyle w:val="Compact"/>
              <w:spacing w:before="20" w:after="20" w:line="240" w:lineRule="auto"/>
              <w:jc w:val="left"/>
            </w:pPr>
            <w:r>
              <w:rPr>
                <w:rFonts w:ascii="Calibri" w:hAnsi="Calibri"/>
                <w:color w:val="202020"/>
                <w:sz w:val="18"/>
              </w:rPr>
              <w:t xml:space="preserve">4</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Reported EBITDA base</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$12.1M (CIM)</w:t>
            </w:r>
          </w:p>
        </w:tc>
        <w:tc>
          <w:tcPr>
            <w:shd w:val="clear" w:color="auto" w:fill="EAEFF7"/>
            <w:tcW w:w="2548" w:type="dxa"/>
            <w:shd w:val="clear" w:color="auto" w:fill="EAEFF7"/>
          </w:tcPr>
          <w:p>
            <w:pPr>
              <w:pStyle w:val="Compact"/>
              <w:spacing w:before="20" w:after="20" w:line="240" w:lineRule="auto"/>
              <w:jc w:val="left"/>
            </w:pPr>
            <w:r>
              <w:rPr>
                <w:rFonts w:ascii="Calibri" w:hAnsi="Calibri"/>
                <w:color w:val="202020"/>
                <w:sz w:val="18"/>
              </w:rPr>
              <w:t xml:space="preserve">~$11.1M implied by exhibits P&amp;L</w:t>
            </w:r>
          </w:p>
        </w:tc>
        <w:tc>
          <w:tcPr>
            <w:shd w:val="clear" w:color="auto" w:fill="EAEFF7"/>
            <w:tcW w:w="2062" w:type="dxa"/>
            <w:shd w:val="clear" w:color="auto" w:fill="EAEFF7"/>
          </w:tcPr>
          <w:p>
            <w:pPr>
              <w:pStyle w:val="Compact"/>
              <w:spacing w:before="20" w:after="20" w:line="240" w:lineRule="auto"/>
              <w:jc w:val="left"/>
            </w:pPr>
            <w:r>
              <w:rPr>
                <w:rFonts w:ascii="Calibri" w:hAnsi="Calibri"/>
                <w:color w:val="202020"/>
                <w:sz w:val="18"/>
              </w:rPr>
              <w:t xml:space="preserve">($8M–$10M at 8–10x)</w:t>
            </w:r>
          </w:p>
        </w:tc>
      </w:tr>
      <w:tr>
        <w:tc>
          <w:tcPr>
            <w:tcW w:w="696" w:type="dxa"/>
          </w:tcPr>
          <w:p>
            <w:pPr>
              <w:pStyle w:val="Compact"/>
              <w:spacing w:before="20" w:after="20" w:line="240" w:lineRule="auto"/>
              <w:jc w:val="left"/>
            </w:pPr>
            <w:r>
              <w:rPr>
                <w:rFonts w:ascii="Calibri" w:hAnsi="Calibri"/>
                <w:color w:val="202020"/>
                <w:sz w:val="18"/>
              </w:rPr>
              <w:t xml:space="preserve">5</w:t>
            </w:r>
          </w:p>
        </w:tc>
        <w:tc>
          <w:tcPr>
            <w:tcW w:w="2197" w:type="dxa"/>
          </w:tcPr>
          <w:p>
            <w:pPr>
              <w:pStyle w:val="Compact"/>
              <w:spacing w:before="20" w:after="20" w:line="240" w:lineRule="auto"/>
              <w:jc w:val="left"/>
            </w:pPr>
            <w:r>
              <w:rPr>
                <w:rFonts w:ascii="Calibri" w:hAnsi="Calibri"/>
                <w:color w:val="202020"/>
                <w:sz w:val="18"/>
              </w:rPr>
              <w:t xml:space="preserve">Maintenance capex</w:t>
            </w:r>
          </w:p>
        </w:tc>
        <w:tc>
          <w:tcPr>
            <w:tcW w:w="2197" w:type="dxa"/>
          </w:tcPr>
          <w:p>
            <w:pPr>
              <w:pStyle w:val="Compact"/>
              <w:spacing w:before="20" w:after="20" w:line="240" w:lineRule="auto"/>
              <w:jc w:val="left"/>
            </w:pPr>
            <w:r>
              <w:rPr>
                <w:rFonts w:ascii="Calibri" w:hAnsi="Calibri"/>
                <w:color w:val="202020"/>
                <w:sz w:val="18"/>
              </w:rPr>
              <w:t xml:space="preserve">$3.0M (3.4% of rev)</w:t>
            </w:r>
          </w:p>
        </w:tc>
        <w:tc>
          <w:tcPr>
            <w:tcW w:w="2548" w:type="dxa"/>
          </w:tcPr>
          <w:p>
            <w:pPr>
              <w:pStyle w:val="Compact"/>
              <w:spacing w:before="20" w:after="20" w:line="240" w:lineRule="auto"/>
              <w:jc w:val="left"/>
            </w:pPr>
            <w:r>
              <w:rPr>
                <w:rFonts w:ascii="Calibri" w:hAnsi="Calibri"/>
                <w:color w:val="202020"/>
                <w:sz w:val="18"/>
              </w:rPr>
              <w:t xml:space="preserve">~$5.5M (5–7% sector)</w:t>
            </w:r>
          </w:p>
        </w:tc>
        <w:tc>
          <w:tcPr>
            <w:tcW w:w="2062" w:type="dxa"/>
          </w:tcPr>
          <w:p>
            <w:pPr>
              <w:pStyle w:val="Compact"/>
              <w:spacing w:before="20" w:after="20" w:line="240" w:lineRule="auto"/>
              <w:jc w:val="left"/>
            </w:pPr>
            <w:r>
              <w:rPr>
                <w:rFonts w:ascii="Calibri" w:hAnsi="Calibri"/>
                <w:color w:val="202020"/>
                <w:sz w:val="18"/>
              </w:rPr>
              <w:t xml:space="preserve">FCF impact ~$2.5M/yr</w:t>
            </w:r>
          </w:p>
        </w:tc>
      </w:tr>
      <w:tr>
        <w:tc>
          <w:tcPr>
            <w:shd w:val="clear" w:color="auto" w:fill="EAEFF7"/>
            <w:tcW w:w="696" w:type="dxa"/>
            <w:shd w:val="clear" w:color="auto" w:fill="EAEFF7"/>
          </w:tcPr>
          <w:p>
            <w:pPr>
              <w:pStyle w:val="Compact"/>
              <w:spacing w:before="20" w:after="20" w:line="240" w:lineRule="auto"/>
              <w:jc w:val="left"/>
            </w:pPr>
            <w:r>
              <w:rPr>
                <w:rFonts w:ascii="Calibri" w:hAnsi="Calibri"/>
                <w:color w:val="202020"/>
                <w:sz w:val="18"/>
              </w:rPr>
              <w:t xml:space="preserve">6</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DSO</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52 days</w:t>
            </w:r>
          </w:p>
        </w:tc>
        <w:tc>
          <w:tcPr>
            <w:shd w:val="clear" w:color="auto" w:fill="EAEFF7"/>
            <w:tcW w:w="2548" w:type="dxa"/>
            <w:shd w:val="clear" w:color="auto" w:fill="EAEFF7"/>
          </w:tcPr>
          <w:p>
            <w:pPr>
              <w:pStyle w:val="Compact"/>
              <w:spacing w:before="20" w:after="20" w:line="240" w:lineRule="auto"/>
              <w:jc w:val="left"/>
            </w:pPr>
            <w:r>
              <w:rPr>
                <w:rFonts w:ascii="Calibri" w:hAnsi="Calibri"/>
                <w:color w:val="202020"/>
                <w:sz w:val="18"/>
              </w:rPr>
              <w:t xml:space="preserve">~65–71 days (balance sheet)</w:t>
            </w:r>
          </w:p>
        </w:tc>
        <w:tc>
          <w:tcPr>
            <w:shd w:val="clear" w:color="auto" w:fill="EAEFF7"/>
            <w:tcW w:w="2062" w:type="dxa"/>
            <w:shd w:val="clear" w:color="auto" w:fill="EAEFF7"/>
          </w:tcPr>
          <w:p>
            <w:pPr>
              <w:pStyle w:val="Compact"/>
              <w:spacing w:before="20" w:after="20" w:line="240" w:lineRule="auto"/>
              <w:jc w:val="left"/>
            </w:pPr>
            <w:r>
              <w:rPr>
                <w:rFonts w:ascii="Calibri" w:hAnsi="Calibri"/>
                <w:color w:val="202020"/>
                <w:sz w:val="18"/>
              </w:rPr>
              <w:t xml:space="preserve">~$3.4M–$4.6M WC</w:t>
            </w:r>
          </w:p>
        </w:tc>
      </w:tr>
      <w:tr>
        <w:tc>
          <w:tcPr>
            <w:tcW w:w="696" w:type="dxa"/>
          </w:tcPr>
          <w:p>
            <w:pPr>
              <w:pStyle w:val="Compact"/>
              <w:spacing w:before="20" w:after="20" w:line="240" w:lineRule="auto"/>
              <w:jc w:val="left"/>
            </w:pPr>
            <w:r>
              <w:rPr>
                <w:rFonts w:ascii="Calibri" w:hAnsi="Calibri"/>
                <w:color w:val="202020"/>
                <w:sz w:val="18"/>
              </w:rPr>
              <w:t xml:space="preserve">7</w:t>
            </w:r>
          </w:p>
        </w:tc>
        <w:tc>
          <w:tcPr>
            <w:tcW w:w="2197" w:type="dxa"/>
          </w:tcPr>
          <w:p>
            <w:pPr>
              <w:pStyle w:val="Compact"/>
              <w:spacing w:before="20" w:after="20" w:line="240" w:lineRule="auto"/>
              <w:jc w:val="left"/>
            </w:pPr>
            <w:r>
              <w:rPr>
                <w:rFonts w:ascii="Calibri" w:hAnsi="Calibri"/>
                <w:color w:val="202020"/>
                <w:sz w:val="18"/>
              </w:rPr>
              <w:t xml:space="preserve">PNR MSA</w:t>
            </w:r>
          </w:p>
        </w:tc>
        <w:tc>
          <w:tcPr>
            <w:tcW w:w="2197" w:type="dxa"/>
          </w:tcPr>
          <w:p>
            <w:pPr>
              <w:pStyle w:val="Compact"/>
              <w:spacing w:before="20" w:after="20" w:line="240" w:lineRule="auto"/>
              <w:jc w:val="left"/>
            </w:pPr>
            <w:r>
              <w:rPr>
                <w:rFonts w:ascii="Calibri" w:hAnsi="Calibri"/>
                <w:color w:val="202020"/>
                <w:sz w:val="18"/>
              </w:rPr>
              <w:t xml:space="preserve">Listed as expiring Mar 31, 2025</w:t>
            </w:r>
          </w:p>
        </w:tc>
        <w:tc>
          <w:tcPr>
            <w:tcW w:w="2548" w:type="dxa"/>
          </w:tcPr>
          <w:p>
            <w:pPr>
              <w:pStyle w:val="Compact"/>
              <w:spacing w:before="20" w:after="20" w:line="240" w:lineRule="auto"/>
              <w:jc w:val="left"/>
            </w:pPr>
            <w:r>
              <w:rPr>
                <w:rFonts w:ascii="Calibri" w:hAnsi="Calibri"/>
                <w:color w:val="202020"/>
                <w:sz w:val="18"/>
              </w:rPr>
              <w:t xml:space="preserve">Expired pre-CIM; renewal undisclosed</w:t>
            </w:r>
          </w:p>
        </w:tc>
        <w:tc>
          <w:tcPr>
            <w:tcW w:w="2062" w:type="dxa"/>
          </w:tcPr>
          <w:p>
            <w:pPr>
              <w:pStyle w:val="Compact"/>
              <w:spacing w:before="20" w:after="20" w:line="240" w:lineRule="auto"/>
              <w:jc w:val="left"/>
            </w:pPr>
            <w:r>
              <w:rPr>
                <w:rFonts w:ascii="Calibri" w:hAnsi="Calibri"/>
                <w:color w:val="202020"/>
                <w:sz w:val="18"/>
              </w:rPr>
              <w:t xml:space="preserve">21.4% of revenue at risk</w:t>
            </w:r>
          </w:p>
        </w:tc>
      </w:tr>
      <w:tr>
        <w:tc>
          <w:tcPr>
            <w:shd w:val="clear" w:color="auto" w:fill="EAEFF7"/>
            <w:tcW w:w="696" w:type="dxa"/>
            <w:shd w:val="clear" w:color="auto" w:fill="EAEFF7"/>
          </w:tcPr>
          <w:p>
            <w:pPr>
              <w:pStyle w:val="Compact"/>
              <w:spacing w:before="20" w:after="20" w:line="240" w:lineRule="auto"/>
              <w:jc w:val="left"/>
            </w:pPr>
            <w:r>
              <w:rPr>
                <w:rFonts w:ascii="Calibri" w:hAnsi="Calibri"/>
                <w:color w:val="202020"/>
                <w:sz w:val="18"/>
              </w:rPr>
              <w:t xml:space="preserve">8</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Top-10 customers #6–#10</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Different names vs. Report</w:t>
            </w:r>
          </w:p>
        </w:tc>
        <w:tc>
          <w:tcPr>
            <w:shd w:val="clear" w:color="auto" w:fill="EAEFF7"/>
            <w:tcW w:w="2548" w:type="dxa"/>
            <w:shd w:val="clear" w:color="auto" w:fill="EAEFF7"/>
          </w:tcPr>
          <w:p>
            <w:pPr>
              <w:pStyle w:val="Compact"/>
              <w:spacing w:before="20" w:after="20" w:line="240" w:lineRule="auto"/>
              <w:jc w:val="left"/>
            </w:pPr>
            <w:r>
              <w:rPr>
                <w:rFonts w:ascii="Calibri" w:hAnsi="Calibri"/>
                <w:color w:val="202020"/>
                <w:sz w:val="18"/>
              </w:rPr>
              <w:t xml:space="preserve">Unreconciled</w:t>
            </w:r>
          </w:p>
        </w:tc>
        <w:tc>
          <w:tcPr>
            <w:shd w:val="clear" w:color="auto" w:fill="EAEFF7"/>
            <w:tcW w:w="2062" w:type="dxa"/>
            <w:shd w:val="clear" w:color="auto" w:fill="EAEFF7"/>
          </w:tcPr>
          <w:p>
            <w:pPr>
              <w:pStyle w:val="Compact"/>
              <w:spacing w:before="20" w:after="20" w:line="240" w:lineRule="auto"/>
              <w:jc w:val="left"/>
            </w:pPr>
            <w:r>
              <w:rPr>
                <w:rFonts w:ascii="Calibri" w:hAnsi="Calibri"/>
                <w:color w:val="202020"/>
                <w:sz w:val="18"/>
              </w:rPr>
              <w:t xml:space="preserve">Reliability of customer data</w:t>
            </w:r>
          </w:p>
        </w:tc>
      </w:tr>
      <w:tr>
        <w:tc>
          <w:tcPr>
            <w:tcW w:w="696" w:type="dxa"/>
          </w:tcPr>
          <w:p>
            <w:pPr>
              <w:pStyle w:val="Compact"/>
              <w:spacing w:before="20" w:after="20" w:line="240" w:lineRule="auto"/>
              <w:jc w:val="left"/>
            </w:pPr>
            <w:r>
              <w:rPr>
                <w:rFonts w:ascii="Calibri" w:hAnsi="Calibri"/>
                <w:color w:val="202020"/>
                <w:sz w:val="18"/>
              </w:rPr>
              <w:t xml:space="preserve">9</w:t>
            </w:r>
          </w:p>
        </w:tc>
        <w:tc>
          <w:tcPr>
            <w:tcW w:w="2197" w:type="dxa"/>
          </w:tcPr>
          <w:p>
            <w:pPr>
              <w:pStyle w:val="Compact"/>
              <w:spacing w:before="20" w:after="20" w:line="240" w:lineRule="auto"/>
              <w:jc w:val="left"/>
            </w:pPr>
            <w:r>
              <w:rPr>
                <w:rFonts w:ascii="Calibri" w:hAnsi="Calibri"/>
                <w:color w:val="202020"/>
                <w:sz w:val="18"/>
              </w:rPr>
              <w:t xml:space="preserve">Goodwill/intangibles</w:t>
            </w:r>
          </w:p>
        </w:tc>
        <w:tc>
          <w:tcPr>
            <w:tcW w:w="2197" w:type="dxa"/>
          </w:tcPr>
          <w:p>
            <w:pPr>
              <w:pStyle w:val="Compact"/>
              <w:spacing w:before="20" w:after="20" w:line="240" w:lineRule="auto"/>
              <w:jc w:val="left"/>
            </w:pPr>
            <w:r>
              <w:rPr>
                <w:rFonts w:ascii="Calibri" w:hAnsi="Calibri"/>
                <w:color w:val="202020"/>
                <w:sz w:val="18"/>
              </w:rPr>
              <w:t xml:space="preserve">Not in CIM balance sheet</w:t>
            </w:r>
          </w:p>
        </w:tc>
        <w:tc>
          <w:tcPr>
            <w:tcW w:w="2548" w:type="dxa"/>
          </w:tcPr>
          <w:p>
            <w:pPr>
              <w:pStyle w:val="Compact"/>
              <w:spacing w:before="20" w:after="20" w:line="240" w:lineRule="auto"/>
              <w:jc w:val="left"/>
            </w:pPr>
            <w:r>
              <w:rPr>
                <w:rFonts w:ascii="Calibri" w:hAnsi="Calibri"/>
                <w:color w:val="202020"/>
                <w:sz w:val="18"/>
              </w:rPr>
              <w:t xml:space="preserve">$2.5M in exhibits (unexplained)</w:t>
            </w:r>
          </w:p>
        </w:tc>
        <w:tc>
          <w:tcPr>
            <w:tcW w:w="2062" w:type="dxa"/>
          </w:tcPr>
          <w:p>
            <w:pPr>
              <w:pStyle w:val="Compact"/>
              <w:spacing w:before="20" w:after="20" w:line="240" w:lineRule="auto"/>
              <w:jc w:val="left"/>
            </w:pPr>
            <w:r>
              <w:rPr>
                <w:rFonts w:ascii="Calibri" w:hAnsi="Calibri"/>
                <w:color w:val="202020"/>
                <w:sz w:val="18"/>
              </w:rPr>
              <w:t xml:space="preserve">Diligence</w:t>
            </w:r>
          </w:p>
        </w:tc>
      </w:tr>
      <w:tr>
        <w:tc>
          <w:tcPr>
            <w:shd w:val="clear" w:color="auto" w:fill="EAEFF7"/>
            <w:tcW w:w="696" w:type="dxa"/>
            <w:shd w:val="clear" w:color="auto" w:fill="EAEFF7"/>
          </w:tcPr>
          <w:p>
            <w:pPr>
              <w:pStyle w:val="Compact"/>
              <w:spacing w:before="20" w:after="20" w:line="240" w:lineRule="auto"/>
              <w:jc w:val="left"/>
            </w:pPr>
            <w:r>
              <w:rPr>
                <w:rFonts w:ascii="Calibri" w:hAnsi="Calibri"/>
                <w:color w:val="202020"/>
                <w:sz w:val="18"/>
              </w:rPr>
              <w:t xml:space="preserve">10</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CIM vs. exhibits reconciliation</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Multiple line items differ</w:t>
            </w:r>
          </w:p>
        </w:tc>
        <w:tc>
          <w:tcPr>
            <w:shd w:val="clear" w:color="auto" w:fill="EAEFF7"/>
            <w:tcW w:w="2548" w:type="dxa"/>
            <w:shd w:val="clear" w:color="auto" w:fill="EAEFF7"/>
          </w:tcPr>
          <w:p>
            <w:pPr>
              <w:pStyle w:val="Compact"/>
              <w:spacing w:before="20" w:after="20" w:line="240" w:lineRule="auto"/>
              <w:jc w:val="left"/>
            </w:pPr>
            <w:r>
              <w:rPr>
                <w:rFonts w:ascii="Calibri" w:hAnsi="Calibri"/>
                <w:color w:val="202020"/>
                <w:sz w:val="18"/>
              </w:rPr>
              <w:t xml:space="preserve">Do not reconcile</w:t>
            </w:r>
          </w:p>
        </w:tc>
        <w:tc>
          <w:tcPr>
            <w:shd w:val="clear" w:color="auto" w:fill="EAEFF7"/>
            <w:tcW w:w="2062" w:type="dxa"/>
            <w:shd w:val="clear" w:color="auto" w:fill="EAEFF7"/>
          </w:tcPr>
          <w:p>
            <w:pPr>
              <w:pStyle w:val="Compact"/>
              <w:spacing w:before="20" w:after="20" w:line="240" w:lineRule="auto"/>
              <w:jc w:val="left"/>
            </w:pPr>
            <w:r>
              <w:rPr>
                <w:rFonts w:ascii="Calibri" w:hAnsi="Calibri"/>
                <w:color w:val="202020"/>
                <w:sz w:val="18"/>
              </w:rPr>
              <w:t xml:space="preserve">QoE gate</w:t>
            </w:r>
          </w:p>
        </w:tc>
      </w:tr>
      <w:tr>
        <w:tc>
          <w:tcPr>
            <w:tcW w:w="696" w:type="dxa"/>
          </w:tcPr>
          <w:p>
            <w:pPr>
              <w:pStyle w:val="Compact"/>
              <w:spacing w:before="20" w:after="20" w:line="240" w:lineRule="auto"/>
              <w:jc w:val="left"/>
            </w:pPr>
            <w:r>
              <w:rPr>
                <w:rFonts w:ascii="Calibri" w:hAnsi="Calibri"/>
                <w:color w:val="202020"/>
                <w:sz w:val="18"/>
              </w:rPr>
              <w:t xml:space="preserve">11</w:t>
            </w:r>
          </w:p>
        </w:tc>
        <w:tc>
          <w:tcPr>
            <w:tcW w:w="2197" w:type="dxa"/>
          </w:tcPr>
          <w:p>
            <w:pPr>
              <w:pStyle w:val="Compact"/>
              <w:spacing w:before="20" w:after="20" w:line="240" w:lineRule="auto"/>
              <w:jc w:val="left"/>
            </w:pPr>
            <w:r>
              <w:rPr>
                <w:rFonts w:ascii="Calibri" w:hAnsi="Calibri"/>
                <w:color w:val="202020"/>
                <w:sz w:val="18"/>
              </w:rPr>
              <w:t xml:space="preserve">PFAS FY2025E growth</w:t>
            </w:r>
          </w:p>
        </w:tc>
        <w:tc>
          <w:tcPr>
            <w:tcW w:w="2197" w:type="dxa"/>
          </w:tcPr>
          <w:p>
            <w:pPr>
              <w:pStyle w:val="Compact"/>
              <w:spacing w:before="20" w:after="20" w:line="240" w:lineRule="auto"/>
              <w:jc w:val="left"/>
            </w:pPr>
            <w:r>
              <w:rPr>
                <w:rFonts w:ascii="Calibri" w:hAnsi="Calibri"/>
                <w:color w:val="202020"/>
                <w:sz w:val="18"/>
              </w:rPr>
              <w:t xml:space="preserve">+125.8% ($14.0M)</w:t>
            </w:r>
          </w:p>
        </w:tc>
        <w:tc>
          <w:tcPr>
            <w:tcW w:w="2548" w:type="dxa"/>
          </w:tcPr>
          <w:p>
            <w:pPr>
              <w:pStyle w:val="Compact"/>
              <w:spacing w:before="20" w:after="20" w:line="240" w:lineRule="auto"/>
              <w:jc w:val="left"/>
            </w:pPr>
            <w:r>
              <w:rPr>
                <w:rFonts w:ascii="Calibri" w:hAnsi="Calibri"/>
                <w:color w:val="202020"/>
                <w:sz w:val="18"/>
              </w:rPr>
              <w:t xml:space="preserve">+30–50% achievable (~$9–10M)</w:t>
            </w:r>
          </w:p>
        </w:tc>
        <w:tc>
          <w:tcPr>
            <w:tcW w:w="2062" w:type="dxa"/>
          </w:tcPr>
          <w:p>
            <w:pPr>
              <w:pStyle w:val="Compact"/>
              <w:spacing w:before="20" w:after="20" w:line="240" w:lineRule="auto"/>
              <w:jc w:val="left"/>
            </w:pPr>
            <w:r>
              <w:rPr>
                <w:rFonts w:ascii="Calibri" w:hAnsi="Calibri"/>
                <w:color w:val="202020"/>
                <w:sz w:val="18"/>
              </w:rPr>
              <w:t xml:space="preserve">Growth/margin thesis</w:t>
            </w:r>
          </w:p>
        </w:tc>
      </w:tr>
      <w:tr>
        <w:tc>
          <w:tcPr>
            <w:shd w:val="clear" w:color="auto" w:fill="EAEFF7"/>
            <w:tcW w:w="696" w:type="dxa"/>
            <w:shd w:val="clear" w:color="auto" w:fill="EAEFF7"/>
          </w:tcPr>
          <w:p>
            <w:pPr>
              <w:pStyle w:val="Compact"/>
              <w:spacing w:before="20" w:after="20" w:line="240" w:lineRule="auto"/>
              <w:jc w:val="left"/>
            </w:pPr>
            <w:r>
              <w:rPr>
                <w:rFonts w:ascii="Calibri" w:hAnsi="Calibri"/>
                <w:color w:val="202020"/>
                <w:sz w:val="18"/>
              </w:rPr>
              <w:t xml:space="preserve">12</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PE capacity</w:t>
            </w:r>
          </w:p>
        </w:tc>
        <w:tc>
          <w:tcPr>
            <w:shd w:val="clear" w:color="auto" w:fill="EAEFF7"/>
            <w:tcW w:w="2197" w:type="dxa"/>
            <w:shd w:val="clear" w:color="auto" w:fill="EAEFF7"/>
          </w:tcPr>
          <w:p>
            <w:pPr>
              <w:pStyle w:val="Compact"/>
              <w:spacing w:before="20" w:after="20" w:line="240" w:lineRule="auto"/>
              <w:jc w:val="left"/>
            </w:pPr>
            <w:r>
              <w:rPr>
                <w:rFonts w:ascii="Calibri" w:hAnsi="Calibri"/>
                <w:color w:val="202020"/>
                <w:sz w:val="18"/>
              </w:rPr>
              <w:t xml:space="preserve">2 (down from 3)</w:t>
            </w:r>
          </w:p>
        </w:tc>
        <w:tc>
          <w:tcPr>
            <w:shd w:val="clear" w:color="auto" w:fill="EAEFF7"/>
            <w:tcW w:w="2548" w:type="dxa"/>
            <w:shd w:val="clear" w:color="auto" w:fill="EAEFF7"/>
          </w:tcPr>
          <w:p>
            <w:pPr>
              <w:pStyle w:val="Compact"/>
              <w:spacing w:before="20" w:after="20" w:line="240" w:lineRule="auto"/>
              <w:jc w:val="left"/>
            </w:pPr>
            <w:r>
              <w:rPr>
                <w:rFonts w:ascii="Calibri" w:hAnsi="Calibri"/>
                <w:color w:val="202020"/>
                <w:sz w:val="18"/>
              </w:rPr>
              <w:t xml:space="preserve">Constraint on PFAS/remediation growth</w:t>
            </w:r>
          </w:p>
        </w:tc>
        <w:tc>
          <w:tcPr>
            <w:shd w:val="clear" w:color="auto" w:fill="EAEFF7"/>
            <w:tcW w:w="2062" w:type="dxa"/>
            <w:shd w:val="clear" w:color="auto" w:fill="EAEFF7"/>
          </w:tcPr>
          <w:p>
            <w:pPr>
              <w:pStyle w:val="Compact"/>
              <w:spacing w:before="20" w:after="20" w:line="240" w:lineRule="auto"/>
              <w:jc w:val="left"/>
            </w:pPr>
            <w:r>
              <w:rPr>
                <w:rFonts w:ascii="Calibri" w:hAnsi="Calibri"/>
                <w:color w:val="202020"/>
                <w:sz w:val="18"/>
              </w:rPr>
              <w:t xml:space="preserve">Execution risk</w:t>
            </w:r>
          </w:p>
        </w:tc>
      </w:tr>
    </w:tbl>
    <w:p>
      <w:pPr>
        <w:pStyle w:val="BodyText"/>
      </w:pPr>
      <w:r>
        <w:rPr>
          <w:i/>
          <w:iCs/>
        </w:rPr>
        <w:t xml:space="preserve">All figures are based on the CIM, Financial Exhibits, Customer/Backlog Report, Process Letter, and Thornfield Sector Memo as provided. Nothing herein has been independently verified; all conclusions are preliminary and subject to confirmatory due diligence and quality-of-earnings analysis. This memorandum is prepared solely for internal Thornfield Capital Partners use and is subject to the Confidentiality Agreement with Greenleaf Advisory Group.</w:t>
      </w:r>
    </w:p>
    <w:bookmarkEnd w:id="42"/>
    <w:sectPr w:rsidR="00FC693F" w:rsidRPr="0006063C" w:rsidSect="00034616">
      <w:headerReference w:type="default" r:id="rId9"/>
      <w:footerReference w:type="default" r:id="rId10"/>
      <w:pgSz w:h="15840" w:w="12240"/>
      <w:pgMar w:bottom="1224" w:footer="720" w:gutter="0" w:header="720" w:left="1224" w:right="1224"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10800"/>
      </w:tabs>
      <w:pBdr>
        <w:top w:val="single" w:sz="4" w:space="2" w:color="BFBFBF"/>
      </w:pBdr>
      <w:tabs>
        <w:tab w:val="right" w:pos="10800"/>
      </w:tabs>
      <w:pBdr>
        <w:top w:val="single" w:sz="4" w:space="2" w:color="BFBFBF"/>
      </w:pBdr>
    </w:pPr>
    <w:r/>
    <w:r>
      <w:rPr>
        <w:rFonts w:ascii="Calibri" w:hAnsi="Calibri"/>
        <w:color w:val="808080"/>
        <w:sz w:val="15"/>
      </w:rPr>
      <w:t>Buy-Side CIM Analysis — Cascade Environmental Solutions, Inc.</w:t>
      <w:tab/>
    </w:r>
    <w:r>
      <w:rPr>
        <w:rFonts w:ascii="Calibri" w:hAnsi="Calibri"/>
        <w:color w:val="808080"/>
        <w:sz w:val="15"/>
      </w:rPr>
      <w:t xml:space="preserve">Page </w:t>
    </w:r>
    <w:r>
      <w:rPr>
        <w:rFonts w:ascii="Calibri" w:hAnsi="Calibri"/>
        <w:color w:val="808080"/>
        <w:sz w:val="15"/>
      </w:rPr>
      <w:fldChar w:fldCharType="begin"/>
      <w:instrText xml:space="preserve"> PAGE </w:instrText>
      <w:fldChar w:fldCharType="end"/>
    </w:r>
    <w:r>
      <w:rPr>
        <w:rFonts w:ascii="Calibri" w:hAnsi="Calibri"/>
        <w:color w:val="808080"/>
        <w:sz w:val="15"/>
      </w:rPr>
      <w:t xml:space="preserve"> of </w:t>
    </w:r>
    <w:r>
      <w:rPr>
        <w:rFonts w:ascii="Calibri" w:hAnsi="Calibri"/>
        <w:color w:val="808080"/>
        <w:sz w:val="15"/>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Bdr>
        <w:bottom w:val="single" w:sz="4" w:space="2" w:color="BFBFBF"/>
      </w:pBdr>
    </w:pPr>
    <w:r/>
    <w:r>
      <w:rPr>
        <w:rFonts w:ascii="Calibri" w:hAnsi="Calibri"/>
        <w:color w:val="808080"/>
        <w:sz w:val="15"/>
      </w:rPr>
      <w:t>CONFIDENTIAL — INTERNAL USE ONLY  |  Thornfield Capital Partners  |  Project Cascade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254" w:lineRule="auto"/>
    </w:pPr>
    <w:rPr>
      <w:rFonts w:ascii="Calibri" w:hAnsi="Calibri"/>
      <w:color w:val="20202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80" w:line="250" w:lineRule="auto"/>
      <w:outlineLvl w:val="0"/>
    </w:pPr>
    <w:rPr>
      <w:rFonts w:ascii="Calibri" w:asciiTheme="majorHAnsi" w:cstheme="majorBidi" w:eastAsiaTheme="majorEastAsia" w:hAnsi="Calibri" w:hAnsiTheme="majorHAnsi"/>
      <w:b/>
      <w:bCs/>
      <w:i w:val="0"/>
      <w:color w:val="1F3864"/>
      <w:sz w:val="28"/>
      <w:szCs w:val="28"/>
    </w:rPr>
  </w:style>
  <w:style w:styleId="Heading2" w:type="paragraph">
    <w:name w:val="heading 2"/>
    <w:basedOn w:val="Normal"/>
    <w:next w:val="Normal"/>
    <w:link w:val="Heading2Char"/>
    <w:uiPriority w:val="9"/>
    <w:unhideWhenUsed/>
    <w:qFormat/>
    <w:rsid w:val="00FC693F"/>
    <w:pPr>
      <w:keepNext/>
      <w:keepLines/>
      <w:spacing w:after="80" w:before="220" w:line="250" w:lineRule="auto"/>
      <w:outlineLvl w:val="1"/>
    </w:pPr>
    <w:rPr>
      <w:rFonts w:ascii="Calibri" w:asciiTheme="majorHAnsi" w:cstheme="majorBidi" w:eastAsiaTheme="majorEastAsia" w:hAnsi="Calibri" w:hAnsiTheme="majorHAnsi"/>
      <w:b/>
      <w:bCs/>
      <w:i w:val="0"/>
      <w:color w:val="2E5496"/>
      <w:sz w:val="24"/>
      <w:szCs w:val="26"/>
    </w:rPr>
  </w:style>
  <w:style w:styleId="Heading3" w:type="paragraph">
    <w:name w:val="heading 3"/>
    <w:basedOn w:val="Normal"/>
    <w:next w:val="Normal"/>
    <w:link w:val="Heading3Char"/>
    <w:uiPriority w:val="9"/>
    <w:unhideWhenUsed/>
    <w:qFormat/>
    <w:rsid w:val="00FC693F"/>
    <w:pPr>
      <w:keepNext/>
      <w:keepLines/>
      <w:spacing w:after="60" w:before="160" w:line="250" w:lineRule="auto"/>
      <w:outlineLvl w:val="2"/>
    </w:pPr>
    <w:rPr>
      <w:rFonts w:ascii="Calibri" w:asciiTheme="majorHAnsi" w:cstheme="majorBidi" w:eastAsiaTheme="majorEastAsia" w:hAnsi="Calibri" w:hAnsiTheme="majorHAnsi"/>
      <w:b/>
      <w:bCs/>
      <w:i w:val="0"/>
      <w:color w:val="2E5496"/>
      <w:sz w:val="22"/>
    </w:rPr>
  </w:style>
  <w:style w:styleId="Heading4" w:type="paragraph">
    <w:name w:val="heading 4"/>
    <w:basedOn w:val="Normal"/>
    <w:next w:val="Normal"/>
    <w:link w:val="Heading4Char"/>
    <w:uiPriority w:val="9"/>
    <w:semiHidden/>
    <w:unhideWhenUsed/>
    <w:qFormat/>
    <w:rsid w:val="00FC693F"/>
    <w:pPr>
      <w:keepNext/>
      <w:keepLines/>
      <w:spacing w:after="40" w:before="120" w:line="250" w:lineRule="auto"/>
      <w:outlineLvl w:val="3"/>
    </w:pPr>
    <w:rPr>
      <w:rFonts w:ascii="Calibri" w:asciiTheme="majorHAnsi" w:cstheme="majorBidi" w:eastAsiaTheme="majorEastAsia" w:hAnsi="Calibri" w:hAnsiTheme="majorHAnsi"/>
      <w:b/>
      <w:bCs/>
      <w:i/>
      <w:iCs/>
      <w:color w:val="595959"/>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20" w:before="0" w:line="252" w:lineRule="auto"/>
      <w:contextualSpacing/>
    </w:pPr>
    <w:rPr>
      <w:rFonts w:ascii="Calibri" w:asciiTheme="majorHAnsi" w:cstheme="majorBidi" w:eastAsiaTheme="majorEastAsia" w:hAnsi="Calibri" w:hAnsiTheme="majorHAnsi"/>
      <w:b/>
      <w:i w:val="0"/>
      <w:color w:val="1F3864"/>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Buy-Side CIM Analysis Memorandum</dc:title>
  <dc:creator/>
  <cp:keywords/>
  <dcterms:created xsi:type="dcterms:W3CDTF">2026-06-23T05:40:45Z</dcterms:created>
  <dcterms:modified xsi:type="dcterms:W3CDTF">2026-06-23T05:40:45Z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Cascade Environmental Solutions, Inc. — Project Cascade</vt:lpwstr>
  </property>
</Properties>
</file>