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7" w:name="X3fc182e399db443c5ce7da763c61ddd24f0702f"/>
    <w:p>
      <w:pPr>
        <w:pStyle w:val="Heading1"/>
      </w:pPr>
      <w:r>
        <w:t xml:space="preserve">THORNFIELD CAPITAL PARTERS — INTERNAL MEMORANDUM</w:t>
      </w:r>
    </w:p>
    <w:p>
      <w:pPr>
        <w:pStyle w:val="FirstParagraph"/>
      </w:pPr>
      <w:r>
        <w:rPr>
          <w:b/>
          <w:bCs/>
        </w:rPr>
        <w:t xml:space="preserve">CONFIDENTIAL — INTERNAL USE ONLY / PROJECT CASCADE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Marcus Yuen (Partner, Deal Lead); Diane Holbrook (Managing Partner); Sarah Lindgren (Vice President)</w:t>
            </w:r>
          </w:p>
        </w:tc>
      </w:tr>
      <w:tr>
        <w:tc>
          <w:tcPr/>
          <w:p>
            <w:pPr>
              <w:pStyle w:val="Compact"/>
              <w:jc w:val="left"/>
            </w:pPr>
            <w:r>
              <w:rPr>
                <w:b/>
                <w:bCs/>
              </w:rPr>
              <w:t xml:space="preserve">From:</w:t>
            </w:r>
          </w:p>
        </w:tc>
        <w:tc>
          <w:tcPr/>
          <w:p>
            <w:pPr>
              <w:pStyle w:val="Compact"/>
              <w:jc w:val="left"/>
            </w:pPr>
            <w:r>
              <w:t xml:space="preserve">David Koh (Associate)</w:t>
            </w:r>
          </w:p>
        </w:tc>
      </w:tr>
      <w:tr>
        <w:tc>
          <w:tcPr/>
          <w:p>
            <w:pPr>
              <w:pStyle w:val="Compact"/>
              <w:jc w:val="left"/>
            </w:pPr>
            <w:r>
              <w:rPr>
                <w:b/>
                <w:bCs/>
              </w:rPr>
              <w:t xml:space="preserve">Date:</w:t>
            </w:r>
          </w:p>
        </w:tc>
        <w:tc>
          <w:tcPr/>
          <w:p>
            <w:pPr>
              <w:pStyle w:val="Compact"/>
              <w:jc w:val="left"/>
            </w:pPr>
            <w:r>
              <w:t xml:space="preserve">June 25, 2025</w:t>
            </w:r>
          </w:p>
        </w:tc>
      </w:tr>
      <w:tr>
        <w:tc>
          <w:tcPr/>
          <w:p>
            <w:pPr>
              <w:pStyle w:val="Compact"/>
              <w:jc w:val="left"/>
            </w:pPr>
            <w:r>
              <w:rPr>
                <w:b/>
                <w:bCs/>
              </w:rPr>
              <w:t xml:space="preserve">Re:</w:t>
            </w:r>
          </w:p>
        </w:tc>
        <w:tc>
          <w:tcPr/>
          <w:p>
            <w:pPr>
              <w:pStyle w:val="Compact"/>
              <w:jc w:val="left"/>
            </w:pPr>
            <w:r>
              <w:t xml:space="preserve">Buy-Side CIM Analysis — Cascade Environmental Solutions, Inc. (</w:t>
            </w:r>
            <w:r>
              <w:t xml:space="preserve">“</w:t>
            </w:r>
            <w:r>
              <w:t xml:space="preserve">CES</w:t>
            </w:r>
            <w:r>
              <w:t xml:space="preserve">”</w:t>
            </w:r>
            <w:r>
              <w:t xml:space="preserve"> </w:t>
            </w:r>
            <w:r>
              <w:t xml:space="preserve">or the</w:t>
            </w:r>
            <w:r>
              <w:t xml:space="preserve"> </w:t>
            </w:r>
            <w:r>
              <w:t xml:space="preserve">“</w:t>
            </w:r>
            <w:r>
              <w:t xml:space="preserve">Company</w:t>
            </w:r>
            <w:r>
              <w:t xml:space="preserve">”</w:t>
            </w:r>
            <w:r>
              <w:t xml:space="preserve">)</w:t>
            </w:r>
          </w:p>
        </w:tc>
      </w:tr>
      <w:tr>
        <w:tc>
          <w:tcPr/>
          <w:p>
            <w:pPr>
              <w:pStyle w:val="Compact"/>
              <w:jc w:val="left"/>
            </w:pPr>
            <w:r>
              <w:rPr>
                <w:b/>
                <w:bCs/>
              </w:rPr>
              <w:t xml:space="preserve">Fund:</w:t>
            </w:r>
          </w:p>
        </w:tc>
        <w:tc>
          <w:tcPr/>
          <w:p>
            <w:pPr>
              <w:pStyle w:val="Compact"/>
              <w:jc w:val="left"/>
            </w:pPr>
            <w:r>
              <w:t xml:space="preserve">Thornfield Capital Partners Fund III, LP</w:t>
            </w:r>
          </w:p>
        </w:tc>
      </w:tr>
      <w:tr>
        <w:tc>
          <w:tcPr/>
          <w:p>
            <w:pPr>
              <w:pStyle w:val="Compact"/>
              <w:jc w:val="left"/>
            </w:pPr>
            <w:r>
              <w:rPr>
                <w:b/>
                <w:bCs/>
              </w:rPr>
              <w:t xml:space="preserve">Seller’s Advisor:</w:t>
            </w:r>
          </w:p>
        </w:tc>
        <w:tc>
          <w:tcPr/>
          <w:p>
            <w:pPr>
              <w:pStyle w:val="Compact"/>
              <w:jc w:val="left"/>
            </w:pPr>
            <w:r>
              <w:t xml:space="preserve">Greenleaf Advisory Group, LLC (Philip Tran, Managing Director)</w:t>
            </w:r>
          </w:p>
        </w:tc>
      </w:tr>
      <w:tr>
        <w:tc>
          <w:tcPr/>
          <w:p>
            <w:pPr>
              <w:pStyle w:val="Compact"/>
              <w:jc w:val="left"/>
            </w:pPr>
            <w:r>
              <w:rPr>
                <w:b/>
                <w:bCs/>
              </w:rPr>
              <w:t xml:space="preserve">Process:</w:t>
            </w:r>
          </w:p>
        </w:tc>
        <w:tc>
          <w:tcPr/>
          <w:p>
            <w:pPr>
              <w:pStyle w:val="Compact"/>
              <w:jc w:val="left"/>
            </w:pPr>
            <w:r>
              <w:t xml:space="preserve">Two-phase auction; IOI deadline July 14, 2025; targeted close Q4 2025</w:t>
            </w:r>
          </w:p>
        </w:tc>
      </w:tr>
      <w:tr>
        <w:tc>
          <w:tcPr/>
          <w:p>
            <w:pPr>
              <w:pStyle w:val="Compact"/>
              <w:jc w:val="left"/>
            </w:pPr>
            <w:r>
              <w:rPr>
                <w:b/>
                <w:bCs/>
              </w:rPr>
              <w:t xml:space="preserve">Sources reviewed:</w:t>
            </w:r>
          </w:p>
        </w:tc>
        <w:tc>
          <w:tcPr/>
          <w:p>
            <w:pPr>
              <w:pStyle w:val="Compact"/>
              <w:jc w:val="left"/>
            </w:pPr>
            <w:r>
              <w:t xml:space="preserve">Confidential Information Memorandum (</w:t>
            </w:r>
            <w:r>
              <w:t xml:space="preserve">“</w:t>
            </w:r>
            <w:r>
              <w:t xml:space="preserve">CIM,</w:t>
            </w:r>
            <w:r>
              <w:t xml:space="preserve">”</w:t>
            </w:r>
            <w:r>
              <w:t xml:space="preserve"> </w:t>
            </w:r>
            <w:r>
              <w:t xml:space="preserve">June 2025); Customer Summary &amp; Backlog Report (</w:t>
            </w:r>
            <w:r>
              <w:t xml:space="preserve">“</w:t>
            </w:r>
            <w:r>
              <w:t xml:space="preserve">CBR,</w:t>
            </w:r>
            <w:r>
              <w:t xml:space="preserve">”</w:t>
            </w:r>
            <w:r>
              <w:t xml:space="preserve"> </w:t>
            </w:r>
            <w:r>
              <w:t xml:space="preserve">June 2025); Financial Exhibits workbook (</w:t>
            </w:r>
            <w:r>
              <w:t xml:space="preserve">“</w:t>
            </w:r>
            <w:r>
              <w:t xml:space="preserve">FE</w:t>
            </w:r>
            <w:r>
              <w:t xml:space="preserve">”</w:t>
            </w:r>
            <w:r>
              <w:t xml:space="preserve">); Process Letter (June 9, 2025); Sector Overview &amp; Screening Memo (Lindgren, June 12, 2025)</w:t>
            </w:r>
          </w:p>
        </w:tc>
      </w:tr>
    </w:tbl>
    <w:p>
      <w:r>
        <w:pict>
          <v:rect style="width:0;height:1.5pt" o:hralign="center" o:hrstd="t" o:hr="t"/>
        </w:pict>
      </w:r>
    </w:p>
    <w:bookmarkStart w:id="20" w:name="i.-executive-summary-and-recommendation"/>
    <w:p>
      <w:pPr>
        <w:pStyle w:val="Heading2"/>
      </w:pPr>
      <w:r>
        <w:t xml:space="preserve">I. Executive Summary and Recommendation</w:t>
      </w:r>
    </w:p>
    <w:p>
      <w:pPr>
        <w:pStyle w:val="FirstParagraph"/>
      </w:pPr>
      <w:r>
        <w:t xml:space="preserve">CES is a genuine, founder-built Pacific Northwest environmental services platform with a 16-year operating history, an integrated three-segment service offering (Environmental Remediation, Industrial Cleaning, Emergency Response), a defensible regional competitive position anchored in hard-to-replicate permits and customer relationships, and real exposure to the PFAS regulatory tailwind. On its face the asset fits Thornfield’s industrial/environmental services thesis and our Fund II pattern-recognition from GreenWorks Remediation and Allied Waste Systems.</w:t>
      </w:r>
      <w:r>
        <w:t xml:space="preserve"> </w:t>
      </w:r>
      <w:r>
        <w:rPr>
          <w:b/>
          <w:bCs/>
        </w:rPr>
        <w:t xml:space="preserve">We recommend proceeding to a non-binding IOI by the July 14 deadline</w:t>
      </w:r>
      <w:r>
        <w:t xml:space="preserve">, but at a valuation and on diligence terms that reflect a number of material sell-side financial and commercial issues identified in this review.</w:t>
      </w:r>
    </w:p>
    <w:p>
      <w:pPr>
        <w:pStyle w:val="BodyText"/>
      </w:pPr>
      <w:r>
        <w:t xml:space="preserve">The central conclusion of this analysis is that</w:t>
      </w:r>
      <w:r>
        <w:t xml:space="preserve"> </w:t>
      </w:r>
      <w:r>
        <w:rPr>
          <w:b/>
          <w:bCs/>
        </w:rPr>
        <w:t xml:space="preserve">the sell-side materials are internally inconsistent across the CIM, the Customer/Backlog Report, and the Financial Exhibits, and the headline Adjusted EBITDA of $17.1 million is materially overstated.</w:t>
      </w:r>
      <w:r>
        <w:t xml:space="preserve"> </w:t>
      </w:r>
      <w:r>
        <w:t xml:space="preserve">A reconstructed buy-side Adjusted EBITDA is approximately</w:t>
      </w:r>
      <w:r>
        <w:t xml:space="preserve"> </w:t>
      </w:r>
      <w:r>
        <w:rPr>
          <w:b/>
          <w:bCs/>
        </w:rPr>
        <w:t xml:space="preserve">$14.9 million–$16.1 million (midpoint ~$15.5 million)</w:t>
      </w:r>
      <w:r>
        <w:t xml:space="preserve"> </w:t>
      </w:r>
      <w:r>
        <w:t xml:space="preserve">versus the sell-side $17.1 million — a $1.0 million–$2.2 million reduction driven by (i) an above-market lease add-back that conflicts with the CIM’s own market data, (ii) a regulatory-cost add-back that is partly below the EBITDA line and partly recurring in nature, and (iii) other adjustments of questionable</w:t>
      </w:r>
      <w:r>
        <w:t xml:space="preserve"> </w:t>
      </w:r>
      <w:r>
        <w:t xml:space="preserve">“</w:t>
      </w:r>
      <w:r>
        <w:t xml:space="preserve">one-time</w:t>
      </w:r>
      <w:r>
        <w:t xml:space="preserve">”</w:t>
      </w:r>
      <w:r>
        <w:t xml:space="preserve"> </w:t>
      </w:r>
      <w:r>
        <w:t xml:space="preserve">character. At a defensible 8.0x–9.0x multiple on buy-side Adjusted EBITDA, the implied enterprise value is approximately</w:t>
      </w:r>
      <w:r>
        <w:t xml:space="preserve"> </w:t>
      </w:r>
      <w:r>
        <w:rPr>
          <w:b/>
          <w:bCs/>
        </w:rPr>
        <w:t xml:space="preserve">$119 million–$140 million</w:t>
      </w:r>
      <w:r>
        <w:t xml:space="preserve">, below the sell-side’s stated $136.8 million–$171.0 million range and, notably, above Fund III’s stated $30 million–$100 million platform target.</w:t>
      </w:r>
    </w:p>
    <w:p>
      <w:pPr>
        <w:pStyle w:val="BodyText"/>
      </w:pPr>
      <w:r>
        <w:t xml:space="preserve">The most important commercial finding is that</w:t>
      </w:r>
      <w:r>
        <w:t xml:space="preserve"> </w:t>
      </w:r>
      <w:r>
        <w:rPr>
          <w:b/>
          <w:bCs/>
        </w:rPr>
        <w:t xml:space="preserve">the Company’s largest customer, Pacific Northwest Refining Co. (</w:t>
      </w:r>
      <w:r>
        <w:rPr>
          <w:b/>
          <w:bCs/>
        </w:rPr>
        <w:t xml:space="preserve">“</w:t>
      </w:r>
      <w:r>
        <w:rPr>
          <w:b/>
          <w:bCs/>
        </w:rPr>
        <w:t xml:space="preserve">PNR,</w:t>
      </w:r>
      <w:r>
        <w:rPr>
          <w:b/>
          <w:bCs/>
        </w:rPr>
        <w:t xml:space="preserve">”</w:t>
      </w:r>
      <w:r>
        <w:rPr>
          <w:b/>
          <w:bCs/>
        </w:rPr>
        <w:t xml:space="preserve"> </w:t>
      </w:r>
      <w:r>
        <w:rPr>
          <w:b/>
          <w:bCs/>
        </w:rPr>
        <w:t xml:space="preserve">21.4% of FY2024 revenue), is operating under a master service agreement that expired March 31, 2025 — before the CIM was distributed.</w:t>
      </w:r>
      <w:r>
        <w:t xml:space="preserve"> </w:t>
      </w:r>
      <w:r>
        <w:t xml:space="preserve">The renewal status of this contract is the single highest-priority diligence item. Combined with the aggressive PFAS growth projections (which rely on a two-year-old service line to deliver ~64% of incremental revenue through FY2026), a maintenance-capex figure that is 150–200 bps below the sector floor, and a stated DSO of 52 days that does not reconcile to the balance sheet (implied ~71 days), the deal carries real downside risk that must be priced and diligenced.</w:t>
      </w:r>
    </w:p>
    <w:p>
      <w:pPr>
        <w:pStyle w:val="BodyText"/>
      </w:pPr>
      <w:r>
        <w:rPr>
          <w:b/>
          <w:bCs/>
        </w:rPr>
        <w:t xml:space="preserve">Recommendation:</w:t>
      </w:r>
      <w:r>
        <w:t xml:space="preserve"> </w:t>
      </w:r>
      <w:r>
        <w:t xml:space="preserve">Submit an IOI at an enterprise value range of approximately</w:t>
      </w:r>
      <w:r>
        <w:t xml:space="preserve"> </w:t>
      </w:r>
      <w:r>
        <w:rPr>
          <w:b/>
          <w:bCs/>
        </w:rPr>
        <w:t xml:space="preserve">$120 million–$135 million</w:t>
      </w:r>
      <w:r>
        <w:t xml:space="preserve"> </w:t>
      </w:r>
      <w:r>
        <w:t xml:space="preserve">(cash-free / debt-free, normalized NWC), equivalent to roughly</w:t>
      </w:r>
      <w:r>
        <w:t xml:space="preserve"> </w:t>
      </w:r>
      <w:r>
        <w:rPr>
          <w:b/>
          <w:bCs/>
        </w:rPr>
        <w:t xml:space="preserve">8.0x–8.7x buy-side Adjusted EBITDA of ~$15.5 million</w:t>
      </w:r>
      <w:r>
        <w:t xml:space="preserve">, with a heavily conditional structure (real estate, PNR renewal, PFAS backlog, and key-person retention as go-forward conditions) and the detailed diligence request list in Section XV. We should not anchor to the sell-side’s $17.1 million Adjusted EBITDA or its</w:t>
      </w:r>
      <w:r>
        <w:t xml:space="preserve"> </w:t>
      </w:r>
      <w:r>
        <w:t xml:space="preserve">“</w:t>
      </w:r>
      <w:r>
        <w:t xml:space="preserve">higher end of the range</w:t>
      </w:r>
      <w:r>
        <w:t xml:space="preserve">”</w:t>
      </w:r>
      <w:r>
        <w:t xml:space="preserve"> </w:t>
      </w:r>
      <w:r>
        <w:t xml:space="preserve">guidance.</w:t>
      </w:r>
    </w:p>
    <w:p>
      <w:r>
        <w:pict>
          <v:rect style="width:0;height:1.5pt" o:hralign="center" o:hrstd="t" o:hr="t"/>
        </w:pict>
      </w:r>
    </w:p>
    <w:bookmarkEnd w:id="20"/>
    <w:bookmarkStart w:id="21" w:name="ii.-transaction-overview-and-process"/>
    <w:p>
      <w:pPr>
        <w:pStyle w:val="Heading2"/>
      </w:pPr>
      <w:r>
        <w:t xml:space="preserve">II. Transaction Overview and Process</w:t>
      </w:r>
    </w:p>
    <w:p>
      <w:pPr>
        <w:pStyle w:val="FirstParagraph"/>
      </w:pPr>
      <w:r>
        <w:t xml:space="preserve">Greenleaf Advisory Group is running a competitive two-phase sale of 100% of the equity of CES on behalf of founder/CEO Randall Oakes (68% equity holder) and the other equity holders. The process letter contemplates a stock purchase structure, with existing Cascadia Commercial Bank indebtedness refinanced or repaid at closing and the headquarters real estate (owned personally by Mr. Oakes) addressed as a structural item. Key dates and requirements:</w:t>
      </w:r>
    </w:p>
    <w:p>
      <w:pPr>
        <w:pStyle w:val="Compact"/>
        <w:numPr>
          <w:ilvl w:val="0"/>
          <w:numId w:val="1001"/>
        </w:numPr>
      </w:pPr>
      <w:r>
        <w:rPr>
          <w:b/>
          <w:bCs/>
        </w:rPr>
        <w:t xml:space="preserve">Phase I:</w:t>
      </w:r>
      <w:r>
        <w:t xml:space="preserve"> </w:t>
      </w:r>
      <w:r>
        <w:t xml:space="preserve">CIM and FE distributed June 9, 2025; non-binding IOIs due</w:t>
      </w:r>
      <w:r>
        <w:t xml:space="preserve"> </w:t>
      </w:r>
      <w:r>
        <w:rPr>
          <w:b/>
          <w:bCs/>
        </w:rPr>
        <w:t xml:space="preserve">5:00 PM PT, July 14, 2025</w:t>
      </w:r>
      <w:r>
        <w:t xml:space="preserve">.</w:t>
      </w:r>
    </w:p>
    <w:p>
      <w:pPr>
        <w:pStyle w:val="Compact"/>
        <w:numPr>
          <w:ilvl w:val="0"/>
          <w:numId w:val="1001"/>
        </w:numPr>
      </w:pPr>
      <w:r>
        <w:rPr>
          <w:b/>
          <w:bCs/>
        </w:rPr>
        <w:t xml:space="preserve">Phase II:</w:t>
      </w:r>
      <w:r>
        <w:t xml:space="preserve"> </w:t>
      </w:r>
      <w:r>
        <w:t xml:space="preserve">Management presentations (August 2025, Portland HQ) and VDR-based confirmatory diligence for selected bidders.</w:t>
      </w:r>
    </w:p>
    <w:p>
      <w:pPr>
        <w:pStyle w:val="Compact"/>
        <w:numPr>
          <w:ilvl w:val="0"/>
          <w:numId w:val="1001"/>
        </w:numPr>
      </w:pPr>
      <w:r>
        <w:rPr>
          <w:b/>
          <w:bCs/>
        </w:rPr>
        <w:t xml:space="preserve">Phase III:</w:t>
      </w:r>
      <w:r>
        <w:t xml:space="preserve"> </w:t>
      </w:r>
      <w:r>
        <w:t xml:space="preserve">Final binding bids, draft SPA markup (Wexford, Mallory &amp; Chen LLP, seller’s counsel), targeted signing/closing</w:t>
      </w:r>
      <w:r>
        <w:t xml:space="preserve"> </w:t>
      </w:r>
      <w:r>
        <w:rPr>
          <w:b/>
          <w:bCs/>
        </w:rPr>
        <w:t xml:space="preserve">Q4 2025</w:t>
      </w:r>
      <w:r>
        <w:t xml:space="preserve">.</w:t>
      </w:r>
    </w:p>
    <w:p>
      <w:pPr>
        <w:pStyle w:val="FirstParagraph"/>
      </w:pPr>
      <w:r>
        <w:t xml:space="preserve">The IOI must address, at minimum: (1) an enterprise value range on a cash-free/debt-free basis with normalized NWC, specifying trailing vs. forward metrics and the implied Adjusted EBITDA multiple; (2) transaction structure, including treatment of existing debt, the Oakes-owned HQ real estate, and any rollover/earnout; (3) financing sources; (4) remaining diligence and timeline; (5) post-closing management/retention and accommodation of Mr. Oakes’s desired 18–24 month transition; (6) approvals and timeline to close; (7) relevant sector experience; and (8) contacts. Our buyer’s counsel is Calloway, Barrett &amp; Sims LLP; an independent quality-of-earnings (</w:t>
      </w:r>
      <w:r>
        <w:t xml:space="preserve">“</w:t>
      </w:r>
      <w:r>
        <w:t xml:space="preserve">QoE</w:t>
      </w:r>
      <w:r>
        <w:t xml:space="preserve">”</w:t>
      </w:r>
      <w:r>
        <w:t xml:space="preserve">) provider must be selected immediately given the financial-statement issues below.</w:t>
      </w:r>
    </w:p>
    <w:p>
      <w:r>
        <w:pict>
          <v:rect style="width:0;height:1.5pt" o:hralign="center" o:hrstd="t" o:hr="t"/>
        </w:pict>
      </w:r>
    </w:p>
    <w:bookmarkEnd w:id="21"/>
    <w:bookmarkStart w:id="22" w:name="Xcb1e0895d9238e06ace3f1a9677b329f2455ecf"/>
    <w:p>
      <w:pPr>
        <w:pStyle w:val="Heading2"/>
      </w:pPr>
      <w:r>
        <w:t xml:space="preserve">III. Business Overview and Investment Thesis (Genuine Strengths)</w:t>
      </w:r>
    </w:p>
    <w:p>
      <w:pPr>
        <w:pStyle w:val="FirstParagraph"/>
      </w:pPr>
      <w:r>
        <w:t xml:space="preserve">The following attributes are real and support continued pursuit of the asset. They are stated here so that the issues in subsequent sections are read in proper balance.</w:t>
      </w:r>
    </w:p>
    <w:p>
      <w:pPr>
        <w:numPr>
          <w:ilvl w:val="0"/>
          <w:numId w:val="1002"/>
        </w:numPr>
      </w:pPr>
      <w:r>
        <w:rPr>
          <w:b/>
          <w:bCs/>
        </w:rPr>
        <w:t xml:space="preserve">Established, integrated platform.</w:t>
      </w:r>
      <w:r>
        <w:t xml:space="preserve"> </w:t>
      </w:r>
      <w:r>
        <w:t xml:space="preserve">16+ years of continuous operation (founded 2009) across remediation, industrial cleaning, and emergency response. The integrated model supports cross-selling and reduces customer procurement complexity — a thesis corroborated by the CBR’s cross-selling commentary and our GreenWorks/Allied experience.</w:t>
      </w:r>
    </w:p>
    <w:p>
      <w:pPr>
        <w:numPr>
          <w:ilvl w:val="0"/>
          <w:numId w:val="1002"/>
        </w:numPr>
      </w:pPr>
      <w:r>
        <w:rPr>
          <w:b/>
          <w:bCs/>
        </w:rPr>
        <w:t xml:space="preserve">Hard-to-replicate regulatory credentials.</w:t>
      </w:r>
      <w:r>
        <w:t xml:space="preserve"> </w:t>
      </w:r>
      <w:r>
        <w:t xml:space="preserve">Oregon DEQ Contractor License (ENV-2009-04821), hazardous waste transporter permits in all four states (OR, WA, ID, CA), an EPA Generator ID, and licensed Professional Engineer (</w:t>
      </w:r>
      <w:r>
        <w:t xml:space="preserve">“</w:t>
      </w:r>
      <w:r>
        <w:t xml:space="preserve">PE</w:t>
      </w:r>
      <w:r>
        <w:t xml:space="preserve">”</w:t>
      </w:r>
      <w:r>
        <w:t xml:space="preserve">) sign-off capability. These permits and credentials take years to accumulate and constitute a genuine barrier to entry, consistent with the sector memo’s competitive-moat assessment.</w:t>
      </w:r>
    </w:p>
    <w:p>
      <w:pPr>
        <w:numPr>
          <w:ilvl w:val="0"/>
          <w:numId w:val="1002"/>
        </w:numPr>
      </w:pPr>
      <w:r>
        <w:rPr>
          <w:b/>
          <w:bCs/>
        </w:rPr>
        <w:t xml:space="preserve">Genuine revenue growth.</w:t>
      </w:r>
      <w:r>
        <w:t xml:space="preserve"> </w:t>
      </w:r>
      <w:r>
        <w:t xml:space="preserve">Reported revenue grew from $61.4 million (FY2021) to $87.3 million (FY2024), a 12.5% CAGR. Even after discounting the PFAS contribution, core remediation and industrial cleaning growth is credible and above the 5–10% sector norm.</w:t>
      </w:r>
    </w:p>
    <w:p>
      <w:pPr>
        <w:numPr>
          <w:ilvl w:val="0"/>
          <w:numId w:val="1002"/>
        </w:numPr>
      </w:pPr>
      <w:r>
        <w:rPr>
          <w:b/>
          <w:bCs/>
        </w:rPr>
        <w:t xml:space="preserve">Reported EBITDA margin within sector range.</w:t>
      </w:r>
      <w:r>
        <w:t xml:space="preserve"> </w:t>
      </w:r>
      <w:r>
        <w:t xml:space="preserve">Reported FY2024 EBITDA margin of 13.9% ($12.1 million) sits comfortably within the 10–15% sector benchmark for lower-middle-market environmental services companies — indicating a reasonably well-managed operation before the (questionable) adjustments.</w:t>
      </w:r>
    </w:p>
    <w:p>
      <w:pPr>
        <w:numPr>
          <w:ilvl w:val="0"/>
          <w:numId w:val="1002"/>
        </w:numPr>
      </w:pPr>
      <w:r>
        <w:rPr>
          <w:b/>
          <w:bCs/>
        </w:rPr>
        <w:t xml:space="preserve">Contracted backlog and pipeline.</w:t>
      </w:r>
      <w:r>
        <w:t xml:space="preserve"> </w:t>
      </w:r>
      <w:r>
        <w:t xml:space="preserve">$42.6 million contracted backlog plus $31.4 million pipeline = $74.0 million total revenue opportunity set as of December 31, 2024, providing meaningful near-term visibility (77.5% of backlog expected to convert within 12 months per the CBR).</w:t>
      </w:r>
    </w:p>
    <w:p>
      <w:pPr>
        <w:numPr>
          <w:ilvl w:val="0"/>
          <w:numId w:val="1002"/>
        </w:numPr>
      </w:pPr>
      <w:r>
        <w:rPr>
          <w:b/>
          <w:bCs/>
        </w:rPr>
        <w:t xml:space="preserve">PFAS regulatory tailwind is real at the sector level.</w:t>
      </w:r>
      <w:r>
        <w:t xml:space="preserve"> </w:t>
      </w:r>
      <w:r>
        <w:t xml:space="preserve">EPA’s 2024 national drinking water standards and Oregon/Washington state initiatives create a multi-decade demand cycle. CES’s early-mover PFAS practice ($6.2 million FY2024) is a legitimate strategic asset, even if the projected growth rate is not (see Section VII).</w:t>
      </w:r>
    </w:p>
    <w:p>
      <w:pPr>
        <w:numPr>
          <w:ilvl w:val="0"/>
          <w:numId w:val="1002"/>
        </w:numPr>
      </w:pPr>
      <w:r>
        <w:rPr>
          <w:b/>
          <w:bCs/>
        </w:rPr>
        <w:t xml:space="preserve">Diversified end markets and geography.</w:t>
      </w:r>
      <w:r>
        <w:t xml:space="preserve"> </w:t>
      </w:r>
      <w:r>
        <w:t xml:space="preserve">Six end-market sectors (no single sector &gt;25.7%) and a four-state footprint, with 90% historical MSA renewal rates and no top-10 customer losses in five years (per CBR).</w:t>
      </w:r>
    </w:p>
    <w:p>
      <w:pPr>
        <w:numPr>
          <w:ilvl w:val="0"/>
          <w:numId w:val="1002"/>
        </w:numPr>
      </w:pPr>
      <w:r>
        <w:rPr>
          <w:b/>
          <w:bCs/>
        </w:rPr>
        <w:t xml:space="preserve">Platform for consolidation.</w:t>
      </w:r>
      <w:r>
        <w:t xml:space="preserve"> </w:t>
      </w:r>
      <w:r>
        <w:t xml:space="preserve">The fragmented Pacific Northwest market and CES’s permit/operating infrastructure support a buy-and-build thesis, consistent with Fund III’s strategy.</w:t>
      </w:r>
    </w:p>
    <w:p>
      <w:r>
        <w:pict>
          <v:rect style="width:0;height:1.5pt" o:hralign="center" o:hrstd="t" o:hr="t"/>
        </w:pict>
      </w:r>
    </w:p>
    <w:bookmarkEnd w:id="22"/>
    <w:bookmarkStart w:id="23" w:name="iv.-summary-of-key-issues-issue-census"/>
    <w:p>
      <w:pPr>
        <w:pStyle w:val="Heading2"/>
      </w:pPr>
      <w:r>
        <w:t xml:space="preserve">IV. Summary of Key Issues (Issue Census)</w:t>
      </w:r>
    </w:p>
    <w:p>
      <w:pPr>
        <w:pStyle w:val="FirstParagraph"/>
      </w:pPr>
      <w:r>
        <w:t xml:space="preserve">The table below catalogs the issues identified in this review. Each is developed in the sections that follow. Severity is assessed as</w:t>
      </w:r>
      <w:r>
        <w:t xml:space="preserve"> </w:t>
      </w:r>
      <w:r>
        <w:rPr>
          <w:b/>
          <w:bCs/>
        </w:rPr>
        <w:t xml:space="preserve">High</w:t>
      </w:r>
      <w:r>
        <w:t xml:space="preserve"> </w:t>
      </w:r>
      <w:r>
        <w:t xml:space="preserve">(deal-pricing or deal-breaking),</w:t>
      </w:r>
      <w:r>
        <w:t xml:space="preserve"> </w:t>
      </w:r>
      <w:r>
        <w:rPr>
          <w:b/>
          <w:bCs/>
        </w:rPr>
        <w:t xml:space="preserve">Medium</w:t>
      </w:r>
      <w:r>
        <w:t xml:space="preserve"> </w:t>
      </w:r>
      <w:r>
        <w:t xml:space="preserve">(material to valuation or structure), or</w:t>
      </w:r>
      <w:r>
        <w:t xml:space="preserve"> </w:t>
      </w:r>
      <w:r>
        <w:rPr>
          <w:b/>
          <w:bCs/>
        </w:rPr>
        <w:t xml:space="preserve">Low</w:t>
      </w:r>
      <w:r>
        <w:t xml:space="preserve"> </w:t>
      </w:r>
      <w:r>
        <w:t xml:space="preserve">(verify in diligence).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Source(s)</w:t>
            </w:r>
          </w:p>
        </w:tc>
        <w:tc>
          <w:tcPr/>
          <w:p>
            <w:pPr>
              <w:pStyle w:val="Compact"/>
              <w:jc w:val="left"/>
            </w:pPr>
            <w:r>
              <w:t xml:space="preserve">Severity</w:t>
            </w:r>
          </w:p>
        </w:tc>
        <w:tc>
          <w:tcPr/>
          <w:p>
            <w:pPr>
              <w:pStyle w:val="Compact"/>
              <w:jc w:val="left"/>
            </w:pPr>
            <w:r>
              <w:t xml:space="preserve">Section</w:t>
            </w:r>
          </w:p>
        </w:tc>
      </w:tr>
      <w:tr>
        <w:tc>
          <w:tcPr/>
          <w:p>
            <w:pPr>
              <w:pStyle w:val="Compact"/>
              <w:jc w:val="left"/>
            </w:pPr>
            <w:r>
              <w:t xml:space="preserve">1</w:t>
            </w:r>
          </w:p>
        </w:tc>
        <w:tc>
          <w:tcPr/>
          <w:p>
            <w:pPr>
              <w:pStyle w:val="Compact"/>
              <w:jc w:val="left"/>
            </w:pPr>
            <w:r>
              <w:t xml:space="preserve">PNR (21.4% of revenue) MSA expired March 31, 2025 — before CIM date; renewal status undisclosed</w:t>
            </w:r>
          </w:p>
        </w:tc>
        <w:tc>
          <w:tcPr/>
          <w:p>
            <w:pPr>
              <w:pStyle w:val="Compact"/>
              <w:jc w:val="left"/>
            </w:pPr>
            <w:r>
              <w:t xml:space="preserve">CIM §V.B; CBR §3.2</w:t>
            </w:r>
          </w:p>
        </w:tc>
        <w:tc>
          <w:tcPr/>
          <w:p>
            <w:pPr>
              <w:pStyle w:val="Compact"/>
              <w:jc w:val="left"/>
            </w:pPr>
            <w:r>
              <w:rPr>
                <w:b/>
                <w:bCs/>
              </w:rPr>
              <w:t xml:space="preserve">High</w:t>
            </w:r>
          </w:p>
        </w:tc>
        <w:tc>
          <w:tcPr/>
          <w:p>
            <w:pPr>
              <w:pStyle w:val="Compact"/>
              <w:jc w:val="left"/>
            </w:pPr>
            <w:r>
              <w:t xml:space="preserve">VIII</w:t>
            </w:r>
          </w:p>
        </w:tc>
      </w:tr>
      <w:tr>
        <w:tc>
          <w:tcPr/>
          <w:p>
            <w:pPr>
              <w:pStyle w:val="Compact"/>
              <w:jc w:val="left"/>
            </w:pPr>
            <w:r>
              <w:t xml:space="preserve">2</w:t>
            </w:r>
          </w:p>
        </w:tc>
        <w:tc>
          <w:tcPr/>
          <w:p>
            <w:pPr>
              <w:pStyle w:val="Compact"/>
              <w:jc w:val="left"/>
            </w:pPr>
            <w:r>
              <w:t xml:space="preserve">CIM, CBR, and FE do not reconcile: balance sheet, income statement, cash flow, and segment history differ</w:t>
            </w:r>
          </w:p>
        </w:tc>
        <w:tc>
          <w:tcPr/>
          <w:p>
            <w:pPr>
              <w:pStyle w:val="Compact"/>
              <w:jc w:val="left"/>
            </w:pPr>
            <w:r>
              <w:t xml:space="preserve">CIM App. A; CBR; FE</w:t>
            </w:r>
          </w:p>
        </w:tc>
        <w:tc>
          <w:tcPr/>
          <w:p>
            <w:pPr>
              <w:pStyle w:val="Compact"/>
              <w:jc w:val="left"/>
            </w:pPr>
            <w:r>
              <w:rPr>
                <w:b/>
                <w:bCs/>
              </w:rPr>
              <w:t xml:space="preserve">High</w:t>
            </w:r>
          </w:p>
        </w:tc>
        <w:tc>
          <w:tcPr/>
          <w:p>
            <w:pPr>
              <w:pStyle w:val="Compact"/>
              <w:jc w:val="left"/>
            </w:pPr>
            <w:r>
              <w:t xml:space="preserve">V</w:t>
            </w:r>
          </w:p>
        </w:tc>
      </w:tr>
      <w:tr>
        <w:tc>
          <w:tcPr/>
          <w:p>
            <w:pPr>
              <w:pStyle w:val="Compact"/>
              <w:jc w:val="left"/>
            </w:pPr>
            <w:r>
              <w:t xml:space="preserve">3</w:t>
            </w:r>
          </w:p>
        </w:tc>
        <w:tc>
          <w:tcPr/>
          <w:p>
            <w:pPr>
              <w:pStyle w:val="Compact"/>
              <w:jc w:val="left"/>
            </w:pPr>
            <w:r>
              <w:t xml:space="preserve">FE income statement internally inconsistent: EBIT + D&amp;A ≠ EBITDA in every year</w:t>
            </w:r>
          </w:p>
        </w:tc>
        <w:tc>
          <w:tcPr/>
          <w:p>
            <w:pPr>
              <w:pStyle w:val="Compact"/>
              <w:jc w:val="left"/>
            </w:pPr>
            <w:r>
              <w:t xml:space="preserve">FE (Income Statement)</w:t>
            </w:r>
          </w:p>
        </w:tc>
        <w:tc>
          <w:tcPr/>
          <w:p>
            <w:pPr>
              <w:pStyle w:val="Compact"/>
              <w:jc w:val="left"/>
            </w:pPr>
            <w:r>
              <w:rPr>
                <w:b/>
                <w:bCs/>
              </w:rPr>
              <w:t xml:space="preserve">High</w:t>
            </w:r>
          </w:p>
        </w:tc>
        <w:tc>
          <w:tcPr/>
          <w:p>
            <w:pPr>
              <w:pStyle w:val="Compact"/>
              <w:jc w:val="left"/>
            </w:pPr>
            <w:r>
              <w:t xml:space="preserve">V</w:t>
            </w:r>
          </w:p>
        </w:tc>
      </w:tr>
      <w:tr>
        <w:tc>
          <w:tcPr/>
          <w:p>
            <w:pPr>
              <w:pStyle w:val="Compact"/>
              <w:jc w:val="left"/>
            </w:pPr>
            <w:r>
              <w:t xml:space="preserve">4</w:t>
            </w:r>
          </w:p>
        </w:tc>
        <w:tc>
          <w:tcPr/>
          <w:p>
            <w:pPr>
              <w:pStyle w:val="Compact"/>
              <w:jc w:val="left"/>
            </w:pPr>
            <w:r>
              <w:t xml:space="preserve">DEQ settlement ($875K) sits below EBITDA in FE yet is included in the $1.2M EBITDA add-back</w:t>
            </w:r>
          </w:p>
        </w:tc>
        <w:tc>
          <w:tcPr/>
          <w:p>
            <w:pPr>
              <w:pStyle w:val="Compact"/>
              <w:jc w:val="left"/>
            </w:pPr>
            <w:r>
              <w:t xml:space="preserve">FE; CIM §VI.C</w:t>
            </w:r>
          </w:p>
        </w:tc>
        <w:tc>
          <w:tcPr/>
          <w:p>
            <w:pPr>
              <w:pStyle w:val="Compact"/>
              <w:jc w:val="left"/>
            </w:pPr>
            <w:r>
              <w:rPr>
                <w:b/>
                <w:bCs/>
              </w:rPr>
              <w:t xml:space="preserve">High</w:t>
            </w:r>
          </w:p>
        </w:tc>
        <w:tc>
          <w:tcPr/>
          <w:p>
            <w:pPr>
              <w:pStyle w:val="Compact"/>
              <w:jc w:val="left"/>
            </w:pPr>
            <w:r>
              <w:t xml:space="preserve">VI</w:t>
            </w:r>
          </w:p>
        </w:tc>
      </w:tr>
      <w:tr>
        <w:tc>
          <w:tcPr/>
          <w:p>
            <w:pPr>
              <w:pStyle w:val="Compact"/>
              <w:jc w:val="left"/>
            </w:pPr>
            <w:r>
              <w:t xml:space="preserve">5</w:t>
            </w:r>
          </w:p>
        </w:tc>
        <w:tc>
          <w:tcPr/>
          <w:p>
            <w:pPr>
              <w:pStyle w:val="Compact"/>
              <w:jc w:val="left"/>
            </w:pPr>
            <w:r>
              <w:t xml:space="preserve">Above-market lease add-back ($800K) conflicts with CIM’s own market comp ($1.0M–$1.2M)</w:t>
            </w:r>
          </w:p>
        </w:tc>
        <w:tc>
          <w:tcPr/>
          <w:p>
            <w:pPr>
              <w:pStyle w:val="Compact"/>
              <w:jc w:val="left"/>
            </w:pPr>
            <w:r>
              <w:t xml:space="preserve">CIM §IV.C, §VI.C, §VIII.A</w:t>
            </w:r>
          </w:p>
        </w:tc>
        <w:tc>
          <w:tcPr/>
          <w:p>
            <w:pPr>
              <w:pStyle w:val="Compact"/>
              <w:jc w:val="left"/>
            </w:pPr>
            <w:r>
              <w:rPr>
                <w:b/>
                <w:bCs/>
              </w:rPr>
              <w:t xml:space="preserve">High</w:t>
            </w:r>
          </w:p>
        </w:tc>
        <w:tc>
          <w:tcPr/>
          <w:p>
            <w:pPr>
              <w:pStyle w:val="Compact"/>
              <w:jc w:val="left"/>
            </w:pPr>
            <w:r>
              <w:t xml:space="preserve">VI, XII</w:t>
            </w:r>
          </w:p>
        </w:tc>
      </w:tr>
      <w:tr>
        <w:tc>
          <w:tcPr/>
          <w:p>
            <w:pPr>
              <w:pStyle w:val="Compact"/>
              <w:jc w:val="left"/>
            </w:pPr>
            <w:r>
              <w:t xml:space="preserve">6</w:t>
            </w:r>
          </w:p>
        </w:tc>
        <w:tc>
          <w:tcPr/>
          <w:p>
            <w:pPr>
              <w:pStyle w:val="Compact"/>
              <w:jc w:val="left"/>
            </w:pPr>
            <w:r>
              <w:t xml:space="preserve">Regulatory add-back ($1.2M) treats recurring compliance costs as one-time</w:t>
            </w:r>
          </w:p>
        </w:tc>
        <w:tc>
          <w:tcPr/>
          <w:p>
            <w:pPr>
              <w:pStyle w:val="Compact"/>
              <w:jc w:val="left"/>
            </w:pPr>
            <w:r>
              <w:t xml:space="preserve">CIM §VI.C; Sector memo §5</w:t>
            </w:r>
          </w:p>
        </w:tc>
        <w:tc>
          <w:tcPr/>
          <w:p>
            <w:pPr>
              <w:pStyle w:val="Compact"/>
              <w:jc w:val="left"/>
            </w:pPr>
            <w:r>
              <w:rPr>
                <w:b/>
                <w:bCs/>
              </w:rPr>
              <w:t xml:space="preserve">High</w:t>
            </w:r>
          </w:p>
        </w:tc>
        <w:tc>
          <w:tcPr/>
          <w:p>
            <w:pPr>
              <w:pStyle w:val="Compact"/>
              <w:jc w:val="left"/>
            </w:pPr>
            <w:r>
              <w:t xml:space="preserve">VI, XI</w:t>
            </w:r>
          </w:p>
        </w:tc>
      </w:tr>
      <w:tr>
        <w:tc>
          <w:tcPr/>
          <w:p>
            <w:pPr>
              <w:pStyle w:val="Compact"/>
              <w:jc w:val="left"/>
            </w:pPr>
            <w:r>
              <w:t xml:space="preserve">7</w:t>
            </w:r>
          </w:p>
        </w:tc>
        <w:tc>
          <w:tcPr/>
          <w:p>
            <w:pPr>
              <w:pStyle w:val="Compact"/>
              <w:jc w:val="left"/>
            </w:pPr>
            <w:r>
              <w:t xml:space="preserve">PFAS projections (126% FY25E growth) ~3x achievable company-level rate; PE capacity just cut 33%</w:t>
            </w:r>
          </w:p>
        </w:tc>
        <w:tc>
          <w:tcPr/>
          <w:p>
            <w:pPr>
              <w:pStyle w:val="Compact"/>
              <w:jc w:val="left"/>
            </w:pPr>
            <w:r>
              <w:t xml:space="preserve">CIM §III.A, §VI.F; Sector memo §3</w:t>
            </w:r>
          </w:p>
        </w:tc>
        <w:tc>
          <w:tcPr/>
          <w:p>
            <w:pPr>
              <w:pStyle w:val="Compact"/>
              <w:jc w:val="left"/>
            </w:pPr>
            <w:r>
              <w:rPr>
                <w:b/>
                <w:bCs/>
              </w:rPr>
              <w:t xml:space="preserve">High</w:t>
            </w:r>
          </w:p>
        </w:tc>
        <w:tc>
          <w:tcPr/>
          <w:p>
            <w:pPr>
              <w:pStyle w:val="Compact"/>
              <w:jc w:val="left"/>
            </w:pPr>
            <w:r>
              <w:t xml:space="preserve">VII</w:t>
            </w:r>
          </w:p>
        </w:tc>
      </w:tr>
      <w:tr>
        <w:tc>
          <w:tcPr/>
          <w:p>
            <w:pPr>
              <w:pStyle w:val="Compact"/>
              <w:jc w:val="left"/>
            </w:pPr>
            <w:r>
              <w:t xml:space="preserve">8</w:t>
            </w:r>
          </w:p>
        </w:tc>
        <w:tc>
          <w:tcPr/>
          <w:p>
            <w:pPr>
              <w:pStyle w:val="Compact"/>
              <w:jc w:val="left"/>
            </w:pPr>
            <w:r>
              <w:t xml:space="preserve">Maintenance capex at 3.4% of revenue is 150–200 bps below the 5–7% sector floor; declining trend</w:t>
            </w:r>
          </w:p>
        </w:tc>
        <w:tc>
          <w:tcPr/>
          <w:p>
            <w:pPr>
              <w:pStyle w:val="Compact"/>
              <w:jc w:val="left"/>
            </w:pPr>
            <w:r>
              <w:t xml:space="preserve">CIM §VI.E; FE (Capex); Sector memo §4.2</w:t>
            </w:r>
          </w:p>
        </w:tc>
        <w:tc>
          <w:tcPr/>
          <w:p>
            <w:pPr>
              <w:pStyle w:val="Compact"/>
              <w:jc w:val="left"/>
            </w:pPr>
            <w:r>
              <w:rPr>
                <w:b/>
                <w:bCs/>
              </w:rPr>
              <w:t xml:space="preserve">High</w:t>
            </w:r>
          </w:p>
        </w:tc>
        <w:tc>
          <w:tcPr/>
          <w:p>
            <w:pPr>
              <w:pStyle w:val="Compact"/>
              <w:jc w:val="left"/>
            </w:pPr>
            <w:r>
              <w:t xml:space="preserve">IX</w:t>
            </w:r>
          </w:p>
        </w:tc>
      </w:tr>
      <w:tr>
        <w:tc>
          <w:tcPr/>
          <w:p>
            <w:pPr>
              <w:pStyle w:val="Compact"/>
              <w:jc w:val="left"/>
            </w:pPr>
            <w:r>
              <w:t xml:space="preserve">9</w:t>
            </w:r>
          </w:p>
        </w:tc>
        <w:tc>
          <w:tcPr/>
          <w:p>
            <w:pPr>
              <w:pStyle w:val="Compact"/>
              <w:jc w:val="left"/>
            </w:pPr>
            <w:r>
              <w:t xml:space="preserve">Stated DSO of 52 days does not reconcile to balance sheet (implied ~71 days)</w:t>
            </w:r>
          </w:p>
        </w:tc>
        <w:tc>
          <w:tcPr/>
          <w:p>
            <w:pPr>
              <w:pStyle w:val="Compact"/>
              <w:jc w:val="left"/>
            </w:pPr>
            <w:r>
              <w:t xml:space="preserve">CIM §V.C; FE (Balance Sheet)</w:t>
            </w:r>
          </w:p>
        </w:tc>
        <w:tc>
          <w:tcPr/>
          <w:p>
            <w:pPr>
              <w:pStyle w:val="Compact"/>
              <w:jc w:val="left"/>
            </w:pPr>
            <w:r>
              <w:rPr>
                <w:b/>
                <w:bCs/>
              </w:rPr>
              <w:t xml:space="preserve">High</w:t>
            </w:r>
          </w:p>
        </w:tc>
        <w:tc>
          <w:tcPr/>
          <w:p>
            <w:pPr>
              <w:pStyle w:val="Compact"/>
              <w:jc w:val="left"/>
            </w:pPr>
            <w:r>
              <w:t xml:space="preserve">X</w:t>
            </w:r>
          </w:p>
        </w:tc>
      </w:tr>
      <w:tr>
        <w:tc>
          <w:tcPr/>
          <w:p>
            <w:pPr>
              <w:pStyle w:val="Compact"/>
              <w:jc w:val="left"/>
            </w:pPr>
            <w:r>
              <w:t xml:space="preserve">10</w:t>
            </w:r>
          </w:p>
        </w:tc>
        <w:tc>
          <w:tcPr/>
          <w:p>
            <w:pPr>
              <w:pStyle w:val="Compact"/>
              <w:jc w:val="left"/>
            </w:pPr>
            <w:r>
              <w:t xml:space="preserve">Top-10 customer identities differ entirely between CIM and CBR (customers #6–#10)</w:t>
            </w:r>
          </w:p>
        </w:tc>
        <w:tc>
          <w:tcPr/>
          <w:p>
            <w:pPr>
              <w:pStyle w:val="Compact"/>
              <w:jc w:val="left"/>
            </w:pPr>
            <w:r>
              <w:t xml:space="preserve">CIM §V.B; CBR §3.2</w:t>
            </w:r>
          </w:p>
        </w:tc>
        <w:tc>
          <w:tcPr/>
          <w:p>
            <w:pPr>
              <w:pStyle w:val="Compact"/>
              <w:jc w:val="left"/>
            </w:pPr>
            <w:r>
              <w:rPr>
                <w:b/>
                <w:bCs/>
              </w:rPr>
              <w:t xml:space="preserve">High</w:t>
            </w:r>
          </w:p>
        </w:tc>
        <w:tc>
          <w:tcPr/>
          <w:p>
            <w:pPr>
              <w:pStyle w:val="Compact"/>
              <w:jc w:val="left"/>
            </w:pPr>
            <w:r>
              <w:t xml:space="preserve">V, VIII</w:t>
            </w:r>
          </w:p>
        </w:tc>
      </w:tr>
      <w:tr>
        <w:tc>
          <w:tcPr/>
          <w:p>
            <w:pPr>
              <w:pStyle w:val="Compact"/>
              <w:jc w:val="left"/>
            </w:pPr>
            <w:r>
              <w:t xml:space="preserve">11</w:t>
            </w:r>
          </w:p>
        </w:tc>
        <w:tc>
          <w:tcPr/>
          <w:p>
            <w:pPr>
              <w:pStyle w:val="Compact"/>
              <w:jc w:val="left"/>
            </w:pPr>
            <w:r>
              <w:t xml:space="preserve">Multiple customer relationship start-dates conflict between CIM and CBR</w:t>
            </w:r>
          </w:p>
        </w:tc>
        <w:tc>
          <w:tcPr/>
          <w:p>
            <w:pPr>
              <w:pStyle w:val="Compact"/>
              <w:jc w:val="left"/>
            </w:pPr>
            <w:r>
              <w:t xml:space="preserve">CIM §V.A; CBR §3.2</w:t>
            </w:r>
          </w:p>
        </w:tc>
        <w:tc>
          <w:tcPr/>
          <w:p>
            <w:pPr>
              <w:pStyle w:val="Compact"/>
              <w:jc w:val="left"/>
            </w:pPr>
            <w:r>
              <w:t xml:space="preserve">Medium</w:t>
            </w:r>
          </w:p>
        </w:tc>
        <w:tc>
          <w:tcPr/>
          <w:p>
            <w:pPr>
              <w:pStyle w:val="Compact"/>
              <w:jc w:val="left"/>
            </w:pPr>
            <w:r>
              <w:t xml:space="preserve">V, VIII</w:t>
            </w:r>
          </w:p>
        </w:tc>
      </w:tr>
      <w:tr>
        <w:tc>
          <w:tcPr/>
          <w:p>
            <w:pPr>
              <w:pStyle w:val="Compact"/>
              <w:jc w:val="left"/>
            </w:pPr>
            <w:r>
              <w:t xml:space="preserve">12</w:t>
            </w:r>
          </w:p>
        </w:tc>
        <w:tc>
          <w:tcPr/>
          <w:p>
            <w:pPr>
              <w:pStyle w:val="Compact"/>
              <w:jc w:val="left"/>
            </w:pPr>
            <w:r>
              <w:t xml:space="preserve">Geographic revenue split: CIM</w:t>
            </w:r>
            <w:r>
              <w:t xml:space="preserve"> </w:t>
            </w:r>
            <w:r>
              <w:t xml:space="preserve">“</w:t>
            </w:r>
            <w:r>
              <w:t xml:space="preserve">≈75% OR+WA</w:t>
            </w:r>
            <w:r>
              <w:t xml:space="preserve">”</w:t>
            </w:r>
            <w:r>
              <w:t xml:space="preserve"> </w:t>
            </w:r>
            <w:r>
              <w:t xml:space="preserve">vs. CBR 82.3% OR+WA</w:t>
            </w:r>
          </w:p>
        </w:tc>
        <w:tc>
          <w:tcPr/>
          <w:p>
            <w:pPr>
              <w:pStyle w:val="Compact"/>
              <w:jc w:val="left"/>
            </w:pPr>
            <w:r>
              <w:t xml:space="preserve">CIM §II.C; CBR App. A</w:t>
            </w:r>
          </w:p>
        </w:tc>
        <w:tc>
          <w:tcPr/>
          <w:p>
            <w:pPr>
              <w:pStyle w:val="Compact"/>
              <w:jc w:val="left"/>
            </w:pPr>
            <w:r>
              <w:t xml:space="preserve">Medium</w:t>
            </w:r>
          </w:p>
        </w:tc>
        <w:tc>
          <w:tcPr/>
          <w:p>
            <w:pPr>
              <w:pStyle w:val="Compact"/>
              <w:jc w:val="left"/>
            </w:pPr>
            <w:r>
              <w:t xml:space="preserve">V</w:t>
            </w:r>
          </w:p>
        </w:tc>
      </w:tr>
      <w:tr>
        <w:tc>
          <w:tcPr/>
          <w:p>
            <w:pPr>
              <w:pStyle w:val="Compact"/>
              <w:jc w:val="left"/>
            </w:pPr>
            <w:r>
              <w:t xml:space="preserve">13</w:t>
            </w:r>
          </w:p>
        </w:tc>
        <w:tc>
          <w:tcPr/>
          <w:p>
            <w:pPr>
              <w:pStyle w:val="Compact"/>
              <w:jc w:val="left"/>
            </w:pPr>
            <w:r>
              <w:t xml:space="preserve">Owner compensation add-back includes undisclosed</w:t>
            </w:r>
            <w:r>
              <w:t xml:space="preserve"> </w:t>
            </w:r>
            <w:r>
              <w:t xml:space="preserve">“</w:t>
            </w:r>
            <w:r>
              <w:t xml:space="preserve">personal expenses allocated to the Company</w:t>
            </w:r>
            <w:r>
              <w:t xml:space="preserve">”</w:t>
            </w:r>
          </w:p>
        </w:tc>
        <w:tc>
          <w:tcPr/>
          <w:p>
            <w:pPr>
              <w:pStyle w:val="Compact"/>
              <w:jc w:val="left"/>
            </w:pPr>
            <w:r>
              <w:t xml:space="preserve">CIM §VI.C, §VII.C</w:t>
            </w:r>
          </w:p>
        </w:tc>
        <w:tc>
          <w:tcPr/>
          <w:p>
            <w:pPr>
              <w:pStyle w:val="Compact"/>
              <w:jc w:val="left"/>
            </w:pPr>
            <w:r>
              <w:t xml:space="preserve">Medium</w:t>
            </w:r>
          </w:p>
        </w:tc>
        <w:tc>
          <w:tcPr/>
          <w:p>
            <w:pPr>
              <w:pStyle w:val="Compact"/>
              <w:jc w:val="left"/>
            </w:pPr>
            <w:r>
              <w:t xml:space="preserve">VI</w:t>
            </w:r>
          </w:p>
        </w:tc>
      </w:tr>
      <w:tr>
        <w:tc>
          <w:tcPr/>
          <w:p>
            <w:pPr>
              <w:pStyle w:val="Compact"/>
              <w:jc w:val="left"/>
            </w:pPr>
            <w:r>
              <w:t xml:space="preserve">14</w:t>
            </w:r>
          </w:p>
        </w:tc>
        <w:tc>
          <w:tcPr/>
          <w:p>
            <w:pPr>
              <w:pStyle w:val="Compact"/>
              <w:jc w:val="left"/>
            </w:pPr>
            <w:r>
              <w:t xml:space="preserve">Phantom equity cash settlement at closing is unquantified and excluded from debt/EV bridge</w:t>
            </w:r>
          </w:p>
        </w:tc>
        <w:tc>
          <w:tcPr/>
          <w:p>
            <w:pPr>
              <w:pStyle w:val="Compact"/>
              <w:jc w:val="left"/>
            </w:pPr>
            <w:r>
              <w:t xml:space="preserve">CIM §II.B, §VI.C</w:t>
            </w:r>
          </w:p>
        </w:tc>
        <w:tc>
          <w:tcPr/>
          <w:p>
            <w:pPr>
              <w:pStyle w:val="Compact"/>
              <w:jc w:val="left"/>
            </w:pPr>
            <w:r>
              <w:t xml:space="preserve">Medium</w:t>
            </w:r>
          </w:p>
        </w:tc>
        <w:tc>
          <w:tcPr/>
          <w:p>
            <w:pPr>
              <w:pStyle w:val="Compact"/>
              <w:jc w:val="left"/>
            </w:pPr>
            <w:r>
              <w:t xml:space="preserve">VI, XIII</w:t>
            </w:r>
          </w:p>
        </w:tc>
      </w:tr>
      <w:tr>
        <w:tc>
          <w:tcPr/>
          <w:p>
            <w:pPr>
              <w:pStyle w:val="Compact"/>
              <w:jc w:val="left"/>
            </w:pPr>
            <w:r>
              <w:t xml:space="preserve">15</w:t>
            </w:r>
          </w:p>
        </w:tc>
        <w:tc>
          <w:tcPr/>
          <w:p>
            <w:pPr>
              <w:pStyle w:val="Compact"/>
              <w:jc w:val="left"/>
            </w:pPr>
            <w:r>
              <w:t xml:space="preserve">Equipment-relocation add-back ($400K) is arguably growth capex, not non-recurring</w:t>
            </w:r>
          </w:p>
        </w:tc>
        <w:tc>
          <w:tcPr/>
          <w:p>
            <w:pPr>
              <w:pStyle w:val="Compact"/>
              <w:jc w:val="left"/>
            </w:pPr>
            <w:r>
              <w:t xml:space="preserve">CIM §VI.C; FE (Capex)</w:t>
            </w:r>
          </w:p>
        </w:tc>
        <w:tc>
          <w:tcPr/>
          <w:p>
            <w:pPr>
              <w:pStyle w:val="Compact"/>
              <w:jc w:val="left"/>
            </w:pPr>
            <w:r>
              <w:t xml:space="preserve">Medium</w:t>
            </w:r>
          </w:p>
        </w:tc>
        <w:tc>
          <w:tcPr/>
          <w:p>
            <w:pPr>
              <w:pStyle w:val="Compact"/>
              <w:jc w:val="left"/>
            </w:pPr>
            <w:r>
              <w:t xml:space="preserve">VI</w:t>
            </w:r>
          </w:p>
        </w:tc>
      </w:tr>
      <w:tr>
        <w:tc>
          <w:tcPr/>
          <w:p>
            <w:pPr>
              <w:pStyle w:val="Compact"/>
              <w:jc w:val="left"/>
            </w:pPr>
            <w:r>
              <w:t xml:space="preserve">16</w:t>
            </w:r>
          </w:p>
        </w:tc>
        <w:tc>
          <w:tcPr/>
          <w:p>
            <w:pPr>
              <w:pStyle w:val="Compact"/>
              <w:jc w:val="left"/>
            </w:pPr>
            <w:r>
              <w:t xml:space="preserve">FE retained-earnings roll-forward does not tie to net income less distributions</w:t>
            </w:r>
          </w:p>
        </w:tc>
        <w:tc>
          <w:tcPr/>
          <w:p>
            <w:pPr>
              <w:pStyle w:val="Compact"/>
              <w:jc w:val="left"/>
            </w:pPr>
            <w:r>
              <w:t xml:space="preserve">FE (Balance Sheet, Cash Flow)</w:t>
            </w:r>
          </w:p>
        </w:tc>
        <w:tc>
          <w:tcPr/>
          <w:p>
            <w:pPr>
              <w:pStyle w:val="Compact"/>
              <w:jc w:val="left"/>
            </w:pPr>
            <w:r>
              <w:t xml:space="preserve">Medium</w:t>
            </w:r>
          </w:p>
        </w:tc>
        <w:tc>
          <w:tcPr/>
          <w:p>
            <w:pPr>
              <w:pStyle w:val="Compact"/>
              <w:jc w:val="left"/>
            </w:pPr>
            <w:r>
              <w:t xml:space="preserve">V</w:t>
            </w:r>
          </w:p>
        </w:tc>
      </w:tr>
      <w:tr>
        <w:tc>
          <w:tcPr/>
          <w:p>
            <w:pPr>
              <w:pStyle w:val="Compact"/>
              <w:jc w:val="left"/>
            </w:pPr>
            <w:r>
              <w:t xml:space="preserve">17</w:t>
            </w:r>
          </w:p>
        </w:tc>
        <w:tc>
          <w:tcPr/>
          <w:p>
            <w:pPr>
              <w:pStyle w:val="Compact"/>
              <w:jc w:val="left"/>
            </w:pPr>
            <w:r>
              <w:t xml:space="preserve">$2.5M goodwill/intangibles with no acquisition history disclosed</w:t>
            </w:r>
          </w:p>
        </w:tc>
        <w:tc>
          <w:tcPr/>
          <w:p>
            <w:pPr>
              <w:pStyle w:val="Compact"/>
              <w:jc w:val="left"/>
            </w:pPr>
            <w:r>
              <w:t xml:space="preserve">CIM §II.A; FE (Balance Sheet)</w:t>
            </w:r>
          </w:p>
        </w:tc>
        <w:tc>
          <w:tcPr/>
          <w:p>
            <w:pPr>
              <w:pStyle w:val="Compact"/>
              <w:jc w:val="left"/>
            </w:pPr>
            <w:r>
              <w:t xml:space="preserve">Medium</w:t>
            </w:r>
          </w:p>
        </w:tc>
        <w:tc>
          <w:tcPr/>
          <w:p>
            <w:pPr>
              <w:pStyle w:val="Compact"/>
              <w:jc w:val="left"/>
            </w:pPr>
            <w:r>
              <w:t xml:space="preserve">V</w:t>
            </w:r>
          </w:p>
        </w:tc>
      </w:tr>
      <w:tr>
        <w:tc>
          <w:tcPr/>
          <w:p>
            <w:pPr>
              <w:pStyle w:val="Compact"/>
              <w:jc w:val="left"/>
            </w:pPr>
            <w:r>
              <w:t xml:space="preserve">18</w:t>
            </w:r>
          </w:p>
        </w:tc>
        <w:tc>
          <w:tcPr/>
          <w:p>
            <w:pPr>
              <w:pStyle w:val="Compact"/>
              <w:jc w:val="left"/>
            </w:pPr>
            <w:r>
              <w:t xml:space="preserve">Founder transition (18–24 months) and concentrated decision-making = key-person risk</w:t>
            </w:r>
          </w:p>
        </w:tc>
        <w:tc>
          <w:tcPr/>
          <w:p>
            <w:pPr>
              <w:pStyle w:val="Compact"/>
              <w:jc w:val="left"/>
            </w:pPr>
            <w:r>
              <w:t xml:space="preserve">CIM §II.B, §VII.B; Process Letter</w:t>
            </w:r>
          </w:p>
        </w:tc>
        <w:tc>
          <w:tcPr/>
          <w:p>
            <w:pPr>
              <w:pStyle w:val="Compact"/>
              <w:jc w:val="left"/>
            </w:pPr>
            <w:r>
              <w:t xml:space="preserve">Medium</w:t>
            </w:r>
          </w:p>
        </w:tc>
        <w:tc>
          <w:tcPr/>
          <w:p>
            <w:pPr>
              <w:pStyle w:val="Compact"/>
              <w:jc w:val="left"/>
            </w:pPr>
            <w:r>
              <w:t xml:space="preserve">XIII</w:t>
            </w:r>
          </w:p>
        </w:tc>
      </w:tr>
      <w:tr>
        <w:tc>
          <w:tcPr/>
          <w:p>
            <w:pPr>
              <w:pStyle w:val="Compact"/>
              <w:jc w:val="left"/>
            </w:pPr>
            <w:r>
              <w:t xml:space="preserve">19</w:t>
            </w:r>
          </w:p>
        </w:tc>
        <w:tc>
          <w:tcPr/>
          <w:p>
            <w:pPr>
              <w:pStyle w:val="Compact"/>
              <w:jc w:val="left"/>
            </w:pPr>
            <w:r>
              <w:t xml:space="preserve">PE headcount fell 3→2 in Jan 2025; no replacement plan; PE market is tight (6–12 month hire)</w:t>
            </w:r>
          </w:p>
        </w:tc>
        <w:tc>
          <w:tcPr/>
          <w:p>
            <w:pPr>
              <w:pStyle w:val="Compact"/>
              <w:jc w:val="left"/>
            </w:pPr>
            <w:r>
              <w:t xml:space="preserve">CIM §II.D.6; Sector memo §3.2</w:t>
            </w:r>
          </w:p>
        </w:tc>
        <w:tc>
          <w:tcPr/>
          <w:p>
            <w:pPr>
              <w:pStyle w:val="Compact"/>
              <w:jc w:val="left"/>
            </w:pPr>
            <w:r>
              <w:t xml:space="preserve">Medium</w:t>
            </w:r>
          </w:p>
        </w:tc>
        <w:tc>
          <w:tcPr/>
          <w:p>
            <w:pPr>
              <w:pStyle w:val="Compact"/>
              <w:jc w:val="left"/>
            </w:pPr>
            <w:r>
              <w:t xml:space="preserve">VII, XIII</w:t>
            </w:r>
          </w:p>
        </w:tc>
      </w:tr>
      <w:tr>
        <w:tc>
          <w:tcPr/>
          <w:p>
            <w:pPr>
              <w:pStyle w:val="Compact"/>
              <w:jc w:val="left"/>
            </w:pPr>
            <w:r>
              <w:t xml:space="preserve">20</w:t>
            </w:r>
          </w:p>
        </w:tc>
        <w:tc>
          <w:tcPr/>
          <w:p>
            <w:pPr>
              <w:pStyle w:val="Compact"/>
              <w:jc w:val="left"/>
            </w:pPr>
            <w:r>
              <w:t xml:space="preserve">Sell-side implied EV ($137M–$171M) exceeds Fund III’s $30M–$100M target range</w:t>
            </w:r>
          </w:p>
        </w:tc>
        <w:tc>
          <w:tcPr/>
          <w:p>
            <w:pPr>
              <w:pStyle w:val="Compact"/>
              <w:jc w:val="left"/>
            </w:pPr>
            <w:r>
              <w:t xml:space="preserve">CIM §I, §X.C; Sector memo §1</w:t>
            </w:r>
          </w:p>
        </w:tc>
        <w:tc>
          <w:tcPr/>
          <w:p>
            <w:pPr>
              <w:pStyle w:val="Compact"/>
              <w:jc w:val="left"/>
            </w:pPr>
            <w:r>
              <w:t xml:space="preserve">Medium</w:t>
            </w:r>
          </w:p>
        </w:tc>
        <w:tc>
          <w:tcPr/>
          <w:p>
            <w:pPr>
              <w:pStyle w:val="Compact"/>
              <w:jc w:val="left"/>
            </w:pPr>
            <w:r>
              <w:t xml:space="preserve">XIV</w:t>
            </w:r>
          </w:p>
        </w:tc>
      </w:tr>
      <w:tr>
        <w:tc>
          <w:tcPr/>
          <w:p>
            <w:pPr>
              <w:pStyle w:val="Compact"/>
              <w:jc w:val="left"/>
            </w:pPr>
            <w:r>
              <w:t xml:space="preserve">21</w:t>
            </w:r>
          </w:p>
        </w:tc>
        <w:tc>
          <w:tcPr/>
          <w:p>
            <w:pPr>
              <w:pStyle w:val="Compact"/>
              <w:jc w:val="left"/>
            </w:pPr>
            <w:r>
              <w:t xml:space="preserve">Thin reported FCF (~$2.0M–$2.8M) limits debt-service capacity; sensitive to capex normalization</w:t>
            </w:r>
          </w:p>
        </w:tc>
        <w:tc>
          <w:tcPr/>
          <w:p>
            <w:pPr>
              <w:pStyle w:val="Compact"/>
              <w:jc w:val="left"/>
            </w:pPr>
            <w:r>
              <w:t xml:space="preserve">CIM App. A; FE (Cash Flow)</w:t>
            </w:r>
          </w:p>
        </w:tc>
        <w:tc>
          <w:tcPr/>
          <w:p>
            <w:pPr>
              <w:pStyle w:val="Compact"/>
              <w:jc w:val="left"/>
            </w:pPr>
            <w:r>
              <w:t xml:space="preserve">Medium</w:t>
            </w:r>
          </w:p>
        </w:tc>
        <w:tc>
          <w:tcPr/>
          <w:p>
            <w:pPr>
              <w:pStyle w:val="Compact"/>
              <w:jc w:val="left"/>
            </w:pPr>
            <w:r>
              <w:t xml:space="preserve">IX, XIV</w:t>
            </w:r>
          </w:p>
        </w:tc>
      </w:tr>
      <w:tr>
        <w:tc>
          <w:tcPr/>
          <w:p>
            <w:pPr>
              <w:pStyle w:val="Compact"/>
              <w:jc w:val="left"/>
            </w:pPr>
            <w:r>
              <w:t xml:space="preserve">22</w:t>
            </w:r>
          </w:p>
        </w:tc>
        <w:tc>
          <w:tcPr/>
          <w:p>
            <w:pPr>
              <w:pStyle w:val="Compact"/>
              <w:jc w:val="left"/>
            </w:pPr>
            <w:r>
              <w:t xml:space="preserve">Cyclical end-market exposure (Oil &amp; Gas/Refining 25.7%; manufacturing 16.7%)</w:t>
            </w:r>
          </w:p>
        </w:tc>
        <w:tc>
          <w:tcPr/>
          <w:p>
            <w:pPr>
              <w:pStyle w:val="Compact"/>
              <w:jc w:val="left"/>
            </w:pPr>
            <w:r>
              <w:t xml:space="preserve">CBR §4.1; Sector memo §2.2</w:t>
            </w:r>
          </w:p>
        </w:tc>
        <w:tc>
          <w:tcPr/>
          <w:p>
            <w:pPr>
              <w:pStyle w:val="Compact"/>
              <w:jc w:val="left"/>
            </w:pPr>
            <w:r>
              <w:t xml:space="preserve">Medium</w:t>
            </w:r>
          </w:p>
        </w:tc>
        <w:tc>
          <w:tcPr/>
          <w:p>
            <w:pPr>
              <w:pStyle w:val="Compact"/>
              <w:jc w:val="left"/>
            </w:pPr>
            <w:r>
              <w:t xml:space="preserve">VIII</w:t>
            </w:r>
          </w:p>
        </w:tc>
      </w:tr>
      <w:tr>
        <w:tc>
          <w:tcPr/>
          <w:p>
            <w:pPr>
              <w:pStyle w:val="Compact"/>
              <w:jc w:val="left"/>
            </w:pPr>
            <w:r>
              <w:t xml:space="preserve">23</w:t>
            </w:r>
          </w:p>
        </w:tc>
        <w:tc>
          <w:tcPr/>
          <w:p>
            <w:pPr>
              <w:pStyle w:val="Compact"/>
              <w:jc w:val="left"/>
            </w:pPr>
            <w:r>
              <w:t xml:space="preserve">Several top-5 contracts expire in 2025 or are month-to-month (~34% of revenue)</w:t>
            </w:r>
          </w:p>
        </w:tc>
        <w:tc>
          <w:tcPr/>
          <w:p>
            <w:pPr>
              <w:pStyle w:val="Compact"/>
              <w:jc w:val="left"/>
            </w:pPr>
            <w:r>
              <w:t xml:space="preserve">CIM §V.B; CBR §3.2</w:t>
            </w:r>
          </w:p>
        </w:tc>
        <w:tc>
          <w:tcPr/>
          <w:p>
            <w:pPr>
              <w:pStyle w:val="Compact"/>
              <w:jc w:val="left"/>
            </w:pPr>
            <w:r>
              <w:t xml:space="preserve">Medium</w:t>
            </w:r>
          </w:p>
        </w:tc>
        <w:tc>
          <w:tcPr/>
          <w:p>
            <w:pPr>
              <w:pStyle w:val="Compact"/>
              <w:jc w:val="left"/>
            </w:pPr>
            <w:r>
              <w:t xml:space="preserve">VIII</w:t>
            </w:r>
          </w:p>
        </w:tc>
      </w:tr>
      <w:tr>
        <w:tc>
          <w:tcPr/>
          <w:p>
            <w:pPr>
              <w:pStyle w:val="Compact"/>
              <w:jc w:val="left"/>
            </w:pPr>
            <w:r>
              <w:t xml:space="preserve">24</w:t>
            </w:r>
          </w:p>
        </w:tc>
        <w:tc>
          <w:tcPr/>
          <w:p>
            <w:pPr>
              <w:pStyle w:val="Compact"/>
              <w:jc w:val="left"/>
            </w:pPr>
            <w:r>
              <w:t xml:space="preserve">CBR references a Sacramento satellite office not listed in CIM’s facilities</w:t>
            </w:r>
          </w:p>
        </w:tc>
        <w:tc>
          <w:tcPr/>
          <w:p>
            <w:pPr>
              <w:pStyle w:val="Compact"/>
              <w:jc w:val="left"/>
            </w:pPr>
            <w:r>
              <w:t xml:space="preserve">CIM §II.C, §VIII; CBR §8</w:t>
            </w:r>
          </w:p>
        </w:tc>
        <w:tc>
          <w:tcPr/>
          <w:p>
            <w:pPr>
              <w:pStyle w:val="Compact"/>
              <w:jc w:val="left"/>
            </w:pPr>
            <w:r>
              <w:t xml:space="preserve">Low</w:t>
            </w:r>
          </w:p>
        </w:tc>
        <w:tc>
          <w:tcPr/>
          <w:p>
            <w:pPr>
              <w:pStyle w:val="Compact"/>
              <w:jc w:val="left"/>
            </w:pPr>
            <w:r>
              <w:t xml:space="preserve">V</w:t>
            </w:r>
          </w:p>
        </w:tc>
      </w:tr>
      <w:tr>
        <w:tc>
          <w:tcPr/>
          <w:p>
            <w:pPr>
              <w:pStyle w:val="Compact"/>
              <w:jc w:val="left"/>
            </w:pPr>
            <w:r>
              <w:t xml:space="preserve">25</w:t>
            </w:r>
          </w:p>
        </w:tc>
        <w:tc>
          <w:tcPr/>
          <w:p>
            <w:pPr>
              <w:pStyle w:val="Compact"/>
              <w:jc w:val="left"/>
            </w:pPr>
            <w:r>
              <w:t xml:space="preserve">Permit transferability on change of control not addressed</w:t>
            </w:r>
          </w:p>
        </w:tc>
        <w:tc>
          <w:tcPr/>
          <w:p>
            <w:pPr>
              <w:pStyle w:val="Compact"/>
              <w:jc w:val="left"/>
            </w:pPr>
            <w:r>
              <w:t xml:space="preserve">CIM App. D</w:t>
            </w:r>
          </w:p>
        </w:tc>
        <w:tc>
          <w:tcPr/>
          <w:p>
            <w:pPr>
              <w:pStyle w:val="Compact"/>
              <w:jc w:val="left"/>
            </w:pPr>
            <w:r>
              <w:t xml:space="preserve">Low</w:t>
            </w:r>
          </w:p>
        </w:tc>
        <w:tc>
          <w:tcPr/>
          <w:p>
            <w:pPr>
              <w:pStyle w:val="Compact"/>
              <w:jc w:val="left"/>
            </w:pPr>
            <w:r>
              <w:t xml:space="preserve">XI</w:t>
            </w:r>
          </w:p>
        </w:tc>
      </w:tr>
      <w:tr>
        <w:tc>
          <w:tcPr/>
          <w:p>
            <w:pPr>
              <w:pStyle w:val="Compact"/>
              <w:jc w:val="left"/>
            </w:pPr>
            <w:r>
              <w:t xml:space="preserve">26</w:t>
            </w:r>
          </w:p>
        </w:tc>
        <w:tc>
          <w:tcPr/>
          <w:p>
            <w:pPr>
              <w:pStyle w:val="Compact"/>
              <w:jc w:val="left"/>
            </w:pPr>
            <w:r>
              <w:t xml:space="preserve">Unbilled revenue ($2.7M, growing) not discussed in CIM; revenue-recognition diligence needed</w:t>
            </w:r>
          </w:p>
        </w:tc>
        <w:tc>
          <w:tcPr/>
          <w:p>
            <w:pPr>
              <w:pStyle w:val="Compact"/>
              <w:jc w:val="left"/>
            </w:pPr>
            <w:r>
              <w:t xml:space="preserve">FE (Balance Sheet)</w:t>
            </w:r>
          </w:p>
        </w:tc>
        <w:tc>
          <w:tcPr/>
          <w:p>
            <w:pPr>
              <w:pStyle w:val="Compact"/>
              <w:jc w:val="left"/>
            </w:pPr>
            <w:r>
              <w:t xml:space="preserve">Low</w:t>
            </w:r>
          </w:p>
        </w:tc>
        <w:tc>
          <w:tcPr/>
          <w:p>
            <w:pPr>
              <w:pStyle w:val="Compact"/>
              <w:jc w:val="left"/>
            </w:pPr>
            <w:r>
              <w:t xml:space="preserve">X</w:t>
            </w:r>
          </w:p>
        </w:tc>
      </w:tr>
      <w:tr>
        <w:tc>
          <w:tcPr/>
          <w:p>
            <w:pPr>
              <w:pStyle w:val="Compact"/>
              <w:jc w:val="left"/>
            </w:pPr>
            <w:r>
              <w:t xml:space="preserve">27</w:t>
            </w:r>
          </w:p>
        </w:tc>
        <w:tc>
          <w:tcPr/>
          <w:p>
            <w:pPr>
              <w:pStyle w:val="Compact"/>
              <w:jc w:val="left"/>
            </w:pPr>
            <w:r>
              <w:t xml:space="preserve">No named comparable transactions provided to support the 8.0x–10.0x range</w:t>
            </w:r>
          </w:p>
        </w:tc>
        <w:tc>
          <w:tcPr/>
          <w:p>
            <w:pPr>
              <w:pStyle w:val="Compact"/>
              <w:jc w:val="left"/>
            </w:pPr>
            <w:r>
              <w:t xml:space="preserve">CIM §I, §IV.C, §X.C</w:t>
            </w:r>
          </w:p>
        </w:tc>
        <w:tc>
          <w:tcPr/>
          <w:p>
            <w:pPr>
              <w:pStyle w:val="Compact"/>
              <w:jc w:val="left"/>
            </w:pPr>
            <w:r>
              <w:t xml:space="preserve">Low</w:t>
            </w:r>
          </w:p>
        </w:tc>
        <w:tc>
          <w:tcPr/>
          <w:p>
            <w:pPr>
              <w:pStyle w:val="Compact"/>
              <w:jc w:val="left"/>
            </w:pPr>
            <w:r>
              <w:t xml:space="preserve">XIV</w:t>
            </w:r>
          </w:p>
        </w:tc>
      </w:tr>
      <w:tr>
        <w:tc>
          <w:tcPr/>
          <w:p>
            <w:pPr>
              <w:pStyle w:val="Compact"/>
              <w:jc w:val="left"/>
            </w:pPr>
            <w:r>
              <w:t xml:space="preserve">28</w:t>
            </w:r>
          </w:p>
        </w:tc>
        <w:tc>
          <w:tcPr/>
          <w:p>
            <w:pPr>
              <w:pStyle w:val="Compact"/>
              <w:jc w:val="left"/>
            </w:pPr>
            <w:r>
              <w:t xml:space="preserve">Emergency Response projections differ between CIM ($13.0M FY25E) and FE ($11.8M)</w:t>
            </w:r>
          </w:p>
        </w:tc>
        <w:tc>
          <w:tcPr/>
          <w:p>
            <w:pPr>
              <w:pStyle w:val="Compact"/>
              <w:jc w:val="left"/>
            </w:pPr>
            <w:r>
              <w:t xml:space="preserve">CIM §VI.F; FE (Revenue by Segment)</w:t>
            </w:r>
          </w:p>
        </w:tc>
        <w:tc>
          <w:tcPr/>
          <w:p>
            <w:pPr>
              <w:pStyle w:val="Compact"/>
              <w:jc w:val="left"/>
            </w:pPr>
            <w:r>
              <w:t xml:space="preserve">Low</w:t>
            </w:r>
          </w:p>
        </w:tc>
        <w:tc>
          <w:tcPr/>
          <w:p>
            <w:pPr>
              <w:pStyle w:val="Compact"/>
              <w:jc w:val="left"/>
            </w:pPr>
            <w:r>
              <w:t xml:space="preserve">V</w:t>
            </w:r>
          </w:p>
        </w:tc>
      </w:tr>
    </w:tbl>
    <w:p>
      <w:r>
        <w:pict>
          <v:rect style="width:0;height:1.5pt" o:hralign="center" o:hrstd="t" o:hr="t"/>
        </w:pict>
      </w:r>
    </w:p>
    <w:bookmarkEnd w:id="23"/>
    <w:bookmarkStart w:id="34" w:name="Xe1a9491d6130cae34556a020925f81e55dcd6df"/>
    <w:p>
      <w:pPr>
        <w:pStyle w:val="Heading2"/>
      </w:pPr>
      <w:r>
        <w:t xml:space="preserve">V. Financial Statement Integrity — Cross-Document Discrepancies</w:t>
      </w:r>
    </w:p>
    <w:p>
      <w:pPr>
        <w:pStyle w:val="FirstParagraph"/>
      </w:pPr>
      <w:r>
        <w:t xml:space="preserve">This is the most consequential category of findings. The CIM, the CBR, and the FE present materially different financial pictures of the same company for the same periods. Because the process letter expressly states that the FE</w:t>
      </w:r>
      <w:r>
        <w:t xml:space="preserve"> </w:t>
      </w:r>
      <w:r>
        <w:t xml:space="preserve">“</w:t>
      </w:r>
      <w:r>
        <w:t xml:space="preserve">accompanies</w:t>
      </w:r>
      <w:r>
        <w:t xml:space="preserve">”</w:t>
      </w:r>
      <w:r>
        <w:t xml:space="preserve"> </w:t>
      </w:r>
      <w:r>
        <w:t xml:space="preserve">the CIM and that audited financials (Ridgeline Accounting Group, PC) underlie both, these non-ties must be resolved before any reliance can be placed on the headline metrics. An independent QoE is essential.</w:t>
      </w:r>
    </w:p>
    <w:bookmarkStart w:id="24" w:name="X02141fbd8cd5f93cf4be005445e7b0703908869"/>
    <w:p>
      <w:pPr>
        <w:pStyle w:val="Heading3"/>
      </w:pPr>
      <w:r>
        <w:t xml:space="preserve">A. Balance sheet does not reconcile (CIM vs. FE)</w:t>
      </w:r>
    </w:p>
    <w:p>
      <w:pPr>
        <w:pStyle w:val="FirstParagraph"/>
      </w:pPr>
      <w:r>
        <w:t xml:space="preserve">The CIM (Section VI.D and Appendix A) and the FE (Balance Sheet sheet) report different balance sheets as of December 31, 2024:</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Line item ($M)</w:t>
            </w:r>
          </w:p>
        </w:tc>
        <w:tc>
          <w:tcPr/>
          <w:p>
            <w:pPr>
              <w:pStyle w:val="Compact"/>
              <w:jc w:val="left"/>
            </w:pPr>
            <w:r>
              <w:t xml:space="preserve">CIM</w:t>
            </w:r>
          </w:p>
        </w:tc>
        <w:tc>
          <w:tcPr/>
          <w:p>
            <w:pPr>
              <w:pStyle w:val="Compact"/>
              <w:jc w:val="left"/>
            </w:pPr>
            <w:r>
              <w:t xml:space="preserve">FE</w:t>
            </w:r>
          </w:p>
        </w:tc>
        <w:tc>
          <w:tcPr/>
          <w:p>
            <w:pPr>
              <w:pStyle w:val="Compact"/>
              <w:jc w:val="left"/>
            </w:pPr>
            <w:r>
              <w:t xml:space="preserve">Difference</w:t>
            </w:r>
          </w:p>
        </w:tc>
      </w:tr>
      <w:tr>
        <w:tc>
          <w:tcPr/>
          <w:p>
            <w:pPr>
              <w:pStyle w:val="Compact"/>
              <w:jc w:val="left"/>
            </w:pPr>
            <w:r>
              <w:t xml:space="preserve">Cash and cash equivalents</w:t>
            </w:r>
          </w:p>
        </w:tc>
        <w:tc>
          <w:tcPr/>
          <w:p>
            <w:pPr>
              <w:pStyle w:val="Compact"/>
              <w:jc w:val="left"/>
            </w:pPr>
            <w:r>
              <w:t xml:space="preserve">2.3</w:t>
            </w:r>
          </w:p>
        </w:tc>
        <w:tc>
          <w:tcPr/>
          <w:p>
            <w:pPr>
              <w:pStyle w:val="Compact"/>
              <w:jc w:val="left"/>
            </w:pPr>
            <w:r>
              <w:t xml:space="preserve">4.1</w:t>
            </w:r>
          </w:p>
        </w:tc>
        <w:tc>
          <w:tcPr/>
          <w:p>
            <w:pPr>
              <w:pStyle w:val="Compact"/>
              <w:jc w:val="left"/>
            </w:pPr>
            <w:r>
              <w:t xml:space="preserve">(1.8)</w:t>
            </w:r>
          </w:p>
        </w:tc>
      </w:tr>
      <w:tr>
        <w:tc>
          <w:tcPr/>
          <w:p>
            <w:pPr>
              <w:pStyle w:val="Compact"/>
              <w:jc w:val="left"/>
            </w:pPr>
            <w:r>
              <w:t xml:space="preserve">Accounts receivable, net</w:t>
            </w:r>
          </w:p>
        </w:tc>
        <w:tc>
          <w:tcPr/>
          <w:p>
            <w:pPr>
              <w:pStyle w:val="Compact"/>
              <w:jc w:val="left"/>
            </w:pPr>
            <w:r>
              <w:t xml:space="preserve">16.9</w:t>
            </w:r>
          </w:p>
        </w:tc>
        <w:tc>
          <w:tcPr/>
          <w:p>
            <w:pPr>
              <w:pStyle w:val="Compact"/>
              <w:jc w:val="left"/>
            </w:pPr>
            <w:r>
              <w:t xml:space="preserve">16.9</w:t>
            </w:r>
          </w:p>
        </w:tc>
        <w:tc>
          <w:tcPr/>
          <w:p>
            <w:pPr>
              <w:pStyle w:val="Compact"/>
              <w:jc w:val="left"/>
            </w:pPr>
            <w:r>
              <w:t xml:space="preserve">0.0</w:t>
            </w:r>
          </w:p>
        </w:tc>
      </w:tr>
      <w:tr>
        <w:tc>
          <w:tcPr/>
          <w:p>
            <w:pPr>
              <w:pStyle w:val="Compact"/>
              <w:jc w:val="left"/>
            </w:pPr>
            <w:r>
              <w:t xml:space="preserve">Other current assets / (Unbilled + Prepaid)</w:t>
            </w:r>
          </w:p>
        </w:tc>
        <w:tc>
          <w:tcPr/>
          <w:p>
            <w:pPr>
              <w:pStyle w:val="Compact"/>
              <w:jc w:val="left"/>
            </w:pPr>
            <w:r>
              <w:t xml:space="preserve">4.8</w:t>
            </w:r>
          </w:p>
        </w:tc>
        <w:tc>
          <w:tcPr/>
          <w:p>
            <w:pPr>
              <w:pStyle w:val="Compact"/>
              <w:jc w:val="left"/>
            </w:pPr>
            <w:r>
              <w:t xml:space="preserve">4.1 (2.7 + 1.4)</w:t>
            </w:r>
          </w:p>
        </w:tc>
        <w:tc>
          <w:tcPr/>
          <w:p>
            <w:pPr>
              <w:pStyle w:val="Compact"/>
              <w:jc w:val="left"/>
            </w:pPr>
            <w:r>
              <w:t xml:space="preserve">0.7</w:t>
            </w:r>
          </w:p>
        </w:tc>
      </w:tr>
      <w:tr>
        <w:tc>
          <w:tcPr/>
          <w:p>
            <w:pPr>
              <w:pStyle w:val="Compact"/>
              <w:jc w:val="left"/>
            </w:pPr>
            <w:r>
              <w:rPr>
                <w:b/>
                <w:bCs/>
              </w:rPr>
              <w:t xml:space="preserve">Total current assets</w:t>
            </w:r>
          </w:p>
        </w:tc>
        <w:tc>
          <w:tcPr/>
          <w:p>
            <w:pPr>
              <w:pStyle w:val="Compact"/>
              <w:jc w:val="left"/>
            </w:pPr>
            <w:r>
              <w:rPr>
                <w:b/>
                <w:bCs/>
              </w:rPr>
              <w:t xml:space="preserve">24.0</w:t>
            </w:r>
          </w:p>
        </w:tc>
        <w:tc>
          <w:tcPr/>
          <w:p>
            <w:pPr>
              <w:pStyle w:val="Compact"/>
              <w:jc w:val="left"/>
            </w:pPr>
            <w:r>
              <w:rPr>
                <w:b/>
                <w:bCs/>
              </w:rPr>
              <w:t xml:space="preserve">25.1</w:t>
            </w:r>
          </w:p>
        </w:tc>
        <w:tc>
          <w:tcPr/>
          <w:p>
            <w:pPr>
              <w:pStyle w:val="Compact"/>
              <w:jc w:val="left"/>
            </w:pPr>
            <w:r>
              <w:rPr>
                <w:b/>
                <w:bCs/>
              </w:rPr>
              <w:t xml:space="preserve">(1.1)</w:t>
            </w:r>
          </w:p>
        </w:tc>
      </w:tr>
      <w:tr>
        <w:tc>
          <w:tcPr/>
          <w:p>
            <w:pPr>
              <w:pStyle w:val="Compact"/>
              <w:jc w:val="left"/>
            </w:pPr>
            <w:r>
              <w:t xml:space="preserve">Property, plant &amp; equipment, net</w:t>
            </w:r>
          </w:p>
        </w:tc>
        <w:tc>
          <w:tcPr/>
          <w:p>
            <w:pPr>
              <w:pStyle w:val="Compact"/>
              <w:jc w:val="left"/>
            </w:pPr>
            <w:r>
              <w:t xml:space="preserve">18.7</w:t>
            </w:r>
          </w:p>
        </w:tc>
        <w:tc>
          <w:tcPr/>
          <w:p>
            <w:pPr>
              <w:pStyle w:val="Compact"/>
              <w:jc w:val="left"/>
            </w:pPr>
            <w:r>
              <w:t xml:space="preserve">21.3</w:t>
            </w:r>
          </w:p>
        </w:tc>
        <w:tc>
          <w:tcPr/>
          <w:p>
            <w:pPr>
              <w:pStyle w:val="Compact"/>
              <w:jc w:val="left"/>
            </w:pPr>
            <w:r>
              <w:t xml:space="preserve">(2.6)</w:t>
            </w:r>
          </w:p>
        </w:tc>
      </w:tr>
      <w:tr>
        <w:tc>
          <w:tcPr/>
          <w:p>
            <w:pPr>
              <w:pStyle w:val="Compact"/>
              <w:jc w:val="left"/>
            </w:pPr>
            <w:r>
              <w:t xml:space="preserve">Other non-current / (Goodwill + Other)</w:t>
            </w:r>
          </w:p>
        </w:tc>
        <w:tc>
          <w:tcPr/>
          <w:p>
            <w:pPr>
              <w:pStyle w:val="Compact"/>
              <w:jc w:val="left"/>
            </w:pPr>
            <w:r>
              <w:t xml:space="preserve">3.4</w:t>
            </w:r>
          </w:p>
        </w:tc>
        <w:tc>
          <w:tcPr/>
          <w:p>
            <w:pPr>
              <w:pStyle w:val="Compact"/>
              <w:jc w:val="left"/>
            </w:pPr>
            <w:r>
              <w:t xml:space="preserve">3.6 (2.5 + 1.1)</w:t>
            </w:r>
          </w:p>
        </w:tc>
        <w:tc>
          <w:tcPr/>
          <w:p>
            <w:pPr>
              <w:pStyle w:val="Compact"/>
              <w:jc w:val="left"/>
            </w:pPr>
            <w:r>
              <w:t xml:space="preserve">(0.2)</w:t>
            </w:r>
          </w:p>
        </w:tc>
      </w:tr>
      <w:tr>
        <w:tc>
          <w:tcPr/>
          <w:p>
            <w:pPr>
              <w:pStyle w:val="Compact"/>
              <w:jc w:val="left"/>
            </w:pPr>
            <w:r>
              <w:rPr>
                <w:b/>
                <w:bCs/>
              </w:rPr>
              <w:t xml:space="preserve">Total assets</w:t>
            </w:r>
          </w:p>
        </w:tc>
        <w:tc>
          <w:tcPr/>
          <w:p>
            <w:pPr>
              <w:pStyle w:val="Compact"/>
              <w:jc w:val="left"/>
            </w:pPr>
            <w:r>
              <w:rPr>
                <w:b/>
                <w:bCs/>
              </w:rPr>
              <w:t xml:space="preserve">46.1</w:t>
            </w:r>
          </w:p>
        </w:tc>
        <w:tc>
          <w:tcPr/>
          <w:p>
            <w:pPr>
              <w:pStyle w:val="Compact"/>
              <w:jc w:val="left"/>
            </w:pPr>
            <w:r>
              <w:rPr>
                <w:b/>
                <w:bCs/>
              </w:rPr>
              <w:t xml:space="preserve">50.0</w:t>
            </w:r>
          </w:p>
        </w:tc>
        <w:tc>
          <w:tcPr/>
          <w:p>
            <w:pPr>
              <w:pStyle w:val="Compact"/>
              <w:jc w:val="left"/>
            </w:pPr>
            <w:r>
              <w:rPr>
                <w:b/>
                <w:bCs/>
              </w:rPr>
              <w:t xml:space="preserve">(3.9)</w:t>
            </w:r>
          </w:p>
        </w:tc>
      </w:tr>
      <w:tr>
        <w:tc>
          <w:tcPr/>
          <w:p>
            <w:pPr>
              <w:pStyle w:val="Compact"/>
              <w:jc w:val="left"/>
            </w:pPr>
            <w:r>
              <w:t xml:space="preserve">Accounts payable</w:t>
            </w:r>
          </w:p>
        </w:tc>
        <w:tc>
          <w:tcPr/>
          <w:p>
            <w:pPr>
              <w:pStyle w:val="Compact"/>
              <w:jc w:val="left"/>
            </w:pPr>
            <w:r>
              <w:t xml:space="preserve">5.4</w:t>
            </w:r>
          </w:p>
        </w:tc>
        <w:tc>
          <w:tcPr/>
          <w:p>
            <w:pPr>
              <w:pStyle w:val="Compact"/>
              <w:jc w:val="left"/>
            </w:pPr>
            <w:r>
              <w:t xml:space="preserve">6.1</w:t>
            </w:r>
          </w:p>
        </w:tc>
        <w:tc>
          <w:tcPr/>
          <w:p>
            <w:pPr>
              <w:pStyle w:val="Compact"/>
              <w:jc w:val="left"/>
            </w:pPr>
            <w:r>
              <w:t xml:space="preserve">(0.7)</w:t>
            </w:r>
          </w:p>
        </w:tc>
      </w:tr>
      <w:tr>
        <w:tc>
          <w:tcPr/>
          <w:p>
            <w:pPr>
              <w:pStyle w:val="Compact"/>
              <w:jc w:val="left"/>
            </w:pPr>
            <w:r>
              <w:t xml:space="preserve">Current portion of long-term debt</w:t>
            </w:r>
          </w:p>
        </w:tc>
        <w:tc>
          <w:tcPr/>
          <w:p>
            <w:pPr>
              <w:pStyle w:val="Compact"/>
              <w:jc w:val="left"/>
            </w:pPr>
            <w:r>
              <w:t xml:space="preserve">2.3</w:t>
            </w:r>
          </w:p>
        </w:tc>
        <w:tc>
          <w:tcPr/>
          <w:p>
            <w:pPr>
              <w:pStyle w:val="Compact"/>
              <w:jc w:val="left"/>
            </w:pPr>
            <w:r>
              <w:t xml:space="preserve">1.8</w:t>
            </w:r>
          </w:p>
        </w:tc>
        <w:tc>
          <w:tcPr/>
          <w:p>
            <w:pPr>
              <w:pStyle w:val="Compact"/>
              <w:jc w:val="left"/>
            </w:pPr>
            <w:r>
              <w:t xml:space="preserve">0.5</w:t>
            </w:r>
          </w:p>
        </w:tc>
      </w:tr>
      <w:tr>
        <w:tc>
          <w:tcPr/>
          <w:p>
            <w:pPr>
              <w:pStyle w:val="Compact"/>
              <w:jc w:val="left"/>
            </w:pPr>
            <w:r>
              <w:rPr>
                <w:b/>
                <w:bCs/>
              </w:rPr>
              <w:t xml:space="preserve">Total current liabilities</w:t>
            </w:r>
          </w:p>
        </w:tc>
        <w:tc>
          <w:tcPr/>
          <w:p>
            <w:pPr>
              <w:pStyle w:val="Compact"/>
              <w:jc w:val="left"/>
            </w:pPr>
            <w:r>
              <w:rPr>
                <w:b/>
                <w:bCs/>
              </w:rPr>
              <w:t xml:space="preserve">12.2</w:t>
            </w:r>
          </w:p>
        </w:tc>
        <w:tc>
          <w:tcPr/>
          <w:p>
            <w:pPr>
              <w:pStyle w:val="Compact"/>
              <w:jc w:val="left"/>
            </w:pPr>
            <w:r>
              <w:rPr>
                <w:b/>
                <w:bCs/>
              </w:rPr>
              <w:t xml:space="preserve">13.3</w:t>
            </w:r>
          </w:p>
        </w:tc>
        <w:tc>
          <w:tcPr/>
          <w:p>
            <w:pPr>
              <w:pStyle w:val="Compact"/>
              <w:jc w:val="left"/>
            </w:pPr>
            <w:r>
              <w:rPr>
                <w:b/>
                <w:bCs/>
              </w:rPr>
              <w:t xml:space="preserve">(1.1)</w:t>
            </w:r>
          </w:p>
        </w:tc>
      </w:tr>
      <w:tr>
        <w:tc>
          <w:tcPr/>
          <w:p>
            <w:pPr>
              <w:pStyle w:val="Compact"/>
              <w:jc w:val="left"/>
            </w:pPr>
            <w:r>
              <w:t xml:space="preserve">Senior term loan (non-current)</w:t>
            </w:r>
          </w:p>
        </w:tc>
        <w:tc>
          <w:tcPr/>
          <w:p>
            <w:pPr>
              <w:pStyle w:val="Compact"/>
              <w:jc w:val="left"/>
            </w:pPr>
            <w:r>
              <w:t xml:space="preserve">11.9</w:t>
            </w:r>
          </w:p>
        </w:tc>
        <w:tc>
          <w:tcPr/>
          <w:p>
            <w:pPr>
              <w:pStyle w:val="Compact"/>
              <w:jc w:val="left"/>
            </w:pPr>
            <w:r>
              <w:t xml:space="preserve">14.2</w:t>
            </w:r>
          </w:p>
        </w:tc>
        <w:tc>
          <w:tcPr/>
          <w:p>
            <w:pPr>
              <w:pStyle w:val="Compact"/>
              <w:jc w:val="left"/>
            </w:pPr>
            <w:r>
              <w:t xml:space="preserve">(2.3)</w:t>
            </w:r>
          </w:p>
        </w:tc>
      </w:tr>
      <w:tr>
        <w:tc>
          <w:tcPr/>
          <w:p>
            <w:pPr>
              <w:pStyle w:val="Compact"/>
              <w:jc w:val="left"/>
            </w:pPr>
            <w:r>
              <w:t xml:space="preserve">Revolver drawn</w:t>
            </w:r>
          </w:p>
        </w:tc>
        <w:tc>
          <w:tcPr/>
          <w:p>
            <w:pPr>
              <w:pStyle w:val="Compact"/>
              <w:jc w:val="left"/>
            </w:pPr>
            <w:r>
              <w:t xml:space="preserve">3.1</w:t>
            </w:r>
          </w:p>
        </w:tc>
        <w:tc>
          <w:tcPr/>
          <w:p>
            <w:pPr>
              <w:pStyle w:val="Compact"/>
              <w:jc w:val="left"/>
            </w:pPr>
            <w:r>
              <w:t xml:space="preserve">3.1</w:t>
            </w:r>
          </w:p>
        </w:tc>
        <w:tc>
          <w:tcPr/>
          <w:p>
            <w:pPr>
              <w:pStyle w:val="Compact"/>
              <w:jc w:val="left"/>
            </w:pPr>
            <w:r>
              <w:t xml:space="preserve">0.0</w:t>
            </w:r>
          </w:p>
        </w:tc>
      </w:tr>
      <w:tr>
        <w:tc>
          <w:tcPr/>
          <w:p>
            <w:pPr>
              <w:pStyle w:val="Compact"/>
              <w:jc w:val="left"/>
            </w:pPr>
            <w:r>
              <w:rPr>
                <w:b/>
                <w:bCs/>
              </w:rPr>
              <w:t xml:space="preserve">Total liabilities</w:t>
            </w:r>
          </w:p>
        </w:tc>
        <w:tc>
          <w:tcPr/>
          <w:p>
            <w:pPr>
              <w:pStyle w:val="Compact"/>
              <w:jc w:val="left"/>
            </w:pPr>
            <w:r>
              <w:rPr>
                <w:b/>
                <w:bCs/>
              </w:rPr>
              <w:t xml:space="preserve">29.0</w:t>
            </w:r>
          </w:p>
        </w:tc>
        <w:tc>
          <w:tcPr/>
          <w:p>
            <w:pPr>
              <w:pStyle w:val="Compact"/>
              <w:jc w:val="left"/>
            </w:pPr>
            <w:r>
              <w:rPr>
                <w:b/>
                <w:bCs/>
              </w:rPr>
              <w:t xml:space="preserve">31.2</w:t>
            </w:r>
          </w:p>
        </w:tc>
        <w:tc>
          <w:tcPr/>
          <w:p>
            <w:pPr>
              <w:pStyle w:val="Compact"/>
              <w:jc w:val="left"/>
            </w:pPr>
            <w:r>
              <w:rPr>
                <w:b/>
                <w:bCs/>
              </w:rPr>
              <w:t xml:space="preserve">(2.2)</w:t>
            </w:r>
          </w:p>
        </w:tc>
      </w:tr>
      <w:tr>
        <w:tc>
          <w:tcPr/>
          <w:p>
            <w:pPr>
              <w:pStyle w:val="Compact"/>
              <w:jc w:val="left"/>
            </w:pPr>
            <w:r>
              <w:rPr>
                <w:b/>
                <w:bCs/>
              </w:rPr>
              <w:t xml:space="preserve">Stockholders’ equity</w:t>
            </w:r>
          </w:p>
        </w:tc>
        <w:tc>
          <w:tcPr/>
          <w:p>
            <w:pPr>
              <w:pStyle w:val="Compact"/>
              <w:jc w:val="left"/>
            </w:pPr>
            <w:r>
              <w:rPr>
                <w:b/>
                <w:bCs/>
              </w:rPr>
              <w:t xml:space="preserve">17.1</w:t>
            </w:r>
          </w:p>
        </w:tc>
        <w:tc>
          <w:tcPr/>
          <w:p>
            <w:pPr>
              <w:pStyle w:val="Compact"/>
              <w:jc w:val="left"/>
            </w:pPr>
            <w:r>
              <w:rPr>
                <w:b/>
                <w:bCs/>
              </w:rPr>
              <w:t xml:space="preserve">18.8</w:t>
            </w:r>
          </w:p>
        </w:tc>
        <w:tc>
          <w:tcPr/>
          <w:p>
            <w:pPr>
              <w:pStyle w:val="Compact"/>
              <w:jc w:val="left"/>
            </w:pPr>
            <w:r>
              <w:rPr>
                <w:b/>
                <w:bCs/>
              </w:rPr>
              <w:t xml:space="preserve">(1.7)</w:t>
            </w:r>
          </w:p>
        </w:tc>
      </w:tr>
    </w:tbl>
    <w:p>
      <w:pPr>
        <w:pStyle w:val="BodyText"/>
      </w:pPr>
      <w:r>
        <w:t xml:space="preserve">The discrepancies are not rounding: total assets differ by</w:t>
      </w:r>
      <w:r>
        <w:t xml:space="preserve"> </w:t>
      </w:r>
      <w:r>
        <w:rPr>
          <w:b/>
          <w:bCs/>
        </w:rPr>
        <w:t xml:space="preserve">$3.9 million</w:t>
      </w:r>
      <w:r>
        <w:t xml:space="preserve">, cash by</w:t>
      </w:r>
      <w:r>
        <w:t xml:space="preserve"> </w:t>
      </w:r>
      <w:r>
        <w:rPr>
          <w:b/>
          <w:bCs/>
        </w:rPr>
        <w:t xml:space="preserve">$1.8 million</w:t>
      </w:r>
      <w:r>
        <w:t xml:space="preserve">, PP&amp;E by</w:t>
      </w:r>
      <w:r>
        <w:t xml:space="preserve"> </w:t>
      </w:r>
      <w:r>
        <w:rPr>
          <w:b/>
          <w:bCs/>
        </w:rPr>
        <w:t xml:space="preserve">$2.6 million</w:t>
      </w:r>
      <w:r>
        <w:t xml:space="preserve">, and equity by</w:t>
      </w:r>
      <w:r>
        <w:t xml:space="preserve"> </w:t>
      </w:r>
      <w:r>
        <w:rPr>
          <w:b/>
          <w:bCs/>
        </w:rPr>
        <w:t xml:space="preserve">$1.7 million</w:t>
      </w:r>
      <w:r>
        <w:t xml:space="preserve">. The historical balance sheets diverge every year (e.g., CIM FY2021 equity $11.8M vs. FE $3.7M — an $8.1M gap). Notably, net working capital happens to tie at $11.8M in both (because the component differences offset), which may create a false sense of consistency. The cash discrepancy alone changes the net-debt bridge by $1.8M and therefore the equity proceeds to sellers in a cash-free/debt-free deal.</w:t>
      </w:r>
    </w:p>
    <w:p>
      <w:pPr>
        <w:pStyle w:val="BodyText"/>
      </w:pPr>
      <w:r>
        <w:rPr>
          <w:b/>
          <w:bCs/>
        </w:rPr>
        <w:t xml:space="preserve">Debt presentation is also inconsistent.</w:t>
      </w:r>
      <w:r>
        <w:t xml:space="preserve"> </w:t>
      </w:r>
      <w:r>
        <w:t xml:space="preserve">The CIM states total term-loan principal of $14.2M, split $2.3M current / $11.9M non-current. The FE shows a $1.8M</w:t>
      </w:r>
      <w:r>
        <w:t xml:space="preserve"> </w:t>
      </w:r>
      <w:r>
        <w:t xml:space="preserve">“</w:t>
      </w:r>
      <w:r>
        <w:t xml:space="preserve">current portion of long-term debt</w:t>
      </w:r>
      <w:r>
        <w:t xml:space="preserve">”</w:t>
      </w:r>
      <w:r>
        <w:t xml:space="preserve"> </w:t>
      </w:r>
      <w:r>
        <w:t xml:space="preserve">and a separate $14.2M</w:t>
      </w:r>
      <w:r>
        <w:t xml:space="preserve"> </w:t>
      </w:r>
      <w:r>
        <w:t xml:space="preserve">“</w:t>
      </w:r>
      <w:r>
        <w:t xml:space="preserve">Senior Term Loan</w:t>
      </w:r>
      <w:r>
        <w:t xml:space="preserve">”</w:t>
      </w:r>
      <w:r>
        <w:t xml:space="preserve"> </w:t>
      </w:r>
      <w:r>
        <w:t xml:space="preserve">in long-term liabilities — implying either a $16.0M total term loan (if additive) or a double-count. The current portion differs by $0.5M and the non-current portion by $2.3M. This must be reconciled because it drives the net-debt assumption in the EV-to-equity bridge.</w:t>
      </w:r>
    </w:p>
    <w:bookmarkEnd w:id="24"/>
    <w:bookmarkStart w:id="25" w:name="X0c36716f598232439c159a3bae42e6a1570e55c"/>
    <w:p>
      <w:pPr>
        <w:pStyle w:val="Heading3"/>
      </w:pPr>
      <w:r>
        <w:t xml:space="preserve">B. Income statement does not reconcile (CIM Appendix A vs. FE)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Line item, FY2024 ($M)</w:t>
            </w:r>
          </w:p>
        </w:tc>
        <w:tc>
          <w:tcPr/>
          <w:p>
            <w:pPr>
              <w:pStyle w:val="Compact"/>
              <w:jc w:val="left"/>
            </w:pPr>
            <w:r>
              <w:t xml:space="preserve">CIM (App. A)</w:t>
            </w:r>
          </w:p>
        </w:tc>
        <w:tc>
          <w:tcPr/>
          <w:p>
            <w:pPr>
              <w:pStyle w:val="Compact"/>
              <w:jc w:val="left"/>
            </w:pPr>
            <w:r>
              <w:t xml:space="preserve">FE</w:t>
            </w:r>
          </w:p>
        </w:tc>
        <w:tc>
          <w:tcPr/>
          <w:p>
            <w:pPr>
              <w:pStyle w:val="Compact"/>
              <w:jc w:val="left"/>
            </w:pPr>
            <w:r>
              <w:t xml:space="preserve">Difference</w:t>
            </w:r>
          </w:p>
        </w:tc>
      </w:tr>
      <w:tr>
        <w:tc>
          <w:tcPr/>
          <w:p>
            <w:pPr>
              <w:pStyle w:val="Compact"/>
              <w:jc w:val="left"/>
            </w:pPr>
            <w:r>
              <w:t xml:space="preserve">Revenue</w:t>
            </w:r>
          </w:p>
        </w:tc>
        <w:tc>
          <w:tcPr/>
          <w:p>
            <w:pPr>
              <w:pStyle w:val="Compact"/>
              <w:jc w:val="left"/>
            </w:pPr>
            <w:r>
              <w:t xml:space="preserve">87.3</w:t>
            </w:r>
          </w:p>
        </w:tc>
        <w:tc>
          <w:tcPr/>
          <w:p>
            <w:pPr>
              <w:pStyle w:val="Compact"/>
              <w:jc w:val="left"/>
            </w:pPr>
            <w:r>
              <w:t xml:space="preserve">87.3</w:t>
            </w:r>
          </w:p>
        </w:tc>
        <w:tc>
          <w:tcPr/>
          <w:p>
            <w:pPr>
              <w:pStyle w:val="Compact"/>
              <w:jc w:val="left"/>
            </w:pPr>
            <w:r>
              <w:t xml:space="preserve">0.0</w:t>
            </w:r>
          </w:p>
        </w:tc>
      </w:tr>
      <w:tr>
        <w:tc>
          <w:tcPr/>
          <w:p>
            <w:pPr>
              <w:pStyle w:val="Compact"/>
              <w:jc w:val="left"/>
            </w:pPr>
            <w:r>
              <w:t xml:space="preserve">Cost of revenue</w:t>
            </w:r>
          </w:p>
        </w:tc>
        <w:tc>
          <w:tcPr/>
          <w:p>
            <w:pPr>
              <w:pStyle w:val="Compact"/>
              <w:jc w:val="left"/>
            </w:pPr>
            <w:r>
              <w:t xml:space="preserve">(57.8)</w:t>
            </w:r>
          </w:p>
        </w:tc>
        <w:tc>
          <w:tcPr/>
          <w:p>
            <w:pPr>
              <w:pStyle w:val="Compact"/>
              <w:jc w:val="left"/>
            </w:pPr>
            <w:r>
              <w:t xml:space="preserve">(58.5)</w:t>
            </w:r>
          </w:p>
        </w:tc>
        <w:tc>
          <w:tcPr/>
          <w:p>
            <w:pPr>
              <w:pStyle w:val="Compact"/>
              <w:jc w:val="left"/>
            </w:pPr>
            <w:r>
              <w:t xml:space="preserve">0.7</w:t>
            </w:r>
          </w:p>
        </w:tc>
      </w:tr>
      <w:tr>
        <w:tc>
          <w:tcPr/>
          <w:p>
            <w:pPr>
              <w:pStyle w:val="Compact"/>
              <w:jc w:val="left"/>
            </w:pPr>
            <w:r>
              <w:rPr>
                <w:b/>
                <w:bCs/>
              </w:rPr>
              <w:t xml:space="preserve">Gross profit</w:t>
            </w:r>
          </w:p>
        </w:tc>
        <w:tc>
          <w:tcPr/>
          <w:p>
            <w:pPr>
              <w:pStyle w:val="Compact"/>
              <w:jc w:val="left"/>
            </w:pPr>
            <w:r>
              <w:rPr>
                <w:b/>
                <w:bCs/>
              </w:rPr>
              <w:t xml:space="preserve">29.5</w:t>
            </w:r>
          </w:p>
        </w:tc>
        <w:tc>
          <w:tcPr/>
          <w:p>
            <w:pPr>
              <w:pStyle w:val="Compact"/>
              <w:jc w:val="left"/>
            </w:pPr>
            <w:r>
              <w:rPr>
                <w:b/>
                <w:bCs/>
              </w:rPr>
              <w:t xml:space="preserve">28.8</w:t>
            </w:r>
          </w:p>
        </w:tc>
        <w:tc>
          <w:tcPr/>
          <w:p>
            <w:pPr>
              <w:pStyle w:val="Compact"/>
              <w:jc w:val="left"/>
            </w:pPr>
            <w:r>
              <w:rPr>
                <w:b/>
                <w:bCs/>
              </w:rPr>
              <w:t xml:space="preserve">0.7</w:t>
            </w:r>
          </w:p>
        </w:tc>
      </w:tr>
      <w:tr>
        <w:tc>
          <w:tcPr/>
          <w:p>
            <w:pPr>
              <w:pStyle w:val="Compact"/>
              <w:jc w:val="left"/>
            </w:pPr>
            <w:r>
              <w:t xml:space="preserve">Gross margin</w:t>
            </w:r>
          </w:p>
        </w:tc>
        <w:tc>
          <w:tcPr/>
          <w:p>
            <w:pPr>
              <w:pStyle w:val="Compact"/>
              <w:jc w:val="left"/>
            </w:pPr>
            <w:r>
              <w:t xml:space="preserve">33.8%</w:t>
            </w:r>
          </w:p>
        </w:tc>
        <w:tc>
          <w:tcPr/>
          <w:p>
            <w:pPr>
              <w:pStyle w:val="Compact"/>
              <w:jc w:val="left"/>
            </w:pPr>
            <w:r>
              <w:t xml:space="preserve">33.0%</w:t>
            </w:r>
          </w:p>
        </w:tc>
        <w:tc>
          <w:tcPr/>
          <w:p>
            <w:pPr>
              <w:pStyle w:val="Compact"/>
              <w:jc w:val="left"/>
            </w:pPr>
            <w:r>
              <w:t xml:space="preserve">0.8 pts</w:t>
            </w:r>
          </w:p>
        </w:tc>
      </w:tr>
      <w:tr>
        <w:tc>
          <w:tcPr/>
          <w:p>
            <w:pPr>
              <w:pStyle w:val="Compact"/>
              <w:jc w:val="left"/>
            </w:pPr>
            <w:r>
              <w:t xml:space="preserve">Total operating expenses (below GP)</w:t>
            </w:r>
          </w:p>
        </w:tc>
        <w:tc>
          <w:tcPr/>
          <w:p>
            <w:pPr>
              <w:pStyle w:val="Compact"/>
              <w:jc w:val="left"/>
            </w:pPr>
            <w:r>
              <w:t xml:space="preserve">(17.4)</w:t>
            </w:r>
          </w:p>
        </w:tc>
        <w:tc>
          <w:tcPr/>
          <w:p>
            <w:pPr>
              <w:pStyle w:val="Compact"/>
              <w:jc w:val="left"/>
            </w:pPr>
            <w:r>
              <w:t xml:space="preserve">(17.7)</w:t>
            </w:r>
          </w:p>
        </w:tc>
        <w:tc>
          <w:tcPr/>
          <w:p>
            <w:pPr>
              <w:pStyle w:val="Compact"/>
              <w:jc w:val="left"/>
            </w:pPr>
            <w:r>
              <w:t xml:space="preserve">0.3</w:t>
            </w:r>
          </w:p>
        </w:tc>
      </w:tr>
      <w:tr>
        <w:tc>
          <w:tcPr/>
          <w:p>
            <w:pPr>
              <w:pStyle w:val="Compact"/>
              <w:jc w:val="left"/>
            </w:pPr>
            <w:r>
              <w:rPr>
                <w:b/>
                <w:bCs/>
              </w:rPr>
              <w:t xml:space="preserve">EBITDA</w:t>
            </w:r>
          </w:p>
        </w:tc>
        <w:tc>
          <w:tcPr/>
          <w:p>
            <w:pPr>
              <w:pStyle w:val="Compact"/>
              <w:jc w:val="left"/>
            </w:pPr>
            <w:r>
              <w:rPr>
                <w:b/>
                <w:bCs/>
              </w:rPr>
              <w:t xml:space="preserve">12.1</w:t>
            </w:r>
          </w:p>
        </w:tc>
        <w:tc>
          <w:tcPr/>
          <w:p>
            <w:pPr>
              <w:pStyle w:val="Compact"/>
              <w:jc w:val="left"/>
            </w:pPr>
            <w:r>
              <w:rPr>
                <w:b/>
                <w:bCs/>
              </w:rPr>
              <w:t xml:space="preserve">12.1</w:t>
            </w:r>
          </w:p>
        </w:tc>
        <w:tc>
          <w:tcPr/>
          <w:p>
            <w:pPr>
              <w:pStyle w:val="Compact"/>
              <w:jc w:val="left"/>
            </w:pPr>
            <w:r>
              <w:rPr>
                <w:b/>
                <w:bCs/>
              </w:rPr>
              <w:t xml:space="preserve">0.0</w:t>
            </w:r>
          </w:p>
        </w:tc>
      </w:tr>
      <w:tr>
        <w:tc>
          <w:tcPr/>
          <w:p>
            <w:pPr>
              <w:pStyle w:val="Compact"/>
              <w:jc w:val="left"/>
            </w:pPr>
            <w:r>
              <w:t xml:space="preserve">D&amp;A</w:t>
            </w:r>
          </w:p>
        </w:tc>
        <w:tc>
          <w:tcPr/>
          <w:p>
            <w:pPr>
              <w:pStyle w:val="Compact"/>
              <w:jc w:val="left"/>
            </w:pPr>
            <w:r>
              <w:t xml:space="preserve">(4.3)</w:t>
            </w:r>
          </w:p>
        </w:tc>
        <w:tc>
          <w:tcPr/>
          <w:p>
            <w:pPr>
              <w:pStyle w:val="Compact"/>
              <w:jc w:val="left"/>
            </w:pPr>
            <w:r>
              <w:t xml:space="preserve">(4.2)</w:t>
            </w:r>
          </w:p>
        </w:tc>
        <w:tc>
          <w:tcPr/>
          <w:p>
            <w:pPr>
              <w:pStyle w:val="Compact"/>
              <w:jc w:val="left"/>
            </w:pPr>
            <w:r>
              <w:t xml:space="preserve">(0.1)</w:t>
            </w:r>
          </w:p>
        </w:tc>
      </w:tr>
      <w:tr>
        <w:tc>
          <w:tcPr/>
          <w:p>
            <w:pPr>
              <w:pStyle w:val="Compact"/>
              <w:jc w:val="left"/>
            </w:pPr>
            <w:r>
              <w:rPr>
                <w:b/>
                <w:bCs/>
              </w:rPr>
              <w:t xml:space="preserve">Operating income (EBIT)</w:t>
            </w:r>
          </w:p>
        </w:tc>
        <w:tc>
          <w:tcPr/>
          <w:p>
            <w:pPr>
              <w:pStyle w:val="Compact"/>
              <w:jc w:val="left"/>
            </w:pPr>
            <w:r>
              <w:rPr>
                <w:b/>
                <w:bCs/>
              </w:rPr>
              <w:t xml:space="preserve">7.8</w:t>
            </w:r>
          </w:p>
        </w:tc>
        <w:tc>
          <w:tcPr/>
          <w:p>
            <w:pPr>
              <w:pStyle w:val="Compact"/>
              <w:jc w:val="left"/>
            </w:pPr>
            <w:r>
              <w:rPr>
                <w:b/>
                <w:bCs/>
              </w:rPr>
              <w:t xml:space="preserve">11.1</w:t>
            </w:r>
          </w:p>
        </w:tc>
        <w:tc>
          <w:tcPr/>
          <w:p>
            <w:pPr>
              <w:pStyle w:val="Compact"/>
              <w:jc w:val="left"/>
            </w:pPr>
            <w:r>
              <w:rPr>
                <w:b/>
                <w:bCs/>
              </w:rPr>
              <w:t xml:space="preserve">(3.3)</w:t>
            </w:r>
          </w:p>
        </w:tc>
      </w:tr>
      <w:tr>
        <w:tc>
          <w:tcPr/>
          <w:p>
            <w:pPr>
              <w:pStyle w:val="Compact"/>
              <w:jc w:val="left"/>
            </w:pPr>
            <w:r>
              <w:t xml:space="preserve">Interest expense</w:t>
            </w:r>
          </w:p>
        </w:tc>
        <w:tc>
          <w:tcPr/>
          <w:p>
            <w:pPr>
              <w:pStyle w:val="Compact"/>
              <w:jc w:val="left"/>
            </w:pPr>
            <w:r>
              <w:t xml:space="preserve">(1.1)</w:t>
            </w:r>
          </w:p>
        </w:tc>
        <w:tc>
          <w:tcPr/>
          <w:p>
            <w:pPr>
              <w:pStyle w:val="Compact"/>
              <w:jc w:val="left"/>
            </w:pPr>
            <w:r>
              <w:t xml:space="preserve">(1.2)</w:t>
            </w:r>
          </w:p>
        </w:tc>
        <w:tc>
          <w:tcPr/>
          <w:p>
            <w:pPr>
              <w:pStyle w:val="Compact"/>
              <w:jc w:val="left"/>
            </w:pPr>
            <w:r>
              <w:t xml:space="preserve">0.1</w:t>
            </w:r>
          </w:p>
        </w:tc>
      </w:tr>
      <w:tr>
        <w:tc>
          <w:tcPr/>
          <w:p>
            <w:pPr>
              <w:pStyle w:val="Compact"/>
              <w:jc w:val="left"/>
            </w:pPr>
            <w:r>
              <w:t xml:space="preserve">Other income/(expense) — DEQ settlement</w:t>
            </w:r>
          </w:p>
        </w:tc>
        <w:tc>
          <w:tcPr/>
          <w:p>
            <w:pPr>
              <w:pStyle w:val="Compact"/>
              <w:jc w:val="left"/>
            </w:pPr>
            <w:r>
              <w:t xml:space="preserve">(in opex)</w:t>
            </w:r>
          </w:p>
        </w:tc>
        <w:tc>
          <w:tcPr/>
          <w:p>
            <w:pPr>
              <w:pStyle w:val="Compact"/>
              <w:jc w:val="left"/>
            </w:pPr>
            <w:r>
              <w:t xml:space="preserve">(0.9)</w:t>
            </w:r>
          </w:p>
        </w:tc>
        <w:tc>
          <w:tcPr/>
          <w:p>
            <w:pPr>
              <w:pStyle w:val="Compact"/>
              <w:jc w:val="left"/>
            </w:pPr>
            <w:r>
              <w:t xml:space="preserve">—</w:t>
            </w:r>
          </w:p>
        </w:tc>
      </w:tr>
      <w:tr>
        <w:tc>
          <w:tcPr/>
          <w:p>
            <w:pPr>
              <w:pStyle w:val="Compact"/>
              <w:jc w:val="left"/>
            </w:pPr>
            <w:r>
              <w:rPr>
                <w:b/>
                <w:bCs/>
              </w:rPr>
              <w:t xml:space="preserve">Pre-tax income</w:t>
            </w:r>
          </w:p>
        </w:tc>
        <w:tc>
          <w:tcPr/>
          <w:p>
            <w:pPr>
              <w:pStyle w:val="Compact"/>
              <w:jc w:val="left"/>
            </w:pPr>
            <w:r>
              <w:rPr>
                <w:b/>
                <w:bCs/>
              </w:rPr>
              <w:t xml:space="preserve">6.7</w:t>
            </w:r>
          </w:p>
        </w:tc>
        <w:tc>
          <w:tcPr/>
          <w:p>
            <w:pPr>
              <w:pStyle w:val="Compact"/>
              <w:jc w:val="left"/>
            </w:pPr>
            <w:r>
              <w:rPr>
                <w:b/>
                <w:bCs/>
              </w:rPr>
              <w:t xml:space="preserve">9.0</w:t>
            </w:r>
          </w:p>
        </w:tc>
        <w:tc>
          <w:tcPr/>
          <w:p>
            <w:pPr>
              <w:pStyle w:val="Compact"/>
              <w:jc w:val="left"/>
            </w:pPr>
            <w:r>
              <w:rPr>
                <w:b/>
                <w:bCs/>
              </w:rPr>
              <w:t xml:space="preserve">(2.3)</w:t>
            </w:r>
          </w:p>
        </w:tc>
      </w:tr>
      <w:tr>
        <w:tc>
          <w:tcPr/>
          <w:p>
            <w:pPr>
              <w:pStyle w:val="Compact"/>
              <w:jc w:val="left"/>
            </w:pPr>
            <w:r>
              <w:rPr>
                <w:b/>
                <w:bCs/>
              </w:rPr>
              <w:t xml:space="preserve">Net income</w:t>
            </w:r>
          </w:p>
        </w:tc>
        <w:tc>
          <w:tcPr/>
          <w:p>
            <w:pPr>
              <w:pStyle w:val="Compact"/>
              <w:jc w:val="left"/>
            </w:pPr>
            <w:r>
              <w:rPr>
                <w:b/>
                <w:bCs/>
              </w:rPr>
              <w:t xml:space="preserve">5.0</w:t>
            </w:r>
          </w:p>
        </w:tc>
        <w:tc>
          <w:tcPr/>
          <w:p>
            <w:pPr>
              <w:pStyle w:val="Compact"/>
              <w:jc w:val="left"/>
            </w:pPr>
            <w:r>
              <w:rPr>
                <w:b/>
                <w:bCs/>
              </w:rPr>
              <w:t xml:space="preserve">6.7</w:t>
            </w:r>
          </w:p>
        </w:tc>
        <w:tc>
          <w:tcPr/>
          <w:p>
            <w:pPr>
              <w:pStyle w:val="Compact"/>
              <w:jc w:val="left"/>
            </w:pPr>
            <w:r>
              <w:rPr>
                <w:b/>
                <w:bCs/>
              </w:rPr>
              <w:t xml:space="preserve">(1.7)</w:t>
            </w:r>
          </w:p>
        </w:tc>
      </w:tr>
    </w:tbl>
    <w:p>
      <w:pPr>
        <w:pStyle w:val="BodyText"/>
      </w:pPr>
      <w:r>
        <w:t xml:space="preserve">The CIM reports higher gross profit (and gross margin) than the FE in every historical year (e.g., FY2021: CIM $19.6M/31.9% vs. FE $19.0M/31.0%). Operating income, pre-tax income, and net income diverge by $3.3M, $2.3M, and $1.7M respectively in FY2024. The CIM’s condensed statement appears to present a more favorable profitability profile than the underlying model.</w:t>
      </w:r>
    </w:p>
    <w:bookmarkEnd w:id="25"/>
    <w:bookmarkStart w:id="26" w:name="Xc61c5b7e90ecb8dce6c1e7f42fe9554562ba001"/>
    <w:p>
      <w:pPr>
        <w:pStyle w:val="Heading3"/>
      </w:pPr>
      <w:r>
        <w:t xml:space="preserve">C. The FE income statement is internally inconsistent</w:t>
      </w:r>
    </w:p>
    <w:p>
      <w:pPr>
        <w:pStyle w:val="FirstParagraph"/>
      </w:pPr>
      <w:r>
        <w:t xml:space="preserve">Within the FE itself, the Operating Income (EBIT), D&amp;A, and Reported EBITDA lines do not reconcile in</w:t>
      </w:r>
      <w:r>
        <w:t xml:space="preserve"> </w:t>
      </w:r>
      <w:r>
        <w:rPr>
          <w:b/>
          <w:bCs/>
        </w:rPr>
        <w:t xml:space="preserve">any</w:t>
      </w:r>
      <w:r>
        <w:t xml:space="preserve"> </w:t>
      </w:r>
      <w:r>
        <w:t xml:space="preserve">year. EBITDA should equal EBIT plus D&amp;A:</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FY</w:t>
            </w:r>
          </w:p>
        </w:tc>
        <w:tc>
          <w:tcPr/>
          <w:p>
            <w:pPr>
              <w:pStyle w:val="Compact"/>
              <w:jc w:val="left"/>
            </w:pPr>
            <w:r>
              <w:t xml:space="preserve">EBIT (FE)</w:t>
            </w:r>
          </w:p>
        </w:tc>
        <w:tc>
          <w:tcPr/>
          <w:p>
            <w:pPr>
              <w:pStyle w:val="Compact"/>
              <w:jc w:val="left"/>
            </w:pPr>
            <w:r>
              <w:t xml:space="preserve">+ D&amp;A (FE)</w:t>
            </w:r>
          </w:p>
        </w:tc>
        <w:tc>
          <w:tcPr/>
          <w:p>
            <w:pPr>
              <w:pStyle w:val="Compact"/>
              <w:jc w:val="left"/>
            </w:pPr>
            <w:r>
              <w:t xml:space="preserve">= implied EBITDA</w:t>
            </w:r>
          </w:p>
        </w:tc>
        <w:tc>
          <w:tcPr/>
          <w:p>
            <w:pPr>
              <w:pStyle w:val="Compact"/>
              <w:jc w:val="left"/>
            </w:pPr>
            <w:r>
              <w:t xml:space="preserve">Stated EBITDA (FE)</w:t>
            </w:r>
          </w:p>
        </w:tc>
        <w:tc>
          <w:tcPr/>
          <w:p>
            <w:pPr>
              <w:pStyle w:val="Compact"/>
              <w:jc w:val="left"/>
            </w:pPr>
            <w:r>
              <w:t xml:space="preserve">Gap</w:t>
            </w:r>
          </w:p>
        </w:tc>
      </w:tr>
      <w:tr>
        <w:tc>
          <w:tcPr/>
          <w:p>
            <w:pPr>
              <w:pStyle w:val="Compact"/>
              <w:jc w:val="left"/>
            </w:pPr>
            <w:r>
              <w:t xml:space="preserve">FY2021</w:t>
            </w:r>
          </w:p>
        </w:tc>
        <w:tc>
          <w:tcPr/>
          <w:p>
            <w:pPr>
              <w:pStyle w:val="Compact"/>
              <w:jc w:val="left"/>
            </w:pPr>
            <w:r>
              <w:t xml:space="preserve">5.7</w:t>
            </w:r>
          </w:p>
        </w:tc>
        <w:tc>
          <w:tcPr/>
          <w:p>
            <w:pPr>
              <w:pStyle w:val="Compact"/>
              <w:jc w:val="left"/>
            </w:pPr>
            <w:r>
              <w:t xml:space="preserve">3.2</w:t>
            </w:r>
          </w:p>
        </w:tc>
        <w:tc>
          <w:tcPr/>
          <w:p>
            <w:pPr>
              <w:pStyle w:val="Compact"/>
              <w:jc w:val="left"/>
            </w:pPr>
            <w:r>
              <w:t xml:space="preserve">8.9</w:t>
            </w:r>
          </w:p>
        </w:tc>
        <w:tc>
          <w:tcPr/>
          <w:p>
            <w:pPr>
              <w:pStyle w:val="Compact"/>
              <w:jc w:val="left"/>
            </w:pPr>
            <w:r>
              <w:t xml:space="preserve">7.4</w:t>
            </w:r>
          </w:p>
        </w:tc>
        <w:tc>
          <w:tcPr/>
          <w:p>
            <w:pPr>
              <w:pStyle w:val="Compact"/>
              <w:jc w:val="left"/>
            </w:pPr>
            <w:r>
              <w:t xml:space="preserve">1.5</w:t>
            </w:r>
          </w:p>
        </w:tc>
      </w:tr>
      <w:tr>
        <w:tc>
          <w:tcPr/>
          <w:p>
            <w:pPr>
              <w:pStyle w:val="Compact"/>
              <w:jc w:val="left"/>
            </w:pPr>
            <w:r>
              <w:t xml:space="preserve">FY2022</w:t>
            </w:r>
          </w:p>
        </w:tc>
        <w:tc>
          <w:tcPr/>
          <w:p>
            <w:pPr>
              <w:pStyle w:val="Compact"/>
              <w:jc w:val="left"/>
            </w:pPr>
            <w:r>
              <w:t xml:space="preserve">6.8</w:t>
            </w:r>
          </w:p>
        </w:tc>
        <w:tc>
          <w:tcPr/>
          <w:p>
            <w:pPr>
              <w:pStyle w:val="Compact"/>
              <w:jc w:val="left"/>
            </w:pPr>
            <w:r>
              <w:t xml:space="preserve">3.5</w:t>
            </w:r>
          </w:p>
        </w:tc>
        <w:tc>
          <w:tcPr/>
          <w:p>
            <w:pPr>
              <w:pStyle w:val="Compact"/>
              <w:jc w:val="left"/>
            </w:pPr>
            <w:r>
              <w:t xml:space="preserve">10.3</w:t>
            </w:r>
          </w:p>
        </w:tc>
        <w:tc>
          <w:tcPr/>
          <w:p>
            <w:pPr>
              <w:pStyle w:val="Compact"/>
              <w:jc w:val="left"/>
            </w:pPr>
            <w:r>
              <w:t xml:space="preserve">8.6</w:t>
            </w:r>
          </w:p>
        </w:tc>
        <w:tc>
          <w:tcPr/>
          <w:p>
            <w:pPr>
              <w:pStyle w:val="Compact"/>
              <w:jc w:val="left"/>
            </w:pPr>
            <w:r>
              <w:t xml:space="preserve">1.7</w:t>
            </w:r>
          </w:p>
        </w:tc>
      </w:tr>
      <w:tr>
        <w:tc>
          <w:tcPr/>
          <w:p>
            <w:pPr>
              <w:pStyle w:val="Compact"/>
              <w:jc w:val="left"/>
            </w:pPr>
            <w:r>
              <w:t xml:space="preserve">FY2023</w:t>
            </w:r>
          </w:p>
        </w:tc>
        <w:tc>
          <w:tcPr/>
          <w:p>
            <w:pPr>
              <w:pStyle w:val="Compact"/>
              <w:jc w:val="left"/>
            </w:pPr>
            <w:r>
              <w:t xml:space="preserve">9.1</w:t>
            </w:r>
          </w:p>
        </w:tc>
        <w:tc>
          <w:tcPr/>
          <w:p>
            <w:pPr>
              <w:pStyle w:val="Compact"/>
              <w:jc w:val="left"/>
            </w:pPr>
            <w:r>
              <w:t xml:space="preserve">3.8</w:t>
            </w:r>
          </w:p>
        </w:tc>
        <w:tc>
          <w:tcPr/>
          <w:p>
            <w:pPr>
              <w:pStyle w:val="Compact"/>
              <w:jc w:val="left"/>
            </w:pPr>
            <w:r>
              <w:t xml:space="preserve">12.9</w:t>
            </w:r>
          </w:p>
        </w:tc>
        <w:tc>
          <w:tcPr/>
          <w:p>
            <w:pPr>
              <w:pStyle w:val="Compact"/>
              <w:jc w:val="left"/>
            </w:pPr>
            <w:r>
              <w:t xml:space="preserve">10.3</w:t>
            </w:r>
          </w:p>
        </w:tc>
        <w:tc>
          <w:tcPr/>
          <w:p>
            <w:pPr>
              <w:pStyle w:val="Compact"/>
              <w:jc w:val="left"/>
            </w:pPr>
            <w:r>
              <w:t xml:space="preserve">2.6</w:t>
            </w:r>
          </w:p>
        </w:tc>
      </w:tr>
      <w:tr>
        <w:tc>
          <w:tcPr/>
          <w:p>
            <w:pPr>
              <w:pStyle w:val="Compact"/>
              <w:jc w:val="left"/>
            </w:pPr>
            <w:r>
              <w:t xml:space="preserve">FY2024</w:t>
            </w:r>
          </w:p>
        </w:tc>
        <w:tc>
          <w:tcPr/>
          <w:p>
            <w:pPr>
              <w:pStyle w:val="Compact"/>
              <w:jc w:val="left"/>
            </w:pPr>
            <w:r>
              <w:t xml:space="preserve">11.1</w:t>
            </w:r>
          </w:p>
        </w:tc>
        <w:tc>
          <w:tcPr/>
          <w:p>
            <w:pPr>
              <w:pStyle w:val="Compact"/>
              <w:jc w:val="left"/>
            </w:pPr>
            <w:r>
              <w:t xml:space="preserve">4.2</w:t>
            </w:r>
          </w:p>
        </w:tc>
        <w:tc>
          <w:tcPr/>
          <w:p>
            <w:pPr>
              <w:pStyle w:val="Compact"/>
              <w:jc w:val="left"/>
            </w:pPr>
            <w:r>
              <w:t xml:space="preserve">15.3</w:t>
            </w:r>
          </w:p>
        </w:tc>
        <w:tc>
          <w:tcPr/>
          <w:p>
            <w:pPr>
              <w:pStyle w:val="Compact"/>
              <w:jc w:val="left"/>
            </w:pPr>
            <w:r>
              <w:t xml:space="preserve">12.1</w:t>
            </w:r>
          </w:p>
        </w:tc>
        <w:tc>
          <w:tcPr/>
          <w:p>
            <w:pPr>
              <w:pStyle w:val="Compact"/>
              <w:jc w:val="left"/>
            </w:pPr>
            <w:r>
              <w:t xml:space="preserve">3.2</w:t>
            </w:r>
          </w:p>
        </w:tc>
      </w:tr>
    </w:tbl>
    <w:p>
      <w:pPr>
        <w:pStyle w:val="BodyText"/>
      </w:pPr>
      <w:r>
        <w:t xml:space="preserve">Conversely, EBITDA − D&amp;A (the correct EBIT) yields $4.2M / $5.1M / $6.5M / $7.9M — close to the CIM’s reported operating income of $4.3M / $5.1M / $6.4M / $7.8M. This strongly suggests the FE’s</w:t>
      </w:r>
      <w:r>
        <w:t xml:space="preserve"> </w:t>
      </w:r>
      <w:r>
        <w:t xml:space="preserve">“</w:t>
      </w:r>
      <w:r>
        <w:t xml:space="preserve">Operating Income (EBIT)</w:t>
      </w:r>
      <w:r>
        <w:t xml:space="preserve">”</w:t>
      </w:r>
      <w:r>
        <w:t xml:space="preserve"> </w:t>
      </w:r>
      <w:r>
        <w:t xml:space="preserve">line is</w:t>
      </w:r>
      <w:r>
        <w:t xml:space="preserve"> </w:t>
      </w:r>
      <w:r>
        <w:rPr>
          <w:b/>
          <w:bCs/>
        </w:rPr>
        <w:t xml:space="preserve">erroneously overstated</w:t>
      </w:r>
      <w:r>
        <w:t xml:space="preserve"> </w:t>
      </w:r>
      <w:r>
        <w:t xml:space="preserve">(it appears to have been computed as gross profit minus operating expenses without properly treating D&amp;A), while the Reported EBITDA figure of $12.1M (which ties to the CIM and to the audited financials) is the reliable number. The FE must be corrected before it can support any analysis.</w:t>
      </w:r>
    </w:p>
    <w:bookmarkEnd w:id="26"/>
    <w:bookmarkStart w:id="27" w:name="X7744f9f5f5769fcb0007e80744ad3b796714931"/>
    <w:p>
      <w:pPr>
        <w:pStyle w:val="Heading3"/>
      </w:pPr>
      <w:r>
        <w:t xml:space="preserve">D. DEQ settlement classification conflicts with the EBITDA add-back</w:t>
      </w:r>
    </w:p>
    <w:p>
      <w:pPr>
        <w:pStyle w:val="FirstParagraph"/>
      </w:pPr>
      <w:r>
        <w:t xml:space="preserve">The FE records a $(875K)</w:t>
      </w:r>
      <w:r>
        <w:t xml:space="preserve"> </w:t>
      </w:r>
      <w:r>
        <w:t xml:space="preserve">“</w:t>
      </w:r>
      <w:r>
        <w:t xml:space="preserve">Other Income/(Expense)</w:t>
      </w:r>
      <w:r>
        <w:t xml:space="preserve">”</w:t>
      </w:r>
      <w:r>
        <w:t xml:space="preserve"> </w:t>
      </w:r>
      <w:r>
        <w:t xml:space="preserve">in FY2024 — matching the August 14, 2024 Oregon DEQ settlement amount —</w:t>
      </w:r>
      <w:r>
        <w:t xml:space="preserve"> </w:t>
      </w:r>
      <w:r>
        <w:rPr>
          <w:b/>
          <w:bCs/>
        </w:rPr>
        <w:t xml:space="preserve">below</w:t>
      </w:r>
      <w:r>
        <w:t xml:space="preserve"> </w:t>
      </w:r>
      <w:r>
        <w:t xml:space="preserve">the Reported EBITDA line (i.e., it is non-operating and already excluded from EBITDA). Yet the EBITDA bridge (CIM §VI.C and FE EBITDA Bridge sheet) adds back the</w:t>
      </w:r>
      <w:r>
        <w:t xml:space="preserve"> </w:t>
      </w:r>
      <w:r>
        <w:rPr>
          <w:b/>
          <w:bCs/>
        </w:rPr>
        <w:t xml:space="preserve">full $1.2 million</w:t>
      </w:r>
      <w:r>
        <w:t xml:space="preserve"> </w:t>
      </w:r>
      <w:r>
        <w:t xml:space="preserve">($875K settlement + $325K legal fees) as a one-time EBITDA adjustment. If the FE classification is correct, the $875K settlement is not in EBITDA and cannot be</w:t>
      </w:r>
      <w:r>
        <w:t xml:space="preserve"> </w:t>
      </w:r>
      <w:r>
        <w:t xml:space="preserve">“</w:t>
      </w:r>
      <w:r>
        <w:t xml:space="preserve">added back</w:t>
      </w:r>
      <w:r>
        <w:t xml:space="preserve">”</w:t>
      </w:r>
      <w:r>
        <w:t xml:space="preserve"> </w:t>
      </w:r>
      <w:r>
        <w:t xml:space="preserve">— doing so overstates Adjusted EBITDA by $875K. Only the $325K of legal fees (which appear to sit in operating expenses) would be in EBITDA and eligible for treatment, and even those are subject to the recurring-cost analysis in Section VI. This is a double-benefit error that must be corrected in QoE.</w:t>
      </w:r>
    </w:p>
    <w:bookmarkEnd w:id="27"/>
    <w:bookmarkStart w:id="28" w:name="Xda2af0b448d8287ff5170f1672321e13c88a261"/>
    <w:p>
      <w:pPr>
        <w:pStyle w:val="Heading3"/>
      </w:pPr>
      <w:r>
        <w:t xml:space="preserve">E. Retained-earnings roll-forward does not tie</w:t>
      </w:r>
    </w:p>
    <w:p>
      <w:pPr>
        <w:pStyle w:val="FirstParagraph"/>
      </w:pPr>
      <w:r>
        <w:t xml:space="preserve">The FE balance sheet shows retained earnings growing from $2.7M (FY2021) to $17.8M (FY2024), but the changes do not reconcile to net income less the distributions shown on the FE cash-flow statement: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FY</w:t>
            </w:r>
          </w:p>
        </w:tc>
        <w:tc>
          <w:tcPr/>
          <w:p>
            <w:pPr>
              <w:pStyle w:val="Compact"/>
              <w:jc w:val="left"/>
            </w:pPr>
            <w:r>
              <w:t xml:space="preserve">RE change (FE)</w:t>
            </w:r>
          </w:p>
        </w:tc>
        <w:tc>
          <w:tcPr/>
          <w:p>
            <w:pPr>
              <w:pStyle w:val="Compact"/>
              <w:jc w:val="left"/>
            </w:pPr>
            <w:r>
              <w:t xml:space="preserve">Net income (FE)</w:t>
            </w:r>
          </w:p>
        </w:tc>
        <w:tc>
          <w:tcPr/>
          <w:p>
            <w:pPr>
              <w:pStyle w:val="Compact"/>
              <w:jc w:val="left"/>
            </w:pPr>
            <w:r>
              <w:t xml:space="preserve">Stated distributions (FE)</w:t>
            </w:r>
          </w:p>
        </w:tc>
        <w:tc>
          <w:tcPr/>
          <w:p>
            <w:pPr>
              <w:pStyle w:val="Compact"/>
              <w:jc w:val="left"/>
            </w:pPr>
            <w:r>
              <w:t xml:space="preserve">Implied distributions (NI − ΔRE)</w:t>
            </w:r>
          </w:p>
        </w:tc>
      </w:tr>
      <w:tr>
        <w:tc>
          <w:tcPr/>
          <w:p>
            <w:pPr>
              <w:pStyle w:val="Compact"/>
              <w:jc w:val="left"/>
            </w:pPr>
            <w:r>
              <w:t xml:space="preserve">FY2022</w:t>
            </w:r>
          </w:p>
        </w:tc>
        <w:tc>
          <w:tcPr/>
          <w:p>
            <w:pPr>
              <w:pStyle w:val="Compact"/>
              <w:jc w:val="left"/>
            </w:pPr>
            <w:r>
              <w:t xml:space="preserve">2,950</w:t>
            </w:r>
          </w:p>
        </w:tc>
        <w:tc>
          <w:tcPr/>
          <w:p>
            <w:pPr>
              <w:pStyle w:val="Compact"/>
              <w:jc w:val="left"/>
            </w:pPr>
            <w:r>
              <w:t xml:space="preserve">4,407</w:t>
            </w:r>
          </w:p>
        </w:tc>
        <w:tc>
          <w:tcPr/>
          <w:p>
            <w:pPr>
              <w:pStyle w:val="Compact"/>
              <w:jc w:val="left"/>
            </w:pPr>
            <w:r>
              <w:t xml:space="preserve">2,700</w:t>
            </w:r>
          </w:p>
        </w:tc>
        <w:tc>
          <w:tcPr/>
          <w:p>
            <w:pPr>
              <w:pStyle w:val="Compact"/>
              <w:jc w:val="left"/>
            </w:pPr>
            <w:r>
              <w:t xml:space="preserve">1,457</w:t>
            </w:r>
          </w:p>
        </w:tc>
      </w:tr>
      <w:tr>
        <w:tc>
          <w:tcPr/>
          <w:p>
            <w:pPr>
              <w:pStyle w:val="Compact"/>
              <w:jc w:val="left"/>
            </w:pPr>
            <w:r>
              <w:t xml:space="preserve">FY2023</w:t>
            </w:r>
          </w:p>
        </w:tc>
        <w:tc>
          <w:tcPr/>
          <w:p>
            <w:pPr>
              <w:pStyle w:val="Compact"/>
              <w:jc w:val="left"/>
            </w:pPr>
            <w:r>
              <w:t xml:space="preserve">5,950</w:t>
            </w:r>
          </w:p>
        </w:tc>
        <w:tc>
          <w:tcPr/>
          <w:p>
            <w:pPr>
              <w:pStyle w:val="Compact"/>
              <w:jc w:val="left"/>
            </w:pPr>
            <w:r>
              <w:t xml:space="preserve">6,004</w:t>
            </w:r>
          </w:p>
        </w:tc>
        <w:tc>
          <w:tcPr/>
          <w:p>
            <w:pPr>
              <w:pStyle w:val="Compact"/>
              <w:jc w:val="left"/>
            </w:pPr>
            <w:r>
              <w:t xml:space="preserve">1,500</w:t>
            </w:r>
          </w:p>
        </w:tc>
        <w:tc>
          <w:tcPr/>
          <w:p>
            <w:pPr>
              <w:pStyle w:val="Compact"/>
              <w:jc w:val="left"/>
            </w:pPr>
            <w:r>
              <w:t xml:space="preserve">54</w:t>
            </w:r>
          </w:p>
        </w:tc>
      </w:tr>
      <w:tr>
        <w:tc>
          <w:tcPr/>
          <w:p>
            <w:pPr>
              <w:pStyle w:val="Compact"/>
              <w:jc w:val="left"/>
            </w:pPr>
            <w:r>
              <w:t xml:space="preserve">FY2024</w:t>
            </w:r>
          </w:p>
        </w:tc>
        <w:tc>
          <w:tcPr/>
          <w:p>
            <w:pPr>
              <w:pStyle w:val="Compact"/>
              <w:jc w:val="left"/>
            </w:pPr>
            <w:r>
              <w:t xml:space="preserve">6,200</w:t>
            </w:r>
          </w:p>
        </w:tc>
        <w:tc>
          <w:tcPr/>
          <w:p>
            <w:pPr>
              <w:pStyle w:val="Compact"/>
              <w:jc w:val="left"/>
            </w:pPr>
            <w:r>
              <w:t xml:space="preserve">6,694</w:t>
            </w:r>
          </w:p>
        </w:tc>
        <w:tc>
          <w:tcPr/>
          <w:p>
            <w:pPr>
              <w:pStyle w:val="Compact"/>
              <w:jc w:val="left"/>
            </w:pPr>
            <w:r>
              <w:t xml:space="preserve">1,044</w:t>
            </w:r>
          </w:p>
        </w:tc>
        <w:tc>
          <w:tcPr/>
          <w:p>
            <w:pPr>
              <w:pStyle w:val="Compact"/>
              <w:jc w:val="left"/>
            </w:pPr>
            <w:r>
              <w:t xml:space="preserve">494</w:t>
            </w:r>
          </w:p>
        </w:tc>
      </w:tr>
    </w:tbl>
    <w:p>
      <w:pPr>
        <w:pStyle w:val="BodyText"/>
      </w:pPr>
      <w:r>
        <w:t xml:space="preserve">The retained-earnings movement, net income, and distributions do not form a consistent equity roll-forward. This is a basic financial-statement linkage that should tie and does not, reinforcing the need for a full QoE reconciliation.</w:t>
      </w:r>
    </w:p>
    <w:bookmarkEnd w:id="28"/>
    <w:bookmarkStart w:id="29" w:name="Xfea5666f4db83ab9a2bd956bcedfd7eb970b87f"/>
    <w:p>
      <w:pPr>
        <w:pStyle w:val="Heading3"/>
      </w:pPr>
      <w:r>
        <w:t xml:space="preserve">F. Segment revenue history differs between CIM and FE</w:t>
      </w:r>
    </w:p>
    <w:p>
      <w:pPr>
        <w:pStyle w:val="FirstParagraph"/>
      </w:pPr>
      <w:r>
        <w:t xml:space="preserve">The CIM (§VI.B) and FE (Revenue by Segment sheet) report different segment revenue for FY2021–FY2023 (only FY2024 ties):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Segment ($M)</w:t>
            </w:r>
          </w:p>
        </w:tc>
        <w:tc>
          <w:tcPr/>
          <w:p>
            <w:pPr>
              <w:pStyle w:val="Compact"/>
              <w:jc w:val="left"/>
            </w:pPr>
            <w:r>
              <w:t xml:space="preserve">FY2021 CIM / FE</w:t>
            </w:r>
          </w:p>
        </w:tc>
        <w:tc>
          <w:tcPr/>
          <w:p>
            <w:pPr>
              <w:pStyle w:val="Compact"/>
              <w:jc w:val="left"/>
            </w:pPr>
            <w:r>
              <w:t xml:space="preserve">FY2022 CIM / FE</w:t>
            </w:r>
          </w:p>
        </w:tc>
        <w:tc>
          <w:tcPr/>
          <w:p>
            <w:pPr>
              <w:pStyle w:val="Compact"/>
              <w:jc w:val="left"/>
            </w:pPr>
            <w:r>
              <w:t xml:space="preserve">FY2023 CIM / FE</w:t>
            </w:r>
          </w:p>
        </w:tc>
      </w:tr>
      <w:tr>
        <w:tc>
          <w:tcPr/>
          <w:p>
            <w:pPr>
              <w:pStyle w:val="Compact"/>
              <w:jc w:val="left"/>
            </w:pPr>
            <w:r>
              <w:t xml:space="preserve">Environmental Remediation</w:t>
            </w:r>
          </w:p>
        </w:tc>
        <w:tc>
          <w:tcPr/>
          <w:p>
            <w:pPr>
              <w:pStyle w:val="Compact"/>
              <w:jc w:val="left"/>
            </w:pPr>
            <w:r>
              <w:t xml:space="preserve">34.1 / 34.8</w:t>
            </w:r>
          </w:p>
        </w:tc>
        <w:tc>
          <w:tcPr/>
          <w:p>
            <w:pPr>
              <w:pStyle w:val="Compact"/>
              <w:jc w:val="left"/>
            </w:pPr>
            <w:r>
              <w:t xml:space="preserve">37.8 / 38.1</w:t>
            </w:r>
          </w:p>
        </w:tc>
        <w:tc>
          <w:tcPr/>
          <w:p>
            <w:pPr>
              <w:pStyle w:val="Compact"/>
              <w:jc w:val="left"/>
            </w:pPr>
            <w:r>
              <w:t xml:space="preserve">41.5 / 42.5</w:t>
            </w:r>
          </w:p>
        </w:tc>
      </w:tr>
      <w:tr>
        <w:tc>
          <w:tcPr/>
          <w:p>
            <w:pPr>
              <w:pStyle w:val="Compact"/>
              <w:jc w:val="left"/>
            </w:pPr>
            <w:r>
              <w:t xml:space="preserve">Industrial Cleaning</w:t>
            </w:r>
          </w:p>
        </w:tc>
        <w:tc>
          <w:tcPr/>
          <w:p>
            <w:pPr>
              <w:pStyle w:val="Compact"/>
              <w:jc w:val="left"/>
            </w:pPr>
            <w:r>
              <w:t xml:space="preserve">20.1 / 19.2</w:t>
            </w:r>
          </w:p>
        </w:tc>
        <w:tc>
          <w:tcPr/>
          <w:p>
            <w:pPr>
              <w:pStyle w:val="Compact"/>
              <w:jc w:val="left"/>
            </w:pPr>
            <w:r>
              <w:t xml:space="preserve">22.4 / 22.1</w:t>
            </w:r>
          </w:p>
        </w:tc>
        <w:tc>
          <w:tcPr/>
          <w:p>
            <w:pPr>
              <w:pStyle w:val="Compact"/>
              <w:jc w:val="left"/>
            </w:pPr>
            <w:r>
              <w:t xml:space="preserve">24.9 / 24.4</w:t>
            </w:r>
          </w:p>
        </w:tc>
      </w:tr>
      <w:tr>
        <w:tc>
          <w:tcPr/>
          <w:p>
            <w:pPr>
              <w:pStyle w:val="Compact"/>
              <w:jc w:val="left"/>
            </w:pPr>
            <w:r>
              <w:t xml:space="preserve">Emergency Response</w:t>
            </w:r>
          </w:p>
        </w:tc>
        <w:tc>
          <w:tcPr/>
          <w:p>
            <w:pPr>
              <w:pStyle w:val="Compact"/>
              <w:jc w:val="left"/>
            </w:pPr>
            <w:r>
              <w:t xml:space="preserve">7.2 / 7.4</w:t>
            </w:r>
          </w:p>
        </w:tc>
        <w:tc>
          <w:tcPr/>
          <w:p>
            <w:pPr>
              <w:pStyle w:val="Compact"/>
              <w:jc w:val="left"/>
            </w:pPr>
            <w:r>
              <w:t xml:space="preserve">8.7 / 8.7</w:t>
            </w:r>
          </w:p>
        </w:tc>
        <w:tc>
          <w:tcPr/>
          <w:p>
            <w:pPr>
              <w:pStyle w:val="Compact"/>
              <w:jc w:val="left"/>
            </w:pPr>
            <w:r>
              <w:t xml:space="preserve">9.7 / 9.2</w:t>
            </w:r>
          </w:p>
        </w:tc>
      </w:tr>
    </w:tbl>
    <w:p>
      <w:pPr>
        <w:pStyle w:val="BodyText"/>
      </w:pPr>
      <w:r>
        <w:t xml:space="preserve">Both tie to the same revenue totals each year, but the segment allocations differ by up to $1.0M. The forward segment projections also differ (e.g., Emergency Response FY2025E: CIM $13.0M vs. FE $11.8M; Remediation FY2026E: CIM $65.0M vs. FE $66.0M), again with totals that tie but allocations that do not. The segment mix — which drives the margin-expansion thesis (remediation/PFAS being higher-margin) — is therefore not reliably stated.</w:t>
      </w:r>
    </w:p>
    <w:bookmarkEnd w:id="29"/>
    <w:bookmarkStart w:id="30" w:name="X7066a34f1790edb28df0d28cde62db7899c7a91"/>
    <w:p>
      <w:pPr>
        <w:pStyle w:val="Heading3"/>
      </w:pPr>
      <w:r>
        <w:t xml:space="preserve">G. Top-10 customer identities differ between CIM and CBR</w:t>
      </w:r>
    </w:p>
    <w:p>
      <w:pPr>
        <w:pStyle w:val="FirstParagraph"/>
      </w:pPr>
      <w:r>
        <w:t xml:space="preserve">The CIM (§V.B) and CBR (§3.2) present the</w:t>
      </w:r>
      <w:r>
        <w:t xml:space="preserve"> </w:t>
      </w:r>
      <w:r>
        <w:rPr>
          <w:b/>
          <w:bCs/>
        </w:rPr>
        <w:t xml:space="preserve">same revenue figures and percentages</w:t>
      </w:r>
      <w:r>
        <w:t xml:space="preserve"> </w:t>
      </w:r>
      <w:r>
        <w:t xml:space="preserve">for the top 10 customers but</w:t>
      </w:r>
      <w:r>
        <w:t xml:space="preserve"> </w:t>
      </w:r>
      <w:r>
        <w:rPr>
          <w:b/>
          <w:bCs/>
        </w:rPr>
        <w:t xml:space="preserve">completely different customer names, segments served, contract types, and expirations for customers #6 through #10</w:t>
      </w:r>
      <w:r>
        <w:t xml:space="preserve">, and differing segment/contract details for several of the top 5:</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Rank</w:t>
            </w:r>
          </w:p>
        </w:tc>
        <w:tc>
          <w:tcPr/>
          <w:p>
            <w:pPr>
              <w:pStyle w:val="Compact"/>
              <w:jc w:val="left"/>
            </w:pPr>
            <w:r>
              <w:t xml:space="preserve">CIM customer</w:t>
            </w:r>
          </w:p>
        </w:tc>
        <w:tc>
          <w:tcPr/>
          <w:p>
            <w:pPr>
              <w:pStyle w:val="Compact"/>
              <w:jc w:val="left"/>
            </w:pPr>
            <w:r>
              <w:t xml:space="preserve">CBR customer</w:t>
            </w:r>
          </w:p>
        </w:tc>
        <w:tc>
          <w:tcPr/>
          <w:p>
            <w:pPr>
              <w:pStyle w:val="Compact"/>
              <w:jc w:val="left"/>
            </w:pPr>
            <w:r>
              <w:t xml:space="preserve">CIM segments</w:t>
            </w:r>
          </w:p>
        </w:tc>
        <w:tc>
          <w:tcPr/>
          <w:p>
            <w:pPr>
              <w:pStyle w:val="Compact"/>
              <w:jc w:val="left"/>
            </w:pPr>
            <w:r>
              <w:t xml:space="preserve">CBR segments</w:t>
            </w:r>
          </w:p>
        </w:tc>
      </w:tr>
      <w:tr>
        <w:tc>
          <w:tcPr/>
          <w:p>
            <w:pPr>
              <w:pStyle w:val="Compact"/>
              <w:jc w:val="left"/>
            </w:pPr>
            <w:r>
              <w:t xml:space="preserve">1</w:t>
            </w:r>
          </w:p>
        </w:tc>
        <w:tc>
          <w:tcPr/>
          <w:p>
            <w:pPr>
              <w:pStyle w:val="Compact"/>
              <w:jc w:val="left"/>
            </w:pPr>
            <w:r>
              <w:t xml:space="preserve">PNR</w:t>
            </w:r>
          </w:p>
        </w:tc>
        <w:tc>
          <w:tcPr/>
          <w:p>
            <w:pPr>
              <w:pStyle w:val="Compact"/>
              <w:jc w:val="left"/>
            </w:pPr>
            <w:r>
              <w:t xml:space="preserve">PNR</w:t>
            </w:r>
          </w:p>
        </w:tc>
        <w:tc>
          <w:tcPr/>
          <w:p>
            <w:pPr>
              <w:pStyle w:val="Compact"/>
              <w:jc w:val="left"/>
            </w:pPr>
            <w:r>
              <w:t xml:space="preserve">IC, Remediation</w:t>
            </w:r>
          </w:p>
        </w:tc>
        <w:tc>
          <w:tcPr/>
          <w:p>
            <w:pPr>
              <w:pStyle w:val="Compact"/>
              <w:jc w:val="left"/>
            </w:pPr>
            <w:r>
              <w:t xml:space="preserve">IC, ER</w:t>
            </w:r>
          </w:p>
        </w:tc>
      </w:tr>
      <w:tr>
        <w:tc>
          <w:tcPr/>
          <w:p>
            <w:pPr>
              <w:pStyle w:val="Compact"/>
              <w:jc w:val="left"/>
            </w:pPr>
            <w:r>
              <w:t xml:space="preserve">3</w:t>
            </w:r>
          </w:p>
        </w:tc>
        <w:tc>
          <w:tcPr/>
          <w:p>
            <w:pPr>
              <w:pStyle w:val="Compact"/>
              <w:jc w:val="left"/>
            </w:pPr>
            <w:r>
              <w:t xml:space="preserve">Columbia Basin Power</w:t>
            </w:r>
          </w:p>
        </w:tc>
        <w:tc>
          <w:tcPr/>
          <w:p>
            <w:pPr>
              <w:pStyle w:val="Compact"/>
              <w:jc w:val="left"/>
            </w:pPr>
            <w:r>
              <w:t xml:space="preserve">Columbia Basin Power</w:t>
            </w:r>
          </w:p>
        </w:tc>
        <w:tc>
          <w:tcPr/>
          <w:p>
            <w:pPr>
              <w:pStyle w:val="Compact"/>
              <w:jc w:val="left"/>
            </w:pPr>
            <w:r>
              <w:t xml:space="preserve">IC, Remediation</w:t>
            </w:r>
          </w:p>
        </w:tc>
        <w:tc>
          <w:tcPr/>
          <w:p>
            <w:pPr>
              <w:pStyle w:val="Compact"/>
              <w:jc w:val="left"/>
            </w:pPr>
            <w:r>
              <w:t xml:space="preserve">Rem, IC</w:t>
            </w:r>
          </w:p>
        </w:tc>
      </w:tr>
      <w:tr>
        <w:tc>
          <w:tcPr/>
          <w:p>
            <w:pPr>
              <w:pStyle w:val="Compact"/>
              <w:jc w:val="left"/>
            </w:pPr>
            <w:r>
              <w:t xml:space="preserve">4</w:t>
            </w:r>
          </w:p>
        </w:tc>
        <w:tc>
          <w:tcPr/>
          <w:p>
            <w:pPr>
              <w:pStyle w:val="Compact"/>
              <w:jc w:val="left"/>
            </w:pPr>
            <w:r>
              <w:t xml:space="preserve">Meridian Lumber &amp; Paper</w:t>
            </w:r>
          </w:p>
        </w:tc>
        <w:tc>
          <w:tcPr/>
          <w:p>
            <w:pPr>
              <w:pStyle w:val="Compact"/>
              <w:jc w:val="left"/>
            </w:pPr>
            <w:r>
              <w:t xml:space="preserve">Meridian Lumber &amp; Paper</w:t>
            </w:r>
          </w:p>
        </w:tc>
        <w:tc>
          <w:tcPr/>
          <w:p>
            <w:pPr>
              <w:pStyle w:val="Compact"/>
              <w:jc w:val="left"/>
            </w:pPr>
            <w:r>
              <w:t xml:space="preserve">IC</w:t>
            </w:r>
          </w:p>
        </w:tc>
        <w:tc>
          <w:tcPr/>
          <w:p>
            <w:pPr>
              <w:pStyle w:val="Compact"/>
              <w:jc w:val="left"/>
            </w:pPr>
            <w:r>
              <w:t xml:space="preserve">IC, Rem</w:t>
            </w:r>
          </w:p>
        </w:tc>
      </w:tr>
      <w:tr>
        <w:tc>
          <w:tcPr/>
          <w:p>
            <w:pPr>
              <w:pStyle w:val="Compact"/>
              <w:jc w:val="left"/>
            </w:pPr>
            <w:r>
              <w:t xml:space="preserve">5</w:t>
            </w:r>
          </w:p>
        </w:tc>
        <w:tc>
          <w:tcPr/>
          <w:p>
            <w:pPr>
              <w:pStyle w:val="Compact"/>
              <w:jc w:val="left"/>
            </w:pPr>
            <w:r>
              <w:t xml:space="preserve">Willamette Steel</w:t>
            </w:r>
          </w:p>
        </w:tc>
        <w:tc>
          <w:tcPr/>
          <w:p>
            <w:pPr>
              <w:pStyle w:val="Compact"/>
              <w:jc w:val="left"/>
            </w:pPr>
            <w:r>
              <w:t xml:space="preserve">Willamette Steel</w:t>
            </w:r>
          </w:p>
        </w:tc>
        <w:tc>
          <w:tcPr/>
          <w:p>
            <w:pPr>
              <w:pStyle w:val="Compact"/>
              <w:jc w:val="left"/>
            </w:pPr>
            <w:r>
              <w:t xml:space="preserve">Rem, IC</w:t>
            </w:r>
          </w:p>
        </w:tc>
        <w:tc>
          <w:tcPr/>
          <w:p>
            <w:pPr>
              <w:pStyle w:val="Compact"/>
              <w:jc w:val="left"/>
            </w:pPr>
            <w:r>
              <w:t xml:space="preserve">IC</w:t>
            </w:r>
          </w:p>
        </w:tc>
      </w:tr>
      <w:tr>
        <w:tc>
          <w:tcPr/>
          <w:p>
            <w:pPr>
              <w:pStyle w:val="Compact"/>
              <w:jc w:val="left"/>
            </w:pPr>
            <w:r>
              <w:t xml:space="preserve">6</w:t>
            </w:r>
          </w:p>
        </w:tc>
        <w:tc>
          <w:tcPr/>
          <w:p>
            <w:pPr>
              <w:pStyle w:val="Compact"/>
              <w:jc w:val="left"/>
            </w:pPr>
            <w:r>
              <w:t xml:space="preserve">Cascade Terminals, Inc.</w:t>
            </w:r>
          </w:p>
        </w:tc>
        <w:tc>
          <w:tcPr/>
          <w:p>
            <w:pPr>
              <w:pStyle w:val="Compact"/>
              <w:jc w:val="left"/>
            </w:pPr>
            <w:r>
              <w:t xml:space="preserve">Clearwater Municipal Utility Dist.</w:t>
            </w:r>
          </w:p>
        </w:tc>
        <w:tc>
          <w:tcPr/>
          <w:p>
            <w:pPr>
              <w:pStyle w:val="Compact"/>
              <w:jc w:val="left"/>
            </w:pPr>
            <w:r>
              <w:t xml:space="preserve">IC</w:t>
            </w:r>
          </w:p>
        </w:tc>
        <w:tc>
          <w:tcPr/>
          <w:p>
            <w:pPr>
              <w:pStyle w:val="Compact"/>
              <w:jc w:val="left"/>
            </w:pPr>
            <w:r>
              <w:t xml:space="preserve">Rem</w:t>
            </w:r>
          </w:p>
        </w:tc>
      </w:tr>
      <w:tr>
        <w:tc>
          <w:tcPr/>
          <w:p>
            <w:pPr>
              <w:pStyle w:val="Compact"/>
              <w:jc w:val="left"/>
            </w:pPr>
            <w:r>
              <w:t xml:space="preserve">7</w:t>
            </w:r>
          </w:p>
        </w:tc>
        <w:tc>
          <w:tcPr/>
          <w:p>
            <w:pPr>
              <w:pStyle w:val="Compact"/>
              <w:jc w:val="left"/>
            </w:pPr>
            <w:r>
              <w:t xml:space="preserve">Puget Sound Utilities Group</w:t>
            </w:r>
          </w:p>
        </w:tc>
        <w:tc>
          <w:tcPr/>
          <w:p>
            <w:pPr>
              <w:pStyle w:val="Compact"/>
              <w:jc w:val="left"/>
            </w:pPr>
            <w:r>
              <w:t xml:space="preserve">Northshore Industrial Park</w:t>
            </w:r>
          </w:p>
        </w:tc>
        <w:tc>
          <w:tcPr/>
          <w:p>
            <w:pPr>
              <w:pStyle w:val="Compact"/>
              <w:jc w:val="left"/>
            </w:pPr>
            <w:r>
              <w:t xml:space="preserve">Rem</w:t>
            </w:r>
          </w:p>
        </w:tc>
        <w:tc>
          <w:tcPr/>
          <w:p>
            <w:pPr>
              <w:pStyle w:val="Compact"/>
              <w:jc w:val="left"/>
            </w:pPr>
            <w:r>
              <w:t xml:space="preserve">Rem, ER</w:t>
            </w:r>
          </w:p>
        </w:tc>
      </w:tr>
      <w:tr>
        <w:tc>
          <w:tcPr/>
          <w:p>
            <w:pPr>
              <w:pStyle w:val="Compact"/>
              <w:jc w:val="left"/>
            </w:pPr>
            <w:r>
              <w:t xml:space="preserve">8</w:t>
            </w:r>
          </w:p>
        </w:tc>
        <w:tc>
          <w:tcPr/>
          <w:p>
            <w:pPr>
              <w:pStyle w:val="Compact"/>
              <w:jc w:val="left"/>
            </w:pPr>
            <w:r>
              <w:t xml:space="preserve">City of Portland — BES</w:t>
            </w:r>
          </w:p>
        </w:tc>
        <w:tc>
          <w:tcPr/>
          <w:p>
            <w:pPr>
              <w:pStyle w:val="Compact"/>
              <w:jc w:val="left"/>
            </w:pPr>
            <w:r>
              <w:t xml:space="preserve">Summit Materials Processing</w:t>
            </w:r>
          </w:p>
        </w:tc>
        <w:tc>
          <w:tcPr/>
          <w:p>
            <w:pPr>
              <w:pStyle w:val="Compact"/>
              <w:jc w:val="left"/>
            </w:pPr>
            <w:r>
              <w:t xml:space="preserve">Rem, ER</w:t>
            </w:r>
          </w:p>
        </w:tc>
        <w:tc>
          <w:tcPr/>
          <w:p>
            <w:pPr>
              <w:pStyle w:val="Compact"/>
              <w:jc w:val="left"/>
            </w:pPr>
            <w:r>
              <w:t xml:space="preserve">IC</w:t>
            </w:r>
          </w:p>
        </w:tc>
      </w:tr>
      <w:tr>
        <w:tc>
          <w:tcPr/>
          <w:p>
            <w:pPr>
              <w:pStyle w:val="Compact"/>
              <w:jc w:val="left"/>
            </w:pPr>
            <w:r>
              <w:t xml:space="preserve">9</w:t>
            </w:r>
          </w:p>
        </w:tc>
        <w:tc>
          <w:tcPr/>
          <w:p>
            <w:pPr>
              <w:pStyle w:val="Compact"/>
              <w:jc w:val="left"/>
            </w:pPr>
            <w:r>
              <w:t xml:space="preserve">Northern Pacific Rail Systems</w:t>
            </w:r>
          </w:p>
        </w:tc>
        <w:tc>
          <w:tcPr/>
          <w:p>
            <w:pPr>
              <w:pStyle w:val="Compact"/>
              <w:jc w:val="left"/>
            </w:pPr>
            <w:r>
              <w:t xml:space="preserve">Timberline Construction Group</w:t>
            </w:r>
          </w:p>
        </w:tc>
        <w:tc>
          <w:tcPr/>
          <w:p>
            <w:pPr>
              <w:pStyle w:val="Compact"/>
              <w:jc w:val="left"/>
            </w:pPr>
            <w:r>
              <w:t xml:space="preserve">ER</w:t>
            </w:r>
          </w:p>
        </w:tc>
        <w:tc>
          <w:tcPr/>
          <w:p>
            <w:pPr>
              <w:pStyle w:val="Compact"/>
              <w:jc w:val="left"/>
            </w:pPr>
            <w:r>
              <w:t xml:space="preserve">Rem</w:t>
            </w:r>
          </w:p>
        </w:tc>
      </w:tr>
      <w:tr>
        <w:tc>
          <w:tcPr/>
          <w:p>
            <w:pPr>
              <w:pStyle w:val="Compact"/>
              <w:jc w:val="left"/>
            </w:pPr>
            <w:r>
              <w:t xml:space="preserve">10</w:t>
            </w:r>
          </w:p>
        </w:tc>
        <w:tc>
          <w:tcPr/>
          <w:p>
            <w:pPr>
              <w:pStyle w:val="Compact"/>
              <w:jc w:val="left"/>
            </w:pPr>
            <w:r>
              <w:t xml:space="preserve">Tidewater Chemical Corp.</w:t>
            </w:r>
          </w:p>
        </w:tc>
        <w:tc>
          <w:tcPr/>
          <w:p>
            <w:pPr>
              <w:pStyle w:val="Compact"/>
              <w:jc w:val="left"/>
            </w:pPr>
            <w:r>
              <w:t xml:space="preserve">Harborview Port Authority</w:t>
            </w:r>
          </w:p>
        </w:tc>
        <w:tc>
          <w:tcPr/>
          <w:p>
            <w:pPr>
              <w:pStyle w:val="Compact"/>
              <w:jc w:val="left"/>
            </w:pPr>
            <w:r>
              <w:t xml:space="preserve">IC, Rem</w:t>
            </w:r>
          </w:p>
        </w:tc>
        <w:tc>
          <w:tcPr/>
          <w:p>
            <w:pPr>
              <w:pStyle w:val="Compact"/>
              <w:jc w:val="left"/>
            </w:pPr>
            <w:r>
              <w:t xml:space="preserve">ER, IC</w:t>
            </w:r>
          </w:p>
        </w:tc>
      </w:tr>
    </w:tbl>
    <w:p>
      <w:pPr>
        <w:pStyle w:val="BodyText"/>
      </w:pPr>
      <w:r>
        <w:t xml:space="preserve">Customers #6–#10 are entirely different entities across the two documents, yet the dollar amounts are identical ($3.8M / $3.6M / $3.2M / $2.9M / $2.7M). This is not a rounding or timing issue — it indicates that at least one of the two documents contains placeholder or inaccurate customer data. For a deal where customer concentration and contract durability are central to the thesis, this is a serious data-integrity problem. The actual customer list, contract terms, and expiration dates must be verified against source contracts in the VDR.</w:t>
      </w:r>
    </w:p>
    <w:bookmarkEnd w:id="30"/>
    <w:bookmarkStart w:id="31" w:name="Xbddef0578f4e02af874f7deabc70a780749255b"/>
    <w:p>
      <w:pPr>
        <w:pStyle w:val="Heading3"/>
      </w:pPr>
      <w:r>
        <w:t xml:space="preserve">H. Customer relationship start-dates conflict</w:t>
      </w:r>
    </w:p>
    <w:p>
      <w:pPr>
        <w:pStyle w:val="FirstParagraph"/>
      </w:pPr>
      <w:r>
        <w:t xml:space="preserve">The CIM narrative (§V.A) and the CBR table (§3.2) give conflicting</w:t>
      </w:r>
      <w:r>
        <w:t xml:space="preserve"> </w:t>
      </w:r>
      <w:r>
        <w:t xml:space="preserve">“</w:t>
      </w:r>
      <w:r>
        <w:t xml:space="preserve">relationship since</w:t>
      </w:r>
      <w:r>
        <w:t xml:space="preserve">”</w:t>
      </w:r>
      <w:r>
        <w:t xml:space="preserve"> </w:t>
      </w:r>
      <w:r>
        <w:t xml:space="preserve">dates for several top customers: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Customer</w:t>
            </w:r>
          </w:p>
        </w:tc>
        <w:tc>
          <w:tcPr/>
          <w:p>
            <w:pPr>
              <w:pStyle w:val="Compact"/>
              <w:jc w:val="left"/>
            </w:pPr>
            <w:r>
              <w:t xml:space="preserve">CIM (narrative)</w:t>
            </w:r>
          </w:p>
        </w:tc>
        <w:tc>
          <w:tcPr/>
          <w:p>
            <w:pPr>
              <w:pStyle w:val="Compact"/>
              <w:jc w:val="left"/>
            </w:pPr>
            <w:r>
              <w:t xml:space="preserve">CBR (table)</w:t>
            </w:r>
          </w:p>
        </w:tc>
      </w:tr>
      <w:tr>
        <w:tc>
          <w:tcPr/>
          <w:p>
            <w:pPr>
              <w:pStyle w:val="Compact"/>
              <w:jc w:val="left"/>
            </w:pPr>
            <w:r>
              <w:t xml:space="preserve">PNR</w:t>
            </w:r>
          </w:p>
        </w:tc>
        <w:tc>
          <w:tcPr/>
          <w:p>
            <w:pPr>
              <w:pStyle w:val="Compact"/>
              <w:jc w:val="left"/>
            </w:pPr>
            <w:r>
              <w:t xml:space="preserve">2011</w:t>
            </w:r>
          </w:p>
        </w:tc>
        <w:tc>
          <w:tcPr/>
          <w:p>
            <w:pPr>
              <w:pStyle w:val="Compact"/>
              <w:jc w:val="left"/>
            </w:pPr>
            <w:r>
              <w:t xml:space="preserve">2012</w:t>
            </w:r>
          </w:p>
        </w:tc>
      </w:tr>
      <w:tr>
        <w:tc>
          <w:tcPr/>
          <w:p>
            <w:pPr>
              <w:pStyle w:val="Compact"/>
              <w:jc w:val="left"/>
            </w:pPr>
            <w:r>
              <w:t xml:space="preserve">ODOT</w:t>
            </w:r>
          </w:p>
        </w:tc>
        <w:tc>
          <w:tcPr/>
          <w:p>
            <w:pPr>
              <w:pStyle w:val="Compact"/>
              <w:jc w:val="left"/>
            </w:pPr>
            <w:r>
              <w:t xml:space="preserve">2013</w:t>
            </w:r>
          </w:p>
        </w:tc>
        <w:tc>
          <w:tcPr/>
          <w:p>
            <w:pPr>
              <w:pStyle w:val="Compact"/>
              <w:jc w:val="left"/>
            </w:pPr>
            <w:r>
              <w:t xml:space="preserve">2014</w:t>
            </w:r>
          </w:p>
        </w:tc>
      </w:tr>
      <w:tr>
        <w:tc>
          <w:tcPr/>
          <w:p>
            <w:pPr>
              <w:pStyle w:val="Compact"/>
              <w:jc w:val="left"/>
            </w:pPr>
            <w:r>
              <w:t xml:space="preserve">Columbia Basin Power</w:t>
            </w:r>
          </w:p>
        </w:tc>
        <w:tc>
          <w:tcPr/>
          <w:p>
            <w:pPr>
              <w:pStyle w:val="Compact"/>
              <w:jc w:val="left"/>
            </w:pPr>
            <w:r>
              <w:t xml:space="preserve">2017</w:t>
            </w:r>
          </w:p>
        </w:tc>
        <w:tc>
          <w:tcPr/>
          <w:p>
            <w:pPr>
              <w:pStyle w:val="Compact"/>
              <w:jc w:val="left"/>
            </w:pPr>
            <w:r>
              <w:t xml:space="preserve">2016</w:t>
            </w:r>
          </w:p>
        </w:tc>
      </w:tr>
      <w:tr>
        <w:tc>
          <w:tcPr/>
          <w:p>
            <w:pPr>
              <w:pStyle w:val="Compact"/>
              <w:jc w:val="left"/>
            </w:pPr>
            <w:r>
              <w:t xml:space="preserve">Meridian Lumber &amp; Paper</w:t>
            </w:r>
          </w:p>
        </w:tc>
        <w:tc>
          <w:tcPr/>
          <w:p>
            <w:pPr>
              <w:pStyle w:val="Compact"/>
              <w:jc w:val="left"/>
            </w:pPr>
            <w:r>
              <w:t xml:space="preserve">2014</w:t>
            </w:r>
          </w:p>
        </w:tc>
        <w:tc>
          <w:tcPr/>
          <w:p>
            <w:pPr>
              <w:pStyle w:val="Compact"/>
              <w:jc w:val="left"/>
            </w:pPr>
            <w:r>
              <w:t xml:space="preserve">2017</w:t>
            </w:r>
          </w:p>
        </w:tc>
      </w:tr>
    </w:tbl>
    <w:p>
      <w:pPr>
        <w:pStyle w:val="BodyText"/>
      </w:pPr>
      <w:r>
        <w:t xml:space="preserve">The Meridian discrepancy (2014 vs. 2017) is three years. These dates underpin the</w:t>
      </w:r>
      <w:r>
        <w:t xml:space="preserve"> </w:t>
      </w:r>
      <w:r>
        <w:t xml:space="preserve">“</w:t>
      </w:r>
      <w:r>
        <w:t xml:space="preserve">longevity / recurring revenue / high switching costs</w:t>
      </w:r>
      <w:r>
        <w:t xml:space="preserve">”</w:t>
      </w:r>
      <w:r>
        <w:t xml:space="preserve"> </w:t>
      </w:r>
      <w:r>
        <w:t xml:space="preserve">thesis; the inconsistencies erode confidence in that narrative.</w:t>
      </w:r>
    </w:p>
    <w:bookmarkEnd w:id="31"/>
    <w:bookmarkStart w:id="32" w:name="i.-geographic-revenue-split-conflicts"/>
    <w:p>
      <w:pPr>
        <w:pStyle w:val="Heading3"/>
      </w:pPr>
      <w:r>
        <w:t xml:space="preserve">I. Geographic revenue split conflicts</w:t>
      </w:r>
    </w:p>
    <w:p>
      <w:pPr>
        <w:pStyle w:val="FirstParagraph"/>
      </w:pPr>
      <w:r>
        <w:t xml:space="preserve">The CIM (§II.C) states</w:t>
      </w:r>
      <w:r>
        <w:t xml:space="preserve"> </w:t>
      </w:r>
      <w:r>
        <w:t xml:space="preserve">“</w:t>
      </w:r>
      <w:r>
        <w:t xml:space="preserve">approximately 75% of FY2024 revenue was generated in Oregon and Washington, with the remaining 25% derived from Idaho and Northern California.</w:t>
      </w:r>
      <w:r>
        <w:t xml:space="preserve">”</w:t>
      </w:r>
      <w:r>
        <w:t xml:space="preserve"> </w:t>
      </w:r>
      <w:r>
        <w:t xml:space="preserve">The CBR (Appendix A) provides a detailed split: Oregon 54.5% + Washington 27.8% =</w:t>
      </w:r>
      <w:r>
        <w:t xml:space="preserve"> </w:t>
      </w:r>
      <w:r>
        <w:rPr>
          <w:b/>
          <w:bCs/>
        </w:rPr>
        <w:t xml:space="preserve">82.3%</w:t>
      </w:r>
      <w:r>
        <w:t xml:space="preserve"> </w:t>
      </w:r>
      <w:r>
        <w:t xml:space="preserve">(not 75%), and Idaho 10.0% + Northern California 7.7% =</w:t>
      </w:r>
      <w:r>
        <w:t xml:space="preserve"> </w:t>
      </w:r>
      <w:r>
        <w:rPr>
          <w:b/>
          <w:bCs/>
        </w:rPr>
        <w:t xml:space="preserve">17.7%</w:t>
      </w:r>
      <w:r>
        <w:t xml:space="preserve"> </w:t>
      </w:r>
      <w:r>
        <w:t xml:space="preserve">(not 25%). The CIM’s rounded figure is off by ~7 points and understates Oregon/Washington concentration.</w:t>
      </w:r>
    </w:p>
    <w:bookmarkEnd w:id="32"/>
    <w:bookmarkStart w:id="33" w:name="j.-other-cross-document-items"/>
    <w:p>
      <w:pPr>
        <w:pStyle w:val="Heading3"/>
      </w:pPr>
      <w:r>
        <w:t xml:space="preserve">J. Other cross-document items</w:t>
      </w:r>
    </w:p>
    <w:p>
      <w:pPr>
        <w:pStyle w:val="Compact"/>
        <w:numPr>
          <w:ilvl w:val="0"/>
          <w:numId w:val="1003"/>
        </w:numPr>
      </w:pPr>
      <w:r>
        <w:rPr>
          <w:b/>
          <w:bCs/>
        </w:rPr>
        <w:t xml:space="preserve">Goodwill/intangibles ($2.5M, FE):</w:t>
      </w:r>
      <w:r>
        <w:t xml:space="preserve"> </w:t>
      </w:r>
      <w:r>
        <w:t xml:space="preserve">The FE balance sheet carries $2.5M of goodwill and intangible assets, constant across FY2021–FY2024. The CIM describes an entirely organic growth history (no acquisitions). The presence of goodwill with no disclosed acquisition history is unexplained and should be investigated (acquisition history? impairment?).</w:t>
      </w:r>
    </w:p>
    <w:p>
      <w:pPr>
        <w:pStyle w:val="Compact"/>
        <w:numPr>
          <w:ilvl w:val="0"/>
          <w:numId w:val="1003"/>
        </w:numPr>
      </w:pPr>
      <w:r>
        <w:rPr>
          <w:b/>
          <w:bCs/>
        </w:rPr>
        <w:t xml:space="preserve">Sacramento office:</w:t>
      </w:r>
      <w:r>
        <w:t xml:space="preserve"> </w:t>
      </w:r>
      <w:r>
        <w:t xml:space="preserve">The CBR (§8) states CES</w:t>
      </w:r>
      <w:r>
        <w:t xml:space="preserve"> </w:t>
      </w:r>
      <w:r>
        <w:t xml:space="preserve">“</w:t>
      </w:r>
      <w:r>
        <w:t xml:space="preserve">has established satellite operations in Sacramento</w:t>
      </w:r>
      <w:r>
        <w:t xml:space="preserve">”</w:t>
      </w:r>
      <w:r>
        <w:t xml:space="preserve"> </w:t>
      </w:r>
      <w:r>
        <w:t xml:space="preserve">to support Northern California business development. The CIM’s facilities list (§II.C, §VIII) identifies only Portland, Seattle, and Boise — no Sacramento facility. The existence and status of a California operating presence (relevant to the geographic-expansion thesis and to California permit utilization) should be confirmed.</w:t>
      </w:r>
    </w:p>
    <w:p>
      <w:pPr>
        <w:pStyle w:val="Compact"/>
        <w:numPr>
          <w:ilvl w:val="0"/>
          <w:numId w:val="1003"/>
        </w:numPr>
      </w:pPr>
      <w:r>
        <w:rPr>
          <w:b/>
          <w:bCs/>
        </w:rPr>
        <w:t xml:space="preserve">Cash-flow figures differ:</w:t>
      </w:r>
      <w:r>
        <w:t xml:space="preserve"> </w:t>
      </w:r>
      <w:r>
        <w:t xml:space="preserve">CIM Appendix A reports operating cash flow of $5.8M/$6.4M/$7.8M/$9.2M (FY21–24) and FCF of $2.2M/$2.3M/$2.0M/$2.0M; the FE reports $6.4M/$7.0M/$9.1M/$10.0M and FCF of $2.8M/$2.9M/$3.3M/$2.8M. The CIM consistently reports lower operating cash flow and FCF than the FE.</w:t>
      </w:r>
    </w:p>
    <w:p>
      <w:r>
        <w:pict>
          <v:rect style="width:0;height:1.5pt" o:hralign="center" o:hrstd="t" o:hr="t"/>
        </w:pict>
      </w:r>
    </w:p>
    <w:bookmarkEnd w:id="33"/>
    <w:bookmarkEnd w:id="34"/>
    <w:bookmarkStart w:id="42" w:name="X477528a65c5637b66f2e89c4eb375ecbea7e3cb"/>
    <w:p>
      <w:pPr>
        <w:pStyle w:val="Heading2"/>
      </w:pPr>
      <w:r>
        <w:t xml:space="preserve">VI. EBITDA Adjustment Quality and Buy-Side Reconstruction</w:t>
      </w:r>
    </w:p>
    <w:p>
      <w:pPr>
        <w:pStyle w:val="FirstParagraph"/>
      </w:pPr>
      <w:r>
        <w:t xml:space="preserve">The sell-side Adjusted EBITDA bridge adds back $4.7M to reported EBITDA of $12.1M to reach $17.1M (19.6% margin). The sector memo correctly flags that 19.6% is at the upper boundary of plausibility for this sector (15–18% adjusted is typical) and that each adjustment requires independent verification. This section evaluates each add-back and reconstructs a buy-side figure.</w:t>
      </w:r>
    </w:p>
    <w:bookmarkStart w:id="35" w:name="Xb43eb896f51bb146cd7470503741fe001feb989"/>
    <w:p>
      <w:pPr>
        <w:pStyle w:val="Heading3"/>
      </w:pPr>
      <w:r>
        <w:t xml:space="preserve">A. Related-party lease normalization — overstated per the CIM’s own data</w:t>
      </w:r>
    </w:p>
    <w:p>
      <w:pPr>
        <w:pStyle w:val="FirstParagraph"/>
      </w:pPr>
      <w:r>
        <w:t xml:space="preserve">The CIM adds back</w:t>
      </w:r>
      <w:r>
        <w:t xml:space="preserve"> </w:t>
      </w:r>
      <w:r>
        <w:rPr>
          <w:b/>
          <w:bCs/>
        </w:rPr>
        <w:t xml:space="preserve">$800K</w:t>
      </w:r>
      <w:r>
        <w:t xml:space="preserve">, representing the excess of the $1.4M annual rent paid to Mr. Oakes (personally) for the Portland HQ over an estimated market rent of $600K. However, the CIM’s own Industry Overview (§IV.C) states that</w:t>
      </w:r>
      <w:r>
        <w:t xml:space="preserve"> </w:t>
      </w:r>
      <w:r>
        <w:t xml:space="preserve">“</w:t>
      </w:r>
      <w:r>
        <w:t xml:space="preserve">specialized environmental staging facilities [of comparable acreage and infrastructure] command rates of</w:t>
      </w:r>
      <w:r>
        <w:t xml:space="preserve"> </w:t>
      </w:r>
      <w:r>
        <w:rPr>
          <w:b/>
          <w:bCs/>
        </w:rPr>
        <w:t xml:space="preserve">$1.0 million to $1.2 million annually</w:t>
      </w:r>
      <w:r>
        <w:t xml:space="preserve">.</w:t>
      </w:r>
      <w:r>
        <w:t xml:space="preserve">”</w:t>
      </w:r>
      <w:r>
        <w:t xml:space="preserve"> </w:t>
      </w:r>
      <w:r>
        <w:t xml:space="preserve">If the appropriate market rent is $1.0M–$1.2M (the CIM’s own comparable), the above-market excess is only</w:t>
      </w:r>
      <w:r>
        <w:t xml:space="preserve"> </w:t>
      </w:r>
      <w:r>
        <w:rPr>
          <w:b/>
          <w:bCs/>
        </w:rPr>
        <w:t xml:space="preserve">$200K–$400K</w:t>
      </w:r>
      <w:r>
        <w:t xml:space="preserve">, not $800K. The add-back is therefore overstated by approximately</w:t>
      </w:r>
      <w:r>
        <w:t xml:space="preserve"> </w:t>
      </w:r>
      <w:r>
        <w:rPr>
          <w:b/>
          <w:bCs/>
        </w:rPr>
        <w:t xml:space="preserve">$400K–$600K</w:t>
      </w:r>
      <w:r>
        <w:t xml:space="preserve"> </w:t>
      </w:r>
      <w:r>
        <w:t xml:space="preserve">by the CIM’s own market evidence. (The $600K</w:t>
      </w:r>
      <w:r>
        <w:t xml:space="preserve"> </w:t>
      </w:r>
      <w:r>
        <w:t xml:space="preserve">“</w:t>
      </w:r>
      <w:r>
        <w:t xml:space="preserve">market</w:t>
      </w:r>
      <w:r>
        <w:t xml:space="preserve">”</w:t>
      </w:r>
      <w:r>
        <w:t xml:space="preserve"> </w:t>
      </w:r>
      <w:r>
        <w:t xml:space="preserve">figure used in the bridge appears to reference generic industrial yard space at $8–$12/SF, not the specialized staging facility the property actually is.) At an 8–10x multiple, this single inconsistency is worth $3.2M–$6.0M in enterprise value.</w:t>
      </w:r>
    </w:p>
    <w:bookmarkEnd w:id="35"/>
    <w:bookmarkStart w:id="36" w:name="Xc21654b3813716346a61226c9ec00de225dbccb"/>
    <w:p>
      <w:pPr>
        <w:pStyle w:val="Heading3"/>
      </w:pPr>
      <w:r>
        <w:t xml:space="preserve">B. One-time legal/regulatory costs — partly below EBITDA and partly recurring</w:t>
      </w:r>
    </w:p>
    <w:p>
      <w:pPr>
        <w:pStyle w:val="FirstParagraph"/>
      </w:pPr>
      <w:r>
        <w:t xml:space="preserve">The CIM adds back</w:t>
      </w:r>
      <w:r>
        <w:t xml:space="preserve"> </w:t>
      </w:r>
      <w:r>
        <w:rPr>
          <w:b/>
          <w:bCs/>
        </w:rPr>
        <w:t xml:space="preserve">$1.2M</w:t>
      </w:r>
      <w:r>
        <w:t xml:space="preserve"> </w:t>
      </w:r>
      <w:r>
        <w:t xml:space="preserve">for the August 14, 2024 Oregon DEQ enforcement action ($875K settlement + $325K legal fees). Two problems:</w:t>
      </w:r>
    </w:p>
    <w:p>
      <w:pPr>
        <w:pStyle w:val="Compact"/>
        <w:numPr>
          <w:ilvl w:val="0"/>
          <w:numId w:val="1004"/>
        </w:numPr>
      </w:pPr>
      <w:r>
        <w:rPr>
          <w:b/>
          <w:bCs/>
        </w:rPr>
        <w:t xml:space="preserve">Classification (Section V.D):</w:t>
      </w:r>
      <w:r>
        <w:t xml:space="preserve"> </w:t>
      </w:r>
      <w:r>
        <w:t xml:space="preserve">The $875K settlement appears below the EBITDA line in the FE (</w:t>
      </w:r>
      <w:r>
        <w:t xml:space="preserve">“</w:t>
      </w:r>
      <w:r>
        <w:t xml:space="preserve">Other Income/(Expense)</w:t>
      </w:r>
      <w:r>
        <w:t xml:space="preserve">”</w:t>
      </w:r>
      <w:r>
        <w:t xml:space="preserve">), meaning it is already excluded from reported EBITDA and cannot legitimately be added back. Only the $325K legal fees appear to be in EBITDA.</w:t>
      </w:r>
    </w:p>
    <w:p>
      <w:pPr>
        <w:pStyle w:val="Compact"/>
        <w:numPr>
          <w:ilvl w:val="0"/>
          <w:numId w:val="1004"/>
        </w:numPr>
      </w:pPr>
      <w:r>
        <w:rPr>
          <w:b/>
          <w:bCs/>
        </w:rPr>
        <w:t xml:space="preserve">Recurring nature:</w:t>
      </w:r>
      <w:r>
        <w:t xml:space="preserve"> </w:t>
      </w:r>
      <w:r>
        <w:t xml:space="preserve">The sector memo establishes, with direct GreenWorks and Allied Waste portfolio evidence, that regulatory and compliance costs in this sector are recurring at approximately</w:t>
      </w:r>
      <w:r>
        <w:t xml:space="preserve"> </w:t>
      </w:r>
      <w:r>
        <w:rPr>
          <w:b/>
          <w:bCs/>
        </w:rPr>
        <w:t xml:space="preserve">$200K–$500K per year</w:t>
      </w:r>
      <w:r>
        <w:t xml:space="preserve"> </w:t>
      </w:r>
      <w:r>
        <w:t xml:space="preserve">for companies of CES’s size. Oregon DEQ enforcement has been</w:t>
      </w:r>
      <w:r>
        <w:t xml:space="preserve"> </w:t>
      </w:r>
      <w:r>
        <w:t xml:space="preserve">“</w:t>
      </w:r>
      <w:r>
        <w:t xml:space="preserve">particularly active.</w:t>
      </w:r>
      <w:r>
        <w:t xml:space="preserve">”</w:t>
      </w:r>
      <w:r>
        <w:t xml:space="preserve"> </w:t>
      </w:r>
      <w:r>
        <w:t xml:space="preserve">It is inappropriate to treat the full amount as one-time; QoE best practice is to normalize to an ongoing run-rate and add back only the excess. Request CES’s complete 10-year regulatory enforcement history to determine whether the 2024 matter is isolated or systemic.</w:t>
      </w:r>
    </w:p>
    <w:p>
      <w:pPr>
        <w:pStyle w:val="FirstParagraph"/>
      </w:pPr>
      <w:r>
        <w:t xml:space="preserve">On a run-rate of $300K–$500K, and recognizing that only ~$325K of the $1.2M is even in EBITDA, the defensible regulatory add-back is likely</w:t>
      </w:r>
      <w:r>
        <w:t xml:space="preserve"> </w:t>
      </w:r>
      <w:r>
        <w:rPr>
          <w:b/>
          <w:bCs/>
        </w:rPr>
        <w:t xml:space="preserve">$0K–$325K</w:t>
      </w:r>
      <w:r>
        <w:t xml:space="preserve"> </w:t>
      </w:r>
      <w:r>
        <w:t xml:space="preserve">(and could be zero if the in-EBITDA legal fees are deemed part of the recurring run-rate). This is a reduction of</w:t>
      </w:r>
      <w:r>
        <w:t xml:space="preserve"> </w:t>
      </w:r>
      <w:r>
        <w:rPr>
          <w:b/>
          <w:bCs/>
        </w:rPr>
        <w:t xml:space="preserve">$875K–$1.2M</w:t>
      </w:r>
      <w:r>
        <w:t xml:space="preserve"> </w:t>
      </w:r>
      <w:r>
        <w:t xml:space="preserve">from the sell-side add-back.</w:t>
      </w:r>
    </w:p>
    <w:bookmarkEnd w:id="36"/>
    <w:bookmarkStart w:id="37" w:name="X21cf07f28075fec3050921666048fdcfad50108"/>
    <w:p>
      <w:pPr>
        <w:pStyle w:val="Heading3"/>
      </w:pPr>
      <w:r>
        <w:t xml:space="preserve">C. Owner compensation normalization — verify</w:t>
      </w:r>
      <w:r>
        <w:t xml:space="preserve"> </w:t>
      </w:r>
      <w:r>
        <w:t xml:space="preserve">“</w:t>
      </w:r>
      <w:r>
        <w:t xml:space="preserve">personal expenses</w:t>
      </w:r>
      <w:r>
        <w:t xml:space="preserve">”</w:t>
      </w:r>
    </w:p>
    <w:p>
      <w:pPr>
        <w:pStyle w:val="FirstParagraph"/>
      </w:pPr>
      <w:r>
        <w:t xml:space="preserve">The CIM adds back</w:t>
      </w:r>
      <w:r>
        <w:t xml:space="preserve"> </w:t>
      </w:r>
      <w:r>
        <w:rPr>
          <w:b/>
          <w:bCs/>
        </w:rPr>
        <w:t xml:space="preserve">$1.9M</w:t>
      </w:r>
      <w:r>
        <w:t xml:space="preserve"> </w:t>
      </w:r>
      <w:r>
        <w:t xml:space="preserve">($2.4M actual total compensation less $500K assumed replacement CEO). The $2.4M is stated to include</w:t>
      </w:r>
      <w:r>
        <w:t xml:space="preserve"> </w:t>
      </w:r>
      <w:r>
        <w:t xml:space="preserve">“</w:t>
      </w:r>
      <w:r>
        <w:t xml:space="preserve">salary, annual bonus, benefits, and</w:t>
      </w:r>
      <w:r>
        <w:t xml:space="preserve"> </w:t>
      </w:r>
      <w:r>
        <w:rPr>
          <w:b/>
          <w:bCs/>
        </w:rPr>
        <w:t xml:space="preserve">personal expenses allocated to the Company</w:t>
      </w:r>
      <w:r>
        <w:t xml:space="preserve">.</w:t>
      </w:r>
      <w:r>
        <w:t xml:space="preserve">”</w:t>
      </w:r>
      <w:r>
        <w:t xml:space="preserve"> </w:t>
      </w:r>
      <w:r>
        <w:t xml:space="preserve">The nature and quantum of</w:t>
      </w:r>
      <w:r>
        <w:t xml:space="preserve"> </w:t>
      </w:r>
      <w:r>
        <w:t xml:space="preserve">“</w:t>
      </w:r>
      <w:r>
        <w:t xml:space="preserve">personal expenses allocated to the Company</w:t>
      </w:r>
      <w:r>
        <w:t xml:space="preserve">”</w:t>
      </w:r>
      <w:r>
        <w:t xml:space="preserve"> </w:t>
      </w:r>
      <w:r>
        <w:t xml:space="preserve">are undisclosed and must be itemized in QoE — such expenses, if non-business, should be excluded from the add-back (they are not a legitimate replacement-CEO cost; they are owner perquisites that simply should not have been in the business). The $500K replacement-CEO assumption is plausible for the next phase but should be benchmarked. Pending verification, we treat this add-back at $1.5M–$1.9M (reducing by the unverified personal-expense portion).</w:t>
      </w:r>
    </w:p>
    <w:bookmarkEnd w:id="37"/>
    <w:bookmarkStart w:id="38" w:name="Xba7394e712262cbaf317bf0203b03ef82b514b1"/>
    <w:p>
      <w:pPr>
        <w:pStyle w:val="Heading3"/>
      </w:pPr>
      <w:r>
        <w:t xml:space="preserve">D. Non-recurring equipment relocation ($400K) — likely growth capex</w:t>
      </w:r>
    </w:p>
    <w:p>
      <w:pPr>
        <w:pStyle w:val="FirstParagraph"/>
      </w:pPr>
      <w:r>
        <w:t xml:space="preserve">The $400K relates to the relocation/expansion of the Boise depot, completed in FY2024. The Boise depot was</w:t>
      </w:r>
      <w:r>
        <w:t xml:space="preserve"> </w:t>
      </w:r>
      <w:r>
        <w:t xml:space="preserve">“</w:t>
      </w:r>
      <w:r>
        <w:t xml:space="preserve">expanded in FY2024 to accommodate growing demand</w:t>
      </w:r>
      <w:r>
        <w:t xml:space="preserve">”</w:t>
      </w:r>
      <w:r>
        <w:t xml:space="preserve"> </w:t>
      </w:r>
      <w:r>
        <w:t xml:space="preserve">(CIM §II.A) and is part of the Company’s geographic growth strategy. Costs to expand a growing regional depot are more properly characterized as</w:t>
      </w:r>
      <w:r>
        <w:t xml:space="preserve"> </w:t>
      </w:r>
      <w:r>
        <w:rPr>
          <w:b/>
          <w:bCs/>
        </w:rPr>
        <w:t xml:space="preserve">growth capital expenditure</w:t>
      </w:r>
      <w:r>
        <w:t xml:space="preserve"> </w:t>
      </w:r>
      <w:r>
        <w:t xml:space="preserve">than as a non-recurring EBITDA add-back. We treat this as $0K–$200K defensible.</w:t>
      </w:r>
    </w:p>
    <w:bookmarkEnd w:id="38"/>
    <w:bookmarkStart w:id="39" w:name="X58a7f2d6f4eecd226574b500a58bbcdee2133f9"/>
    <w:p>
      <w:pPr>
        <w:pStyle w:val="Heading3"/>
      </w:pPr>
      <w:r>
        <w:t xml:space="preserve">E. Stock-based compensation — phantom units ($300K)</w:t>
      </w:r>
    </w:p>
    <w:p>
      <w:pPr>
        <w:pStyle w:val="FirstParagraph"/>
      </w:pPr>
      <w:r>
        <w:t xml:space="preserve">The $300K non-cash phantom-unit expense is a legitimate EBITDA add-back in form. However, the CIM states that</w:t>
      </w:r>
      <w:r>
        <w:t xml:space="preserve"> </w:t>
      </w:r>
      <w:r>
        <w:t xml:space="preserve">“</w:t>
      </w:r>
      <w:r>
        <w:t xml:space="preserve">all outstanding phantom units are expected to be settled in</w:t>
      </w:r>
      <w:r>
        <w:t xml:space="preserve"> </w:t>
      </w:r>
      <w:r>
        <w:rPr>
          <w:b/>
          <w:bCs/>
        </w:rPr>
        <w:t xml:space="preserve">cash at closing</w:t>
      </w:r>
      <w:r>
        <w:t xml:space="preserve">.</w:t>
      </w:r>
      <w:r>
        <w:t xml:space="preserve">”</w:t>
      </w:r>
      <w:r>
        <w:t xml:space="preserve"> </w:t>
      </w:r>
      <w:r>
        <w:t xml:space="preserve">The cash settlement obligation is a real liability that is (i) not quantified anywhere in the materials and (ii) excluded from the debt summary and the EV bridge. This cash payment at closing is an additional transaction cost / liability that must be sized and netted against equity proceeds (see Section XIII).</w:t>
      </w:r>
    </w:p>
    <w:bookmarkEnd w:id="39"/>
    <w:bookmarkStart w:id="40" w:name="f.-one-time-it-implementation-100k"/>
    <w:p>
      <w:pPr>
        <w:pStyle w:val="Heading3"/>
      </w:pPr>
      <w:r>
        <w:t xml:space="preserve">F. One-time IT implementation ($100K)</w:t>
      </w:r>
    </w:p>
    <w:p>
      <w:pPr>
        <w:pStyle w:val="FirstParagraph"/>
      </w:pPr>
      <w:r>
        <w:t xml:space="preserve">The $100K ERP upgrade add-back is small and likely defensible if the upgrade is genuinely complete and non-recurring. We retain it pending confirmation.</w:t>
      </w:r>
    </w:p>
    <w:bookmarkEnd w:id="40"/>
    <w:bookmarkStart w:id="41" w:name="X13391e680d44c719e623b4be60f9c175699ed05"/>
    <w:p>
      <w:pPr>
        <w:pStyle w:val="Heading3"/>
      </w:pPr>
      <w:r>
        <w:t xml:space="preserve">G. Buy-side Adjusted EBITDA reconstruction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Adjustment ($M)</w:t>
            </w:r>
          </w:p>
        </w:tc>
        <w:tc>
          <w:tcPr/>
          <w:p>
            <w:pPr>
              <w:pStyle w:val="Compact"/>
              <w:jc w:val="left"/>
            </w:pPr>
            <w:r>
              <w:t xml:space="preserve">Sell-side</w:t>
            </w:r>
          </w:p>
        </w:tc>
        <w:tc>
          <w:tcPr/>
          <w:p>
            <w:pPr>
              <w:pStyle w:val="Compact"/>
              <w:jc w:val="left"/>
            </w:pPr>
            <w:r>
              <w:t xml:space="preserve">Buy-side low</w:t>
            </w:r>
          </w:p>
        </w:tc>
        <w:tc>
          <w:tcPr/>
          <w:p>
            <w:pPr>
              <w:pStyle w:val="Compact"/>
              <w:jc w:val="left"/>
            </w:pPr>
            <w:r>
              <w:t xml:space="preserve">Buy-side mid</w:t>
            </w:r>
          </w:p>
        </w:tc>
        <w:tc>
          <w:tcPr/>
          <w:p>
            <w:pPr>
              <w:pStyle w:val="Compact"/>
              <w:jc w:val="left"/>
            </w:pPr>
            <w:r>
              <w:t xml:space="preserve">Buy-side high</w:t>
            </w:r>
          </w:p>
        </w:tc>
      </w:tr>
      <w:tr>
        <w:tc>
          <w:tcPr/>
          <w:p>
            <w:pPr>
              <w:pStyle w:val="Compact"/>
              <w:jc w:val="left"/>
            </w:pPr>
            <w:r>
              <w:t xml:space="preserve">Reported EBITDA</w:t>
            </w:r>
          </w:p>
        </w:tc>
        <w:tc>
          <w:tcPr/>
          <w:p>
            <w:pPr>
              <w:pStyle w:val="Compact"/>
              <w:jc w:val="left"/>
            </w:pPr>
            <w:r>
              <w:t xml:space="preserve">12.1</w:t>
            </w:r>
          </w:p>
        </w:tc>
        <w:tc>
          <w:tcPr/>
          <w:p>
            <w:pPr>
              <w:pStyle w:val="Compact"/>
              <w:jc w:val="left"/>
            </w:pPr>
            <w:r>
              <w:t xml:space="preserve">12.1</w:t>
            </w:r>
          </w:p>
        </w:tc>
        <w:tc>
          <w:tcPr/>
          <w:p>
            <w:pPr>
              <w:pStyle w:val="Compact"/>
              <w:jc w:val="left"/>
            </w:pPr>
            <w:r>
              <w:t xml:space="preserve">12.1</w:t>
            </w:r>
          </w:p>
        </w:tc>
        <w:tc>
          <w:tcPr/>
          <w:p>
            <w:pPr>
              <w:pStyle w:val="Compact"/>
              <w:jc w:val="left"/>
            </w:pPr>
            <w:r>
              <w:t xml:space="preserve">12.1</w:t>
            </w:r>
          </w:p>
        </w:tc>
      </w:tr>
      <w:tr>
        <w:tc>
          <w:tcPr/>
          <w:p>
            <w:pPr>
              <w:pStyle w:val="Compact"/>
              <w:jc w:val="left"/>
            </w:pPr>
            <w:r>
              <w:t xml:space="preserve">Owner compensation normalization</w:t>
            </w:r>
          </w:p>
        </w:tc>
        <w:tc>
          <w:tcPr/>
          <w:p>
            <w:pPr>
              <w:pStyle w:val="Compact"/>
              <w:jc w:val="left"/>
            </w:pPr>
            <w:r>
              <w:t xml:space="preserve">1.9</w:t>
            </w:r>
          </w:p>
        </w:tc>
        <w:tc>
          <w:tcPr/>
          <w:p>
            <w:pPr>
              <w:pStyle w:val="Compact"/>
              <w:jc w:val="left"/>
            </w:pPr>
            <w:r>
              <w:t xml:space="preserve">1.5</w:t>
            </w:r>
          </w:p>
        </w:tc>
        <w:tc>
          <w:tcPr/>
          <w:p>
            <w:pPr>
              <w:pStyle w:val="Compact"/>
              <w:jc w:val="left"/>
            </w:pPr>
            <w:r>
              <w:t xml:space="preserve">1.7</w:t>
            </w:r>
          </w:p>
        </w:tc>
        <w:tc>
          <w:tcPr/>
          <w:p>
            <w:pPr>
              <w:pStyle w:val="Compact"/>
              <w:jc w:val="left"/>
            </w:pPr>
            <w:r>
              <w:t xml:space="preserve">1.9</w:t>
            </w:r>
          </w:p>
        </w:tc>
      </w:tr>
      <w:tr>
        <w:tc>
          <w:tcPr/>
          <w:p>
            <w:pPr>
              <w:pStyle w:val="Compact"/>
              <w:jc w:val="left"/>
            </w:pPr>
            <w:r>
              <w:t xml:space="preserve">Related-party lease normalization</w:t>
            </w:r>
          </w:p>
        </w:tc>
        <w:tc>
          <w:tcPr/>
          <w:p>
            <w:pPr>
              <w:pStyle w:val="Compact"/>
              <w:jc w:val="left"/>
            </w:pPr>
            <w:r>
              <w:t xml:space="preserve">0.8</w:t>
            </w:r>
          </w:p>
        </w:tc>
        <w:tc>
          <w:tcPr/>
          <w:p>
            <w:pPr>
              <w:pStyle w:val="Compact"/>
              <w:jc w:val="left"/>
            </w:pPr>
            <w:r>
              <w:t xml:space="preserve">0.2</w:t>
            </w:r>
          </w:p>
        </w:tc>
        <w:tc>
          <w:tcPr/>
          <w:p>
            <w:pPr>
              <w:pStyle w:val="Compact"/>
              <w:jc w:val="left"/>
            </w:pPr>
            <w:r>
              <w:t xml:space="preserve">0.3</w:t>
            </w:r>
          </w:p>
        </w:tc>
        <w:tc>
          <w:tcPr/>
          <w:p>
            <w:pPr>
              <w:pStyle w:val="Compact"/>
              <w:jc w:val="left"/>
            </w:pPr>
            <w:r>
              <w:t xml:space="preserve">0.4</w:t>
            </w:r>
          </w:p>
        </w:tc>
      </w:tr>
      <w:tr>
        <w:tc>
          <w:tcPr/>
          <w:p>
            <w:pPr>
              <w:pStyle w:val="Compact"/>
              <w:jc w:val="left"/>
            </w:pPr>
            <w:r>
              <w:t xml:space="preserve">Legal/regulatory (one-time)</w:t>
            </w:r>
          </w:p>
        </w:tc>
        <w:tc>
          <w:tcPr/>
          <w:p>
            <w:pPr>
              <w:pStyle w:val="Compact"/>
              <w:jc w:val="left"/>
            </w:pPr>
            <w:r>
              <w:t xml:space="preserve">1.2</w:t>
            </w:r>
          </w:p>
        </w:tc>
        <w:tc>
          <w:tcPr/>
          <w:p>
            <w:pPr>
              <w:pStyle w:val="Compact"/>
              <w:jc w:val="left"/>
            </w:pPr>
            <w:r>
              <w:t xml:space="preserve">0.0</w:t>
            </w:r>
          </w:p>
        </w:tc>
        <w:tc>
          <w:tcPr/>
          <w:p>
            <w:pPr>
              <w:pStyle w:val="Compact"/>
              <w:jc w:val="left"/>
            </w:pPr>
            <w:r>
              <w:t xml:space="preserve">0.8</w:t>
            </w:r>
          </w:p>
        </w:tc>
        <w:tc>
          <w:tcPr/>
          <w:p>
            <w:pPr>
              <w:pStyle w:val="Compact"/>
              <w:jc w:val="left"/>
            </w:pPr>
            <w:r>
              <w:t xml:space="preserve">0.9</w:t>
            </w:r>
          </w:p>
        </w:tc>
      </w:tr>
      <w:tr>
        <w:tc>
          <w:tcPr/>
          <w:p>
            <w:pPr>
              <w:pStyle w:val="Compact"/>
              <w:jc w:val="left"/>
            </w:pPr>
            <w:r>
              <w:t xml:space="preserve">Equipment relocation</w:t>
            </w:r>
          </w:p>
        </w:tc>
        <w:tc>
          <w:tcPr/>
          <w:p>
            <w:pPr>
              <w:pStyle w:val="Compact"/>
              <w:jc w:val="left"/>
            </w:pPr>
            <w:r>
              <w:t xml:space="preserve">0.4</w:t>
            </w:r>
          </w:p>
        </w:tc>
        <w:tc>
          <w:tcPr/>
          <w:p>
            <w:pPr>
              <w:pStyle w:val="Compact"/>
              <w:jc w:val="left"/>
            </w:pPr>
            <w:r>
              <w:t xml:space="preserve">0.0</w:t>
            </w:r>
          </w:p>
        </w:tc>
        <w:tc>
          <w:tcPr/>
          <w:p>
            <w:pPr>
              <w:pStyle w:val="Compact"/>
              <w:jc w:val="left"/>
            </w:pPr>
            <w:r>
              <w:t xml:space="preserve">0.2</w:t>
            </w:r>
          </w:p>
        </w:tc>
        <w:tc>
          <w:tcPr/>
          <w:p>
            <w:pPr>
              <w:pStyle w:val="Compact"/>
              <w:jc w:val="left"/>
            </w:pPr>
            <w:r>
              <w:t xml:space="preserve">0.4</w:t>
            </w:r>
          </w:p>
        </w:tc>
      </w:tr>
      <w:tr>
        <w:tc>
          <w:tcPr/>
          <w:p>
            <w:pPr>
              <w:pStyle w:val="Compact"/>
              <w:jc w:val="left"/>
            </w:pPr>
            <w:r>
              <w:t xml:space="preserve">Stock-based compensation (phantom)</w:t>
            </w:r>
          </w:p>
        </w:tc>
        <w:tc>
          <w:tcPr/>
          <w:p>
            <w:pPr>
              <w:pStyle w:val="Compact"/>
              <w:jc w:val="left"/>
            </w:pPr>
            <w:r>
              <w:t xml:space="preserve">0.3</w:t>
            </w:r>
          </w:p>
        </w:tc>
        <w:tc>
          <w:tcPr/>
          <w:p>
            <w:pPr>
              <w:pStyle w:val="Compact"/>
              <w:jc w:val="left"/>
            </w:pPr>
            <w:r>
              <w:t xml:space="preserve">0.3</w:t>
            </w:r>
          </w:p>
        </w:tc>
        <w:tc>
          <w:tcPr/>
          <w:p>
            <w:pPr>
              <w:pStyle w:val="Compact"/>
              <w:jc w:val="left"/>
            </w:pPr>
            <w:r>
              <w:t xml:space="preserve">0.3</w:t>
            </w:r>
          </w:p>
        </w:tc>
        <w:tc>
          <w:tcPr/>
          <w:p>
            <w:pPr>
              <w:pStyle w:val="Compact"/>
              <w:jc w:val="left"/>
            </w:pPr>
            <w:r>
              <w:t xml:space="preserve">0.3</w:t>
            </w:r>
          </w:p>
        </w:tc>
      </w:tr>
      <w:tr>
        <w:tc>
          <w:tcPr/>
          <w:p>
            <w:pPr>
              <w:pStyle w:val="Compact"/>
              <w:jc w:val="left"/>
            </w:pPr>
            <w:r>
              <w:t xml:space="preserve">One-time IT</w:t>
            </w:r>
          </w:p>
        </w:tc>
        <w:tc>
          <w:tcPr/>
          <w:p>
            <w:pPr>
              <w:pStyle w:val="Compact"/>
              <w:jc w:val="left"/>
            </w:pPr>
            <w:r>
              <w:t xml:space="preserve">0.1</w:t>
            </w:r>
          </w:p>
        </w:tc>
        <w:tc>
          <w:tcPr/>
          <w:p>
            <w:pPr>
              <w:pStyle w:val="Compact"/>
              <w:jc w:val="left"/>
            </w:pPr>
            <w:r>
              <w:t xml:space="preserve">0.1</w:t>
            </w:r>
          </w:p>
        </w:tc>
        <w:tc>
          <w:tcPr/>
          <w:p>
            <w:pPr>
              <w:pStyle w:val="Compact"/>
              <w:jc w:val="left"/>
            </w:pPr>
            <w:r>
              <w:t xml:space="preserve">0.1</w:t>
            </w:r>
          </w:p>
        </w:tc>
        <w:tc>
          <w:tcPr/>
          <w:p>
            <w:pPr>
              <w:pStyle w:val="Compact"/>
              <w:jc w:val="left"/>
            </w:pPr>
            <w:r>
              <w:t xml:space="preserve">0.1</w:t>
            </w:r>
          </w:p>
        </w:tc>
      </w:tr>
      <w:tr>
        <w:tc>
          <w:tcPr/>
          <w:p>
            <w:pPr>
              <w:pStyle w:val="Compact"/>
              <w:jc w:val="left"/>
            </w:pPr>
            <w:r>
              <w:rPr>
                <w:b/>
                <w:bCs/>
              </w:rPr>
              <w:t xml:space="preserve">Adjusted EBITDA</w:t>
            </w:r>
          </w:p>
        </w:tc>
        <w:tc>
          <w:tcPr/>
          <w:p>
            <w:pPr>
              <w:pStyle w:val="Compact"/>
              <w:jc w:val="left"/>
            </w:pPr>
            <w:r>
              <w:rPr>
                <w:b/>
                <w:bCs/>
              </w:rPr>
              <w:t xml:space="preserve">17.1</w:t>
            </w:r>
          </w:p>
        </w:tc>
        <w:tc>
          <w:tcPr/>
          <w:p>
            <w:pPr>
              <w:pStyle w:val="Compact"/>
              <w:jc w:val="left"/>
            </w:pPr>
            <w:r>
              <w:rPr>
                <w:b/>
                <w:bCs/>
              </w:rPr>
              <w:t xml:space="preserve">14.9</w:t>
            </w:r>
          </w:p>
        </w:tc>
        <w:tc>
          <w:tcPr/>
          <w:p>
            <w:pPr>
              <w:pStyle w:val="Compact"/>
              <w:jc w:val="left"/>
            </w:pPr>
            <w:r>
              <w:rPr>
                <w:b/>
                <w:bCs/>
              </w:rPr>
              <w:t xml:space="preserve">15.5</w:t>
            </w:r>
          </w:p>
        </w:tc>
        <w:tc>
          <w:tcPr/>
          <w:p>
            <w:pPr>
              <w:pStyle w:val="Compact"/>
              <w:jc w:val="left"/>
            </w:pPr>
            <w:r>
              <w:rPr>
                <w:b/>
                <w:bCs/>
              </w:rPr>
              <w:t xml:space="preserve">16.1</w:t>
            </w:r>
          </w:p>
        </w:tc>
      </w:tr>
      <w:tr>
        <w:tc>
          <w:tcPr/>
          <w:p>
            <w:pPr>
              <w:pStyle w:val="Compact"/>
              <w:jc w:val="left"/>
            </w:pPr>
            <w:r>
              <w:rPr>
                <w:b/>
                <w:bCs/>
              </w:rPr>
              <w:t xml:space="preserve">Adjusted EBITDA margin</w:t>
            </w:r>
          </w:p>
        </w:tc>
        <w:tc>
          <w:tcPr/>
          <w:p>
            <w:pPr>
              <w:pStyle w:val="Compact"/>
              <w:jc w:val="left"/>
            </w:pPr>
            <w:r>
              <w:rPr>
                <w:b/>
                <w:bCs/>
              </w:rPr>
              <w:t xml:space="preserve">19.6%</w:t>
            </w:r>
          </w:p>
        </w:tc>
        <w:tc>
          <w:tcPr/>
          <w:p>
            <w:pPr>
              <w:pStyle w:val="Compact"/>
              <w:jc w:val="left"/>
            </w:pPr>
            <w:r>
              <w:rPr>
                <w:b/>
                <w:bCs/>
              </w:rPr>
              <w:t xml:space="preserve">17.1%</w:t>
            </w:r>
          </w:p>
        </w:tc>
        <w:tc>
          <w:tcPr/>
          <w:p>
            <w:pPr>
              <w:pStyle w:val="Compact"/>
              <w:jc w:val="left"/>
            </w:pPr>
            <w:r>
              <w:rPr>
                <w:b/>
                <w:bCs/>
              </w:rPr>
              <w:t xml:space="preserve">17.8%</w:t>
            </w:r>
          </w:p>
        </w:tc>
        <w:tc>
          <w:tcPr/>
          <w:p>
            <w:pPr>
              <w:pStyle w:val="Compact"/>
              <w:jc w:val="left"/>
            </w:pPr>
            <w:r>
              <w:rPr>
                <w:b/>
                <w:bCs/>
              </w:rPr>
              <w:t xml:space="preserve">18.4%</w:t>
            </w:r>
          </w:p>
        </w:tc>
      </w:tr>
    </w:tbl>
    <w:p>
      <w:pPr>
        <w:pStyle w:val="BodyText"/>
      </w:pPr>
      <w:r>
        <w:t xml:space="preserve">The buy-side Adjusted EBITDA of</w:t>
      </w:r>
      <w:r>
        <w:t xml:space="preserve"> </w:t>
      </w:r>
      <w:r>
        <w:rPr>
          <w:b/>
          <w:bCs/>
        </w:rPr>
        <w:t xml:space="preserve">~$15.5 million (midpoint)</w:t>
      </w:r>
      <w:r>
        <w:t xml:space="preserve"> </w:t>
      </w:r>
      <w:r>
        <w:t xml:space="preserve">is $1.6 million below the sell-side figure and brings the margin to ~17.8% — within the sector’s plausible adjusted range (15–18%) rather than at its upper boundary. The largest single drivers of the reduction are the regulatory add-back (−$0.4M to −$1.2M) and the lease add-back (−$0.4M to −$0.6M). Note also that the sell-side</w:t>
      </w:r>
      <w:r>
        <w:t xml:space="preserve"> </w:t>
      </w:r>
      <w:r>
        <w:t xml:space="preserve">“</w:t>
      </w:r>
      <w:r>
        <w:t xml:space="preserve">20.8% Adjusted EBITDA CAGR</w:t>
      </w:r>
      <w:r>
        <w:t xml:space="preserve">”</w:t>
      </w:r>
      <w:r>
        <w:t xml:space="preserve"> </w:t>
      </w:r>
      <w:r>
        <w:t xml:space="preserve">headline is flattered by add-backs that grew faster than the business (reported EBITDA CAGR is 17.8%).</w:t>
      </w:r>
    </w:p>
    <w:p>
      <w:r>
        <w:pict>
          <v:rect style="width:0;height:1.5pt" o:hralign="center" o:hrstd="t" o:hr="t"/>
        </w:pict>
      </w:r>
    </w:p>
    <w:bookmarkEnd w:id="41"/>
    <w:bookmarkEnd w:id="42"/>
    <w:bookmarkStart w:id="46" w:name="Xfc586cb9effcbbc4ce057381373368cd70ee43c"/>
    <w:p>
      <w:pPr>
        <w:pStyle w:val="Heading2"/>
      </w:pPr>
      <w:r>
        <w:t xml:space="preserve">VII. PFAS Growth Projections — Execution Risk</w:t>
      </w:r>
    </w:p>
    <w:bookmarkStart w:id="43" w:name="X8f000ccbaf16ad91d4b92255ce50b74d33e3e9b"/>
    <w:p>
      <w:pPr>
        <w:pStyle w:val="Heading3"/>
      </w:pPr>
      <w:r>
        <w:t xml:space="preserve">A. Projections are ~3x the achievable company-level rate</w:t>
      </w:r>
    </w:p>
    <w:p>
      <w:pPr>
        <w:pStyle w:val="FirstParagraph"/>
      </w:pPr>
      <w:r>
        <w:t xml:space="preserve">The CIM projects PFAS revenue of $14.0M in FY2025E (125.8% YoY growth) and $22.0M in FY2026E (57.1%), with PFAS delivering</w:t>
      </w:r>
      <w:r>
        <w:t xml:space="preserve"> </w:t>
      </w:r>
      <w:r>
        <w:rPr>
          <w:b/>
          <w:bCs/>
        </w:rPr>
        <w:t xml:space="preserve">$15.8M of the $24.7M total incremental revenue from FY2024 to FY2026E — approximately 64% of all growth</w:t>
      </w:r>
      <w:r>
        <w:t xml:space="preserve"> </w:t>
      </w:r>
      <w:r>
        <w:t xml:space="preserve">— from a service line launched only in 2022. The sector memo, drawing on Thornfield’s direct GreenWorks experience (vapor intrusion mitigation, where sell-side projections of 80%+ growth in years two/three moderated to ~35% once the practice exceeded $5M), concludes that company-level PFAS growth should moderate to</w:t>
      </w:r>
      <w:r>
        <w:t xml:space="preserve"> </w:t>
      </w:r>
      <w:r>
        <w:rPr>
          <w:b/>
          <w:bCs/>
        </w:rPr>
        <w:t xml:space="preserve">30–50% annually</w:t>
      </w:r>
      <w:r>
        <w:t xml:space="preserve"> </w:t>
      </w:r>
      <w:r>
        <w:t xml:space="preserve">now that CES has crossed the $5M threshold. The CIM’s 126% FY2025E growth is roughly</w:t>
      </w:r>
      <w:r>
        <w:t xml:space="preserve"> </w:t>
      </w:r>
      <w:r>
        <w:rPr>
          <w:b/>
          <w:bCs/>
        </w:rPr>
        <w:t xml:space="preserve">three times</w:t>
      </w:r>
      <w:r>
        <w:t xml:space="preserve"> </w:t>
      </w:r>
      <w:r>
        <w:t xml:space="preserve">the upper end of that achievable range.</w:t>
      </w:r>
    </w:p>
    <w:p>
      <w:pPr>
        <w:pStyle w:val="BodyText"/>
      </w:pPr>
      <w:r>
        <w:t xml:space="preserve">If PFAS reaches only $9M–$10M in FY2025 (a still-robust 45–61% growth) rather than $14M, the overall revenue trajectory weakens by ~$4M–$5M and the projected margin expansion from 13.9% reported to 20%+ adjusted becomes difficult to achieve, because PFAS is presented as carrying above-average margins. The entire growth-and-margin thesis is disproportionately levered to a two-year-old practice.</w:t>
      </w:r>
    </w:p>
    <w:bookmarkEnd w:id="43"/>
    <w:bookmarkStart w:id="44" w:name="X8eb37947080fecd6b01ce03f9db7dee8447ebec"/>
    <w:p>
      <w:pPr>
        <w:pStyle w:val="Heading3"/>
      </w:pPr>
      <w:r>
        <w:t xml:space="preserve">B. Professional Engineer capacity constraint</w:t>
      </w:r>
    </w:p>
    <w:p>
      <w:pPr>
        <w:pStyle w:val="FirstParagraph"/>
      </w:pPr>
      <w:r>
        <w:t xml:space="preserve">PFAS site assessment and remediation design require PE oversight (CIM §III.A:</w:t>
      </w:r>
      <w:r>
        <w:t xml:space="preserve"> </w:t>
      </w:r>
      <w:r>
        <w:t xml:space="preserve">“</w:t>
      </w:r>
      <w:r>
        <w:t xml:space="preserve">PE sign-off is required for site assessments, remediation work plans, and closure reports</w:t>
      </w:r>
      <w:r>
        <w:t xml:space="preserve">”</w:t>
      </w:r>
      <w:r>
        <w:t xml:space="preserve">). CES’s PE headcount</w:t>
      </w:r>
      <w:r>
        <w:t xml:space="preserve"> </w:t>
      </w:r>
      <w:r>
        <w:rPr>
          <w:b/>
          <w:bCs/>
        </w:rPr>
        <w:t xml:space="preserve">fell from three to two in January 2025</w:t>
      </w:r>
      <w:r>
        <w:t xml:space="preserve"> </w:t>
      </w:r>
      <w:r>
        <w:t xml:space="preserve">following a retirement that has not been filled (CIM §II.D.6). Growth at the projected pace would likely require hiring at least two to three additional PEs; the environmental PE market is extremely tight, with typical recruitment timelines of six to twelve months (sector memo §3.2). No credible PE hiring plan is disclosed. The loss of one-third of PE capacity creates a near-term execution bottleneck that directly threatens the PFAS ramp and, more broadly, the core remediation segment (55% of revenue) that also requires PE sign-off.</w:t>
      </w:r>
    </w:p>
    <w:bookmarkEnd w:id="44"/>
    <w:bookmarkStart w:id="45" w:name="c.-pfas-backlog-breakout-is-missing"/>
    <w:p>
      <w:pPr>
        <w:pStyle w:val="Heading3"/>
      </w:pPr>
      <w:r>
        <w:t xml:space="preserve">C. PFAS backlog breakout is missing</w:t>
      </w:r>
    </w:p>
    <w:p>
      <w:pPr>
        <w:pStyle w:val="FirstParagraph"/>
      </w:pPr>
      <w:r>
        <w:t xml:space="preserve">Neither the CIM nor the CBR isolates</w:t>
      </w:r>
      <w:r>
        <w:t xml:space="preserve"> </w:t>
      </w:r>
      <w:r>
        <w:rPr>
          <w:b/>
          <w:bCs/>
        </w:rPr>
        <w:t xml:space="preserve">contracted PFAS backlog</w:t>
      </w:r>
      <w:r>
        <w:t xml:space="preserve"> </w:t>
      </w:r>
      <w:r>
        <w:t xml:space="preserve">from pipeline. The CBR reports total Remediation backlog of $26.8M and notes</w:t>
      </w:r>
      <w:r>
        <w:t xml:space="preserve"> </w:t>
      </w:r>
      <w:r>
        <w:t xml:space="preserve">“</w:t>
      </w:r>
      <w:r>
        <w:t xml:space="preserve">several PFAS-related site assessment and remediation contracts,</w:t>
      </w:r>
      <w:r>
        <w:t xml:space="preserve">”</w:t>
      </w:r>
      <w:r>
        <w:t xml:space="preserve"> </w:t>
      </w:r>
      <w:r>
        <w:t xml:space="preserve">but does not quantify signed PFAS backlog versus pipeline assumptions. The $14.0M FY2025E PFAS projection must be supported by identified, contracted work.</w:t>
      </w:r>
      <w:r>
        <w:t xml:space="preserve"> </w:t>
      </w:r>
      <w:r>
        <w:rPr>
          <w:b/>
          <w:bCs/>
        </w:rPr>
        <w:t xml:space="preserve">This breakout is the single most important commercial diligence request</w:t>
      </w:r>
      <w:r>
        <w:t xml:space="preserve"> </w:t>
      </w:r>
      <w:r>
        <w:t xml:space="preserve">and should be a condition of advancing to Phase II.</w:t>
      </w:r>
    </w:p>
    <w:p>
      <w:r>
        <w:pict>
          <v:rect style="width:0;height:1.5pt" o:hralign="center" o:hrstd="t" o:hr="t"/>
        </w:pict>
      </w:r>
    </w:p>
    <w:bookmarkEnd w:id="45"/>
    <w:bookmarkEnd w:id="46"/>
    <w:bookmarkStart w:id="50" w:name="X28aba24192855c6ace880283d015cfaa73f861c"/>
    <w:p>
      <w:pPr>
        <w:pStyle w:val="Heading2"/>
      </w:pPr>
      <w:r>
        <w:t xml:space="preserve">VIII. Customer Concentration and Contract Expirations</w:t>
      </w:r>
    </w:p>
    <w:bookmarkStart w:id="47" w:name="Xb96d20db5294924af74291aeb36c3a52c16fe49"/>
    <w:p>
      <w:pPr>
        <w:pStyle w:val="Heading3"/>
      </w:pPr>
      <w:r>
        <w:t xml:space="preserve">A. PNR — largest customer, MSA expired before the CIM date</w:t>
      </w:r>
    </w:p>
    <w:p>
      <w:pPr>
        <w:pStyle w:val="FirstParagraph"/>
      </w:pPr>
      <w:r>
        <w:t xml:space="preserve">PNR generated $18.7M in FY2024 (21.4% of revenue) under a master service agreement that, per both the CIM (§V.B) and CBR (§3.2),</w:t>
      </w:r>
      <w:r>
        <w:t xml:space="preserve"> </w:t>
      </w:r>
      <w:r>
        <w:rPr>
          <w:b/>
          <w:bCs/>
        </w:rPr>
        <w:t xml:space="preserve">expired March 31, 2025</w:t>
      </w:r>
      <w:r>
        <w:t xml:space="preserve">. The CIM is dated June 2025 and the process letter June 9, 2025 — meaning the largest customer’s master agreement had already lapsed by the time materials were distributed. The CIM nonetheless describes PNR as the</w:t>
      </w:r>
      <w:r>
        <w:t xml:space="preserve"> </w:t>
      </w:r>
      <w:r>
        <w:t xml:space="preserve">“</w:t>
      </w:r>
      <w:r>
        <w:t xml:space="preserve">longest-standing customer</w:t>
      </w:r>
      <w:r>
        <w:t xml:space="preserve">”</w:t>
      </w:r>
      <w:r>
        <w:t xml:space="preserve"> </w:t>
      </w:r>
      <w:r>
        <w:t xml:space="preserve">with</w:t>
      </w:r>
      <w:r>
        <w:t xml:space="preserve"> </w:t>
      </w:r>
      <w:r>
        <w:t xml:space="preserve">“</w:t>
      </w:r>
      <w:r>
        <w:t xml:space="preserve">preferred environmental services provider status</w:t>
      </w:r>
      <w:r>
        <w:t xml:space="preserve">”</w:t>
      </w:r>
      <w:r>
        <w:t xml:space="preserve"> </w:t>
      </w:r>
      <w:r>
        <w:t xml:space="preserve">and CES personnel</w:t>
      </w:r>
      <w:r>
        <w:t xml:space="preserve"> </w:t>
      </w:r>
      <w:r>
        <w:t xml:space="preserve">“</w:t>
      </w:r>
      <w:r>
        <w:t xml:space="preserve">on-site at PNR facilities on a near-daily basis.</w:t>
      </w:r>
      <w:r>
        <w:t xml:space="preserve">”</w:t>
      </w:r>
      <w:r>
        <w:t xml:space="preserve"> </w:t>
      </w:r>
      <w:r>
        <w:t xml:space="preserve">The renewal status, new term, pricing, and scope of the PNR relationship post-March 31, 2025 are</w:t>
      </w:r>
      <w:r>
        <w:t xml:space="preserve"> </w:t>
      </w:r>
      <w:r>
        <w:rPr>
          <w:b/>
          <w:bCs/>
        </w:rPr>
        <w:t xml:space="preserve">not disclosed</w:t>
      </w:r>
      <w:r>
        <w:t xml:space="preserve">. Given PNR is more than one-fifth of revenue, the status of this contract is the highest-priority commercial diligence item and should be addressed in the IOI process questions immediately. (Note also the CIM/ CBR disagree on whether PNR buys remediation or emergency response services — CIM says</w:t>
      </w:r>
      <w:r>
        <w:t xml:space="preserve"> </w:t>
      </w:r>
      <w:r>
        <w:t xml:space="preserve">“</w:t>
      </w:r>
      <w:r>
        <w:t xml:space="preserve">Industrial Cleaning, Remediation</w:t>
      </w:r>
      <w:r>
        <w:t xml:space="preserve">”</w:t>
      </w:r>
      <w:r>
        <w:t xml:space="preserve">; CBR says</w:t>
      </w:r>
      <w:r>
        <w:t xml:space="preserve"> </w:t>
      </w:r>
      <w:r>
        <w:t xml:space="preserve">“</w:t>
      </w:r>
      <w:r>
        <w:t xml:space="preserve">IC, ER</w:t>
      </w:r>
      <w:r>
        <w:t xml:space="preserve">”</w:t>
      </w:r>
      <w:r>
        <w:t xml:space="preserve"> </w:t>
      </w:r>
      <w:r>
        <w:t xml:space="preserve">— a further data-integrity flag.)</w:t>
      </w:r>
    </w:p>
    <w:bookmarkEnd w:id="47"/>
    <w:bookmarkStart w:id="48" w:name="X495dc69fe9d1eac28e4eec1ec1885bd77b967d3"/>
    <w:p>
      <w:pPr>
        <w:pStyle w:val="Heading3"/>
      </w:pPr>
      <w:r>
        <w:t xml:space="preserve">B. Near-term contract expirations across the top 5</w:t>
      </w:r>
    </w:p>
    <w:p>
      <w:pPr>
        <w:pStyle w:val="FirstParagraph"/>
      </w:pPr>
      <w:r>
        <w:t xml:space="preserve">Within the top 5 (52.5% of revenue), the contract posture is weaker than the</w:t>
      </w:r>
      <w:r>
        <w:t xml:space="preserve"> </w:t>
      </w:r>
      <w:r>
        <w:t xml:space="preserve">“</w:t>
      </w:r>
      <w:r>
        <w:t xml:space="preserve">recurring revenue</w:t>
      </w:r>
      <w:r>
        <w:t xml:space="preserve">”</w:t>
      </w:r>
      <w:r>
        <w:t xml:space="preserve"> </w:t>
      </w:r>
      <w:r>
        <w:t xml:space="preserve">narrative implies: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Customer</w:t>
            </w:r>
          </w:p>
        </w:tc>
        <w:tc>
          <w:tcPr/>
          <w:p>
            <w:pPr>
              <w:pStyle w:val="Compact"/>
              <w:jc w:val="left"/>
            </w:pPr>
            <w:r>
              <w:t xml:space="preserve">% rev.</w:t>
            </w:r>
          </w:p>
        </w:tc>
        <w:tc>
          <w:tcPr/>
          <w:p>
            <w:pPr>
              <w:pStyle w:val="Compact"/>
              <w:jc w:val="left"/>
            </w:pPr>
            <w:r>
              <w:t xml:space="preserve">Contract type</w:t>
            </w:r>
          </w:p>
        </w:tc>
        <w:tc>
          <w:tcPr/>
          <w:p>
            <w:pPr>
              <w:pStyle w:val="Compact"/>
              <w:jc w:val="left"/>
            </w:pPr>
            <w:r>
              <w:t xml:space="preserve">Expiration</w:t>
            </w:r>
          </w:p>
        </w:tc>
      </w:tr>
      <w:tr>
        <w:tc>
          <w:tcPr/>
          <w:p>
            <w:pPr>
              <w:pStyle w:val="Compact"/>
              <w:jc w:val="left"/>
            </w:pPr>
            <w:r>
              <w:t xml:space="preserve">PNR</w:t>
            </w:r>
          </w:p>
        </w:tc>
        <w:tc>
          <w:tcPr/>
          <w:p>
            <w:pPr>
              <w:pStyle w:val="Compact"/>
              <w:jc w:val="left"/>
            </w:pPr>
            <w:r>
              <w:t xml:space="preserve">21.4%</w:t>
            </w:r>
          </w:p>
        </w:tc>
        <w:tc>
          <w:tcPr/>
          <w:p>
            <w:pPr>
              <w:pStyle w:val="Compact"/>
              <w:jc w:val="left"/>
            </w:pPr>
            <w:r>
              <w:t xml:space="preserve">MSA</w:t>
            </w:r>
          </w:p>
        </w:tc>
        <w:tc>
          <w:tcPr/>
          <w:p>
            <w:pPr>
              <w:pStyle w:val="Compact"/>
              <w:jc w:val="left"/>
            </w:pPr>
            <w:r>
              <w:rPr>
                <w:b/>
                <w:bCs/>
              </w:rPr>
              <w:t xml:space="preserve">March 31, 2025 (expired)</w:t>
            </w:r>
          </w:p>
        </w:tc>
      </w:tr>
      <w:tr>
        <w:tc>
          <w:tcPr/>
          <w:p>
            <w:pPr>
              <w:pStyle w:val="Compact"/>
              <w:jc w:val="left"/>
            </w:pPr>
            <w:r>
              <w:t xml:space="preserve">ODOT</w:t>
            </w:r>
          </w:p>
        </w:tc>
        <w:tc>
          <w:tcPr/>
          <w:p>
            <w:pPr>
              <w:pStyle w:val="Compact"/>
              <w:jc w:val="left"/>
            </w:pPr>
            <w:r>
              <w:t xml:space="preserve">10.4%</w:t>
            </w:r>
          </w:p>
        </w:tc>
        <w:tc>
          <w:tcPr/>
          <w:p>
            <w:pPr>
              <w:pStyle w:val="Compact"/>
              <w:jc w:val="left"/>
            </w:pPr>
            <w:r>
              <w:t xml:space="preserve">Government</w:t>
            </w:r>
          </w:p>
        </w:tc>
        <w:tc>
          <w:tcPr/>
          <w:p>
            <w:pPr>
              <w:pStyle w:val="Compact"/>
              <w:jc w:val="left"/>
            </w:pPr>
            <w:r>
              <w:t xml:space="preserve">Annual renewal (July)</w:t>
            </w:r>
          </w:p>
        </w:tc>
      </w:tr>
      <w:tr>
        <w:tc>
          <w:tcPr/>
          <w:p>
            <w:pPr>
              <w:pStyle w:val="Compact"/>
              <w:jc w:val="left"/>
            </w:pPr>
            <w:r>
              <w:t xml:space="preserve">Columbia Basin Power</w:t>
            </w:r>
          </w:p>
        </w:tc>
        <w:tc>
          <w:tcPr/>
          <w:p>
            <w:pPr>
              <w:pStyle w:val="Compact"/>
              <w:jc w:val="left"/>
            </w:pPr>
            <w:r>
              <w:t xml:space="preserve">8.4%</w:t>
            </w:r>
          </w:p>
        </w:tc>
        <w:tc>
          <w:tcPr/>
          <w:p>
            <w:pPr>
              <w:pStyle w:val="Compact"/>
              <w:jc w:val="left"/>
            </w:pPr>
            <w:r>
              <w:t xml:space="preserve">Service agreement</w:t>
            </w:r>
          </w:p>
        </w:tc>
        <w:tc>
          <w:tcPr/>
          <w:p>
            <w:pPr>
              <w:pStyle w:val="Compact"/>
              <w:jc w:val="left"/>
            </w:pPr>
            <w:r>
              <w:t xml:space="preserve">December 31, 2027</w:t>
            </w:r>
          </w:p>
        </w:tc>
      </w:tr>
      <w:tr>
        <w:tc>
          <w:tcPr/>
          <w:p>
            <w:pPr>
              <w:pStyle w:val="Compact"/>
              <w:jc w:val="left"/>
            </w:pPr>
            <w:r>
              <w:t xml:space="preserve">Meridian Lumber &amp; Paper</w:t>
            </w:r>
          </w:p>
        </w:tc>
        <w:tc>
          <w:tcPr/>
          <w:p>
            <w:pPr>
              <w:pStyle w:val="Compact"/>
              <w:jc w:val="left"/>
            </w:pPr>
            <w:r>
              <w:t xml:space="preserve">6.6%</w:t>
            </w:r>
          </w:p>
        </w:tc>
        <w:tc>
          <w:tcPr/>
          <w:p>
            <w:pPr>
              <w:pStyle w:val="Compact"/>
              <w:jc w:val="left"/>
            </w:pPr>
            <w:r>
              <w:t xml:space="preserve">MSA</w:t>
            </w:r>
          </w:p>
        </w:tc>
        <w:tc>
          <w:tcPr/>
          <w:p>
            <w:pPr>
              <w:pStyle w:val="Compact"/>
              <w:jc w:val="left"/>
            </w:pPr>
            <w:r>
              <w:t xml:space="preserve">December 31, 2025</w:t>
            </w:r>
          </w:p>
        </w:tc>
      </w:tr>
      <w:tr>
        <w:tc>
          <w:tcPr/>
          <w:p>
            <w:pPr>
              <w:pStyle w:val="Compact"/>
              <w:jc w:val="left"/>
            </w:pPr>
            <w:r>
              <w:t xml:space="preserve">Willamette Steel</w:t>
            </w:r>
          </w:p>
        </w:tc>
        <w:tc>
          <w:tcPr/>
          <w:p>
            <w:pPr>
              <w:pStyle w:val="Compact"/>
              <w:jc w:val="left"/>
            </w:pPr>
            <w:r>
              <w:t xml:space="preserve">5.6%</w:t>
            </w:r>
          </w:p>
        </w:tc>
        <w:tc>
          <w:tcPr/>
          <w:p>
            <w:pPr>
              <w:pStyle w:val="Compact"/>
              <w:jc w:val="left"/>
            </w:pPr>
            <w:r>
              <w:t xml:space="preserve">Month-to-month</w:t>
            </w:r>
          </w:p>
        </w:tc>
        <w:tc>
          <w:tcPr/>
          <w:p>
            <w:pPr>
              <w:pStyle w:val="Compact"/>
              <w:jc w:val="left"/>
            </w:pPr>
            <w:r>
              <w:t xml:space="preserve">N/A</w:t>
            </w:r>
          </w:p>
        </w:tc>
      </w:tr>
    </w:tbl>
    <w:p>
      <w:pPr>
        <w:pStyle w:val="BodyText"/>
      </w:pPr>
      <w:r>
        <w:t xml:space="preserve">Approximately</w:t>
      </w:r>
      <w:r>
        <w:t xml:space="preserve"> </w:t>
      </w:r>
      <w:r>
        <w:rPr>
          <w:b/>
          <w:bCs/>
        </w:rPr>
        <w:t xml:space="preserve">34% of revenue</w:t>
      </w:r>
      <w:r>
        <w:t xml:space="preserve"> </w:t>
      </w:r>
      <w:r>
        <w:t xml:space="preserve">(PNR + ODOT + Meridian + Willamette) is on contracts that expired in 2025, renew annually, or are month-to-month. Columbia Basin Power (through 2027) is the only top-5 customer with genuine multi-year visibility. The CBR’s 90% MSA renewal rate and</w:t>
      </w:r>
      <w:r>
        <w:t xml:space="preserve"> </w:t>
      </w:r>
      <w:r>
        <w:t xml:space="preserve">“</w:t>
      </w:r>
      <w:r>
        <w:t xml:space="preserve">no top-10 customer lost in five years</w:t>
      </w:r>
      <w:r>
        <w:t xml:space="preserve">”</w:t>
      </w:r>
      <w:r>
        <w:t xml:space="preserve"> </w:t>
      </w:r>
      <w:r>
        <w:t xml:space="preserve">statistics are reassuring but must be tested against the specific PNR renewal situation.</w:t>
      </w:r>
    </w:p>
    <w:bookmarkEnd w:id="48"/>
    <w:bookmarkStart w:id="49" w:name="c.-cyclical-end-market-exposure"/>
    <w:p>
      <w:pPr>
        <w:pStyle w:val="Heading3"/>
      </w:pPr>
      <w:r>
        <w:t xml:space="preserve">C. Cyclical end-market exposure</w:t>
      </w:r>
    </w:p>
    <w:p>
      <w:pPr>
        <w:pStyle w:val="FirstParagraph"/>
      </w:pPr>
      <w:r>
        <w:t xml:space="preserve">Per the CBR (§4.1), Oil &amp; Gas/Refining is 25.7% of revenue (dominated by PNR), Manufacturing 16.7%, and the balance across Government (19.2%), Utilities (13.9%), Real Estate/Development (10.2%), and Other (14.3%). Refining and manufacturing are cyclical; the sector memo recommends stress-testing these under downside scenarios. The Real Estate/Development sector (10.2%), tied to PFAS/brownfield work, is the most attractive growth-oriented exposure but is also interest-rate sensitive.</w:t>
      </w:r>
    </w:p>
    <w:p>
      <w:r>
        <w:pict>
          <v:rect style="width:0;height:1.5pt" o:hralign="center" o:hrstd="t" o:hr="t"/>
        </w:pict>
      </w:r>
    </w:p>
    <w:bookmarkEnd w:id="49"/>
    <w:bookmarkEnd w:id="50"/>
    <w:bookmarkStart w:id="54" w:name="ix.-capital-expenditures-and-fleet"/>
    <w:p>
      <w:pPr>
        <w:pStyle w:val="Heading2"/>
      </w:pPr>
      <w:r>
        <w:t xml:space="preserve">IX. Capital Expenditures and Fleet</w:t>
      </w:r>
    </w:p>
    <w:bookmarkStart w:id="51" w:name="Xe2b9fb7f7c3f428ec4388b963ab88bf1016eda3"/>
    <w:p>
      <w:pPr>
        <w:pStyle w:val="Heading3"/>
      </w:pPr>
      <w:r>
        <w:t xml:space="preserve">A. Maintenance capex is below the sector floor</w:t>
      </w:r>
    </w:p>
    <w:p>
      <w:pPr>
        <w:pStyle w:val="FirstParagraph"/>
      </w:pPr>
      <w:r>
        <w:t xml:space="preserve">The CIM and FE both state maintenance capex of</w:t>
      </w:r>
      <w:r>
        <w:t xml:space="preserve"> </w:t>
      </w:r>
      <w:r>
        <w:rPr>
          <w:b/>
          <w:bCs/>
        </w:rPr>
        <w:t xml:space="preserve">$3.0M in FY2024 (3.4% of revenue)</w:t>
      </w:r>
      <w:r>
        <w:t xml:space="preserve">, with the FE showing maintenance capex</w:t>
      </w:r>
      <w:r>
        <w:t xml:space="preserve"> </w:t>
      </w:r>
      <w:r>
        <w:rPr>
          <w:b/>
          <w:bCs/>
        </w:rPr>
        <w:t xml:space="preserve">declining as a percentage of revenue</w:t>
      </w:r>
      <w:r>
        <w:t xml:space="preserve"> </w:t>
      </w:r>
      <w:r>
        <w:t xml:space="preserve">from 3.9% (FY2022) to 2.7% (FY2027E). The sector benchmark, confirmed by Thornfield’s GreenWorks (6.2%) and Allied Waste (5.8%) portfolio data, is</w:t>
      </w:r>
      <w:r>
        <w:t xml:space="preserve"> </w:t>
      </w:r>
      <w:r>
        <w:rPr>
          <w:b/>
          <w:bCs/>
        </w:rPr>
        <w:t xml:space="preserve">5–7% of revenue</w:t>
      </w:r>
      <w:r>
        <w:t xml:space="preserve"> </w:t>
      </w:r>
      <w:r>
        <w:t xml:space="preserve">— implying maintenance capex of $4.4M–$6.1M for CES at $87.3M revenue. CES’s figure is 150–200 bps below the sector floor, and a declining maintenance-capex ratio for a growing, capital-intensive fleet is a classic pre-sale deferral signal. At GreenWorks, sell-side maintenance capex was understated at ~3.5% and actual post-close maintenance capex ran ~6.2%, with deferred maintenance and aging equipment becoming apparent only after a detailed fleet assessment.</w:t>
      </w:r>
    </w:p>
    <w:p>
      <w:pPr>
        <w:pStyle w:val="BodyText"/>
      </w:pPr>
      <w:r>
        <w:t xml:space="preserve">If true maintenance capex is ~$5.5M (sector midpoint) rather than $3.0M, the</w:t>
      </w:r>
      <w:r>
        <w:t xml:space="preserve"> </w:t>
      </w:r>
      <w:r>
        <w:rPr>
          <w:b/>
          <w:bCs/>
        </w:rPr>
        <w:t xml:space="preserve">$2.5M annual difference directly reduces free cash flow</w:t>
      </w:r>
      <w:r>
        <w:t xml:space="preserve"> </w:t>
      </w:r>
      <w:r>
        <w:t xml:space="preserve">and the implied LBO return. This is one of the most value-relevant findings in the review.</w:t>
      </w:r>
    </w:p>
    <w:bookmarkEnd w:id="51"/>
    <w:bookmarkStart w:id="52" w:name="X9bdc12f8f3ed47fcb9ad450582f81c20a40b578"/>
    <w:p>
      <w:pPr>
        <w:pStyle w:val="Heading3"/>
      </w:pPr>
      <w:r>
        <w:t xml:space="preserve">B. Fleet age and replacement economics support the concern</w:t>
      </w:r>
    </w:p>
    <w:p>
      <w:pPr>
        <w:pStyle w:val="FirstParagraph"/>
      </w:pPr>
      <w:r>
        <w:t xml:space="preserve">The CIM (Appendix C) discloses 82+ major units (18 vacuum trucks, 12 hydroblasters, 8 excavators, 6 roll-off trucks, 35+ support vehicles, 3 PFAS units) with an average age of ~4.5 years and a total estimated replacement value exceeding $22M. On a 7–10 year useful life, steady-state fleet replacement alone would imply ~$2.2M–$3.1M per year — yet the FE’s</w:t>
      </w:r>
      <w:r>
        <w:t xml:space="preserve"> </w:t>
      </w:r>
      <w:r>
        <w:t xml:space="preserve">“</w:t>
      </w:r>
      <w:r>
        <w:t xml:space="preserve">Fleet Maintenance &amp; Replacement</w:t>
      </w:r>
      <w:r>
        <w:t xml:space="preserve">”</w:t>
      </w:r>
      <w:r>
        <w:t xml:space="preserve"> </w:t>
      </w:r>
      <w:r>
        <w:t xml:space="preserve">line is only $1.7M in FY2024 (and the total maintenance capex $3.0M includes facility and safety-compliance components as well). The fleet economics are consistent with understated maintenance capex. A detailed fleet age, condition, and remaining-useful-life assessment is a critical early-diligence deliverable.</w:t>
      </w:r>
    </w:p>
    <w:bookmarkEnd w:id="52"/>
    <w:bookmarkStart w:id="53" w:name="X0efaf23de4a6bbac349ffb1d3a0e184c25e8a05"/>
    <w:p>
      <w:pPr>
        <w:pStyle w:val="Heading3"/>
      </w:pPr>
      <w:r>
        <w:t xml:space="preserve">C. Free cash flow is thin and capex-sensitive</w:t>
      </w:r>
    </w:p>
    <w:p>
      <w:pPr>
        <w:pStyle w:val="FirstParagraph"/>
      </w:pPr>
      <w:r>
        <w:t xml:space="preserve">Reported FCF is only ~$2.0M (CIM) / ~$2.8M (FE) in FY2024 — roughly 17–23% conversion of reported EBITDA — after $7.2M of total capex, ~$1.1M cash interest, and taxes. If maintenance capex is normalized upward by $2.5M, FCF approaches zero in a maintenance-only scenario, leaving little cushion for debt service in a leveraged structure. The projections’ Adjusted EBITDA growth (to $19.7M/$23.5M/$26.7M in FY25–27E) is not accompanied by a FCF projection and must be stress-tested against normalized capex, cash interest on acquisition debt, and cash taxes.</w:t>
      </w:r>
    </w:p>
    <w:p>
      <w:r>
        <w:pict>
          <v:rect style="width:0;height:1.5pt" o:hralign="center" o:hrstd="t" o:hr="t"/>
        </w:pict>
      </w:r>
    </w:p>
    <w:bookmarkEnd w:id="53"/>
    <w:bookmarkEnd w:id="54"/>
    <w:bookmarkStart w:id="58" w:name="x.-working-capital-and-dso"/>
    <w:p>
      <w:pPr>
        <w:pStyle w:val="Heading2"/>
      </w:pPr>
      <w:r>
        <w:t xml:space="preserve">X. Working Capital and DSO</w:t>
      </w:r>
    </w:p>
    <w:bookmarkStart w:id="55" w:name="Xfb992045f1e0b33eaa7ccf5ab3744e565f67c1d"/>
    <w:p>
      <w:pPr>
        <w:pStyle w:val="Heading3"/>
      </w:pPr>
      <w:r>
        <w:t xml:space="preserve">A. Stated DSO does not reconcile to the balance sheet</w:t>
      </w:r>
    </w:p>
    <w:p>
      <w:pPr>
        <w:pStyle w:val="FirstParagraph"/>
      </w:pPr>
      <w:r>
        <w:t xml:space="preserve">The CIM (§V.C) states DSO of</w:t>
      </w:r>
      <w:r>
        <w:t xml:space="preserve"> </w:t>
      </w:r>
      <w:r>
        <w:rPr>
          <w:b/>
          <w:bCs/>
        </w:rPr>
        <w:t xml:space="preserve">52 days</w:t>
      </w:r>
      <w:r>
        <w:t xml:space="preserve">, which the sector memo flagged for verification. Using the disclosed year-end accounts receivable ($16.9M, consistent across CIM and FE) and FY2024 revenue ($87.3M):</w:t>
      </w:r>
    </w:p>
    <w:p>
      <w:pPr>
        <w:pStyle w:val="Compact"/>
        <w:numPr>
          <w:ilvl w:val="0"/>
          <w:numId w:val="1005"/>
        </w:numPr>
      </w:pPr>
      <w:r>
        <w:t xml:space="preserve">Year-end AR / (Revenue ÷ 365) = $16.9M ÷ $87.3M × 365 =</w:t>
      </w:r>
      <w:r>
        <w:t xml:space="preserve"> </w:t>
      </w:r>
      <w:r>
        <w:rPr>
          <w:b/>
          <w:bCs/>
        </w:rPr>
        <w:t xml:space="preserve">~71 days</w:t>
      </w:r>
    </w:p>
    <w:p>
      <w:pPr>
        <w:pStyle w:val="Compact"/>
        <w:numPr>
          <w:ilvl w:val="0"/>
          <w:numId w:val="1005"/>
        </w:numPr>
      </w:pPr>
      <w:r>
        <w:t xml:space="preserve">Average AR / (Revenue ÷ 365) = ~$15.6M ÷ $87.3M × 365 =</w:t>
      </w:r>
      <w:r>
        <w:t xml:space="preserve"> </w:t>
      </w:r>
      <w:r>
        <w:rPr>
          <w:b/>
          <w:bCs/>
        </w:rPr>
        <w:t xml:space="preserve">~65 days</w:t>
      </w:r>
    </w:p>
    <w:p>
      <w:pPr>
        <w:pStyle w:val="FirstParagraph"/>
      </w:pPr>
      <w:r>
        <w:t xml:space="preserve">Both are well above the stated 52 days and at or above the top of the 45–55 day sector range. To reconcile to 52 days, AR would need to be ~$12.4M, not $16.9M — a ~$4.5M gap. Either the DSO is understated, or AR includes significant unbilled/aged balances not reflected in the DSO calculation. This should be independently calculated in QoE from the AR aging and trailing revenue.</w:t>
      </w:r>
    </w:p>
    <w:bookmarkEnd w:id="55"/>
    <w:bookmarkStart w:id="56" w:name="b.-unbilled-revenue"/>
    <w:p>
      <w:pPr>
        <w:pStyle w:val="Heading3"/>
      </w:pPr>
      <w:r>
        <w:t xml:space="preserve">B. Unbilled revenue</w:t>
      </w:r>
    </w:p>
    <w:p>
      <w:pPr>
        <w:pStyle w:val="FirstParagraph"/>
      </w:pPr>
      <w:r>
        <w:t xml:space="preserve">The FE balance sheet carries</w:t>
      </w:r>
      <w:r>
        <w:t xml:space="preserve"> </w:t>
      </w:r>
      <w:r>
        <w:rPr>
          <w:b/>
          <w:bCs/>
        </w:rPr>
        <w:t xml:space="preserve">unbilled revenue of $2.7M</w:t>
      </w:r>
      <w:r>
        <w:t xml:space="preserve"> </w:t>
      </w:r>
      <w:r>
        <w:t xml:space="preserve">(FY2024), growing from $1.8M (FY2021) — a line item the CIM does not mention. Unbilled revenue (revenue recognized but not yet billed) is a common revenue-recognition risk area and, if included in the receivables base, pushes the effective DSO even higher (~82 days). The nature, aging, and collectability of unbilled balances require QoE attention.</w:t>
      </w:r>
    </w:p>
    <w:bookmarkEnd w:id="56"/>
    <w:bookmarkStart w:id="57" w:name="c.-net-working-capital"/>
    <w:p>
      <w:pPr>
        <w:pStyle w:val="Heading3"/>
      </w:pPr>
      <w:r>
        <w:t xml:space="preserve">C. Net working capital</w:t>
      </w:r>
    </w:p>
    <w:p>
      <w:pPr>
        <w:pStyle w:val="FirstParagraph"/>
      </w:pPr>
      <w:r>
        <w:t xml:space="preserve">NWC of $11.8M (13.5% of revenue) ties between the CIM and FE (the component differences offset) and falls within the 10–14% sector range, so the NWC peg for a cash-free/debt-free deal is likely close to current. However, because the underlying components (cash, AP, current debt) differ between documents, the actual NWC at closing must be verified, and a normalized NWC target should be set with reference to a trailing average rather than a single period-end.</w:t>
      </w:r>
    </w:p>
    <w:p>
      <w:r>
        <w:pict>
          <v:rect style="width:0;height:1.5pt" o:hralign="center" o:hrstd="t" o:hr="t"/>
        </w:pict>
      </w:r>
    </w:p>
    <w:bookmarkEnd w:id="57"/>
    <w:bookmarkEnd w:id="58"/>
    <w:bookmarkStart w:id="62" w:name="xi.-regulatory-and-compliance"/>
    <w:p>
      <w:pPr>
        <w:pStyle w:val="Heading2"/>
      </w:pPr>
      <w:r>
        <w:t xml:space="preserve">XI. Regulatory and Compliance</w:t>
      </w:r>
    </w:p>
    <w:bookmarkStart w:id="59" w:name="Xb3fed34f61407e2f3742876f10afd9824e4ae8a"/>
    <w:p>
      <w:pPr>
        <w:pStyle w:val="Heading3"/>
      </w:pPr>
      <w:r>
        <w:t xml:space="preserve">A. The August 2024 DEQ enforcement action</w:t>
      </w:r>
    </w:p>
    <w:p>
      <w:pPr>
        <w:pStyle w:val="FirstParagraph"/>
      </w:pPr>
      <w:r>
        <w:t xml:space="preserve">On August 14, 2024, CES entered a consent agreement with Oregon DEQ to resolve an enforcement action for</w:t>
      </w:r>
      <w:r>
        <w:t xml:space="preserve"> </w:t>
      </w:r>
      <w:r>
        <w:t xml:space="preserve">“</w:t>
      </w:r>
      <w:r>
        <w:t xml:space="preserve">improper storage of contaminated soils at the Portland facility</w:t>
      </w:r>
      <w:r>
        <w:t xml:space="preserve">”</w:t>
      </w:r>
      <w:r>
        <w:t xml:space="preserve"> </w:t>
      </w:r>
      <w:r>
        <w:t xml:space="preserve">— i.e., at the HQ operations yard owned personally by Mr. Oakes. The settlement was $875K plus $325K legal fees. The CIM states the matter is</w:t>
      </w:r>
      <w:r>
        <w:t xml:space="preserve"> </w:t>
      </w:r>
      <w:r>
        <w:t xml:space="preserve">“</w:t>
      </w:r>
      <w:r>
        <w:t xml:space="preserve">fully resolved</w:t>
      </w:r>
      <w:r>
        <w:t xml:space="preserve">”</w:t>
      </w:r>
      <w:r>
        <w:t xml:space="preserve"> </w:t>
      </w:r>
      <w:r>
        <w:t xml:space="preserve">and the DEQ contractor license was unaffected. Diligence should confirm: (i) whether the consent agreement carries ongoing corrective-action, monitoring, or reporting obligations; (ii) whether the improper-storage issue reflects a facility-design or operational deficiency that could recur; and (iii) CES’s complete 10-year regulatory enforcement history (the sector memo’s recommendation) to determine whether this is isolated or part of a pattern. Oregon DEQ enforcement has been</w:t>
      </w:r>
      <w:r>
        <w:t xml:space="preserve"> </w:t>
      </w:r>
      <w:r>
        <w:t xml:space="preserve">“</w:t>
      </w:r>
      <w:r>
        <w:t xml:space="preserve">particularly active</w:t>
      </w:r>
      <w:r>
        <w:t xml:space="preserve">”</w:t>
      </w:r>
      <w:r>
        <w:t xml:space="preserve"> </w:t>
      </w:r>
      <w:r>
        <w:t xml:space="preserve">per the sector memo.</w:t>
      </w:r>
    </w:p>
    <w:bookmarkEnd w:id="59"/>
    <w:bookmarkStart w:id="60" w:name="b.-recurring-compliance-cost-run-rate"/>
    <w:p>
      <w:pPr>
        <w:pStyle w:val="Heading3"/>
      </w:pPr>
      <w:r>
        <w:t xml:space="preserve">B. Recurring compliance cost run-rate</w:t>
      </w:r>
    </w:p>
    <w:p>
      <w:pPr>
        <w:pStyle w:val="FirstParagraph"/>
      </w:pPr>
      <w:r>
        <w:t xml:space="preserve">As developed in Section VI.B, regulatory and compliance costs in this sector are inherently recurring ($200K–$500K/year per sector benchmarks and Thornfield portfolio data). The full $1.2M add-back is not defensible as one-time. A normalized ongoing compliance run-rate should be built into the operating model, with only true excess amounts added back.</w:t>
      </w:r>
    </w:p>
    <w:bookmarkEnd w:id="60"/>
    <w:bookmarkStart w:id="61" w:name="c.-permit-transferability"/>
    <w:p>
      <w:pPr>
        <w:pStyle w:val="Heading3"/>
      </w:pPr>
      <w:r>
        <w:t xml:space="preserve">C. Permit transferability</w:t>
      </w:r>
    </w:p>
    <w:p>
      <w:pPr>
        <w:pStyle w:val="FirstParagraph"/>
      </w:pPr>
      <w:r>
        <w:t xml:space="preserve">The CIM (Appendix D) lists all permits as</w:t>
      </w:r>
      <w:r>
        <w:t xml:space="preserve"> </w:t>
      </w:r>
      <w:r>
        <w:t xml:space="preserve">“</w:t>
      </w:r>
      <w:r>
        <w:t xml:space="preserve">Current</w:t>
      </w:r>
      <w:r>
        <w:t xml:space="preserve">”</w:t>
      </w:r>
      <w:r>
        <w:t xml:space="preserve"> </w:t>
      </w:r>
      <w:r>
        <w:t xml:space="preserve">but does not address transferability upon a change of control. Hazardous waste transporter permits and the DEQ contractor license may require re-issuance or amendment on a stock sale. Confirm with buyer’s counsel (Calloway, Barrett &amp; Sims LLP) and request the permit files in the VDR.</w:t>
      </w:r>
    </w:p>
    <w:p>
      <w:r>
        <w:pict>
          <v:rect style="width:0;height:1.5pt" o:hralign="center" o:hrstd="t" o:hr="t"/>
        </w:pict>
      </w:r>
    </w:p>
    <w:bookmarkEnd w:id="61"/>
    <w:bookmarkEnd w:id="62"/>
    <w:bookmarkStart w:id="63" w:name="xii.-real-estate-and-related-party-lease"/>
    <w:p>
      <w:pPr>
        <w:pStyle w:val="Heading2"/>
      </w:pPr>
      <w:r>
        <w:t xml:space="preserve">XII. Real Estate and Related-Party Lease</w:t>
      </w:r>
    </w:p>
    <w:p>
      <w:pPr>
        <w:pStyle w:val="FirstParagraph"/>
      </w:pPr>
      <w:r>
        <w:t xml:space="preserve">The Portland HQ (4200 Industrial Way, ~8.5 acres, 25,000 SF office + 12,000 SF maintenance + permitted wash rack + staging yard) is</w:t>
      </w:r>
      <w:r>
        <w:t xml:space="preserve"> </w:t>
      </w:r>
      <w:r>
        <w:rPr>
          <w:b/>
          <w:bCs/>
        </w:rPr>
        <w:t xml:space="preserve">owned personally by Randall Oakes</w:t>
      </w:r>
      <w:r>
        <w:t xml:space="preserve"> </w:t>
      </w:r>
      <w:r>
        <w:t xml:space="preserve">and leased to CES at $1.4M/year under a 2019–2029 lease. This is the Company’s primary operations center and a purpose-built environmental staging facility.</w:t>
      </w:r>
    </w:p>
    <w:p>
      <w:pPr>
        <w:pStyle w:val="BodyText"/>
      </w:pPr>
      <w:r>
        <w:t xml:space="preserve">Three issues:</w:t>
      </w:r>
    </w:p>
    <w:p>
      <w:pPr>
        <w:numPr>
          <w:ilvl w:val="0"/>
          <w:numId w:val="1006"/>
        </w:numPr>
      </w:pPr>
      <w:r>
        <w:rPr>
          <w:b/>
          <w:bCs/>
        </w:rPr>
        <w:t xml:space="preserve">Above-market rent / add-back overstated (Section VI.A).</w:t>
      </w:r>
      <w:r>
        <w:t xml:space="preserve"> </w:t>
      </w:r>
      <w:r>
        <w:t xml:space="preserve">The $800K add-back assumes $600K market rent, but the CIM’s own §IV.C states comparable specialized facilities command $1.0M–$1.2M. The defensible normalization is $200K–$400K. The actual rent of $1.4M on ~37,000 SF of building also implies ~$38/SF, roughly 3x the stated $8–$12/SF industrial-yard range — confirming the rent is above-market, but the magnitude of the add-back is not supported by the CIM’s own comps.</w:t>
      </w:r>
    </w:p>
    <w:p>
      <w:pPr>
        <w:numPr>
          <w:ilvl w:val="0"/>
          <w:numId w:val="1006"/>
        </w:numPr>
      </w:pPr>
      <w:r>
        <w:rPr>
          <w:b/>
          <w:bCs/>
        </w:rPr>
        <w:t xml:space="preserve">Post-close dependency on the seller.</w:t>
      </w:r>
      <w:r>
        <w:t xml:space="preserve"> </w:t>
      </w:r>
      <w:r>
        <w:t xml:space="preserve">The process letter requires bidders to address the HQ real estate. Post-close, the buyer must either (a) acquire the property from Mr. Oakes at fair market value, (b) negotiate a new lease with a transitioning seller who may have limited incentive to offer favorable terms, or (c) relocate — which is operationally disruptive for a purpose-built, permitted environmental staging yard. Acquiring the real estate as part of the transaction (or simultaneously) is the cleanest way to eliminate related-party dependency and should be a structural priority. The fair market value of the property (and whether it is included in or separate from the EV) must be determined.</w:t>
      </w:r>
    </w:p>
    <w:p>
      <w:pPr>
        <w:numPr>
          <w:ilvl w:val="0"/>
          <w:numId w:val="1006"/>
        </w:numPr>
      </w:pPr>
      <w:r>
        <w:rPr>
          <w:b/>
          <w:bCs/>
        </w:rPr>
        <w:t xml:space="preserve">Lease expiry (2029) vs. owner transition (18–24 months).</w:t>
      </w:r>
      <w:r>
        <w:t xml:space="preserve"> </w:t>
      </w:r>
      <w:r>
        <w:t xml:space="preserve">The lease runs to 2029; Mr. Oakes intends to exit operations within 18–24 months post-close. A buyer relying on a lease from a former owner who has left the business faces renewal risk at the 2029 expiry with no operational relationship to leverage.</w:t>
      </w:r>
    </w:p>
    <w:p>
      <w:r>
        <w:pict>
          <v:rect style="width:0;height:1.5pt" o:hralign="center" o:hrstd="t" o:hr="t"/>
        </w:pict>
      </w:r>
    </w:p>
    <w:bookmarkEnd w:id="63"/>
    <w:bookmarkStart w:id="68" w:name="Xac0ec8a48ed16a52aa792dacade1ff6d1ef26b1"/>
    <w:p>
      <w:pPr>
        <w:pStyle w:val="Heading2"/>
      </w:pPr>
      <w:r>
        <w:t xml:space="preserve">XIII. Management, Key-Person, and Transition Risk</w:t>
      </w:r>
    </w:p>
    <w:bookmarkStart w:id="64" w:name="a.-founder-transition"/>
    <w:p>
      <w:pPr>
        <w:pStyle w:val="Heading3"/>
      </w:pPr>
      <w:r>
        <w:t xml:space="preserve">A. Founder transition</w:t>
      </w:r>
    </w:p>
    <w:p>
      <w:pPr>
        <w:pStyle w:val="FirstParagraph"/>
      </w:pPr>
      <w:r>
        <w:t xml:space="preserve">Mr. Oakes (age 61, 68% equity, CEO and Chairman)</w:t>
      </w:r>
      <w:r>
        <w:t xml:space="preserve"> </w:t>
      </w:r>
      <w:r>
        <w:t xml:space="preserve">“</w:t>
      </w:r>
      <w:r>
        <w:t xml:space="preserve">oversees all strategic, financial, and operational decisions</w:t>
      </w:r>
      <w:r>
        <w:t xml:space="preserve">”</w:t>
      </w:r>
      <w:r>
        <w:t xml:space="preserve"> </w:t>
      </w:r>
      <w:r>
        <w:t xml:space="preserve">(CIM §VII.B) and intends to transition out of day-to-day operations within 18–24 months post-close, remaining in an advisory capacity. The Company is highly founder-led with concentrated decision-making. The owner-compensation add-back assumes a $500K replacement CEO; the buyer must have a credible succession plan and be prepared to recruit (and pay for) a CEO and potentially strengthen the CFO/Controller function (currently a Controller, not a CFO). The process letter asks bidders to address willingness to accommodate the transition period; we should propose a structured transition with retention/consulting arrangements and clear milestones.</w:t>
      </w:r>
    </w:p>
    <w:bookmarkEnd w:id="64"/>
    <w:bookmarkStart w:id="65" w:name="b.-key-person-retention"/>
    <w:p>
      <w:pPr>
        <w:pStyle w:val="Heading3"/>
      </w:pPr>
      <w:r>
        <w:t xml:space="preserve">B. Key-person retention</w:t>
      </w:r>
    </w:p>
    <w:p>
      <w:pPr>
        <w:pStyle w:val="FirstParagraph"/>
      </w:pPr>
      <w:r>
        <w:t xml:space="preserve">Janet Prewitt (VP Operations, 18-year tenure)</w:t>
      </w:r>
      <w:r>
        <w:t xml:space="preserve"> </w:t>
      </w:r>
      <w:r>
        <w:t xml:space="preserve">“</w:t>
      </w:r>
      <w:r>
        <w:t xml:space="preserve">maintains key client relationships that are central to the Company’s market position</w:t>
      </w:r>
      <w:r>
        <w:t xml:space="preserve">”</w:t>
      </w:r>
      <w:r>
        <w:t xml:space="preserve"> </w:t>
      </w:r>
      <w:r>
        <w:t xml:space="preserve">(CIM §VII.B) — a concentrated key-person dependency for the largest segment. Derek Cahill (VP Sales, since 2014) owns the proposal pipeline. The GreenWorks lesson (lead project manager departed within six months of close) is directly on point:</w:t>
      </w:r>
      <w:r>
        <w:t xml:space="preserve"> </w:t>
      </w:r>
      <w:r>
        <w:rPr>
          <w:b/>
          <w:bCs/>
        </w:rPr>
        <w:t xml:space="preserve">retention agreements for Ms. Prewitt, Mr. Cahill, and the PEs should be a closing condition</w:t>
      </w:r>
      <w:r>
        <w:t xml:space="preserve">, and their compensation/retention cost should be built into the model (and may offset part of the owner-compensation add-back benefit).</w:t>
      </w:r>
    </w:p>
    <w:bookmarkEnd w:id="65"/>
    <w:bookmarkStart w:id="66" w:name="c.-professional-engineer-capacity"/>
    <w:p>
      <w:pPr>
        <w:pStyle w:val="Heading3"/>
      </w:pPr>
      <w:r>
        <w:t xml:space="preserve">C. Professional Engineer capacity</w:t>
      </w:r>
    </w:p>
    <w:p>
      <w:pPr>
        <w:pStyle w:val="FirstParagraph"/>
      </w:pPr>
      <w:r>
        <w:t xml:space="preserve">As noted in Section VII.B, PE headcount dropped from three to two in January 2025 and has not been replaced. PEs are required for remediation and PFAS work (the majority of revenue and the core growth thesis). The buyer should require a credible PE hiring plan and budget, and assess whether the current two-PE capacity can support both the existing remediation backlog and the projected PFAS ramp.</w:t>
      </w:r>
    </w:p>
    <w:bookmarkEnd w:id="66"/>
    <w:bookmarkStart w:id="67" w:name="d.-phantom-equity-cash-settlement"/>
    <w:p>
      <w:pPr>
        <w:pStyle w:val="Heading3"/>
      </w:pPr>
      <w:r>
        <w:t xml:space="preserve">D. Phantom equity cash settlement</w:t>
      </w:r>
    </w:p>
    <w:p>
      <w:pPr>
        <w:pStyle w:val="FirstParagraph"/>
      </w:pPr>
      <w:r>
        <w:t xml:space="preserve">The phantom equity plan will be settled in cash at closing (CIM §II.B, §VI.C). The settlement amount is not disclosed and is excluded from the debt summary and EV bridge. This is a cash obligation at closing that reduces net equity proceeds to the seller (or is borne by the buyer, depending on structure) and must be quantified and allocated in the SPA. It should be requested immediately.</w:t>
      </w:r>
    </w:p>
    <w:p>
      <w:r>
        <w:pict>
          <v:rect style="width:0;height:1.5pt" o:hralign="center" o:hrstd="t" o:hr="t"/>
        </w:pict>
      </w:r>
    </w:p>
    <w:bookmarkEnd w:id="67"/>
    <w:bookmarkEnd w:id="68"/>
    <w:bookmarkStart w:id="73" w:name="xiv.-valuation-analysis"/>
    <w:p>
      <w:pPr>
        <w:pStyle w:val="Heading2"/>
      </w:pPr>
      <w:r>
        <w:t xml:space="preserve">XIV. Valuation Analysis</w:t>
      </w:r>
    </w:p>
    <w:bookmarkStart w:id="69" w:name="a.-sell-side-valuation-context"/>
    <w:p>
      <w:pPr>
        <w:pStyle w:val="Heading3"/>
      </w:pPr>
      <w:r>
        <w:t xml:space="preserve">A. Sell-side valuation context</w:t>
      </w:r>
    </w:p>
    <w:p>
      <w:pPr>
        <w:pStyle w:val="FirstParagraph"/>
      </w:pPr>
      <w:r>
        <w:t xml:space="preserve">The CIM cites</w:t>
      </w:r>
      <w:r>
        <w:t xml:space="preserve"> </w:t>
      </w:r>
      <w:r>
        <w:t xml:space="preserve">“</w:t>
      </w:r>
      <w:r>
        <w:t xml:space="preserve">comparable transactions in the environmental services sector at 8.0x–10.0x Adjusted EBITDA</w:t>
      </w:r>
      <w:r>
        <w:t xml:space="preserve">”</w:t>
      </w:r>
      <w:r>
        <w:t xml:space="preserve"> </w:t>
      </w:r>
      <w:r>
        <w:t xml:space="preserve">and, on FY2024 Adjusted EBITDA of $17.1M, implies an EV range of</w:t>
      </w:r>
      <w:r>
        <w:t xml:space="preserve"> </w:t>
      </w:r>
      <w:r>
        <w:rPr>
          <w:b/>
          <w:bCs/>
        </w:rPr>
        <w:t xml:space="preserve">$136.8M–$171.0M</w:t>
      </w:r>
      <w:r>
        <w:t xml:space="preserve">, suggesting valuation</w:t>
      </w:r>
      <w:r>
        <w:t xml:space="preserve"> </w:t>
      </w:r>
      <w:r>
        <w:t xml:space="preserve">“</w:t>
      </w:r>
      <w:r>
        <w:t xml:space="preserve">at the higher end of the comparable range</w:t>
      </w:r>
      <w:r>
        <w:t xml:space="preserve">”</w:t>
      </w:r>
      <w:r>
        <w:t xml:space="preserve"> </w:t>
      </w:r>
      <w:r>
        <w:t xml:space="preserve">given growth, PFAS, and platform characteristics. On a forward basis, FY2025E Adjusted EBITDA of $19.7M implies $157.6M–$197.0M. No specific comparable transactions (names, dates, sizes) are provided to support the 8.0x–10.0x range — a gap that should be filled with Thornfield’s internal database and independent comps.</w:t>
      </w:r>
    </w:p>
    <w:bookmarkEnd w:id="69"/>
    <w:bookmarkStart w:id="70" w:name="b.-buy-side-valuation"/>
    <w:p>
      <w:pPr>
        <w:pStyle w:val="Heading3"/>
      </w:pPr>
      <w:r>
        <w:t xml:space="preserve">B. Buy-side valuation</w:t>
      </w:r>
    </w:p>
    <w:p>
      <w:pPr>
        <w:pStyle w:val="FirstParagraph"/>
      </w:pPr>
      <w:r>
        <w:t xml:space="preserve">Anchoring on the buy-side Adjusted EBITDA of ~$15.5M (Section VI.G) rather than the sell-side $17.1M, and given the adjustment-quality, PFAS-execution, capex, and customer-contract risks (all of which argue for the</w:t>
      </w:r>
      <w:r>
        <w:t xml:space="preserve"> </w:t>
      </w:r>
      <w:r>
        <w:rPr>
          <w:b/>
          <w:bCs/>
        </w:rPr>
        <w:t xml:space="preserve">lower</w:t>
      </w:r>
      <w:r>
        <w:t xml:space="preserve"> </w:t>
      </w:r>
      <w:r>
        <w:t xml:space="preserve">end of the range, not the higher end the sell-side advocates):</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Basis</w:t>
            </w:r>
          </w:p>
        </w:tc>
        <w:tc>
          <w:tcPr/>
          <w:p>
            <w:pPr>
              <w:pStyle w:val="Compact"/>
              <w:jc w:val="left"/>
            </w:pPr>
            <w:r>
              <w:t xml:space="preserve">Adj. EBITDA ($M)</w:t>
            </w:r>
          </w:p>
        </w:tc>
        <w:tc>
          <w:tcPr/>
          <w:p>
            <w:pPr>
              <w:pStyle w:val="Compact"/>
              <w:jc w:val="left"/>
            </w:pPr>
            <w:r>
              <w:t xml:space="preserve">8.0x EV</w:t>
            </w:r>
          </w:p>
        </w:tc>
        <w:tc>
          <w:tcPr/>
          <w:p>
            <w:pPr>
              <w:pStyle w:val="Compact"/>
              <w:jc w:val="left"/>
            </w:pPr>
            <w:r>
              <w:t xml:space="preserve">9.0x EV</w:t>
            </w:r>
          </w:p>
        </w:tc>
        <w:tc>
          <w:tcPr/>
          <w:p>
            <w:pPr>
              <w:pStyle w:val="Compact"/>
              <w:jc w:val="left"/>
            </w:pPr>
            <w:r>
              <w:t xml:space="preserve">10.0x EV</w:t>
            </w:r>
          </w:p>
        </w:tc>
      </w:tr>
      <w:tr>
        <w:tc>
          <w:tcPr/>
          <w:p>
            <w:pPr>
              <w:pStyle w:val="Compact"/>
              <w:jc w:val="left"/>
            </w:pPr>
            <w:r>
              <w:t xml:space="preserve">Sell-side (FY2024A)</w:t>
            </w:r>
          </w:p>
        </w:tc>
        <w:tc>
          <w:tcPr/>
          <w:p>
            <w:pPr>
              <w:pStyle w:val="Compact"/>
              <w:jc w:val="left"/>
            </w:pPr>
            <w:r>
              <w:t xml:space="preserve">17.1</w:t>
            </w:r>
          </w:p>
        </w:tc>
        <w:tc>
          <w:tcPr/>
          <w:p>
            <w:pPr>
              <w:pStyle w:val="Compact"/>
              <w:jc w:val="left"/>
            </w:pPr>
            <w:r>
              <w:t xml:space="preserve">136.8</w:t>
            </w:r>
          </w:p>
        </w:tc>
        <w:tc>
          <w:tcPr/>
          <w:p>
            <w:pPr>
              <w:pStyle w:val="Compact"/>
              <w:jc w:val="left"/>
            </w:pPr>
            <w:r>
              <w:t xml:space="preserve">153.9</w:t>
            </w:r>
          </w:p>
        </w:tc>
        <w:tc>
          <w:tcPr/>
          <w:p>
            <w:pPr>
              <w:pStyle w:val="Compact"/>
              <w:jc w:val="left"/>
            </w:pPr>
            <w:r>
              <w:t xml:space="preserve">171.0</w:t>
            </w:r>
          </w:p>
        </w:tc>
      </w:tr>
      <w:tr>
        <w:tc>
          <w:tcPr/>
          <w:p>
            <w:pPr>
              <w:pStyle w:val="Compact"/>
              <w:jc w:val="left"/>
            </w:pPr>
            <w:r>
              <w:t xml:space="preserve">Buy-side low</w:t>
            </w:r>
          </w:p>
        </w:tc>
        <w:tc>
          <w:tcPr/>
          <w:p>
            <w:pPr>
              <w:pStyle w:val="Compact"/>
              <w:jc w:val="left"/>
            </w:pPr>
            <w:r>
              <w:t xml:space="preserve">14.9</w:t>
            </w:r>
          </w:p>
        </w:tc>
        <w:tc>
          <w:tcPr/>
          <w:p>
            <w:pPr>
              <w:pStyle w:val="Compact"/>
              <w:jc w:val="left"/>
            </w:pPr>
            <w:r>
              <w:t xml:space="preserve">119.2</w:t>
            </w:r>
          </w:p>
        </w:tc>
        <w:tc>
          <w:tcPr/>
          <w:p>
            <w:pPr>
              <w:pStyle w:val="Compact"/>
              <w:jc w:val="left"/>
            </w:pPr>
            <w:r>
              <w:t xml:space="preserve">134.1</w:t>
            </w:r>
          </w:p>
        </w:tc>
        <w:tc>
          <w:tcPr/>
          <w:p>
            <w:pPr>
              <w:pStyle w:val="Compact"/>
              <w:jc w:val="left"/>
            </w:pPr>
            <w:r>
              <w:t xml:space="preserve">149.0</w:t>
            </w:r>
          </w:p>
        </w:tc>
      </w:tr>
      <w:tr>
        <w:tc>
          <w:tcPr/>
          <w:p>
            <w:pPr>
              <w:pStyle w:val="Compact"/>
              <w:jc w:val="left"/>
            </w:pPr>
            <w:r>
              <w:rPr>
                <w:b/>
                <w:bCs/>
              </w:rPr>
              <w:t xml:space="preserve">Buy-side midpoint</w:t>
            </w:r>
          </w:p>
        </w:tc>
        <w:tc>
          <w:tcPr/>
          <w:p>
            <w:pPr>
              <w:pStyle w:val="Compact"/>
              <w:jc w:val="left"/>
            </w:pPr>
            <w:r>
              <w:rPr>
                <w:b/>
                <w:bCs/>
              </w:rPr>
              <w:t xml:space="preserve">15.5</w:t>
            </w:r>
          </w:p>
        </w:tc>
        <w:tc>
          <w:tcPr/>
          <w:p>
            <w:pPr>
              <w:pStyle w:val="Compact"/>
              <w:jc w:val="left"/>
            </w:pPr>
            <w:r>
              <w:rPr>
                <w:b/>
                <w:bCs/>
              </w:rPr>
              <w:t xml:space="preserve">124.0</w:t>
            </w:r>
          </w:p>
        </w:tc>
        <w:tc>
          <w:tcPr/>
          <w:p>
            <w:pPr>
              <w:pStyle w:val="Compact"/>
              <w:jc w:val="left"/>
            </w:pPr>
            <w:r>
              <w:rPr>
                <w:b/>
                <w:bCs/>
              </w:rPr>
              <w:t xml:space="preserve">139.5</w:t>
            </w:r>
          </w:p>
        </w:tc>
        <w:tc>
          <w:tcPr/>
          <w:p>
            <w:pPr>
              <w:pStyle w:val="Compact"/>
              <w:jc w:val="left"/>
            </w:pPr>
            <w:r>
              <w:rPr>
                <w:b/>
                <w:bCs/>
              </w:rPr>
              <w:t xml:space="preserve">155.0</w:t>
            </w:r>
          </w:p>
        </w:tc>
      </w:tr>
      <w:tr>
        <w:tc>
          <w:tcPr/>
          <w:p>
            <w:pPr>
              <w:pStyle w:val="Compact"/>
              <w:jc w:val="left"/>
            </w:pPr>
            <w:r>
              <w:t xml:space="preserve">Buy-side high</w:t>
            </w:r>
          </w:p>
        </w:tc>
        <w:tc>
          <w:tcPr/>
          <w:p>
            <w:pPr>
              <w:pStyle w:val="Compact"/>
              <w:jc w:val="left"/>
            </w:pPr>
            <w:r>
              <w:t xml:space="preserve">16.1</w:t>
            </w:r>
          </w:p>
        </w:tc>
        <w:tc>
          <w:tcPr/>
          <w:p>
            <w:pPr>
              <w:pStyle w:val="Compact"/>
              <w:jc w:val="left"/>
            </w:pPr>
            <w:r>
              <w:t xml:space="preserve">128.8</w:t>
            </w:r>
          </w:p>
        </w:tc>
        <w:tc>
          <w:tcPr/>
          <w:p>
            <w:pPr>
              <w:pStyle w:val="Compact"/>
              <w:jc w:val="left"/>
            </w:pPr>
            <w:r>
              <w:t xml:space="preserve">144.9</w:t>
            </w:r>
          </w:p>
        </w:tc>
        <w:tc>
          <w:tcPr/>
          <w:p>
            <w:pPr>
              <w:pStyle w:val="Compact"/>
              <w:jc w:val="left"/>
            </w:pPr>
            <w:r>
              <w:t xml:space="preserve">161.0</w:t>
            </w:r>
          </w:p>
        </w:tc>
      </w:tr>
    </w:tbl>
    <w:p>
      <w:pPr>
        <w:pStyle w:val="BodyText"/>
      </w:pPr>
      <w:r>
        <w:t xml:space="preserve">A defensible bid range is approximately</w:t>
      </w:r>
      <w:r>
        <w:t xml:space="preserve"> </w:t>
      </w:r>
      <w:r>
        <w:rPr>
          <w:b/>
          <w:bCs/>
        </w:rPr>
        <w:t xml:space="preserve">8.0x–8.7x buy-side Adjusted EBITDA, or ~$120M–$135M EV</w:t>
      </w:r>
      <w:r>
        <w:t xml:space="preserve"> </w:t>
      </w:r>
      <w:r>
        <w:t xml:space="preserve">(cash-free/debt-free, normalized NWC). This sits below the sell-side range and reflects: (i) the ~$1.6M EBITDA reduction; (ii) PFAS execution risk; (iii) the PNR contract overhang; (iv) understated maintenance capex (which depresses FCF and therefore the supportable multiple); and (v) the absence of specific comp support for the high end. The sell-side’s</w:t>
      </w:r>
      <w:r>
        <w:t xml:space="preserve"> </w:t>
      </w:r>
      <w:r>
        <w:t xml:space="preserve">“</w:t>
      </w:r>
      <w:r>
        <w:t xml:space="preserve">higher end</w:t>
      </w:r>
      <w:r>
        <w:t xml:space="preserve">”</w:t>
      </w:r>
      <w:r>
        <w:t xml:space="preserve"> </w:t>
      </w:r>
      <w:r>
        <w:t xml:space="preserve">guidance is not supported by the risk profile.</w:t>
      </w:r>
    </w:p>
    <w:bookmarkEnd w:id="70"/>
    <w:bookmarkStart w:id="71" w:name="c.-fund-iii-mandate-consideration"/>
    <w:p>
      <w:pPr>
        <w:pStyle w:val="Heading3"/>
      </w:pPr>
      <w:r>
        <w:t xml:space="preserve">C. Fund III mandate consideration</w:t>
      </w:r>
    </w:p>
    <w:p>
      <w:pPr>
        <w:pStyle w:val="FirstParagraph"/>
      </w:pPr>
      <w:r>
        <w:t xml:space="preserve">The sector memo states that Fund III</w:t>
      </w:r>
      <w:r>
        <w:t xml:space="preserve"> </w:t>
      </w:r>
      <w:r>
        <w:t xml:space="preserve">“</w:t>
      </w:r>
      <w:r>
        <w:t xml:space="preserve">targets platforms in the $30M–$100M enterprise value range.</w:t>
      </w:r>
      <w:r>
        <w:t xml:space="preserve">”</w:t>
      </w:r>
      <w:r>
        <w:t xml:space="preserve"> </w:t>
      </w:r>
      <w:r>
        <w:t xml:space="preserve">The sell-side’s implied EV ($137M–$171M) and even the buy-side low end (~$119M)</w:t>
      </w:r>
      <w:r>
        <w:t xml:space="preserve"> </w:t>
      </w:r>
      <w:r>
        <w:rPr>
          <w:b/>
          <w:bCs/>
        </w:rPr>
        <w:t xml:space="preserve">exceed the $100M target ceiling</w:t>
      </w:r>
      <w:r>
        <w:t xml:space="preserve">. The sector memo’s assertion that</w:t>
      </w:r>
      <w:r>
        <w:t xml:space="preserve"> </w:t>
      </w:r>
      <w:r>
        <w:t xml:space="preserve">“</w:t>
      </w:r>
      <w:r>
        <w:t xml:space="preserve">CES fits squarely within these parameters</w:t>
      </w:r>
      <w:r>
        <w:t xml:space="preserve">”</w:t>
      </w:r>
      <w:r>
        <w:t xml:space="preserve"> </w:t>
      </w:r>
      <w:r>
        <w:t xml:space="preserve">appears inconsistent with the sell-side’s own valuation. The deal team should confirm with Diane Holbrook whether Fund III’s mandate is an EV limit or an equity-check guideline, and whether a deal at this size requires LPAC approval or a larger equity check than a standard platform. This is a gating question for IC.</w:t>
      </w:r>
    </w:p>
    <w:bookmarkEnd w:id="71"/>
    <w:bookmarkStart w:id="72" w:name="d.-equity-bridge-and-lbo-capacity"/>
    <w:p>
      <w:pPr>
        <w:pStyle w:val="Heading3"/>
      </w:pPr>
      <w:r>
        <w:t xml:space="preserve">D. Equity bridge and LBO capacity</w:t>
      </w:r>
    </w:p>
    <w:p>
      <w:pPr>
        <w:pStyle w:val="FirstParagraph"/>
      </w:pPr>
      <w:r>
        <w:t xml:space="preserve">On a cash-free/debt-free basis at ~$130M EV, the equity bridge is approximately: EV $130M − net debt ~$15M (term loan $14.2M + revolver $3.1M − cash, using the lower CIM cash figure; the FE cash figure of $4.1M would reduce net debt to ~$13M) − phantom-unit cash settlement (TBD) − transaction expenses ± NWC adjustment. At a 5.0x–5.5x total leverage / ~$77M–$85M of debt on buy-side EBITDA of ~$15.5M (≈5.0x–5.5x), equity would be roughly $45M–$55M before phantom settlement and fees. Reported FCF of ~$2.0M–$2.8M (pre-normalization) is thin relative to pro forma cash interest; the LBO math is sensitive to the capex normalization in Section IX and must be stress-tested. A meaningful earnout tied to PFAS revenue achievement and PNR renewal would de-risk the structure.</w:t>
      </w:r>
    </w:p>
    <w:p>
      <w:r>
        <w:pict>
          <v:rect style="width:0;height:1.5pt" o:hralign="center" o:hrstd="t" o:hr="t"/>
        </w:pict>
      </w:r>
    </w:p>
    <w:bookmarkEnd w:id="72"/>
    <w:bookmarkEnd w:id="73"/>
    <w:bookmarkStart w:id="74" w:name="X0a20237c4df09c5c37d82e649c7ff570055fa70"/>
    <w:p>
      <w:pPr>
        <w:pStyle w:val="Heading2"/>
      </w:pPr>
      <w:r>
        <w:t xml:space="preserve">XV. Diligence Priorities and Request List (Prioritized)</w:t>
      </w:r>
    </w:p>
    <w:p>
      <w:pPr>
        <w:pStyle w:val="FirstParagraph"/>
      </w:pPr>
      <w:r>
        <w:t xml:space="preserve">The following should be submitted to Greenleaf as process questions and/or VDR requests, prioritized by impact:</w:t>
      </w:r>
    </w:p>
    <w:p>
      <w:pPr>
        <w:pStyle w:val="BodyText"/>
      </w:pPr>
      <w:r>
        <w:rPr>
          <w:b/>
          <w:bCs/>
        </w:rPr>
        <w:t xml:space="preserve">Tier 1 — Deal-pricing / go/no-go:</w:t>
      </w:r>
    </w:p>
    <w:p>
      <w:pPr>
        <w:pStyle w:val="Compact"/>
        <w:numPr>
          <w:ilvl w:val="0"/>
          <w:numId w:val="1007"/>
        </w:numPr>
      </w:pPr>
      <w:r>
        <w:rPr>
          <w:b/>
          <w:bCs/>
        </w:rPr>
        <w:t xml:space="preserve">PNR contract renewal.</w:t>
      </w:r>
      <w:r>
        <w:t xml:space="preserve"> </w:t>
      </w:r>
      <w:r>
        <w:t xml:space="preserve">Current status of the PNR relationship post-March 31, 2025; executed renewal/extension (if any); term, pricing, scope, and termination provisions; PNR’s procurement process and alternative-provider exposure. (CIM §V.B; CBR §3.2)</w:t>
      </w:r>
    </w:p>
    <w:p>
      <w:pPr>
        <w:pStyle w:val="Compact"/>
        <w:numPr>
          <w:ilvl w:val="0"/>
          <w:numId w:val="1007"/>
        </w:numPr>
      </w:pPr>
      <w:r>
        <w:rPr>
          <w:b/>
          <w:bCs/>
        </w:rPr>
        <w:t xml:space="preserve">PFAS backlog breakout.</w:t>
      </w:r>
      <w:r>
        <w:t xml:space="preserve"> </w:t>
      </w:r>
      <w:r>
        <w:t xml:space="preserve">Signed PFAS contracts vs. pipeline supporting the $14.0M FY2025E projection; customer names, terms, and durations. (CIM §III.A, §VI.F; CBR §5)</w:t>
      </w:r>
    </w:p>
    <w:p>
      <w:pPr>
        <w:pStyle w:val="Compact"/>
        <w:numPr>
          <w:ilvl w:val="0"/>
          <w:numId w:val="1007"/>
        </w:numPr>
      </w:pPr>
      <w:r>
        <w:rPr>
          <w:b/>
          <w:bCs/>
        </w:rPr>
        <w:t xml:space="preserve">Reconciled financial statements.</w:t>
      </w:r>
      <w:r>
        <w:t xml:space="preserve"> </w:t>
      </w:r>
      <w:r>
        <w:t xml:space="preserve">Reconciliation of the CIM, CBR, and FE balance sheets, income statements, and cash flows; correction of the FE EBIT/EBITDA/D&amp;A inconsistency; clarification of the DEQ settlement’s classification relative to EBITDA; retained-earnings roll-forward. (Section V)</w:t>
      </w:r>
    </w:p>
    <w:p>
      <w:pPr>
        <w:pStyle w:val="Compact"/>
        <w:numPr>
          <w:ilvl w:val="0"/>
          <w:numId w:val="1007"/>
        </w:numPr>
      </w:pPr>
      <w:r>
        <w:rPr>
          <w:b/>
          <w:bCs/>
        </w:rPr>
        <w:t xml:space="preserve">Maintenance capex and fleet assessment.</w:t>
      </w:r>
      <w:r>
        <w:t xml:space="preserve"> </w:t>
      </w:r>
      <w:r>
        <w:t xml:space="preserve">Detailed fleet age, condition, and remaining-useful-life schedule; maintenance capex history and forecast on a like-for-like basis; identification of deferred maintenance. (Section IX)</w:t>
      </w:r>
    </w:p>
    <w:p>
      <w:pPr>
        <w:pStyle w:val="Compact"/>
        <w:numPr>
          <w:ilvl w:val="0"/>
          <w:numId w:val="1007"/>
        </w:numPr>
      </w:pPr>
      <w:r>
        <w:rPr>
          <w:b/>
          <w:bCs/>
        </w:rPr>
        <w:t xml:space="preserve">Regulatory enforcement history.</w:t>
      </w:r>
      <w:r>
        <w:t xml:space="preserve"> </w:t>
      </w:r>
      <w:r>
        <w:t xml:space="preserve">Complete 10-year history of DEQ/EPA/OSHA/DOT enforcement actions, notices of violation, permits, and consent agreements; terms of the August 2024 consent agreement (ongoing obligations). (Section XI)</w:t>
      </w:r>
    </w:p>
    <w:p>
      <w:pPr>
        <w:pStyle w:val="Compact"/>
        <w:numPr>
          <w:ilvl w:val="0"/>
          <w:numId w:val="1007"/>
        </w:numPr>
      </w:pPr>
      <w:r>
        <w:rPr>
          <w:b/>
          <w:bCs/>
        </w:rPr>
        <w:t xml:space="preserve">Phantom equity.</w:t>
      </w:r>
      <w:r>
        <w:t xml:space="preserve"> </w:t>
      </w:r>
      <w:r>
        <w:t xml:space="preserve">Outstanding units, valuation, and expected cash settlement at closing. (Section XIII.D)</w:t>
      </w:r>
    </w:p>
    <w:p>
      <w:pPr>
        <w:pStyle w:val="FirstParagraph"/>
      </w:pPr>
      <w:r>
        <w:rPr>
          <w:b/>
          <w:bCs/>
        </w:rPr>
        <w:t xml:space="preserve">Tier 2 — Valuation / structure:</w:t>
      </w:r>
    </w:p>
    <w:p>
      <w:pPr>
        <w:pStyle w:val="Compact"/>
        <w:numPr>
          <w:ilvl w:val="0"/>
          <w:numId w:val="1008"/>
        </w:numPr>
      </w:pPr>
      <w:r>
        <w:rPr>
          <w:b/>
          <w:bCs/>
        </w:rPr>
        <w:t xml:space="preserve">Real estate.</w:t>
      </w:r>
      <w:r>
        <w:t xml:space="preserve"> </w:t>
      </w:r>
      <w:r>
        <w:t xml:space="preserve">Independent fair-market valuation of the Portland HQ; proposed treatment (acquire vs. lease); existing lease terms and any encumbrances. (Section XII)</w:t>
      </w:r>
    </w:p>
    <w:p>
      <w:pPr>
        <w:pStyle w:val="Compact"/>
        <w:numPr>
          <w:ilvl w:val="0"/>
          <w:numId w:val="1008"/>
        </w:numPr>
      </w:pPr>
      <w:r>
        <w:rPr>
          <w:b/>
          <w:bCs/>
        </w:rPr>
        <w:t xml:space="preserve">Owner compensation detail.</w:t>
      </w:r>
      <w:r>
        <w:t xml:space="preserve"> </w:t>
      </w:r>
      <w:r>
        <w:t xml:space="preserve">Itemization of the $2.4M total compensation, specifically the</w:t>
      </w:r>
      <w:r>
        <w:t xml:space="preserve"> </w:t>
      </w:r>
      <w:r>
        <w:t xml:space="preserve">“</w:t>
      </w:r>
      <w:r>
        <w:t xml:space="preserve">personal expenses allocated to the Company</w:t>
      </w:r>
      <w:r>
        <w:t xml:space="preserve">”</w:t>
      </w:r>
      <w:r>
        <w:t xml:space="preserve">; replacement-CEO benchmarking. (Section VI.C)</w:t>
      </w:r>
    </w:p>
    <w:p>
      <w:pPr>
        <w:pStyle w:val="Compact"/>
        <w:numPr>
          <w:ilvl w:val="0"/>
          <w:numId w:val="1008"/>
        </w:numPr>
      </w:pPr>
      <w:r>
        <w:rPr>
          <w:b/>
          <w:bCs/>
        </w:rPr>
        <w:t xml:space="preserve">DSO / AR aging.</w:t>
      </w:r>
      <w:r>
        <w:t xml:space="preserve"> </w:t>
      </w:r>
      <w:r>
        <w:t xml:space="preserve">AR aging schedule and unbilled-revenue detail; independent DSO calculation; collection history and disputes. (Section X)</w:t>
      </w:r>
    </w:p>
    <w:p>
      <w:pPr>
        <w:pStyle w:val="Compact"/>
        <w:numPr>
          <w:ilvl w:val="0"/>
          <w:numId w:val="1008"/>
        </w:numPr>
      </w:pPr>
      <w:r>
        <w:rPr>
          <w:b/>
          <w:bCs/>
        </w:rPr>
        <w:t xml:space="preserve">Customer list and contracts.</w:t>
      </w:r>
      <w:r>
        <w:t xml:space="preserve"> </w:t>
      </w:r>
      <w:r>
        <w:t xml:space="preserve">Verified top-25 customer list with executed contracts (to resolve the CIM/CBR customer-name discrepancy); renewal history; concentration trends. (Section V.G, VIII)</w:t>
      </w:r>
    </w:p>
    <w:p>
      <w:pPr>
        <w:pStyle w:val="Compact"/>
        <w:numPr>
          <w:ilvl w:val="0"/>
          <w:numId w:val="1008"/>
        </w:numPr>
      </w:pPr>
      <w:r>
        <w:rPr>
          <w:b/>
          <w:bCs/>
        </w:rPr>
        <w:t xml:space="preserve">PE hiring plan.</w:t>
      </w:r>
      <w:r>
        <w:t xml:space="preserve"> </w:t>
      </w:r>
      <w:r>
        <w:t xml:space="preserve">Management’s plan and budget to restore PE capacity; recruitment timeline; reliance on the retired PE’s relationships. (Section VII.B, XIII.C)</w:t>
      </w:r>
    </w:p>
    <w:p>
      <w:pPr>
        <w:pStyle w:val="Compact"/>
        <w:numPr>
          <w:ilvl w:val="0"/>
          <w:numId w:val="1008"/>
        </w:numPr>
      </w:pPr>
      <w:r>
        <w:rPr>
          <w:b/>
          <w:bCs/>
        </w:rPr>
        <w:t xml:space="preserve">Comparable transactions.</w:t>
      </w:r>
      <w:r>
        <w:t xml:space="preserve"> </w:t>
      </w:r>
      <w:r>
        <w:t xml:space="preserve">Specific comps supporting the 8.0x–10.0x range. (Section XIV.A)</w:t>
      </w:r>
    </w:p>
    <w:p>
      <w:pPr>
        <w:pStyle w:val="FirstParagraph"/>
      </w:pPr>
      <w:r>
        <w:rPr>
          <w:b/>
          <w:bCs/>
        </w:rPr>
        <w:t xml:space="preserve">Tier 3 — Confirmatory:</w:t>
      </w:r>
    </w:p>
    <w:p>
      <w:pPr>
        <w:pStyle w:val="Compact"/>
        <w:numPr>
          <w:ilvl w:val="0"/>
          <w:numId w:val="1009"/>
        </w:numPr>
      </w:pPr>
      <w:r>
        <w:t xml:space="preserve">Goodwill/intangibles origin ($2.5M) and any undisclosed acquisition history. (Section V.J)</w:t>
      </w:r>
    </w:p>
    <w:p>
      <w:pPr>
        <w:pStyle w:val="Compact"/>
        <w:numPr>
          <w:ilvl w:val="0"/>
          <w:numId w:val="1009"/>
        </w:numPr>
      </w:pPr>
      <w:r>
        <w:t xml:space="preserve">Sacramento office existence/status and California operating presence. (Section V.J)</w:t>
      </w:r>
    </w:p>
    <w:p>
      <w:pPr>
        <w:pStyle w:val="Compact"/>
        <w:numPr>
          <w:ilvl w:val="0"/>
          <w:numId w:val="1009"/>
        </w:numPr>
      </w:pPr>
      <w:r>
        <w:t xml:space="preserve">Permit transferability on change of control (with buyer’s counsel). (Section XI.C)</w:t>
      </w:r>
    </w:p>
    <w:p>
      <w:pPr>
        <w:pStyle w:val="Compact"/>
        <w:numPr>
          <w:ilvl w:val="0"/>
          <w:numId w:val="1009"/>
        </w:numPr>
      </w:pPr>
      <w:r>
        <w:t xml:space="preserve">Key-person retention terms for Ms. Prewitt, Mr. Cahill, and PEs. (Section XIII.B)</w:t>
      </w:r>
    </w:p>
    <w:p>
      <w:pPr>
        <w:pStyle w:val="Compact"/>
        <w:numPr>
          <w:ilvl w:val="0"/>
          <w:numId w:val="1009"/>
        </w:numPr>
      </w:pPr>
      <w:r>
        <w:t xml:space="preserve">Segment revenue reconciliation (CIM vs. FE historical and projected). (Section V.F)</w:t>
      </w:r>
    </w:p>
    <w:p>
      <w:pPr>
        <w:pStyle w:val="Compact"/>
        <w:numPr>
          <w:ilvl w:val="0"/>
          <w:numId w:val="1009"/>
        </w:numPr>
      </w:pPr>
      <w:r>
        <w:t xml:space="preserve">Distributions policy and any seller notes/rollover interest. (Section XIV.D)</w:t>
      </w:r>
    </w:p>
    <w:p>
      <w:r>
        <w:pict>
          <v:rect style="width:0;height:1.5pt" o:hralign="center" o:hrstd="t" o:hr="t"/>
        </w:pict>
      </w:r>
    </w:p>
    <w:bookmarkEnd w:id="74"/>
    <w:bookmarkStart w:id="75" w:name="xvi.-ioi-considerations"/>
    <w:p>
      <w:pPr>
        <w:pStyle w:val="Heading2"/>
      </w:pPr>
      <w:r>
        <w:t xml:space="preserve">XVI. IOI Considerations</w:t>
      </w:r>
    </w:p>
    <w:p>
      <w:pPr>
        <w:pStyle w:val="FirstParagraph"/>
      </w:pPr>
      <w:r>
        <w:t xml:space="preserve">Our IOI (due July 14) should be non-binding but specific on the points the process letter requires, and should embed the findings above:</w:t>
      </w:r>
    </w:p>
    <w:p>
      <w:pPr>
        <w:pStyle w:val="Compact"/>
        <w:numPr>
          <w:ilvl w:val="0"/>
          <w:numId w:val="1010"/>
        </w:numPr>
      </w:pPr>
      <w:r>
        <w:rPr>
          <w:b/>
          <w:bCs/>
        </w:rPr>
        <w:t xml:space="preserve">Indication of value:</w:t>
      </w:r>
      <w:r>
        <w:t xml:space="preserve"> </w:t>
      </w:r>
      <w:r>
        <w:t xml:space="preserve">EV range ~$120M–$135M, cash-free/debt-free with normalized NWC, stated as ~8.0x–8.7x</w:t>
      </w:r>
      <w:r>
        <w:t xml:space="preserve"> </w:t>
      </w:r>
      <w:r>
        <w:rPr>
          <w:b/>
          <w:bCs/>
        </w:rPr>
        <w:t xml:space="preserve">buy-side</w:t>
      </w:r>
      <w:r>
        <w:t xml:space="preserve"> </w:t>
      </w:r>
      <w:r>
        <w:t xml:space="preserve">Adjusted EBITDA of ~$15.5M (FY2024A). Explicitly note that the figure is based on a normalized EBITDA that adjusts the sell-side bridge (lease, regulatory, relocation) and is subject to QoE. Decline to anchor on the sell-side $17.1M.</w:t>
      </w:r>
    </w:p>
    <w:p>
      <w:pPr>
        <w:pStyle w:val="Compact"/>
        <w:numPr>
          <w:ilvl w:val="0"/>
          <w:numId w:val="1010"/>
        </w:numPr>
      </w:pPr>
      <w:r>
        <w:rPr>
          <w:b/>
          <w:bCs/>
        </w:rPr>
        <w:t xml:space="preserve">Transaction structure:</w:t>
      </w:r>
      <w:r>
        <w:t xml:space="preserve"> </w:t>
      </w:r>
      <w:r>
        <w:t xml:space="preserve">Stock purchase; existing Cascadia Bank debt refinanced/repaid at closing;</w:t>
      </w:r>
      <w:r>
        <w:t xml:space="preserve"> </w:t>
      </w:r>
      <w:r>
        <w:rPr>
          <w:b/>
          <w:bCs/>
        </w:rPr>
        <w:t xml:space="preserve">acquire the Portland HQ real estate</w:t>
      </w:r>
      <w:r>
        <w:t xml:space="preserve"> </w:t>
      </w:r>
      <w:r>
        <w:t xml:space="preserve">from Mr. Oakes at fair market value (or, failing that, a long-term lease at market with renewal options) as part of or concurrent with the transaction;</w:t>
      </w:r>
      <w:r>
        <w:t xml:space="preserve"> </w:t>
      </w:r>
      <w:r>
        <w:rPr>
          <w:b/>
          <w:bCs/>
        </w:rPr>
        <w:t xml:space="preserve">earnout</w:t>
      </w:r>
      <w:r>
        <w:t xml:space="preserve"> </w:t>
      </w:r>
      <w:r>
        <w:t xml:space="preserve">tied to (a) PFAS revenue achievement in FY2025–FY2026 and (b) PNR contract renewal/retention; modest seller rollover (5–10%) to align Mr. Oakes through his transition period.</w:t>
      </w:r>
    </w:p>
    <w:p>
      <w:pPr>
        <w:pStyle w:val="Compact"/>
        <w:numPr>
          <w:ilvl w:val="0"/>
          <w:numId w:val="1010"/>
        </w:numPr>
      </w:pPr>
      <w:r>
        <w:rPr>
          <w:b/>
          <w:bCs/>
        </w:rPr>
        <w:t xml:space="preserve">Financing:</w:t>
      </w:r>
      <w:r>
        <w:t xml:space="preserve"> </w:t>
      </w:r>
      <w:r>
        <w:t xml:space="preserve">Committed equity from Fund III; senior debt at ~5.0x–5.5x buy-side EBITDA from [lenders TBD]; financing not contingent except on standard QoE and market conditions.</w:t>
      </w:r>
    </w:p>
    <w:p>
      <w:pPr>
        <w:pStyle w:val="Compact"/>
        <w:numPr>
          <w:ilvl w:val="0"/>
          <w:numId w:val="1010"/>
        </w:numPr>
      </w:pPr>
      <w:r>
        <w:rPr>
          <w:b/>
          <w:bCs/>
        </w:rPr>
        <w:t xml:space="preserve">Diligence:</w:t>
      </w:r>
      <w:r>
        <w:t xml:space="preserve"> </w:t>
      </w:r>
      <w:r>
        <w:t xml:space="preserve">Reference the Tier 1 items above; estimated 4–6 weeks to confirmatory diligence from VDR access.</w:t>
      </w:r>
    </w:p>
    <w:p>
      <w:pPr>
        <w:pStyle w:val="Compact"/>
        <w:numPr>
          <w:ilvl w:val="0"/>
          <w:numId w:val="1010"/>
        </w:numPr>
      </w:pPr>
      <w:r>
        <w:rPr>
          <w:b/>
          <w:bCs/>
        </w:rPr>
        <w:t xml:space="preserve">Management/operations:</w:t>
      </w:r>
      <w:r>
        <w:t xml:space="preserve"> </w:t>
      </w:r>
      <w:r>
        <w:t xml:space="preserve">Retain existing management and workforce; accommodate Mr. Oakes’s 18–24 month transition in an advisory/consulting role; recruit a replacement CEO and additional PEs; implement retention agreements for Ms. Prewitt, Mr. Cahill, and PEs as a closing condition.</w:t>
      </w:r>
    </w:p>
    <w:p>
      <w:pPr>
        <w:pStyle w:val="Compact"/>
        <w:numPr>
          <w:ilvl w:val="0"/>
          <w:numId w:val="1010"/>
        </w:numPr>
      </w:pPr>
      <w:r>
        <w:rPr>
          <w:b/>
          <w:bCs/>
        </w:rPr>
        <w:t xml:space="preserve">Approvals/timeline:</w:t>
      </w:r>
      <w:r>
        <w:t xml:space="preserve"> </w:t>
      </w:r>
      <w:r>
        <w:t xml:space="preserve">IC approval in process; LPAC consultation given EV exceeds Fund III’s stated platform target; ~60–90 days from SPA execution to close, subject to HSR (if applicable) and permit transfers.</w:t>
      </w:r>
    </w:p>
    <w:p>
      <w:pPr>
        <w:pStyle w:val="Compact"/>
        <w:numPr>
          <w:ilvl w:val="0"/>
          <w:numId w:val="1010"/>
        </w:numPr>
      </w:pPr>
      <w:r>
        <w:rPr>
          <w:b/>
          <w:bCs/>
        </w:rPr>
        <w:t xml:space="preserve">Relevant experience:</w:t>
      </w:r>
      <w:r>
        <w:t xml:space="preserve"> </w:t>
      </w:r>
      <w:r>
        <w:t xml:space="preserve">GreenWorks Remediation and Allied Waste Systems (Fund II), with specific reference to environmental services operational and regulatory experience.</w:t>
      </w:r>
    </w:p>
    <w:p>
      <w:r>
        <w:pict>
          <v:rect style="width:0;height:1.5pt" o:hralign="center" o:hrstd="t" o:hr="t"/>
        </w:pict>
      </w:r>
    </w:p>
    <w:bookmarkEnd w:id="75"/>
    <w:bookmarkStart w:id="76" w:name="xvii.-recommendation-and-next-steps"/>
    <w:p>
      <w:pPr>
        <w:pStyle w:val="Heading2"/>
      </w:pPr>
      <w:r>
        <w:t xml:space="preserve">XVII. Recommendation and Next Steps</w:t>
      </w:r>
    </w:p>
    <w:p>
      <w:pPr>
        <w:pStyle w:val="FirstParagraph"/>
      </w:pPr>
      <w:r>
        <w:t xml:space="preserve">CES is a quality platform in an attractive, regulation-backed sector, and Thornfield has the operational pattern recognition to underwrite and improve it. However, the sell-side materials contain pervasive financial inconsistencies, an overstated Adjusted EBITDA, an aggressive PFAS growth plan constrained by PE capacity, a largest-customer contract that has already expired, understated maintenance capex, and a DSO that does not reconcile. These issues are tractable through diligence but require a disciplined valuation and a conditional structure.</w:t>
      </w:r>
    </w:p>
    <w:p>
      <w:pPr>
        <w:pStyle w:val="BodyText"/>
      </w:pPr>
      <w:r>
        <w:rPr>
          <w:b/>
          <w:bCs/>
        </w:rPr>
        <w:t xml:space="preserve">Recommended actions:</w:t>
      </w:r>
    </w:p>
    <w:p>
      <w:pPr>
        <w:pStyle w:val="Compact"/>
        <w:numPr>
          <w:ilvl w:val="0"/>
          <w:numId w:val="1011"/>
        </w:numPr>
      </w:pPr>
      <w:r>
        <w:rPr>
          <w:b/>
          <w:bCs/>
        </w:rPr>
        <w:t xml:space="preserve">Proceed to IOI</w:t>
      </w:r>
      <w:r>
        <w:t xml:space="preserve"> </w:t>
      </w:r>
      <w:r>
        <w:t xml:space="preserve">at ~$120M–$135M EV (~8.0x–8.7x buy-side Adjusted EBITDA of ~$15.5M), with the structure and conditions in Section XVI.</w:t>
      </w:r>
    </w:p>
    <w:p>
      <w:pPr>
        <w:pStyle w:val="Compact"/>
        <w:numPr>
          <w:ilvl w:val="0"/>
          <w:numId w:val="1011"/>
        </w:numPr>
      </w:pPr>
      <w:r>
        <w:rPr>
          <w:b/>
          <w:bCs/>
        </w:rPr>
        <w:t xml:space="preserve">Submit Tier 1 process questions to Greenleaf immediately</w:t>
      </w:r>
      <w:r>
        <w:t xml:space="preserve"> </w:t>
      </w:r>
      <w:r>
        <w:t xml:space="preserve">(PNR renewal, PFAS backlog breakout, financial reconciliation, phantom settlement) — the answers will materially shape whether we advance and at what price.</w:t>
      </w:r>
    </w:p>
    <w:p>
      <w:pPr>
        <w:pStyle w:val="Compact"/>
        <w:numPr>
          <w:ilvl w:val="0"/>
          <w:numId w:val="1011"/>
        </w:numPr>
      </w:pPr>
      <w:r>
        <w:rPr>
          <w:b/>
          <w:bCs/>
        </w:rPr>
        <w:t xml:space="preserve">Engage QoE provider and Calloway, Barrett &amp; Sims LLP now</w:t>
      </w:r>
      <w:r>
        <w:t xml:space="preserve"> </w:t>
      </w:r>
      <w:r>
        <w:t xml:space="preserve">so that VDR access on Phase II selection can be exploited immediately.</w:t>
      </w:r>
    </w:p>
    <w:p>
      <w:pPr>
        <w:pStyle w:val="Compact"/>
        <w:numPr>
          <w:ilvl w:val="0"/>
          <w:numId w:val="1011"/>
        </w:numPr>
      </w:pPr>
      <w:r>
        <w:rPr>
          <w:b/>
          <w:bCs/>
        </w:rPr>
        <w:t xml:space="preserve">Confirm Fund III mandate/LPAC requirements</w:t>
      </w:r>
      <w:r>
        <w:t xml:space="preserve"> </w:t>
      </w:r>
      <w:r>
        <w:t xml:space="preserve">with Diane Holbrook given EV exceeds the stated $30M–$100M target.</w:t>
      </w:r>
    </w:p>
    <w:p>
      <w:pPr>
        <w:pStyle w:val="Compact"/>
        <w:numPr>
          <w:ilvl w:val="0"/>
          <w:numId w:val="1011"/>
        </w:numPr>
      </w:pPr>
      <w:r>
        <w:rPr>
          <w:b/>
          <w:bCs/>
        </w:rPr>
        <w:t xml:space="preserve">Target IC pre-read by July 10, 2025</w:t>
      </w:r>
      <w:r>
        <w:t xml:space="preserve"> </w:t>
      </w:r>
      <w:r>
        <w:t xml:space="preserve">to allow IOI submission by the July 14 deadline.</w:t>
      </w:r>
    </w:p>
    <w:p>
      <w:pPr>
        <w:pStyle w:val="FirstParagraph"/>
      </w:pPr>
      <w:r>
        <w:t xml:space="preserve">This memo should be read together with Sarah Lindgren’s June 12 sector memo, whose benchmarks and portfolio lessons (GreenWorks, Allied Waste) are incorporated throughout. All figures are as presented in the sell-side materials and have not been independently verified; the discrepancies identified herein are drawn directly from cross-referencing the CIM, CBR, FE, and process letter against each other and against the sector benchmarks.</w:t>
      </w:r>
    </w:p>
    <w:p>
      <w:pPr>
        <w:pStyle w:val="BodyText"/>
      </w:pPr>
      <w:r>
        <w:rPr>
          <w:i/>
          <w:iCs/>
        </w:rPr>
        <w:t xml:space="preserve">Prepared by David Koh, Associate, Thornfield Capital Partners. Confidential — internal use only. Do not distribute to Greenleaf Advisory Group, CES, or any external party.</w:t>
      </w:r>
    </w:p>
    <w:bookmarkEnd w:id="76"/>
    <w:bookmarkEnd w:id="7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9">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2026-06-27T20:46:08Z</dcterms:created>
  <dcterms:modified xsi:type="dcterms:W3CDTF">2026-06-27T20:46:08Z</dcterms:modified>
</cp:coreProperties>
</file>

<file path=docProps/custom.xml><?xml version="1.0" encoding="utf-8"?>
<Properties xmlns="http://schemas.openxmlformats.org/officeDocument/2006/custom-properties" xmlns:vt="http://schemas.openxmlformats.org/officeDocument/2006/docPropsVTypes"/>
</file>