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PRIVILEGED</w:t>
      </w:r>
      <w:r>
        <w:t xml:space="preserve"> </w:t>
      </w:r>
      <w:r>
        <w:t xml:space="preserve">AND</w:t>
      </w:r>
      <w:r>
        <w:t xml:space="preserve"> </w:t>
      </w:r>
      <w:r>
        <w:t xml:space="preserve">CONFIDENTIAL</w:t>
      </w:r>
      <w:r>
        <w:t xml:space="preserve"> </w:t>
      </w:r>
      <w:r>
        <w:t xml:space="preserve">—</w:t>
      </w:r>
      <w:r>
        <w:t xml:space="preserve"> </w:t>
      </w:r>
      <w:r>
        <w:t xml:space="preserve">ATTORNEY</w:t>
      </w:r>
      <w:r>
        <w:t xml:space="preserve"> </w:t>
      </w:r>
      <w:r>
        <w:t xml:space="preserve">WORK</w:t>
      </w:r>
      <w:r>
        <w:t xml:space="preserve"> </w:t>
      </w:r>
      <w:r>
        <w:t xml:space="preserve">PRODUCT</w:t>
      </w:r>
    </w:p>
    <w:p>
      <w:pPr>
        <w:pStyle w:val="Subtitle"/>
      </w:pPr>
      <w:r>
        <w:t xml:space="preserve">Governance</w:t>
      </w:r>
      <w:r>
        <w:t xml:space="preserve"> </w:t>
      </w:r>
      <w:r>
        <w:t xml:space="preserve">Diligence</w:t>
      </w:r>
      <w:r>
        <w:t xml:space="preserve"> </w:t>
      </w:r>
      <w:r>
        <w:t xml:space="preserve">Memorandum</w:t>
      </w:r>
    </w:p>
    <w:bookmarkStart w:id="86" w:name="X5221b1742fe7fa1022f8f06da07dacd83202d2b"/>
    <w:p>
      <w:pPr>
        <w:pStyle w:val="Heading1"/>
      </w:pPr>
      <w:r>
        <w:t xml:space="preserve">PRIVILEGED AND CONFIDENTIAL | ATTORNEY WORK PRODUCT | PREPARED IN ANTICIPATION OF LITIGATION</w:t>
      </w:r>
    </w:p>
    <w:p>
      <w:pPr>
        <w:pStyle w:val="FirstParagraph"/>
      </w:pPr>
      <w:r>
        <w:rPr>
          <w:b/>
          <w:bCs/>
        </w:rPr>
        <w:t xml:space="preserve">MEMORANDUM</w:t>
      </w:r>
    </w:p>
    <w:p>
      <w:pPr>
        <w:pStyle w:val="BodyText"/>
      </w:pPr>
      <w:r>
        <w:rPr>
          <w:b/>
          <w:bCs/>
        </w:rPr>
        <w:t xml:space="preserve">TO:</w:t>
      </w:r>
      <w:r>
        <w:t xml:space="preserve"> </w:t>
      </w:r>
      <w:r>
        <w:t xml:space="preserve">Elena Marchetti, Partner; Jonathan Hsieh, Senior Associate — Whitfield &amp; Crane LLP</w:t>
      </w:r>
    </w:p>
    <w:p>
      <w:pPr>
        <w:pStyle w:val="BodyText"/>
      </w:pPr>
      <w:r>
        <w:rPr>
          <w:b/>
          <w:bCs/>
        </w:rPr>
        <w:t xml:space="preserve">FROM:</w:t>
      </w:r>
      <w:r>
        <w:t xml:space="preserve"> </w:t>
      </w:r>
      <w:r>
        <w:t xml:space="preserve">[Associate], Whitfield &amp; Crane LLP</w:t>
      </w:r>
    </w:p>
    <w:p>
      <w:pPr>
        <w:pStyle w:val="BodyText"/>
      </w:pPr>
      <w:r>
        <w:rPr>
          <w:b/>
          <w:bCs/>
        </w:rPr>
        <w:t xml:space="preserve">DATE:</w:t>
      </w:r>
      <w:r>
        <w:t xml:space="preserve"> </w:t>
      </w:r>
      <w:r>
        <w:t xml:space="preserve">October 28, 2024</w:t>
      </w:r>
    </w:p>
    <w:p>
      <w:pPr>
        <w:pStyle w:val="BodyText"/>
      </w:pPr>
      <w:r>
        <w:rPr>
          <w:b/>
          <w:bCs/>
        </w:rPr>
        <w:t xml:space="preserve">RE:</w:t>
      </w:r>
      <w:r>
        <w:t xml:space="preserve"> </w:t>
      </w:r>
      <w:r>
        <w:t xml:space="preserve">Governance Diligence — Proposed Acquisition of Terravox Systems, Inc. by Hargrove Capital Partners III, 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our review of the governance documents of Terravox Systems, Inc. (</w:t>
      </w:r>
      <w:r>
        <w:t xml:space="preserve">“</w:t>
      </w:r>
      <w:r>
        <w:t xml:space="preserve">Terravox</w:t>
      </w:r>
      <w:r>
        <w:t xml:space="preserve">”</w:t>
      </w:r>
      <w:r>
        <w:t xml:space="preserve"> </w:t>
      </w:r>
      <w:r>
        <w:t xml:space="preserve">or the</w:t>
      </w:r>
      <w:r>
        <w:t xml:space="preserve"> </w:t>
      </w:r>
      <w:r>
        <w:t xml:space="preserve">“</w:t>
      </w:r>
      <w:r>
        <w:t xml:space="preserve">Company</w:t>
      </w:r>
      <w:r>
        <w:t xml:space="preserve">”</w:t>
      </w:r>
      <w:r>
        <w:t xml:space="preserve">) in connection with the proposed acquisition of 100% of the Company’s outstanding equity by Hargrove Capital Partners III, LP (</w:t>
      </w:r>
      <w:r>
        <w:t xml:space="preserve">“</w:t>
      </w:r>
      <w:r>
        <w:t xml:space="preserve">Hargrove</w:t>
      </w:r>
      <w:r>
        <w:t xml:space="preserve">”</w:t>
      </w:r>
      <w:r>
        <w:t xml:space="preserve"> </w:t>
      </w:r>
      <w:r>
        <w:t xml:space="preserve">or</w:t>
      </w:r>
      <w:r>
        <w:t xml:space="preserve"> </w:t>
      </w:r>
      <w:r>
        <w:t xml:space="preserve">“</w:t>
      </w:r>
      <w:r>
        <w:t xml:space="preserve">Buyer</w:t>
      </w:r>
      <w:r>
        <w:t xml:space="preserve">”</w:t>
      </w:r>
      <w:r>
        <w:t xml:space="preserve">), structured as a reverse triangular merger at an enterprise value of $485 million (the</w:t>
      </w:r>
      <w:r>
        <w:t xml:space="preserve"> </w:t>
      </w:r>
      <w:r>
        <w:t xml:space="preserve">“</w:t>
      </w:r>
      <w:r>
        <w:t xml:space="preserve">Transaction</w:t>
      </w:r>
      <w:r>
        <w:t xml:space="preserve">”</w:t>
      </w:r>
      <w:r>
        <w:t xml:space="preserve">). We reviewed the Company’s Third Amended and Restated Certificate of Incorporation (the</w:t>
      </w:r>
      <w:r>
        <w:t xml:space="preserve"> </w:t>
      </w:r>
      <w:r>
        <w:t xml:space="preserve">“</w:t>
      </w:r>
      <w:r>
        <w:t xml:space="preserve">Restated Certificate</w:t>
      </w:r>
      <w:r>
        <w:t xml:space="preserve">”</w:t>
      </w:r>
      <w:r>
        <w:t xml:space="preserve">), Amended and Restated Bylaws (the</w:t>
      </w:r>
      <w:r>
        <w:t xml:space="preserve"> </w:t>
      </w:r>
      <w:r>
        <w:t xml:space="preserve">“</w:t>
      </w:r>
      <w:r>
        <w:t xml:space="preserve">Bylaws</w:t>
      </w:r>
      <w:r>
        <w:t xml:space="preserve">”</w:t>
      </w:r>
      <w:r>
        <w:t xml:space="preserve">), Stockholders’ Agreement, Voting Agreement, Registration Rights Agreement (the</w:t>
      </w:r>
      <w:r>
        <w:t xml:space="preserve"> </w:t>
      </w:r>
      <w:r>
        <w:t xml:space="preserve">“</w:t>
      </w:r>
      <w:r>
        <w:t xml:space="preserve">RRA</w:t>
      </w:r>
      <w:r>
        <w:t xml:space="preserve">”</w:t>
      </w:r>
      <w:r>
        <w:t xml:space="preserve">), and Board minutes covering January 2023 through September 2024 (the</w:t>
      </w:r>
      <w:r>
        <w:t xml:space="preserve"> </w:t>
      </w:r>
      <w:r>
        <w:t xml:space="preserve">“</w:t>
      </w:r>
      <w:r>
        <w:t xml:space="preserve">Board Minutes</w:t>
      </w:r>
      <w:r>
        <w:t xml:space="preserve">”</w:t>
      </w:r>
      <w:r>
        <w:t xml:space="preserve">).</w:t>
      </w:r>
    </w:p>
    <w:p>
      <w:pPr>
        <w:pStyle w:val="BodyText"/>
      </w:pPr>
      <w:r>
        <w:rPr>
          <w:b/>
          <w:bCs/>
        </w:rPr>
        <w:t xml:space="preserve">The central finding of this diligence is that Stonemill Capital Partners Fund VI, LP (</w:t>
      </w:r>
      <w:r>
        <w:rPr>
          <w:b/>
          <w:bCs/>
        </w:rPr>
        <w:t xml:space="preserve">“</w:t>
      </w:r>
      <w:r>
        <w:rPr>
          <w:b/>
          <w:bCs/>
        </w:rPr>
        <w:t xml:space="preserve">Stonemill</w:t>
      </w:r>
      <w:r>
        <w:rPr>
          <w:b/>
          <w:bCs/>
        </w:rPr>
        <w:t xml:space="preserve">”</w:t>
      </w:r>
      <w:r>
        <w:rPr>
          <w:b/>
          <w:bCs/>
        </w:rPr>
        <w:t xml:space="preserve">) holds a hard, charter-level blocking right over the Transaction.</w:t>
      </w:r>
      <w:r>
        <w:t xml:space="preserve"> </w:t>
      </w:r>
      <w:r>
        <w:t xml:space="preserve">As the holder of 100% of the outstanding Series C Preferred Stock, Stonemill alone controls the Series C separate-class protective provision under Section 4.3.6(b)(i) of the Restated Certificate, which requires the affirmative vote or written consent of holders of at least 66⅔% of the Series C Preferred Stock, voting as a separate class, to effect any</w:t>
      </w:r>
      <w:r>
        <w:t xml:space="preserve"> </w:t>
      </w:r>
      <w:r>
        <w:t xml:space="preserve">“</w:t>
      </w:r>
      <w:r>
        <w:t xml:space="preserve">Liquidation Event.</w:t>
      </w:r>
      <w:r>
        <w:t xml:space="preserve">”</w:t>
      </w:r>
      <w:r>
        <w:t xml:space="preserve"> </w:t>
      </w:r>
      <w:r>
        <w:t xml:space="preserve">The reverse triangular merger is unambiguously a</w:t>
      </w:r>
      <w:r>
        <w:t xml:space="preserve"> </w:t>
      </w:r>
      <w:r>
        <w:t xml:space="preserve">“</w:t>
      </w:r>
      <w:r>
        <w:t xml:space="preserve">Liquidation Event.</w:t>
      </w:r>
      <w:r>
        <w:t xml:space="preserve">”</w:t>
      </w:r>
      <w:r>
        <w:t xml:space="preserve"> </w:t>
      </w:r>
      <w:r>
        <w:t xml:space="preserve">Because Stonemill holds all 7,800,000 outstanding Series C shares, the 66⅔% threshold (≥5,200,000 shares) cannot be satisfied without Stonemill’s affirmative consent. This blocking right cannot be cured by the drag-along mechanism in the Stockholders’ Agreement with any certainty under Delaware law, as discussed in Section IV.</w:t>
      </w:r>
    </w:p>
    <w:p>
      <w:pPr>
        <w:pStyle w:val="BodyText"/>
      </w:pPr>
      <w:r>
        <w:t xml:space="preserve">A second, time-sensitive finding concerns the Company’s letter of intent with SensorLink Technologies, Inc. (</w:t>
      </w:r>
      <w:r>
        <w:t xml:space="preserve">“</w:t>
      </w:r>
      <w:r>
        <w:t xml:space="preserve">SensorLink</w:t>
      </w:r>
      <w:r>
        <w:t xml:space="preserve">”</w:t>
      </w:r>
      <w:r>
        <w:t xml:space="preserve">). The SensorLink LOI contains an automatic-renewal exclusivity provision, and the Board Minutes reflect uncertainty as to whether a formal termination notice was delivered before the September 8, 2024 expiration date. If no notice was sent, a live exclusivity obligation may be running in favor of SensorLink and could conflict directly with the Company’s ability to sign definitive documentation with Hargrove. This requires immediate confirmation and remediation.</w:t>
      </w:r>
    </w:p>
    <w:p>
      <w:pPr>
        <w:pStyle w:val="BodyText"/>
      </w:pPr>
      <w:r>
        <w:t xml:space="preserve">The following table summarizes the principal issues identified, classified by severity. A full severity classification appears in Section XV, and a consolidated consent/approval matrix appears in Appendix 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Series C separate-class protective provision gives Stonemill a hard blocking right over the Transaction</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SensorLink LOI auto-renewal — potential live exclusivity obligation conflicting with the Hargrove Transaction</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Uncertainty whether the drag-along can override the charter-level Series C protective provision under Delaware law</w:t>
            </w:r>
          </w:p>
        </w:tc>
        <w:tc>
          <w:tcPr/>
          <w:p>
            <w:pPr>
              <w:pStyle w:val="Compact"/>
              <w:jc w:val="left"/>
            </w:pPr>
            <w:r>
              <w:rPr>
                <w:b/>
                <w:bCs/>
              </w:rPr>
              <w:t xml:space="preserve">Significant</w:t>
            </w:r>
          </w:p>
        </w:tc>
      </w:tr>
      <w:tr>
        <w:tc>
          <w:tcPr/>
          <w:p>
            <w:pPr>
              <w:pStyle w:val="Compact"/>
              <w:jc w:val="left"/>
            </w:pPr>
            <w:r>
              <w:t xml:space="preserve">4</w:t>
            </w:r>
          </w:p>
        </w:tc>
        <w:tc>
          <w:tcPr/>
          <w:p>
            <w:pPr>
              <w:pStyle w:val="Compact"/>
              <w:jc w:val="left"/>
            </w:pPr>
            <w:r>
              <w:t xml:space="preserve">$12 million Clearfield term loan appears to have been incurred without the Preferred Stockholder consent required by Section 4.3.6(a)(v)</w:t>
            </w:r>
          </w:p>
        </w:tc>
        <w:tc>
          <w:tcPr/>
          <w:p>
            <w:pPr>
              <w:pStyle w:val="Compact"/>
              <w:jc w:val="left"/>
            </w:pPr>
            <w:r>
              <w:rPr>
                <w:b/>
                <w:bCs/>
              </w:rPr>
              <w:t xml:space="preserve">Significant</w:t>
            </w:r>
          </w:p>
        </w:tc>
      </w:tr>
      <w:tr>
        <w:tc>
          <w:tcPr/>
          <w:p>
            <w:pPr>
              <w:pStyle w:val="Compact"/>
              <w:jc w:val="left"/>
            </w:pPr>
            <w:r>
              <w:t xml:space="preserve">5</w:t>
            </w:r>
          </w:p>
        </w:tc>
        <w:tc>
          <w:tcPr/>
          <w:p>
            <w:pPr>
              <w:pStyle w:val="Compact"/>
              <w:jc w:val="left"/>
            </w:pPr>
            <w:r>
              <w:t xml:space="preserve">Special Committee includes an interested director (Sandra Okafor, Northbridge designee), undermining committee independence</w:t>
            </w:r>
          </w:p>
        </w:tc>
        <w:tc>
          <w:tcPr/>
          <w:p>
            <w:pPr>
              <w:pStyle w:val="Compact"/>
              <w:jc w:val="left"/>
            </w:pPr>
            <w:r>
              <w:rPr>
                <w:b/>
                <w:bCs/>
              </w:rPr>
              <w:t xml:space="preserve">Significant</w:t>
            </w:r>
          </w:p>
        </w:tc>
      </w:tr>
      <w:tr>
        <w:tc>
          <w:tcPr/>
          <w:p>
            <w:pPr>
              <w:pStyle w:val="Compact"/>
              <w:jc w:val="left"/>
            </w:pPr>
            <w:r>
              <w:t xml:space="preserve">6</w:t>
            </w:r>
          </w:p>
        </w:tc>
        <w:tc>
          <w:tcPr/>
          <w:p>
            <w:pPr>
              <w:pStyle w:val="Compact"/>
              <w:jc w:val="left"/>
            </w:pPr>
            <w:r>
              <w:t xml:space="preserve">RRA termination hinges on undefined term</w:t>
            </w:r>
            <w:r>
              <w:t xml:space="preserve"> </w:t>
            </w:r>
            <w:r>
              <w:t xml:space="preserve">“</w:t>
            </w:r>
            <w:r>
              <w:t xml:space="preserve">Deemed Liquidation Event,</w:t>
            </w:r>
            <w:r>
              <w:t xml:space="preserve">”</w:t>
            </w:r>
            <w:r>
              <w:t xml:space="preserve"> </w:t>
            </w:r>
            <w:r>
              <w:t xml:space="preserve">creating post-closing survival risk</w:t>
            </w:r>
          </w:p>
        </w:tc>
        <w:tc>
          <w:tcPr/>
          <w:p>
            <w:pPr>
              <w:pStyle w:val="Compact"/>
              <w:jc w:val="left"/>
            </w:pPr>
            <w:r>
              <w:rPr>
                <w:b/>
                <w:bCs/>
              </w:rPr>
              <w:t xml:space="preserve">Significant</w:t>
            </w:r>
          </w:p>
        </w:tc>
      </w:tr>
      <w:tr>
        <w:tc>
          <w:tcPr/>
          <w:p>
            <w:pPr>
              <w:pStyle w:val="Compact"/>
              <w:jc w:val="left"/>
            </w:pPr>
            <w:r>
              <w:t xml:space="preserve">7</w:t>
            </w:r>
          </w:p>
        </w:tc>
        <w:tc>
          <w:tcPr/>
          <w:p>
            <w:pPr>
              <w:pStyle w:val="Compact"/>
              <w:jc w:val="left"/>
            </w:pPr>
            <w:r>
              <w:t xml:space="preserve">Document gaps: 2021 Equity Incentive Plan, award agreements, stockholder consent records, and possibly separate Investors’ Rights / ROFR-Co-Sale agreements</w:t>
            </w:r>
          </w:p>
        </w:tc>
        <w:tc>
          <w:tcPr/>
          <w:p>
            <w:pPr>
              <w:pStyle w:val="Compact"/>
              <w:jc w:val="left"/>
            </w:pPr>
            <w:r>
              <w:rPr>
                <w:b/>
                <w:bCs/>
              </w:rPr>
              <w:t xml:space="preserve">Significant</w:t>
            </w:r>
          </w:p>
        </w:tc>
      </w:tr>
      <w:tr>
        <w:tc>
          <w:tcPr/>
          <w:p>
            <w:pPr>
              <w:pStyle w:val="Compact"/>
              <w:jc w:val="left"/>
            </w:pPr>
            <w:r>
              <w:t xml:space="preserve">8</w:t>
            </w:r>
          </w:p>
        </w:tc>
        <w:tc>
          <w:tcPr/>
          <w:p>
            <w:pPr>
              <w:pStyle w:val="Compact"/>
              <w:jc w:val="left"/>
            </w:pPr>
            <w:r>
              <w:t xml:space="preserve">Equity plan share-reserve increase (8.0M → 9.5M) approved by Board only; stockholder approval status unknown</w:t>
            </w:r>
          </w:p>
        </w:tc>
        <w:tc>
          <w:tcPr/>
          <w:p>
            <w:pPr>
              <w:pStyle w:val="Compact"/>
              <w:jc w:val="left"/>
            </w:pPr>
            <w:r>
              <w:rPr>
                <w:b/>
                <w:bCs/>
              </w:rPr>
              <w:t xml:space="preserve">Significant</w:t>
            </w:r>
          </w:p>
        </w:tc>
      </w:tr>
      <w:tr>
        <w:tc>
          <w:tcPr/>
          <w:p>
            <w:pPr>
              <w:pStyle w:val="Compact"/>
              <w:jc w:val="left"/>
            </w:pPr>
            <w:r>
              <w:t xml:space="preserve">9</w:t>
            </w:r>
          </w:p>
        </w:tc>
        <w:tc>
          <w:tcPr/>
          <w:p>
            <w:pPr>
              <w:pStyle w:val="Compact"/>
              <w:jc w:val="left"/>
            </w:pPr>
            <w:r>
              <w:t xml:space="preserve">Cross-document definitional inconsistencies (50% vs. majority thresholds;</w:t>
            </w:r>
            <w:r>
              <w:t xml:space="preserve"> </w:t>
            </w:r>
            <w:r>
              <w:t xml:space="preserve">“</w:t>
            </w:r>
            <w:r>
              <w:t xml:space="preserve">Liquidation Event</w:t>
            </w:r>
            <w:r>
              <w:t xml:space="preserve">”</w:t>
            </w:r>
            <w:r>
              <w:t xml:space="preserve"> </w:t>
            </w:r>
            <w:r>
              <w:t xml:space="preserve">vs. </w:t>
            </w:r>
            <w:r>
              <w:t xml:space="preserve">“</w:t>
            </w:r>
            <w:r>
              <w:t xml:space="preserve">Sale of the Company</w:t>
            </w:r>
            <w:r>
              <w:t xml:space="preserve">”</w:t>
            </w:r>
            <w:r>
              <w:t xml:space="preserve"> </w:t>
            </w:r>
            <w:r>
              <w:t xml:space="preserve">vs. </w:t>
            </w:r>
            <w:r>
              <w:t xml:space="preserve">“</w:t>
            </w:r>
            <w:r>
              <w:t xml:space="preserve">Deemed Liquidation Event</w:t>
            </w:r>
            <w:r>
              <w:t xml:space="preserve">”</w:t>
            </w:r>
            <w:r>
              <w:t xml:space="preserve">)</w:t>
            </w:r>
          </w:p>
        </w:tc>
        <w:tc>
          <w:tcPr/>
          <w:p>
            <w:pPr>
              <w:pStyle w:val="Compact"/>
              <w:jc w:val="left"/>
            </w:pPr>
            <w:r>
              <w:rPr>
                <w:b/>
                <w:bCs/>
              </w:rPr>
              <w:t xml:space="preserve">Moderate</w:t>
            </w:r>
          </w:p>
        </w:tc>
      </w:tr>
      <w:tr>
        <w:tc>
          <w:tcPr/>
          <w:p>
            <w:pPr>
              <w:pStyle w:val="Compact"/>
              <w:jc w:val="left"/>
            </w:pPr>
            <w:r>
              <w:t xml:space="preserve">10</w:t>
            </w:r>
          </w:p>
        </w:tc>
        <w:tc>
          <w:tcPr/>
          <w:p>
            <w:pPr>
              <w:pStyle w:val="Compact"/>
              <w:jc w:val="left"/>
            </w:pPr>
            <w:r>
              <w:t xml:space="preserve">ROFR/co-sale carve-out conditioned on a Sale</w:t>
            </w:r>
            <w:r>
              <w:t xml:space="preserve"> </w:t>
            </w:r>
            <w:r>
              <w:t xml:space="preserve">“</w:t>
            </w:r>
            <w:r>
              <w:t xml:space="preserve">consummated in accordance with Article 3</w:t>
            </w:r>
            <w:r>
              <w:t xml:space="preserve">”</w:t>
            </w:r>
            <w:r>
              <w:t xml:space="preserve"> </w:t>
            </w:r>
            <w:r>
              <w:t xml:space="preserve">(drag-along)</w:t>
            </w:r>
          </w:p>
        </w:tc>
        <w:tc>
          <w:tcPr/>
          <w:p>
            <w:pPr>
              <w:pStyle w:val="Compact"/>
              <w:jc w:val="left"/>
            </w:pPr>
            <w:r>
              <w:rPr>
                <w:b/>
                <w:bCs/>
              </w:rPr>
              <w:t xml:space="preserve">Moderate</w:t>
            </w:r>
          </w:p>
        </w:tc>
      </w:tr>
      <w:tr>
        <w:tc>
          <w:tcPr/>
          <w:p>
            <w:pPr>
              <w:pStyle w:val="Compact"/>
              <w:jc w:val="left"/>
            </w:pPr>
            <w:r>
              <w:t xml:space="preserve">11</w:t>
            </w:r>
          </w:p>
        </w:tc>
        <w:tc>
          <w:tcPr/>
          <w:p>
            <w:pPr>
              <w:pStyle w:val="Compact"/>
              <w:jc w:val="left"/>
            </w:pPr>
            <w:r>
              <w:t xml:space="preserve">Stonemill board observer absent from the April 17, 2024 meeting — potential observer-right breach</w:t>
            </w:r>
          </w:p>
        </w:tc>
        <w:tc>
          <w:tcPr/>
          <w:p>
            <w:pPr>
              <w:pStyle w:val="Compact"/>
              <w:jc w:val="left"/>
            </w:pPr>
            <w:r>
              <w:rPr>
                <w:b/>
                <w:bCs/>
              </w:rPr>
              <w:t xml:space="preserve">Moderate</w:t>
            </w:r>
          </w:p>
        </w:tc>
      </w:tr>
      <w:tr>
        <w:tc>
          <w:tcPr/>
          <w:p>
            <w:pPr>
              <w:pStyle w:val="Compact"/>
              <w:jc w:val="left"/>
            </w:pPr>
            <w:r>
              <w:t xml:space="preserve">12</w:t>
            </w:r>
          </w:p>
        </w:tc>
        <w:tc>
          <w:tcPr/>
          <w:p>
            <w:pPr>
              <w:pStyle w:val="Compact"/>
              <w:jc w:val="left"/>
            </w:pPr>
            <w:r>
              <w:t xml:space="preserve">Voting Agreement 5-year sunset (Nov. 3, 2026) could leave designation/observer rights lingering if</w:t>
            </w:r>
            <w:r>
              <w:t xml:space="preserve"> </w:t>
            </w:r>
            <w:r>
              <w:t xml:space="preserve">“</w:t>
            </w:r>
            <w:r>
              <w:t xml:space="preserve">Sale of the Company</w:t>
            </w:r>
            <w:r>
              <w:t xml:space="preserve">”</w:t>
            </w:r>
            <w:r>
              <w:t xml:space="preserve"> </w:t>
            </w:r>
            <w:r>
              <w:t xml:space="preserve">is not cleanly triggered</w:t>
            </w:r>
          </w:p>
        </w:tc>
        <w:tc>
          <w:tcPr/>
          <w:p>
            <w:pPr>
              <w:pStyle w:val="Compact"/>
              <w:jc w:val="left"/>
            </w:pPr>
            <w:r>
              <w:rPr>
                <w:b/>
                <w:bCs/>
              </w:rPr>
              <w:t xml:space="preserve">Moderate</w:t>
            </w:r>
          </w:p>
        </w:tc>
      </w:tr>
      <w:tr>
        <w:tc>
          <w:tcPr/>
          <w:p>
            <w:pPr>
              <w:pStyle w:val="Compact"/>
              <w:jc w:val="left"/>
            </w:pPr>
            <w:r>
              <w:t xml:space="preserve">13</w:t>
            </w:r>
          </w:p>
        </w:tc>
        <w:tc>
          <w:tcPr/>
          <w:p>
            <w:pPr>
              <w:pStyle w:val="Compact"/>
              <w:jc w:val="left"/>
            </w:pPr>
            <w:r>
              <w:t xml:space="preserve">Outstanding employee options appear out-of-the-money ($14.30 exercise price vs. ~$13.95 implied per-share value)</w:t>
            </w:r>
          </w:p>
        </w:tc>
        <w:tc>
          <w:tcPr/>
          <w:p>
            <w:pPr>
              <w:pStyle w:val="Compact"/>
              <w:jc w:val="left"/>
            </w:pPr>
            <w:r>
              <w:rPr>
                <w:b/>
                <w:bCs/>
              </w:rPr>
              <w:t xml:space="preserve">Moderate</w:t>
            </w:r>
          </w:p>
        </w:tc>
      </w:tr>
    </w:tbl>
    <w:p>
      <w:pPr>
        <w:pStyle w:val="BodyText"/>
      </w:pPr>
      <w:r>
        <w:rPr>
          <w:b/>
          <w:bCs/>
        </w:rPr>
        <w:t xml:space="preserve">Bottom line for the client.</w:t>
      </w:r>
      <w:r>
        <w:t xml:space="preserve"> </w:t>
      </w:r>
      <w:r>
        <w:t xml:space="preserve">There is no clean, litigation-free path to closing the Transaction over Stonemill’s objection. The Series C separate-class veto is a hard block as a matter of charter text. The drag-along is a meaningful negotiating lever — it demonstrates to Stonemill that a credible (if contested) alternative path exists — but it is not a reliable substitute for Stonemill’s affirmative consent. We recommend that the deal strategy proceed on parallel tracks: (a) pursue Stonemill’s affirmative consent as the primary path, while (b) preserving and pressure-testing the drag-along as a fallback, supported by a focused Delaware-law opinion on the drag-along/protective-provision interplay. The SensorLink exclusivity question should be resolved immediately and should not await the balance of diligence.</w:t>
      </w:r>
    </w:p>
    <w:p>
      <w:r>
        <w:pict>
          <v:rect style="width:0;height:1.5pt" o:hralign="center" o:hrstd="t" o:hr="t"/>
        </w:pict>
      </w:r>
    </w:p>
    <w:bookmarkEnd w:id="20"/>
    <w:bookmarkStart w:id="21" w:name="Xcf9945cea870bf5071ebeb23e80d499ae8d59df"/>
    <w:p>
      <w:pPr>
        <w:pStyle w:val="Heading2"/>
      </w:pPr>
      <w:r>
        <w:t xml:space="preserve">II. Transaction Overview and Capitalization</w:t>
      </w:r>
    </w:p>
    <w:p>
      <w:pPr>
        <w:pStyle w:val="FirstParagraph"/>
      </w:pPr>
      <w:r>
        <w:rPr>
          <w:b/>
          <w:bCs/>
        </w:rPr>
        <w:t xml:space="preserve">Transaction structure.</w:t>
      </w:r>
      <w:r>
        <w:t xml:space="preserve"> </w:t>
      </w:r>
      <w:r>
        <w:t xml:space="preserve">Hargrove will form a wholly-owned acquisition subsidiary (</w:t>
      </w:r>
      <w:r>
        <w:t xml:space="preserve">“</w:t>
      </w:r>
      <w:r>
        <w:t xml:space="preserve">Merger Sub</w:t>
      </w:r>
      <w:r>
        <w:t xml:space="preserve">”</w:t>
      </w:r>
      <w:r>
        <w:t xml:space="preserve">) that will merge with and into Terravox, with Terravox surviving as a wholly-owned subsidiary of Hargrove. All outstanding equity interests of Terravox (Common Stock and all series of Preferred Stock) will be cancelled and converted into the right to receive cash merger consideration. The structure is a reverse triangular merger under Section 251 of the Delaware General Corporation Law (the</w:t>
      </w:r>
      <w:r>
        <w:t xml:space="preserve"> </w:t>
      </w:r>
      <w:r>
        <w:t xml:space="preserve">“</w:t>
      </w:r>
      <w:r>
        <w:t xml:space="preserve">DGCL</w:t>
      </w:r>
      <w:r>
        <w:t xml:space="preserve">”</w:t>
      </w:r>
      <w:r>
        <w:t xml:space="preserve">).</w:t>
      </w:r>
    </w:p>
    <w:p>
      <w:pPr>
        <w:pStyle w:val="BodyText"/>
      </w:pPr>
      <w:r>
        <w:rPr>
          <w:b/>
          <w:bCs/>
        </w:rPr>
        <w:t xml:space="preserve">Deal economics.</w:t>
      </w:r>
      <w:r>
        <w:t xml:space="preserve"> </w:t>
      </w:r>
      <w:r>
        <w:t xml:space="preserve">Enterprise value: $485,000,000. Outstanding indebtedness under the Clearfield National Bank term loan: approximately $12,000,000. Implied equity value: approximately $473,000,000. Based on FY2023 revenue of $127.3 million and Adjusted EBITDA of $31.8 million, the implied multiples are approximately 3.81x revenue and 15.25x EBITDA. On a fully diluted basis of approximately 33,900,000 shares, the blended implied per-share equity value is approximately $13.95, subject to the Preferred Stock liquidation waterfall.</w:t>
      </w:r>
    </w:p>
    <w:p>
      <w:pPr>
        <w:pStyle w:val="BodyText"/>
      </w:pPr>
      <w:r>
        <w:rPr>
          <w:b/>
          <w:bCs/>
        </w:rPr>
        <w:t xml:space="preserve">Liquidation waterfall.</w:t>
      </w:r>
      <w:r>
        <w:t xml:space="preserve"> </w:t>
      </w:r>
      <w:r>
        <w:t xml:space="preserve">The total aggregate liquidation preference of the outstanding Preferred Stock is $206,400,000 (Series C: 7,800,000 × $18.50 = $144,300,000; Series B: 5,200,000 × $9.25 = $48,100,000; Series A: 3,500,000 × $4.00 = $14,000,000). Because the implied equity value ($473 million) substantially exceeds the aggregate liquidation preference ($206.4 million), all Preferred holders are</w:t>
      </w:r>
      <w:r>
        <w:t xml:space="preserve"> </w:t>
      </w:r>
      <w:r>
        <w:t xml:space="preserve">“</w:t>
      </w:r>
      <w:r>
        <w:t xml:space="preserve">in the money</w:t>
      </w:r>
      <w:r>
        <w:t xml:space="preserve">”</w:t>
      </w:r>
      <w:r>
        <w:t xml:space="preserve"> </w:t>
      </w:r>
      <w:r>
        <w:t xml:space="preserve">on an as-converted basis. The Board Minutes (Sept. 25, 2024) confirm Meridian’s preliminary view that participation on an as-converted basis would be economically favorable for all preferred holders, meaning the waterfall is expected to collapse to an as-converted distribution. This is economically significant for the consent analysis: Stonemill’s economic upside on an as-converted basis (approximately 23% of the equity) substantially exceeds its liquidation preference alone, which may inform its negotiating posture but does not eliminate its governance leverage.</w:t>
      </w:r>
    </w:p>
    <w:p>
      <w:pPr>
        <w:pStyle w:val="BodyText"/>
      </w:pPr>
      <w:r>
        <w:rPr>
          <w:b/>
          <w:bCs/>
        </w:rPr>
        <w:t xml:space="preserve">Capitalization (as of November 3, 2021, per Stockholders’ Agreement Exhibit B; assumed current unless noted).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Stockholder</w:t>
            </w:r>
          </w:p>
        </w:tc>
        <w:tc>
          <w:tcPr/>
          <w:p>
            <w:pPr>
              <w:pStyle w:val="Compact"/>
              <w:jc w:val="left"/>
            </w:pPr>
            <w:r>
              <w:t xml:space="preserve">Class</w:t>
            </w:r>
          </w:p>
        </w:tc>
        <w:tc>
          <w:tcPr/>
          <w:p>
            <w:pPr>
              <w:pStyle w:val="Compact"/>
              <w:jc w:val="left"/>
            </w:pPr>
            <w:r>
              <w:t xml:space="preserve">Shares</w:t>
            </w:r>
          </w:p>
        </w:tc>
        <w:tc>
          <w:tcPr/>
          <w:p>
            <w:pPr>
              <w:pStyle w:val="Compact"/>
              <w:jc w:val="left"/>
            </w:pPr>
            <w:r>
              <w:t xml:space="preserve">% Fully Diluted</w:t>
            </w:r>
          </w:p>
        </w:tc>
      </w:tr>
      <w:tr>
        <w:tc>
          <w:tcPr/>
          <w:p>
            <w:pPr>
              <w:pStyle w:val="Compact"/>
              <w:jc w:val="left"/>
            </w:pPr>
            <w:r>
              <w:t xml:space="preserve">Marcus Ellery (Founder/CEO)</w:t>
            </w:r>
          </w:p>
        </w:tc>
        <w:tc>
          <w:tcPr/>
          <w:p>
            <w:pPr>
              <w:pStyle w:val="Compact"/>
              <w:jc w:val="left"/>
            </w:pPr>
            <w:r>
              <w:t xml:space="preserve">Common Stock</w:t>
            </w:r>
          </w:p>
        </w:tc>
        <w:tc>
          <w:tcPr/>
          <w:p>
            <w:pPr>
              <w:pStyle w:val="Compact"/>
              <w:jc w:val="left"/>
            </w:pPr>
            <w:r>
              <w:t xml:space="preserve">4,200,000</w:t>
            </w:r>
          </w:p>
        </w:tc>
        <w:tc>
          <w:tcPr/>
          <w:p>
            <w:pPr>
              <w:pStyle w:val="Compact"/>
              <w:jc w:val="left"/>
            </w:pPr>
            <w:r>
              <w:t xml:space="preserve">~12.4%</w:t>
            </w:r>
          </w:p>
        </w:tc>
      </w:tr>
      <w:tr>
        <w:tc>
          <w:tcPr/>
          <w:p>
            <w:pPr>
              <w:pStyle w:val="Compact"/>
              <w:jc w:val="left"/>
            </w:pPr>
            <w:r>
              <w:t xml:space="preserve">Priya Chandrasekaran (Founder)</w:t>
            </w:r>
          </w:p>
        </w:tc>
        <w:tc>
          <w:tcPr/>
          <w:p>
            <w:pPr>
              <w:pStyle w:val="Compact"/>
              <w:jc w:val="left"/>
            </w:pPr>
            <w:r>
              <w:t xml:space="preserve">Common Stock</w:t>
            </w:r>
          </w:p>
        </w:tc>
        <w:tc>
          <w:tcPr/>
          <w:p>
            <w:pPr>
              <w:pStyle w:val="Compact"/>
              <w:jc w:val="left"/>
            </w:pPr>
            <w:r>
              <w:t xml:space="preserve">3,100,000</w:t>
            </w:r>
          </w:p>
        </w:tc>
        <w:tc>
          <w:tcPr/>
          <w:p>
            <w:pPr>
              <w:pStyle w:val="Compact"/>
              <w:jc w:val="left"/>
            </w:pPr>
            <w:r>
              <w:t xml:space="preserve">~9.1%</w:t>
            </w:r>
          </w:p>
        </w:tc>
      </w:tr>
      <w:tr>
        <w:tc>
          <w:tcPr/>
          <w:p>
            <w:pPr>
              <w:pStyle w:val="Compact"/>
              <w:jc w:val="left"/>
            </w:pPr>
            <w:r>
              <w:t xml:space="preserve">Ridgeline Ventures Fund II, LP</w:t>
            </w:r>
          </w:p>
        </w:tc>
        <w:tc>
          <w:tcPr/>
          <w:p>
            <w:pPr>
              <w:pStyle w:val="Compact"/>
              <w:jc w:val="left"/>
            </w:pPr>
            <w:r>
              <w:t xml:space="preserve">Series A Preferred</w:t>
            </w:r>
          </w:p>
        </w:tc>
        <w:tc>
          <w:tcPr/>
          <w:p>
            <w:pPr>
              <w:pStyle w:val="Compact"/>
              <w:jc w:val="left"/>
            </w:pPr>
            <w:r>
              <w:t xml:space="preserve">3,500,000</w:t>
            </w:r>
          </w:p>
        </w:tc>
        <w:tc>
          <w:tcPr/>
          <w:p>
            <w:pPr>
              <w:pStyle w:val="Compact"/>
              <w:jc w:val="left"/>
            </w:pPr>
            <w:r>
              <w:t xml:space="preserve">~10.3%</w:t>
            </w:r>
          </w:p>
        </w:tc>
      </w:tr>
      <w:tr>
        <w:tc>
          <w:tcPr/>
          <w:p>
            <w:pPr>
              <w:pStyle w:val="Compact"/>
              <w:jc w:val="left"/>
            </w:pPr>
            <w:r>
              <w:t xml:space="preserve">Northbridge Growth Equity Fund IV, LP</w:t>
            </w:r>
          </w:p>
        </w:tc>
        <w:tc>
          <w:tcPr/>
          <w:p>
            <w:pPr>
              <w:pStyle w:val="Compact"/>
              <w:jc w:val="left"/>
            </w:pPr>
            <w:r>
              <w:t xml:space="preserve">Series B Preferred</w:t>
            </w:r>
          </w:p>
        </w:tc>
        <w:tc>
          <w:tcPr/>
          <w:p>
            <w:pPr>
              <w:pStyle w:val="Compact"/>
              <w:jc w:val="left"/>
            </w:pPr>
            <w:r>
              <w:t xml:space="preserve">5,200,000</w:t>
            </w:r>
          </w:p>
        </w:tc>
        <w:tc>
          <w:tcPr/>
          <w:p>
            <w:pPr>
              <w:pStyle w:val="Compact"/>
              <w:jc w:val="left"/>
            </w:pPr>
            <w:r>
              <w:t xml:space="preserve">~15.3%</w:t>
            </w:r>
          </w:p>
        </w:tc>
      </w:tr>
      <w:tr>
        <w:tc>
          <w:tcPr/>
          <w:p>
            <w:pPr>
              <w:pStyle w:val="Compact"/>
              <w:jc w:val="left"/>
            </w:pPr>
            <w:r>
              <w:t xml:space="preserve">Stonemill Capital Partners Fund VI, LP</w:t>
            </w:r>
          </w:p>
        </w:tc>
        <w:tc>
          <w:tcPr/>
          <w:p>
            <w:pPr>
              <w:pStyle w:val="Compact"/>
              <w:jc w:val="left"/>
            </w:pPr>
            <w:r>
              <w:t xml:space="preserve">Series C Preferred</w:t>
            </w:r>
          </w:p>
        </w:tc>
        <w:tc>
          <w:tcPr/>
          <w:p>
            <w:pPr>
              <w:pStyle w:val="Compact"/>
              <w:jc w:val="left"/>
            </w:pPr>
            <w:r>
              <w:t xml:space="preserve">7,800,000</w:t>
            </w:r>
          </w:p>
        </w:tc>
        <w:tc>
          <w:tcPr/>
          <w:p>
            <w:pPr>
              <w:pStyle w:val="Compact"/>
              <w:jc w:val="left"/>
            </w:pPr>
            <w:r>
              <w:t xml:space="preserve">~23.0%</w:t>
            </w:r>
          </w:p>
        </w:tc>
      </w:tr>
      <w:tr>
        <w:tc>
          <w:tcPr/>
          <w:p>
            <w:pPr>
              <w:pStyle w:val="Compact"/>
              <w:jc w:val="left"/>
            </w:pPr>
            <w:r>
              <w:t xml:space="preserve">Various common holders / option pool</w:t>
            </w:r>
          </w:p>
        </w:tc>
        <w:tc>
          <w:tcPr/>
          <w:p>
            <w:pPr>
              <w:pStyle w:val="Compact"/>
              <w:jc w:val="left"/>
            </w:pPr>
            <w:r>
              <w:t xml:space="preserve">Common / Options / RSUs</w:t>
            </w:r>
          </w:p>
        </w:tc>
        <w:tc>
          <w:tcPr/>
          <w:p>
            <w:pPr>
              <w:pStyle w:val="Compact"/>
              <w:jc w:val="left"/>
            </w:pPr>
            <w:r>
              <w:t xml:space="preserve">10,100,000</w:t>
            </w:r>
          </w:p>
        </w:tc>
        <w:tc>
          <w:tcPr/>
          <w:p>
            <w:pPr>
              <w:pStyle w:val="Compact"/>
              <w:jc w:val="left"/>
            </w:pPr>
            <w:r>
              <w:t xml:space="preserve">~29.8%</w:t>
            </w:r>
          </w:p>
        </w:tc>
      </w:tr>
      <w:tr>
        <w:tc>
          <w:tcPr/>
          <w:p>
            <w:pPr>
              <w:pStyle w:val="Compact"/>
              <w:jc w:val="left"/>
            </w:pPr>
            <w:r>
              <w:rPr>
                <w:b/>
                <w:bCs/>
              </w:rPr>
              <w:t xml:space="preserve">Total (fully diluted)</w:t>
            </w:r>
          </w:p>
        </w:tc>
        <w:tc>
          <w:tcPr/>
          <w:p>
            <w:pPr>
              <w:pStyle w:val="Compact"/>
            </w:pPr>
          </w:p>
        </w:tc>
        <w:tc>
          <w:tcPr/>
          <w:p>
            <w:pPr>
              <w:pStyle w:val="Compact"/>
              <w:jc w:val="left"/>
            </w:pPr>
            <w:r>
              <w:rPr>
                <w:b/>
                <w:bCs/>
              </w:rPr>
              <w:t xml:space="preserve">33,900,000</w:t>
            </w:r>
          </w:p>
        </w:tc>
        <w:tc>
          <w:tcPr/>
          <w:p>
            <w:pPr>
              <w:pStyle w:val="Compact"/>
              <w:jc w:val="left"/>
            </w:pPr>
            <w:r>
              <w:rPr>
                <w:b/>
                <w:bCs/>
              </w:rPr>
              <w:t xml:space="preserve">100.0%</w:t>
            </w:r>
          </w:p>
        </w:tc>
      </w:tr>
    </w:tbl>
    <w:p>
      <w:pPr>
        <w:pStyle w:val="BodyText"/>
      </w:pPr>
      <w:r>
        <w:t xml:space="preserve">The Preferred Stock is non-participating, with a 1:1 initial conversion ratio and broad-based weighted-average anti-dilution (no full ratchet). Each series votes on an as-converted basis with the Common on all matters, except where the protective provisions require a separate class vote.</w:t>
      </w:r>
    </w:p>
    <w:p>
      <w:r>
        <w:pict>
          <v:rect style="width:0;height:1.5pt" o:hralign="center" o:hrstd="t" o:hr="t"/>
        </w:pict>
      </w:r>
    </w:p>
    <w:bookmarkEnd w:id="21"/>
    <w:bookmarkStart w:id="30" w:name="Xd15357f244735efa6aba1899a51c1118483d554"/>
    <w:p>
      <w:pPr>
        <w:pStyle w:val="Heading2"/>
      </w:pPr>
      <w:r>
        <w:t xml:space="preserve">III. Area 1 — Change-of-Control Consent Requirements</w:t>
      </w:r>
    </w:p>
    <w:p>
      <w:pPr>
        <w:pStyle w:val="FirstParagraph"/>
      </w:pPr>
      <w:r>
        <w:t xml:space="preserve">To consummate the reverse triangular merger, the following consents and approvals must be obtained. We have mapped each requirement to its source provision, identified the threshold and the parties whose consent is required, and assessed the current status.</w:t>
      </w:r>
    </w:p>
    <w:bookmarkStart w:id="22" w:name="X598c5cde9aa18964f0d8e88afa981e4f111dfee"/>
    <w:p>
      <w:pPr>
        <w:pStyle w:val="Heading3"/>
      </w:pPr>
      <w:r>
        <w:t xml:space="preserve">A. Board approval (DGCL § 251(b); Bylaws Art. III)</w:t>
      </w:r>
    </w:p>
    <w:p>
      <w:pPr>
        <w:pStyle w:val="FirstParagraph"/>
      </w:pPr>
      <w:r>
        <w:t xml:space="preserve">The Board must adopt a resolution approving the merger agreement and the merger (DGCL § 251(b)). Under Bylaws Section 3.7, a majority of the total number of directors then in office (4 of 7) constitutes a quorum, and the act of a majority of directors present at a quorum is the act of the Board. The Board has authorized management to negotiate definitive documentation (Board Minutes, Sept. 25, 2024, approved 6-1, Trask dissenting), but final Board approval of the signed merger agreement has not yet been obtained.</w:t>
      </w:r>
      <w:r>
        <w:t xml:space="preserve"> </w:t>
      </w:r>
      <w:r>
        <w:rPr>
          <w:b/>
          <w:bCs/>
        </w:rPr>
        <w:t xml:space="preserve">Status: Not yet obtained (pending definitive documentation).</w:t>
      </w:r>
    </w:p>
    <w:bookmarkEnd w:id="22"/>
    <w:bookmarkStart w:id="23" w:name="b.-stockholder-approval-dgcl-251c"/>
    <w:p>
      <w:pPr>
        <w:pStyle w:val="Heading3"/>
      </w:pPr>
      <w:r>
        <w:t xml:space="preserve">B. Stockholder approval — DGCL § 251(c)</w:t>
      </w:r>
    </w:p>
    <w:p>
      <w:pPr>
        <w:pStyle w:val="FirstParagraph"/>
      </w:pPr>
      <w:r>
        <w:t xml:space="preserve">DGCL § 251(c) requires the approval of holders of a majority of the outstanding shares of stock entitled to vote (the Company’s Restated Certificate and the protective provisions cause the Preferred to vote on an as-converted basis with the Common as a single class on this matter). This is a majority of the approximately 33,900,000 fully diluted shares, i.e., more than 16,950,000 shares.</w:t>
      </w:r>
      <w:r>
        <w:t xml:space="preserve"> </w:t>
      </w:r>
      <w:r>
        <w:rPr>
          <w:b/>
          <w:bCs/>
        </w:rPr>
        <w:t xml:space="preserve">Status: Not yet obtained.</w:t>
      </w:r>
      <w:r>
        <w:t xml:space="preserve"> </w:t>
      </w:r>
      <w:r>
        <w:t xml:space="preserve">This vote can be taken by written consent in lieu of a meeting under DGCL § 228 and Restated Certificate Article VI, Section 6.2 / Bylaws Section 2.6.</w:t>
      </w:r>
    </w:p>
    <w:bookmarkEnd w:id="23"/>
    <w:bookmarkStart w:id="24" w:name="Xdc1f7a476c685f6b704451e1836b59ddfe17b0a"/>
    <w:p>
      <w:pPr>
        <w:pStyle w:val="Heading3"/>
      </w:pPr>
      <w:r>
        <w:t xml:space="preserve">C. All-Preferred protective provision — Restated Certificate § 4.3.6(a)(vi)</w:t>
      </w:r>
    </w:p>
    <w:p>
      <w:pPr>
        <w:pStyle w:val="FirstParagraph"/>
      </w:pPr>
      <w:r>
        <w:t xml:space="preserve">So long as any Preferred Stock is outstanding, the Company may not</w:t>
      </w:r>
      <w:r>
        <w:t xml:space="preserve"> </w:t>
      </w:r>
      <w:r>
        <w:t xml:space="preserve">“</w:t>
      </w:r>
      <w:r>
        <w:t xml:space="preserve">effect any Liquidation Event</w:t>
      </w:r>
      <w:r>
        <w:t xml:space="preserve">”</w:t>
      </w:r>
      <w:r>
        <w:t xml:space="preserve"> </w:t>
      </w:r>
      <w:r>
        <w:t xml:space="preserve">without the prior written consent or affirmative vote of holders of at least a</w:t>
      </w:r>
      <w:r>
        <w:t xml:space="preserve"> </w:t>
      </w:r>
      <w:r>
        <w:rPr>
          <w:b/>
          <w:bCs/>
        </w:rPr>
        <w:t xml:space="preserve">majority (greater than 50%)</w:t>
      </w:r>
      <w:r>
        <w:t xml:space="preserve"> </w:t>
      </w:r>
      <w:r>
        <w:t xml:space="preserve">of the then-outstanding Preferred Stock, voting together as a single class on an as-converted basis (Section 4.3.6(a)(vi)). The Restated Certificate specifies that this requires the affirmative vote or consent of holders of</w:t>
      </w:r>
      <w:r>
        <w:t xml:space="preserve"> </w:t>
      </w:r>
      <w:r>
        <w:rPr>
          <w:b/>
          <w:bCs/>
        </w:rPr>
        <w:t xml:space="preserve">more than 8,250,000 shares</w:t>
      </w:r>
      <w:r>
        <w:t xml:space="preserve"> </w:t>
      </w:r>
      <w:r>
        <w:t xml:space="preserve">of Preferred (based on 16,500,000 Preferred shares outstanding: 3,500,000 Series A; 5,200,000 Series B; 7,800,000 Series C).</w:t>
      </w:r>
    </w:p>
    <w:p>
      <w:pPr>
        <w:pStyle w:val="BodyText"/>
      </w:pPr>
      <w:r>
        <w:rPr>
          <w:b/>
          <w:bCs/>
        </w:rPr>
        <w:t xml:space="preserve">Can this be satisfied without Stonemill?</w:t>
      </w:r>
      <w:r>
        <w:t xml:space="preserve"> </w:t>
      </w:r>
      <w:r>
        <w:t xml:space="preserve">Yes. Ridgeline (3,500,000) + Northbridge (5,200,000) = 8,700,000 shares, which exceeds the 8,250,000 threshold. Stonemill’s 7,800,000 shares represent 47.3% of the Preferred — a large block, but not a blocking position on this particular vote.</w:t>
      </w:r>
      <w:r>
        <w:t xml:space="preserve"> </w:t>
      </w:r>
      <w:r>
        <w:rPr>
          <w:b/>
          <w:bCs/>
        </w:rPr>
        <w:t xml:space="preserve">Status: Not yet obtained; achievable without Stonemill.</w:t>
      </w:r>
    </w:p>
    <w:bookmarkEnd w:id="24"/>
    <w:bookmarkStart w:id="25" w:name="Xdc37a8f968683983c767ce725c0a284fb6b9e86"/>
    <w:p>
      <w:pPr>
        <w:pStyle w:val="Heading3"/>
      </w:pPr>
      <w:r>
        <w:t xml:space="preserve">D. Series C separate-class protective provision — Restated Certificate § 4.3.6(b)(i) — CRITICAL</w:t>
      </w:r>
    </w:p>
    <w:p>
      <w:pPr>
        <w:pStyle w:val="FirstParagraph"/>
      </w:pPr>
      <w:r>
        <w:t xml:space="preserve">So long as any Series C Preferred Stock is outstanding, the Company may not</w:t>
      </w:r>
      <w:r>
        <w:t xml:space="preserve"> </w:t>
      </w:r>
      <w:r>
        <w:t xml:space="preserve">“</w:t>
      </w:r>
      <w:r>
        <w:t xml:space="preserve">effect any Liquidation Event</w:t>
      </w:r>
      <w:r>
        <w:t xml:space="preserve">”</w:t>
      </w:r>
      <w:r>
        <w:t xml:space="preserve"> </w:t>
      </w:r>
      <w:r>
        <w:t xml:space="preserve">without the prior written consent or affirmative vote of holders of at least</w:t>
      </w:r>
      <w:r>
        <w:t xml:space="preserve"> </w:t>
      </w:r>
      <w:r>
        <w:rPr>
          <w:b/>
          <w:bCs/>
        </w:rPr>
        <w:t xml:space="preserve">66⅔%</w:t>
      </w:r>
      <w:r>
        <w:t xml:space="preserve"> </w:t>
      </w:r>
      <w:r>
        <w:t xml:space="preserve">of the then-outstanding Series C Preferred Stock, voting</w:t>
      </w:r>
      <w:r>
        <w:t xml:space="preserve"> </w:t>
      </w:r>
      <w:r>
        <w:rPr>
          <w:b/>
          <w:bCs/>
        </w:rPr>
        <w:t xml:space="preserve">as a separate class</w:t>
      </w:r>
      <w:r>
        <w:t xml:space="preserve"> </w:t>
      </w:r>
      <w:r>
        <w:t xml:space="preserve">(Section 4.3.6(b)(i)). This consent is</w:t>
      </w:r>
      <w:r>
        <w:t xml:space="preserve"> </w:t>
      </w:r>
      <w:r>
        <w:t xml:space="preserve">“</w:t>
      </w:r>
      <w:r>
        <w:t xml:space="preserve">separate from and in addition to</w:t>
      </w:r>
      <w:r>
        <w:t xml:space="preserve">”</w:t>
      </w:r>
      <w:r>
        <w:t xml:space="preserve"> </w:t>
      </w:r>
      <w:r>
        <w:t xml:space="preserve">the all-Preferred consent under Section 4.3.6(a). The Restated Certificate specifies that this requires the affirmative vote or consent of holders of</w:t>
      </w:r>
      <w:r>
        <w:t xml:space="preserve"> </w:t>
      </w:r>
      <w:r>
        <w:rPr>
          <w:b/>
          <w:bCs/>
        </w:rPr>
        <w:t xml:space="preserve">at least 5,200,000 shares</w:t>
      </w:r>
      <w:r>
        <w:t xml:space="preserve"> </w:t>
      </w:r>
      <w:r>
        <w:t xml:space="preserve">of Series C (based on 7,800,000 Series C shares outstanding).</w:t>
      </w:r>
    </w:p>
    <w:p>
      <w:pPr>
        <w:pStyle w:val="BodyText"/>
      </w:pPr>
      <w:r>
        <w:rPr>
          <w:b/>
          <w:bCs/>
        </w:rPr>
        <w:t xml:space="preserve">Stonemill holds 7,800,000 shares of Series C — i.e., 100% of the outstanding Series C Preferred Stock.</w:t>
      </w:r>
      <w:r>
        <w:t xml:space="preserve"> </w:t>
      </w:r>
      <w:r>
        <w:t xml:space="preserve">The 66⅔% threshold (≥5,200,000 shares) therefore cannot be satisfied without Stonemill’s affirmative consent. This is a</w:t>
      </w:r>
      <w:r>
        <w:t xml:space="preserve"> </w:t>
      </w:r>
      <w:r>
        <w:rPr>
          <w:b/>
          <w:bCs/>
        </w:rPr>
        <w:t xml:space="preserve">hard, charter-level blocking right.</w:t>
      </w:r>
      <w:r>
        <w:t xml:space="preserve"> </w:t>
      </w:r>
      <w:r>
        <w:t xml:space="preserve">The Board Minutes (Sept. 25, 2024) confirm that outside counsel Rourke advised the Board of this requirement and that Julian Trask stated on the record that</w:t>
      </w:r>
      <w:r>
        <w:t xml:space="preserve"> </w:t>
      </w:r>
      <w:r>
        <w:t xml:space="preserve">“</w:t>
      </w:r>
      <w:r>
        <w:t xml:space="preserve">the Series C separate class vote… cannot be satisfied without Stonemill’s affirmative consent.</w:t>
      </w:r>
      <w:r>
        <w:t xml:space="preserve">”</w:t>
      </w:r>
      <w:r>
        <w:t xml:space="preserve"> </w:t>
      </w:r>
      <w:r>
        <w:rPr>
          <w:b/>
          <w:bCs/>
        </w:rPr>
        <w:t xml:space="preserve">Status: Not yet obtained; cannot be obtained without Stonemill.</w:t>
      </w:r>
    </w:p>
    <w:bookmarkEnd w:id="25"/>
    <w:bookmarkStart w:id="26" w:name="X2b9b35575cfe39847f25a0a05341d99dd757581"/>
    <w:p>
      <w:pPr>
        <w:pStyle w:val="Heading3"/>
      </w:pPr>
      <w:r>
        <w:t xml:space="preserve">E. Drag-along (Stockholders’ Agreement Art. 3) — conditional</w:t>
      </w:r>
    </w:p>
    <w:p>
      <w:pPr>
        <w:pStyle w:val="FirstParagraph"/>
      </w:pPr>
      <w:r>
        <w:t xml:space="preserve">If the drag-along is invoked and its trigger conditions are met, all Restricted Stockholders (including Stonemill) would be obligated to vote in favor of the Sale of the Company. Whether the drag-along can be used to satisfy the Series C separate-class protective provision is the central legal question addressed in Section IV.</w:t>
      </w:r>
      <w:r>
        <w:t xml:space="preserve"> </w:t>
      </w:r>
      <w:r>
        <w:rPr>
          <w:b/>
          <w:bCs/>
        </w:rPr>
        <w:t xml:space="preserve">Status: Not yet invoked.</w:t>
      </w:r>
    </w:p>
    <w:bookmarkEnd w:id="26"/>
    <w:bookmarkStart w:id="27" w:name="X5f0afea3dbf7a81f95706427a8a46216f51311d"/>
    <w:p>
      <w:pPr>
        <w:pStyle w:val="Heading3"/>
      </w:pPr>
      <w:r>
        <w:t xml:space="preserve">F. DGCL § 251(f)</w:t>
      </w:r>
      <w:r>
        <w:t xml:space="preserve"> </w:t>
      </w:r>
      <w:r>
        <w:t xml:space="preserve">“</w:t>
      </w:r>
      <w:r>
        <w:t xml:space="preserve">short-form</w:t>
      </w:r>
      <w:r>
        <w:t xml:space="preserve">”</w:t>
      </w:r>
      <w:r>
        <w:t xml:space="preserve"> </w:t>
      </w:r>
      <w:r>
        <w:t xml:space="preserve">alternative — not available</w:t>
      </w:r>
    </w:p>
    <w:p>
      <w:pPr>
        <w:pStyle w:val="FirstParagraph"/>
      </w:pPr>
      <w:r>
        <w:t xml:space="preserve">We considered whether the merger could be structured to avoid a stockholder vote under DGCL § 251(f) (no stockholder vote required where, among other things, no amendment to the certificate of incorporation is made in the merger and either the acquirer owns 90% of the target or certain other conditions are met). This is not available here: Hargrove does not currently own any Terravox stock, and the merger will cancel all outstanding equity for consideration. A stockholder vote (or written consent) is required.</w:t>
      </w:r>
    </w:p>
    <w:bookmarkEnd w:id="27"/>
    <w:bookmarkStart w:id="28" w:name="X49b98ae277e1b8a033214fe6ca6466865b80353"/>
    <w:p>
      <w:pPr>
        <w:pStyle w:val="Heading3"/>
      </w:pPr>
      <w:r>
        <w:t xml:space="preserve">G. Other protective provisions implicated</w:t>
      </w:r>
    </w:p>
    <w:p>
      <w:pPr>
        <w:pStyle w:val="FirstParagraph"/>
      </w:pPr>
      <w:r>
        <w:t xml:space="preserve">We note for completeness that several other Section 4.3.6(a) protective provisions are not directly triggered by the merger itself but are relevant to related actions: Section 4.3.6(a)(i) (charter/bylaw amendments adversely affecting Preferred — relevant if the merger agreement requires a charter amendment); Section 4.3.6(a)(ii) (increasing/decreasing authorized shares); and Section 4.3.6(a)(vii) (increasing/decreasing Board size). The merger as structured (cancellation of all equity for cash) does not require a charter amendment, so these are not independently triggered, but we should confirm that the merger agreement does not contemplate any pre-closing charter amendment that would independently require Preferred consent.</w:t>
      </w:r>
    </w:p>
    <w:bookmarkEnd w:id="28"/>
    <w:bookmarkStart w:id="29" w:name="h.-consent-checklist"/>
    <w:p>
      <w:pPr>
        <w:pStyle w:val="Heading3"/>
      </w:pPr>
      <w:r>
        <w:t xml:space="preserve">H. Consent checklist</w:t>
      </w:r>
    </w:p>
    <w:p>
      <w:pPr>
        <w:pStyle w:val="FirstParagraph"/>
      </w:pPr>
      <w:r>
        <w:t xml:space="preserve">A consolidated consent/approval matrix with columns for provision, threshold, consenting parties, and current status appears in</w:t>
      </w:r>
      <w:r>
        <w:t xml:space="preserve"> </w:t>
      </w:r>
      <w:r>
        <w:rPr>
          <w:b/>
          <w:bCs/>
        </w:rPr>
        <w:t xml:space="preserve">Appendix A</w:t>
      </w:r>
      <w:r>
        <w:t xml:space="preserve">.</w:t>
      </w:r>
    </w:p>
    <w:p>
      <w:r>
        <w:pict>
          <v:rect style="width:0;height:1.5pt" o:hralign="center" o:hrstd="t" o:hr="t"/>
        </w:pict>
      </w:r>
    </w:p>
    <w:bookmarkEnd w:id="29"/>
    <w:bookmarkEnd w:id="30"/>
    <w:bookmarkStart w:id="35" w:name="iv.-area-2-drag-along-analysis"/>
    <w:p>
      <w:pPr>
        <w:pStyle w:val="Heading2"/>
      </w:pPr>
      <w:r>
        <w:t xml:space="preserve">IV. Area 2 — Drag-Along Analysis</w:t>
      </w:r>
    </w:p>
    <w:p>
      <w:pPr>
        <w:pStyle w:val="FirstParagraph"/>
      </w:pPr>
      <w:r>
        <w:t xml:space="preserve">The Stockholders’ Agreement (Article 3) contains drag-along rights that, if properly triggered, obligate all Restricted Stockholders to vote in favor of, and participate in, a Sale of the Company. This section (i) runs the numbers on whether the drag-along can be triggered without Stonemill, and (ii) addresses the critical legal question of whether the drag-along can override the charter-level Series C protective provision.</w:t>
      </w:r>
    </w:p>
    <w:bookmarkStart w:id="31" w:name="X51afb6a7251c05a700d80a188eb4b6412181f3b"/>
    <w:p>
      <w:pPr>
        <w:pStyle w:val="Heading3"/>
      </w:pPr>
      <w:r>
        <w:t xml:space="preserve">A. The three-pronged trigger (Section 3.1(a))</w:t>
      </w:r>
    </w:p>
    <w:p>
      <w:pPr>
        <w:pStyle w:val="FirstParagraph"/>
      </w:pPr>
      <w:r>
        <w:t xml:space="preserve">A</w:t>
      </w:r>
      <w:r>
        <w:t xml:space="preserve"> </w:t>
      </w:r>
      <w:r>
        <w:t xml:space="preserve">“</w:t>
      </w:r>
      <w:r>
        <w:t xml:space="preserve">Drag-Along Approval</w:t>
      </w:r>
      <w:r>
        <w:t xml:space="preserve">”</w:t>
      </w:r>
      <w:r>
        <w:t xml:space="preserve"> </w:t>
      </w:r>
      <w:r>
        <w:t xml:space="preserve">requires the satisfaction of</w:t>
      </w:r>
      <w:r>
        <w:t xml:space="preserve"> </w:t>
      </w:r>
      <w:r>
        <w:rPr>
          <w:b/>
          <w:bCs/>
        </w:rPr>
        <w:t xml:space="preserve">all three</w:t>
      </w:r>
      <w:r>
        <w:t xml:space="preserve"> </w:t>
      </w:r>
      <w:r>
        <w:t xml:space="preserve">of the following conditions (Section 3.1(b) confirms that fewer than all three is insufficient):</w:t>
      </w:r>
    </w:p>
    <w:p>
      <w:pPr>
        <w:pStyle w:val="Compact"/>
        <w:numPr>
          <w:ilvl w:val="0"/>
          <w:numId w:val="1001"/>
        </w:numPr>
      </w:pPr>
      <w:r>
        <w:rPr>
          <w:b/>
          <w:bCs/>
        </w:rPr>
        <w:t xml:space="preserve">Common majority (as-converted):</w:t>
      </w:r>
      <w:r>
        <w:t xml:space="preserve"> </w:t>
      </w:r>
      <w:r>
        <w:t xml:space="preserve">holders of at least a majority of the outstanding shares of Common Stock, calculated on an as-converted basis (treating Preferred as converted) — i.e., more than 16,950,000 of the 33,900,000 fully diluted shares;</w:t>
      </w:r>
    </w:p>
    <w:p>
      <w:pPr>
        <w:pStyle w:val="Compact"/>
        <w:numPr>
          <w:ilvl w:val="0"/>
          <w:numId w:val="1001"/>
        </w:numPr>
      </w:pPr>
      <w:r>
        <w:rPr>
          <w:b/>
          <w:bCs/>
        </w:rPr>
        <w:t xml:space="preserve">Preferred majority (as-converted, single class):</w:t>
      </w:r>
      <w:r>
        <w:t xml:space="preserve"> </w:t>
      </w:r>
      <w:r>
        <w:t xml:space="preserve">holders of at least a majority of the outstanding Preferred Stock on an as-converted basis — i.e., more than 8,250,000 of the 16,500,000 Preferred shares; and</w:t>
      </w:r>
    </w:p>
    <w:p>
      <w:pPr>
        <w:pStyle w:val="Compact"/>
        <w:numPr>
          <w:ilvl w:val="0"/>
          <w:numId w:val="1001"/>
        </w:numPr>
      </w:pPr>
      <w:r>
        <w:rPr>
          <w:b/>
          <w:bCs/>
        </w:rPr>
        <w:t xml:space="preserve">Investor Stockholder approval:</w:t>
      </w:r>
      <w:r>
        <w:t xml:space="preserve"> </w:t>
      </w:r>
      <w:r>
        <w:t xml:space="preserve">at least two (2) of the three (3) Investor Stockholders.</w:t>
      </w:r>
    </w:p>
    <w:bookmarkEnd w:id="31"/>
    <w:bookmarkStart w:id="32" w:name="Xaf9d6ea6c9a77d44ac521a9de399de568cdb5c3"/>
    <w:p>
      <w:pPr>
        <w:pStyle w:val="Heading3"/>
      </w:pPr>
      <w:r>
        <w:t xml:space="preserve">B. Can the drag-along be triggered WITHOUT Stonemill?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Prong</w:t>
            </w:r>
          </w:p>
        </w:tc>
        <w:tc>
          <w:tcPr/>
          <w:p>
            <w:pPr>
              <w:pStyle w:val="Compact"/>
              <w:jc w:val="left"/>
            </w:pPr>
            <w:r>
              <w:t xml:space="preserve">Threshold</w:t>
            </w:r>
          </w:p>
        </w:tc>
        <w:tc>
          <w:tcPr/>
          <w:p>
            <w:pPr>
              <w:pStyle w:val="Compact"/>
              <w:jc w:val="left"/>
            </w:pPr>
            <w:r>
              <w:t xml:space="preserve">Without Stonemill</w:t>
            </w:r>
          </w:p>
        </w:tc>
        <w:tc>
          <w:tcPr/>
          <w:p>
            <w:pPr>
              <w:pStyle w:val="Compact"/>
              <w:jc w:val="left"/>
            </w:pPr>
            <w:r>
              <w:t xml:space="preserve">Met?</w:t>
            </w:r>
          </w:p>
        </w:tc>
      </w:tr>
      <w:tr>
        <w:tc>
          <w:tcPr/>
          <w:p>
            <w:pPr>
              <w:pStyle w:val="Compact"/>
              <w:jc w:val="left"/>
            </w:pPr>
            <w:r>
              <w:t xml:space="preserve">(1) Common majority (as-converted)</w:t>
            </w:r>
          </w:p>
        </w:tc>
        <w:tc>
          <w:tcPr/>
          <w:p>
            <w:pPr>
              <w:pStyle w:val="Compact"/>
              <w:jc w:val="left"/>
            </w:pPr>
            <w:r>
              <w:t xml:space="preserve">&gt; 16,950,000</w:t>
            </w:r>
          </w:p>
        </w:tc>
        <w:tc>
          <w:tcPr/>
          <w:p>
            <w:pPr>
              <w:pStyle w:val="Compact"/>
              <w:jc w:val="left"/>
            </w:pPr>
            <w:r>
              <w:t xml:space="preserve">Founders (7,300,000) + Ridgeline (3,500,000) + Northbridge (5,200,000) = 16,000,000</w:t>
            </w:r>
          </w:p>
        </w:tc>
        <w:tc>
          <w:tcPr/>
          <w:p>
            <w:pPr>
              <w:pStyle w:val="Compact"/>
              <w:jc w:val="left"/>
            </w:pPr>
            <w:r>
              <w:rPr>
                <w:b/>
                <w:bCs/>
              </w:rPr>
              <w:t xml:space="preserve">No — short by ~950,000 shares</w:t>
            </w:r>
          </w:p>
        </w:tc>
      </w:tr>
      <w:tr>
        <w:tc>
          <w:tcPr/>
          <w:p>
            <w:pPr>
              <w:pStyle w:val="Compact"/>
              <w:jc w:val="left"/>
            </w:pPr>
            <w:r>
              <w:t xml:space="preserve">(2) Preferred majority (as-converted)</w:t>
            </w:r>
          </w:p>
        </w:tc>
        <w:tc>
          <w:tcPr/>
          <w:p>
            <w:pPr>
              <w:pStyle w:val="Compact"/>
              <w:jc w:val="left"/>
            </w:pPr>
            <w:r>
              <w:t xml:space="preserve">&gt; 8,250,000</w:t>
            </w:r>
          </w:p>
        </w:tc>
        <w:tc>
          <w:tcPr/>
          <w:p>
            <w:pPr>
              <w:pStyle w:val="Compact"/>
              <w:jc w:val="left"/>
            </w:pPr>
            <w:r>
              <w:t xml:space="preserve">Ridgeline (3,500,000) + Northbridge (5,200,000) = 8,700,000</w:t>
            </w:r>
          </w:p>
        </w:tc>
        <w:tc>
          <w:tcPr/>
          <w:p>
            <w:pPr>
              <w:pStyle w:val="Compact"/>
              <w:jc w:val="left"/>
            </w:pPr>
            <w:r>
              <w:rPr>
                <w:b/>
                <w:bCs/>
              </w:rPr>
              <w:t xml:space="preserve">Yes</w:t>
            </w:r>
          </w:p>
        </w:tc>
      </w:tr>
      <w:tr>
        <w:tc>
          <w:tcPr/>
          <w:p>
            <w:pPr>
              <w:pStyle w:val="Compact"/>
              <w:jc w:val="left"/>
            </w:pPr>
            <w:r>
              <w:t xml:space="preserve">(3) 2 of 3 Investor Stockholders</w:t>
            </w:r>
          </w:p>
        </w:tc>
        <w:tc>
          <w:tcPr/>
          <w:p>
            <w:pPr>
              <w:pStyle w:val="Compact"/>
              <w:jc w:val="left"/>
            </w:pPr>
            <w:r>
              <w:t xml:space="preserve">2 of 3</w:t>
            </w:r>
          </w:p>
        </w:tc>
        <w:tc>
          <w:tcPr/>
          <w:p>
            <w:pPr>
              <w:pStyle w:val="Compact"/>
              <w:jc w:val="left"/>
            </w:pPr>
            <w:r>
              <w:t xml:space="preserve">Ridgeline + Northbridge = 2 of 3</w:t>
            </w:r>
          </w:p>
        </w:tc>
        <w:tc>
          <w:tcPr/>
          <w:p>
            <w:pPr>
              <w:pStyle w:val="Compact"/>
              <w:jc w:val="left"/>
            </w:pPr>
            <w:r>
              <w:rPr>
                <w:b/>
                <w:bCs/>
              </w:rPr>
              <w:t xml:space="preserve">Yes</w:t>
            </w:r>
          </w:p>
        </w:tc>
      </w:tr>
    </w:tbl>
    <w:p>
      <w:pPr>
        <w:pStyle w:val="BodyText"/>
      </w:pPr>
      <w:r>
        <w:rPr>
          <w:b/>
          <w:bCs/>
        </w:rPr>
        <w:t xml:space="preserve">Prongs (2) and (3) are satisfied without Stonemill.</w:t>
      </w:r>
      <w:r>
        <w:t xml:space="preserve"> </w:t>
      </w:r>
      <w:r>
        <w:t xml:space="preserve">Prong (1) is the obstacle: the Founders, Ridgeline, and Northbridge together hold 16,000,000 fully diluted shares (47.2%), which falls just short of the 16,950,000 majority threshold. To satisfy prong (1) without Stonemill, the Company would need to secure the support of at least approximately 950,000 additional shares from the</w:t>
      </w:r>
      <w:r>
        <w:t xml:space="preserve"> </w:t>
      </w:r>
      <w:r>
        <w:t xml:space="preserve">“</w:t>
      </w:r>
      <w:r>
        <w:t xml:space="preserve">various common holders / option pool</w:t>
      </w:r>
      <w:r>
        <w:t xml:space="preserve">”</w:t>
      </w:r>
      <w:r>
        <w:t xml:space="preserve"> </w:t>
      </w:r>
      <w:r>
        <w:t xml:space="preserve">block (10,100,000 shares, ~29.8% of the cap table).</w:t>
      </w:r>
    </w:p>
    <w:p>
      <w:pPr>
        <w:pStyle w:val="BodyText"/>
      </w:pPr>
      <w:r>
        <w:rPr>
          <w:b/>
          <w:bCs/>
        </w:rPr>
        <w:t xml:space="preserve">Assessment.</w:t>
      </w:r>
      <w:r>
        <w:t xml:space="preserve"> </w:t>
      </w:r>
      <w:r>
        <w:t xml:space="preserve">Prong (1) is</w:t>
      </w:r>
      <w:r>
        <w:t xml:space="preserve"> </w:t>
      </w:r>
      <w:r>
        <w:rPr>
          <w:i/>
          <w:iCs/>
        </w:rPr>
        <w:t xml:space="preserve">marginally</w:t>
      </w:r>
      <w:r>
        <w:t xml:space="preserve"> </w:t>
      </w:r>
      <w:r>
        <w:t xml:space="preserve">achievable without Stonemill but is not guaranteed. The 10,100,000-share block consists of employee option/RSU holders and other common holders, many of whom are not parties to the Stockholders’ Agreement (the drag-along binds only</w:t>
      </w:r>
      <w:r>
        <w:t xml:space="preserve"> </w:t>
      </w:r>
      <w:r>
        <w:t xml:space="preserve">“</w:t>
      </w:r>
      <w:r>
        <w:t xml:space="preserve">Restricted Stockholders,</w:t>
      </w:r>
      <w:r>
        <w:t xml:space="preserve">”</w:t>
      </w:r>
      <w:r>
        <w:t xml:space="preserve"> </w:t>
      </w:r>
      <w:r>
        <w:t xml:space="preserve">i.e., parties to the agreement, but the</w:t>
      </w:r>
      <w:r>
        <w:t xml:space="preserve"> </w:t>
      </w:r>
      <w:r>
        <w:rPr>
          <w:i/>
          <w:iCs/>
        </w:rPr>
        <w:t xml:space="preserve">trigger threshold</w:t>
      </w:r>
      <w:r>
        <w:t xml:space="preserve"> </w:t>
      </w:r>
      <w:r>
        <w:t xml:space="preserve">in prong (1) counts all outstanding Common on an as-converted basis, including non-party holders). In a cash-out merger at a premium, employee holders would generally be supportive, but (a) a meaningful portion of outstanding options appear to be out-of-the-money (see Section IX), reducing the economic incentive for those holders to vote, and (b) we have not yet confirmed which option/common holders are parties to the Stockholders’ Agreement via joinder. We recommend confirming the joinder status of the option/common holders and modeling the realistic vote count for prong (1).</w:t>
      </w:r>
    </w:p>
    <w:p>
      <w:pPr>
        <w:pStyle w:val="BodyText"/>
      </w:pPr>
      <w:r>
        <w:rPr>
          <w:b/>
          <w:bCs/>
        </w:rPr>
        <w:t xml:space="preserve">If prong (1) can be satisfied</w:t>
      </w:r>
      <w:r>
        <w:t xml:space="preserve"> </w:t>
      </w:r>
      <w:r>
        <w:t xml:space="preserve">(with the support of sufficient option/common holders), then a Drag-Along Approval can be obtained without Stonemill’s affirmative support, and the drag-along would compel Stonemill — as a Restricted Stockholder — to vote its 7,800,000 Series C shares in favor of the Sale of the Company (Section 3.1(a), obligations A–D) pursuant to the irrevocable proxy granted in Section 3.3.</w:t>
      </w:r>
    </w:p>
    <w:bookmarkEnd w:id="32"/>
    <w:bookmarkStart w:id="33" w:name="X6c5270ba53c997fd7006645a51c7c9e090f4cfa"/>
    <w:p>
      <w:pPr>
        <w:pStyle w:val="Heading3"/>
      </w:pPr>
      <w:r>
        <w:t xml:space="preserve">C. Can the drag-along override the Series C separate-class protective provision? — THE KEY LEGAL QUESTION</w:t>
      </w:r>
    </w:p>
    <w:p>
      <w:pPr>
        <w:pStyle w:val="FirstParagraph"/>
      </w:pPr>
      <w:r>
        <w:t xml:space="preserve">This is the decisive question for the Transaction. Even if the drag-along is triggered without Stonemill and compels Stonemill to vote its Series C in favor, the question is whether that compelled vote satisfies the charter’s separate-class protective provision in Section 4.3.6(b)(i), which requires the</w:t>
      </w:r>
      <w:r>
        <w:t xml:space="preserve"> </w:t>
      </w:r>
      <w:r>
        <w:t xml:space="preserve">“</w:t>
      </w:r>
      <w:r>
        <w:t xml:space="preserve">affirmative vote or written consent</w:t>
      </w:r>
      <w:r>
        <w:t xml:space="preserve">”</w:t>
      </w:r>
      <w:r>
        <w:t xml:space="preserve"> </w:t>
      </w:r>
      <w:r>
        <w:t xml:space="preserve">of 66⅔% of the Series C voting as a separate class.</w:t>
      </w:r>
    </w:p>
    <w:p>
      <w:pPr>
        <w:pStyle w:val="BodyText"/>
      </w:pPr>
      <w:r>
        <w:rPr>
          <w:b/>
          <w:bCs/>
        </w:rPr>
        <w:t xml:space="preserve">Textual arguments that the drag-along CAN satisfy the protective provision:</w:t>
      </w:r>
    </w:p>
    <w:p>
      <w:pPr>
        <w:numPr>
          <w:ilvl w:val="0"/>
          <w:numId w:val="1002"/>
        </w:numPr>
      </w:pPr>
      <w:r>
        <w:rPr>
          <w:b/>
          <w:bCs/>
        </w:rPr>
        <w:t xml:space="preserve">The charter is satisfied by a vote, not by a discretionary veto.</w:t>
      </w:r>
      <w:r>
        <w:t xml:space="preserve"> </w:t>
      </w:r>
      <w:r>
        <w:t xml:space="preserve">Section 4.3.6(b) is satisfied by</w:t>
      </w:r>
      <w:r>
        <w:t xml:space="preserve"> </w:t>
      </w:r>
      <w:r>
        <w:t xml:space="preserve">“</w:t>
      </w:r>
      <w:r>
        <w:t xml:space="preserve">the prior written consent or affirmative vote</w:t>
      </w:r>
      <w:r>
        <w:t xml:space="preserve">”</w:t>
      </w:r>
      <w:r>
        <w:t xml:space="preserve"> </w:t>
      </w:r>
      <w:r>
        <w:t xml:space="preserve">of 66⅔% of the Series C. It does not require a</w:t>
      </w:r>
      <w:r>
        <w:t xml:space="preserve"> </w:t>
      </w:r>
      <w:r>
        <w:rPr>
          <w:i/>
          <w:iCs/>
        </w:rPr>
        <w:t xml:space="preserve">voluntary</w:t>
      </w:r>
      <w:r>
        <w:t xml:space="preserve"> </w:t>
      </w:r>
      <w:r>
        <w:t xml:space="preserve">or</w:t>
      </w:r>
      <w:r>
        <w:t xml:space="preserve"> </w:t>
      </w:r>
      <w:r>
        <w:rPr>
          <w:i/>
          <w:iCs/>
        </w:rPr>
        <w:t xml:space="preserve">uncoerced</w:t>
      </w:r>
      <w:r>
        <w:t xml:space="preserve"> </w:t>
      </w:r>
      <w:r>
        <w:t xml:space="preserve">consent; it requires a vote or consent of the requisite threshold. If the drag-along compels Stonemill (100% of the Series C) to vote in favor, that is an</w:t>
      </w:r>
      <w:r>
        <w:t xml:space="preserve"> </w:t>
      </w:r>
      <w:r>
        <w:t xml:space="preserve">“</w:t>
      </w:r>
      <w:r>
        <w:t xml:space="preserve">affirmative vote</w:t>
      </w:r>
      <w:r>
        <w:t xml:space="preserve">”</w:t>
      </w:r>
      <w:r>
        <w:t xml:space="preserve"> </w:t>
      </w:r>
      <w:r>
        <w:t xml:space="preserve">of 100% of the Series C, which exceeds the 66⅔% threshold. On this reading, the charter requirement is</w:t>
      </w:r>
      <w:r>
        <w:t xml:space="preserve"> </w:t>
      </w:r>
      <w:r>
        <w:rPr>
          <w:i/>
          <w:iCs/>
        </w:rPr>
        <w:t xml:space="preserve">satisfied</w:t>
      </w:r>
      <w:r>
        <w:t xml:space="preserve">, not</w:t>
      </w:r>
      <w:r>
        <w:t xml:space="preserve"> </w:t>
      </w:r>
      <w:r>
        <w:rPr>
          <w:i/>
          <w:iCs/>
        </w:rPr>
        <w:t xml:space="preserve">waived</w:t>
      </w:r>
      <w:r>
        <w:t xml:space="preserve"> </w:t>
      </w:r>
      <w:r>
        <w:t xml:space="preserve">or</w:t>
      </w:r>
      <w:r>
        <w:t xml:space="preserve"> </w:t>
      </w:r>
      <w:r>
        <w:rPr>
          <w:i/>
          <w:iCs/>
        </w:rPr>
        <w:t xml:space="preserve">amended</w:t>
      </w:r>
      <w:r>
        <w:t xml:space="preserve"> </w:t>
      </w:r>
      <w:r>
        <w:t xml:space="preserve">— the protective provision is given effect through a compelled vote.</w:t>
      </w:r>
    </w:p>
    <w:p>
      <w:pPr>
        <w:numPr>
          <w:ilvl w:val="0"/>
          <w:numId w:val="1002"/>
        </w:numPr>
      </w:pPr>
      <w:r>
        <w:rPr>
          <w:b/>
          <w:bCs/>
        </w:rPr>
        <w:t xml:space="preserve">Stonemill contractually agreed to be dragged.</w:t>
      </w:r>
      <w:r>
        <w:t xml:space="preserve"> </w:t>
      </w:r>
      <w:r>
        <w:t xml:space="preserve">By executing the Stockholders’ Agreement, Stonemill agreed to the drag-along with a trigger that expressly permits approval by only two of the three Investor Stockholders (Section 3.1(a)(iii)) — i.e., Stonemill agreed to be dragged</w:t>
      </w:r>
      <w:r>
        <w:t xml:space="preserve"> </w:t>
      </w:r>
      <w:r>
        <w:rPr>
          <w:i/>
          <w:iCs/>
        </w:rPr>
        <w:t xml:space="preserve">without its own affirmative support</w:t>
      </w:r>
      <w:r>
        <w:t xml:space="preserve">, so long as the other thresholds are met. The drag-along includes an irrevocable proxy</w:t>
      </w:r>
      <w:r>
        <w:t xml:space="preserve"> </w:t>
      </w:r>
      <w:r>
        <w:t xml:space="preserve">“</w:t>
      </w:r>
      <w:r>
        <w:t xml:space="preserve">coupled with an interest</w:t>
      </w:r>
      <w:r>
        <w:t xml:space="preserve">”</w:t>
      </w:r>
      <w:r>
        <w:t xml:space="preserve"> </w:t>
      </w:r>
      <w:r>
        <w:t xml:space="preserve">(Section 3.3) to vote Stonemill’s shares</w:t>
      </w:r>
      <w:r>
        <w:t xml:space="preserve"> </w:t>
      </w:r>
      <w:r>
        <w:t xml:space="preserve">“</w:t>
      </w:r>
      <w:r>
        <w:t xml:space="preserve">in favor of… any matter required to be approved in connection with such Sale of the Company</w:t>
      </w:r>
      <w:r>
        <w:t xml:space="preserve">”</w:t>
      </w:r>
      <w:r>
        <w:t xml:space="preserve"> </w:t>
      </w:r>
      <w:r>
        <w:t xml:space="preserve">— which would include the Series C separate-class vote. Article 3 is further protected from amendment without Stonemill’s consent (Section 7.4), reflecting that Stonemill knowingly accepted these terms.</w:t>
      </w:r>
    </w:p>
    <w:p>
      <w:pPr>
        <w:numPr>
          <w:ilvl w:val="0"/>
          <w:numId w:val="1002"/>
        </w:numPr>
      </w:pPr>
      <w:r>
        <w:rPr>
          <w:b/>
          <w:bCs/>
        </w:rPr>
        <w:t xml:space="preserve">Delaware enforces stockholder voting agreements.</w:t>
      </w:r>
      <w:r>
        <w:t xml:space="preserve"> </w:t>
      </w:r>
      <w:r>
        <w:t xml:space="preserve">DGCL § 218(b) validates agreements among stockholders as to the manner in which they will vote. Delaware courts routinely enforce voting agreements, drag-along provisions, and irrevocable proxies coupled with an interest as binding contracts.</w:t>
      </w:r>
    </w:p>
    <w:p>
      <w:pPr>
        <w:pStyle w:val="FirstParagraph"/>
      </w:pPr>
      <w:r>
        <w:rPr>
          <w:b/>
          <w:bCs/>
        </w:rPr>
        <w:t xml:space="preserve">Arguments that the drag-along CANNOT override the protective provision:</w:t>
      </w:r>
    </w:p>
    <w:p>
      <w:pPr>
        <w:numPr>
          <w:ilvl w:val="0"/>
          <w:numId w:val="1003"/>
        </w:numPr>
      </w:pPr>
      <w:r>
        <w:rPr>
          <w:b/>
          <w:bCs/>
        </w:rPr>
        <w:t xml:space="preserve">The protective provision is a charter (class) right of superior dignity.</w:t>
      </w:r>
      <w:r>
        <w:t xml:space="preserve"> </w:t>
      </w:r>
      <w:r>
        <w:t xml:space="preserve">Section 4.3.6(b) is embedded in the certificate of incorporation — the supreme corporate document — and grants the Series C,</w:t>
      </w:r>
      <w:r>
        <w:t xml:space="preserve"> </w:t>
      </w:r>
      <w:r>
        <w:rPr>
          <w:i/>
          <w:iCs/>
        </w:rPr>
        <w:t xml:space="preserve">as a class</w:t>
      </w:r>
      <w:r>
        <w:t xml:space="preserve">, a separate-class consent right over any Liquidation Event. A stockholders’ agreement is a contract among stockholders; it cannot amend or override the certificate of incorporation except through the charter’s own amendment procedures (which themselves require Series C consent under Section 4.3.6(b)(ii)). Allowing a drag-along to compel the sole Series C holder to vote away its class veto arguably defeats the protective provision’s purpose and effectively amends the charter by contract — something Delaware law does not permit.</w:t>
      </w:r>
    </w:p>
    <w:p>
      <w:pPr>
        <w:numPr>
          <w:ilvl w:val="0"/>
          <w:numId w:val="1003"/>
        </w:numPr>
      </w:pPr>
      <w:r>
        <w:rPr>
          <w:b/>
          <w:bCs/>
        </w:rPr>
        <w:t xml:space="preserve">The protective provision protects the class, not just the holder.</w:t>
      </w:r>
      <w:r>
        <w:t xml:space="preserve"> </w:t>
      </w:r>
      <w:r>
        <w:t xml:space="preserve">The Series C protective provision is framed as a</w:t>
      </w:r>
      <w:r>
        <w:t xml:space="preserve"> </w:t>
      </w:r>
      <w:r>
        <w:rPr>
          <w:i/>
          <w:iCs/>
        </w:rPr>
        <w:t xml:space="preserve">class</w:t>
      </w:r>
      <w:r>
        <w:t xml:space="preserve"> </w:t>
      </w:r>
      <w:r>
        <w:t xml:space="preserve">right (voting</w:t>
      </w:r>
      <w:r>
        <w:t xml:space="preserve"> </w:t>
      </w:r>
      <w:r>
        <w:t xml:space="preserve">“</w:t>
      </w:r>
      <w:r>
        <w:t xml:space="preserve">as a separate class</w:t>
      </w:r>
      <w:r>
        <w:t xml:space="preserve">”</w:t>
      </w:r>
      <w:r>
        <w:t xml:space="preserve">). A drag-along that compels the only class member to vote in favor arguably eliminates the class protection that the charter was specifically negotiated to provide. A court could view this as an impermissible circumvention of the charter’s class-voting structure.</w:t>
      </w:r>
    </w:p>
    <w:p>
      <w:pPr>
        <w:numPr>
          <w:ilvl w:val="0"/>
          <w:numId w:val="1003"/>
        </w:numPr>
      </w:pPr>
      <w:r>
        <w:rPr>
          <w:b/>
          <w:bCs/>
        </w:rPr>
        <w:t xml:space="preserve">Uncertainty and litigation risk.</w:t>
      </w:r>
      <w:r>
        <w:t xml:space="preserve"> </w:t>
      </w:r>
      <w:r>
        <w:t xml:space="preserve">There is no Delaware Supreme Court decision squarely holding that a stockholders’-agreement drag-along can compel a vote that satisfies a charter-level separate-class protective provision over the objecting holder’s opposition. While the textual arguments above are colorable, the question is genuinely unsettled, and Stonemill would have a credible basis to challenge enforcement.</w:t>
      </w:r>
    </w:p>
    <w:p>
      <w:pPr>
        <w:pStyle w:val="FirstParagraph"/>
      </w:pPr>
      <w:r>
        <w:rPr>
          <w:b/>
          <w:bCs/>
        </w:rPr>
        <w:t xml:space="preserve">Our assessment.</w:t>
      </w:r>
      <w:r>
        <w:t xml:space="preserve"> </w:t>
      </w:r>
      <w:r>
        <w:t xml:space="preserve">This is a close and unsettled question of Delaware law. The textual argument that the drag-along can compel a vote that</w:t>
      </w:r>
      <w:r>
        <w:t xml:space="preserve"> </w:t>
      </w:r>
      <w:r>
        <w:rPr>
          <w:i/>
          <w:iCs/>
        </w:rPr>
        <w:t xml:space="preserve">satisfies</w:t>
      </w:r>
      <w:r>
        <w:t xml:space="preserve"> </w:t>
      </w:r>
      <w:r>
        <w:t xml:space="preserve">(rather than</w:t>
      </w:r>
      <w:r>
        <w:t xml:space="preserve"> </w:t>
      </w:r>
      <w:r>
        <w:rPr>
          <w:i/>
          <w:iCs/>
        </w:rPr>
        <w:t xml:space="preserve">overrides</w:t>
      </w:r>
      <w:r>
        <w:t xml:space="preserve">) the protective provision is reasonably strong, particularly given that Stonemill expressly agreed to a 2-of-3-investor trigger and granted an irrevocable proxy. However, we cannot advise the client with confidence that a Delaware court would enforce the drag-along to override Stonemill’s separate-class veto over its objection. Stonemill would almost certainly litigate, seeking injunctive relief to prevent closing on the basis that the Series C separate-class consent was not</w:t>
      </w:r>
      <w:r>
        <w:t xml:space="preserve"> </w:t>
      </w:r>
      <w:r>
        <w:rPr>
          <w:i/>
          <w:iCs/>
        </w:rPr>
        <w:t xml:space="preserve">validly</w:t>
      </w:r>
      <w:r>
        <w:t xml:space="preserve"> </w:t>
      </w:r>
      <w:r>
        <w:t xml:space="preserve">obtained. Even if Hargrove ultimately prevailed, the litigation would introduce material closing delay, cost, and deal uncertainty — outcomes that are anathema to a private-equity buyer with a fixed fund life and a Q1 2025 target close.</w:t>
      </w:r>
    </w:p>
    <w:p>
      <w:pPr>
        <w:pStyle w:val="BodyText"/>
      </w:pPr>
      <w:r>
        <w:rPr>
          <w:b/>
          <w:bCs/>
        </w:rPr>
        <w:t xml:space="preserve">Recommendation.</w:t>
      </w:r>
      <w:r>
        <w:t xml:space="preserve"> </w:t>
      </w:r>
      <w:r>
        <w:t xml:space="preserve">Treat Stonemill’s affirmative consent as the primary and preferred path to closing. Preserve the drag-along as a negotiating lever and a fallback: the existence of a</w:t>
      </w:r>
      <w:r>
        <w:t xml:space="preserve"> </w:t>
      </w:r>
      <w:r>
        <w:rPr>
          <w:i/>
          <w:iCs/>
        </w:rPr>
        <w:t xml:space="preserve">credible</w:t>
      </w:r>
      <w:r>
        <w:t xml:space="preserve"> </w:t>
      </w:r>
      <w:r>
        <w:t xml:space="preserve">(if contested) alternative path to closing is itself valuable in negotiations, because it shifts Stonemill’s calculus from</w:t>
      </w:r>
      <w:r>
        <w:t xml:space="preserve"> </w:t>
      </w:r>
      <w:r>
        <w:t xml:space="preserve">“</w:t>
      </w:r>
      <w:r>
        <w:t xml:space="preserve">I can block</w:t>
      </w:r>
      <w:r>
        <w:t xml:space="preserve">”</w:t>
      </w:r>
      <w:r>
        <w:t xml:space="preserve"> </w:t>
      </w:r>
      <w:r>
        <w:t xml:space="preserve">toward</w:t>
      </w:r>
      <w:r>
        <w:t xml:space="preserve"> </w:t>
      </w:r>
      <w:r>
        <w:t xml:space="preserve">“</w:t>
      </w:r>
      <w:r>
        <w:t xml:space="preserve">I may be dragged unless I negotiate.</w:t>
      </w:r>
      <w:r>
        <w:t xml:space="preserve">”</w:t>
      </w:r>
      <w:r>
        <w:t xml:space="preserve"> </w:t>
      </w:r>
      <w:r>
        <w:t xml:space="preserve">We recommend obtaining a focused Delaware-law opinion (or at minimum a thorough memorandum) on the drag-along/protective-provision interplay before relying on the drag-along in negotiations or as a closing mechanism. We also recommend that the merger agreement be drafted to permit closing upon either (a) Stonemill’s affirmative Series C consent, or (b) a court-enforced drag-along, with appropriate closing-condition drafting.</w:t>
      </w:r>
    </w:p>
    <w:bookmarkEnd w:id="33"/>
    <w:bookmarkStart w:id="34" w:name="Xb7a0e333c526cc15d407ed85924484e5af0e912"/>
    <w:p>
      <w:pPr>
        <w:pStyle w:val="Heading3"/>
      </w:pPr>
      <w:r>
        <w:t xml:space="preserve">D. Drag-along terms affecting consideration (Section 3.2)</w:t>
      </w:r>
    </w:p>
    <w:p>
      <w:pPr>
        <w:pStyle w:val="FirstParagraph"/>
      </w:pPr>
      <w:r>
        <w:t xml:space="preserve">If the drag-along is invoked, Section 3.2(a) provides that each Restricted Stockholder receives the same form and amount of consideration per share (as-converted),</w:t>
      </w:r>
      <w:r>
        <w:t xml:space="preserve"> </w:t>
      </w:r>
      <w:r>
        <w:rPr>
          <w:i/>
          <w:iCs/>
        </w:rPr>
        <w:t xml:space="preserve">except</w:t>
      </w:r>
      <w:r>
        <w:t xml:space="preserve"> </w:t>
      </w:r>
      <w:r>
        <w:t xml:space="preserve">that liquidation preferences apply and consideration is distributed</w:t>
      </w:r>
      <w:r>
        <w:t xml:space="preserve"> </w:t>
      </w:r>
      <w:r>
        <w:t xml:space="preserve">“</w:t>
      </w:r>
      <w:r>
        <w:t xml:space="preserve">in accordance with the liquidation waterfall provisions of the Restated Certificate as if the Sale of the Company were a Liquidation Event.</w:t>
      </w:r>
      <w:r>
        <w:t xml:space="preserve">”</w:t>
      </w:r>
      <w:r>
        <w:t xml:space="preserve"> </w:t>
      </w:r>
      <w:r>
        <w:t xml:space="preserve">This means the drag-along does</w:t>
      </w:r>
      <w:r>
        <w:t xml:space="preserve"> </w:t>
      </w:r>
      <w:r>
        <w:rPr>
          <w:i/>
          <w:iCs/>
        </w:rPr>
        <w:t xml:space="preserve">not</w:t>
      </w:r>
      <w:r>
        <w:t xml:space="preserve"> </w:t>
      </w:r>
      <w:r>
        <w:t xml:space="preserve">override the liquidation waterfall — Preferred holders still receive their preference-ordered distribution. Given that all Preferred is in the money on an as-converted basis, this is consistent with an as-converted distribution. Section 3.2(d) provides that no dragged stockholder can be required to give non-competes or to indemnify in excess of consideration received — useful protections that should be reflected in the merger agreement’s stockholder representative / indemnity provisions.</w:t>
      </w:r>
    </w:p>
    <w:p>
      <w:r>
        <w:pict>
          <v:rect style="width:0;height:1.5pt" o:hralign="center" o:hrstd="t" o:hr="t"/>
        </w:pict>
      </w:r>
    </w:p>
    <w:bookmarkEnd w:id="34"/>
    <w:bookmarkEnd w:id="35"/>
    <w:bookmarkStart w:id="40" w:name="Xec9540fcdb55ea5ae66c3fbc65eaa6a2ca04222"/>
    <w:p>
      <w:pPr>
        <w:pStyle w:val="Heading2"/>
      </w:pPr>
      <w:r>
        <w:t xml:space="preserve">V. Area 3 — Impediments to Closing a Reverse Triangular Merger</w:t>
      </w:r>
    </w:p>
    <w:bookmarkStart w:id="36" w:name="Xb9b3e810c2242dd0706d4e31985b84e625e3c55"/>
    <w:p>
      <w:pPr>
        <w:pStyle w:val="Heading3"/>
      </w:pPr>
      <w:r>
        <w:t xml:space="preserve">A. Does the</w:t>
      </w:r>
      <w:r>
        <w:t xml:space="preserve"> </w:t>
      </w:r>
      <w:r>
        <w:t xml:space="preserve">“</w:t>
      </w:r>
      <w:r>
        <w:t xml:space="preserve">Liquidation Event</w:t>
      </w:r>
      <w:r>
        <w:t xml:space="preserve">”</w:t>
      </w:r>
      <w:r>
        <w:t xml:space="preserve"> </w:t>
      </w:r>
      <w:r>
        <w:t xml:space="preserve">definition capture a reverse triangular merger?</w:t>
      </w:r>
    </w:p>
    <w:p>
      <w:pPr>
        <w:pStyle w:val="FirstParagraph"/>
      </w:pPr>
      <w:r>
        <w:t xml:space="preserve">Yes, unambiguously. Section 4.3.2(d)(i) of the Restated Certificate defines a</w:t>
      </w:r>
      <w:r>
        <w:t xml:space="preserve"> </w:t>
      </w:r>
      <w:r>
        <w:t xml:space="preserve">“</w:t>
      </w:r>
      <w:r>
        <w:t xml:space="preserve">Liquidation Event</w:t>
      </w:r>
      <w:r>
        <w:t xml:space="preserve">”</w:t>
      </w:r>
      <w:r>
        <w:t xml:space="preserve"> </w:t>
      </w:r>
      <w:r>
        <w:t xml:space="preserve">to include</w:t>
      </w:r>
      <w:r>
        <w:t xml:space="preserve"> </w:t>
      </w:r>
      <w:r>
        <w:t xml:space="preserve">“</w:t>
      </w:r>
      <w:r>
        <w:t xml:space="preserve">any merger, consolidation, or other business combination of the Corporation with or into another entity (whether or not the Corporation is the surviving entity), other than a merger… in which the stockholders of the Corporation immediately prior to such transaction continue to hold at least fifty percent (50%) of the voting power of the surviving or resulting entity immediately following such transaction.</w:t>
      </w:r>
      <w:r>
        <w:t xml:space="preserve">”</w:t>
      </w:r>
    </w:p>
    <w:p>
      <w:pPr>
        <w:pStyle w:val="BodyText"/>
      </w:pPr>
      <w:r>
        <w:t xml:space="preserve">In the reverse triangular merger, Merger Sub merges into Terravox and Terravox survives — but as a wholly-owned subsidiary of Hargrove. Immediately following the merger, Terravox’s former stockholders hold</w:t>
      </w:r>
      <w:r>
        <w:t xml:space="preserve"> </w:t>
      </w:r>
      <w:r>
        <w:rPr>
          <w:b/>
          <w:bCs/>
        </w:rPr>
        <w:t xml:space="preserve">0%</w:t>
      </w:r>
      <w:r>
        <w:t xml:space="preserve"> </w:t>
      </w:r>
      <w:r>
        <w:t xml:space="preserve">of the voting power of the surviving entity (Hargrove, through Merger Sub, owns 100%). The 50% continuation exception therefore does</w:t>
      </w:r>
      <w:r>
        <w:t xml:space="preserve"> </w:t>
      </w:r>
      <w:r>
        <w:rPr>
          <w:b/>
          <w:bCs/>
        </w:rPr>
        <w:t xml:space="preserve">not</w:t>
      </w:r>
      <w:r>
        <w:t xml:space="preserve"> </w:t>
      </w:r>
      <w:r>
        <w:t xml:space="preserve">apply, and the merger is a Liquidation Event under Section 4.3.2(d)(i). It is independently captured by Section 4.3.2(d)(iii) (a transaction resulting in the transfer of more than 50% of the Company’s voting power to any person), since Hargrove will hold 100% post-closing.</w:t>
      </w:r>
    </w:p>
    <w:p>
      <w:pPr>
        <w:pStyle w:val="BodyText"/>
      </w:pPr>
      <w:r>
        <w:t xml:space="preserve">The</w:t>
      </w:r>
      <w:r>
        <w:t xml:space="preserve"> </w:t>
      </w:r>
      <w:r>
        <w:t xml:space="preserve">“</w:t>
      </w:r>
      <w:r>
        <w:t xml:space="preserve">Sale of the Company</w:t>
      </w:r>
      <w:r>
        <w:t xml:space="preserve">”</w:t>
      </w:r>
      <w:r>
        <w:t xml:space="preserve"> </w:t>
      </w:r>
      <w:r>
        <w:t xml:space="preserve">definitions in the Stockholders’ Agreement (Section 1.1) and the Voting Agreement (Section 1) likewise capture the merger: both define a Sale of the Company to include any merger in which the Company’s stockholders do not retain a majority of the voting power of the surviving or resulting entity, and any transaction transferring more than 50% of the outstanding voting power. The reverse triangular merger satisfies both.</w:t>
      </w:r>
      <w:r>
        <w:t xml:space="preserve"> </w:t>
      </w:r>
      <w:r>
        <w:rPr>
          <w:b/>
          <w:bCs/>
        </w:rPr>
        <w:t xml:space="preserve">No structural ambiguity exists as to whether the merger triggers the Liquidation Event / Sale of the Company definitions.</w:t>
      </w:r>
    </w:p>
    <w:bookmarkEnd w:id="36"/>
    <w:bookmarkStart w:id="37" w:name="Xef84c134ef3e147c15e2f8f367d0e71661ad29d"/>
    <w:p>
      <w:pPr>
        <w:pStyle w:val="Heading3"/>
      </w:pPr>
      <w:r>
        <w:t xml:space="preserve">B. Structural features and advantages of the reverse triangular merger</w:t>
      </w:r>
    </w:p>
    <w:p>
      <w:pPr>
        <w:pStyle w:val="FirstParagraph"/>
      </w:pPr>
      <w:r>
        <w:t xml:space="preserve">The reverse triangular merger structure is generally favorable for this Transaction. Because Terravox survives as the legal entity (rather than disappearing into Merger Sub), the Company’s contracts, licenses, permits, and regulatory approvals remain in place at the surviving entity without requiring consents or novations (subject, of course, to any change-of-control provisions in those contracts — a separate diligence workstream). This is the principal advantage of the reverse triangular structure over a forward merger. The structure does not, by itself, create any governance impediment beyond the consent requirements analyzed in Section III.</w:t>
      </w:r>
    </w:p>
    <w:bookmarkEnd w:id="37"/>
    <w:bookmarkStart w:id="38" w:name="X4689b16465d1f32dc731e58be594c6065cde047"/>
    <w:p>
      <w:pPr>
        <w:pStyle w:val="Heading3"/>
      </w:pPr>
      <w:r>
        <w:t xml:space="preserve">C. The one structural ambiguity: the RRA’s</w:t>
      </w:r>
      <w:r>
        <w:t xml:space="preserve"> </w:t>
      </w:r>
      <w:r>
        <w:t xml:space="preserve">“</w:t>
      </w:r>
      <w:r>
        <w:t xml:space="preserve">Deemed Liquidation Event</w:t>
      </w:r>
      <w:r>
        <w:t xml:space="preserve">”</w:t>
      </w:r>
    </w:p>
    <w:p>
      <w:pPr>
        <w:pStyle w:val="FirstParagraph"/>
      </w:pPr>
      <w:r>
        <w:t xml:space="preserve">The RRA terminates upon</w:t>
      </w:r>
      <w:r>
        <w:t xml:space="preserve"> </w:t>
      </w:r>
      <w:r>
        <w:t xml:space="preserve">“</w:t>
      </w:r>
      <w:r>
        <w:t xml:space="preserve">a Deemed Liquidation Event</w:t>
      </w:r>
      <w:r>
        <w:t xml:space="preserve">”</w:t>
      </w:r>
      <w:r>
        <w:t xml:space="preserve"> </w:t>
      </w:r>
      <w:r>
        <w:t xml:space="preserve">(Section 9(c)), but the RRA does</w:t>
      </w:r>
      <w:r>
        <w:t xml:space="preserve"> </w:t>
      </w:r>
      <w:r>
        <w:rPr>
          <w:b/>
          <w:bCs/>
        </w:rPr>
        <w:t xml:space="preserve">not define</w:t>
      </w:r>
      <w:r>
        <w:t xml:space="preserve"> </w:t>
      </w:r>
      <w:r>
        <w:t xml:space="preserve">“</w:t>
      </w:r>
      <w:r>
        <w:t xml:space="preserve">Deemed Liquidation Event</w:t>
      </w:r>
      <w:r>
        <w:t xml:space="preserve">”</w:t>
      </w:r>
      <w:r>
        <w:t xml:space="preserve"> </w:t>
      </w:r>
      <w:r>
        <w:t xml:space="preserve">and does not cross-reference the Restated Certificate’s</w:t>
      </w:r>
      <w:r>
        <w:t xml:space="preserve"> </w:t>
      </w:r>
      <w:r>
        <w:t xml:space="preserve">“</w:t>
      </w:r>
      <w:r>
        <w:t xml:space="preserve">Liquidation Event</w:t>
      </w:r>
      <w:r>
        <w:t xml:space="preserve">”</w:t>
      </w:r>
      <w:r>
        <w:t xml:space="preserve"> </w:t>
      </w:r>
      <w:r>
        <w:t xml:space="preserve">definition. This is the one structural/definitional ambiguity affecting the Transaction and is addressed in detail in Sections VIII and XII. In summary: the merger almost certainly</w:t>
      </w:r>
      <w:r>
        <w:t xml:space="preserve"> </w:t>
      </w:r>
      <w:r>
        <w:rPr>
          <w:i/>
          <w:iCs/>
        </w:rPr>
        <w:t xml:space="preserve">is</w:t>
      </w:r>
      <w:r>
        <w:t xml:space="preserve"> </w:t>
      </w:r>
      <w:r>
        <w:t xml:space="preserve">intended to be a</w:t>
      </w:r>
      <w:r>
        <w:t xml:space="preserve"> </w:t>
      </w:r>
      <w:r>
        <w:t xml:space="preserve">“</w:t>
      </w:r>
      <w:r>
        <w:t xml:space="preserve">Deemed Liquidation Event</w:t>
      </w:r>
      <w:r>
        <w:t xml:space="preserve">”</w:t>
      </w:r>
      <w:r>
        <w:t xml:space="preserve"> </w:t>
      </w:r>
      <w:r>
        <w:t xml:space="preserve">(the term is conventionally used to mean a change-of-control transaction treated as a liquidation for preferred purposes), but the RRA’s failure to define or cross-reference the term creates a non-trivial risk that registration rights could be argued to survive the merger. This should be cured by an express termination/waiver of the RRA at closing.</w:t>
      </w:r>
    </w:p>
    <w:bookmarkEnd w:id="38"/>
    <w:bookmarkStart w:id="39" w:name="X68be139108967437c29f915ec8dcc1f6dd7a651"/>
    <w:p>
      <w:pPr>
        <w:pStyle w:val="Heading3"/>
      </w:pPr>
      <w:r>
        <w:t xml:space="preserve">D. Indebtedness and change-of-control provisions</w:t>
      </w:r>
    </w:p>
    <w:p>
      <w:pPr>
        <w:pStyle w:val="FirstParagraph"/>
      </w:pPr>
      <w:r>
        <w:t xml:space="preserve">The $12 million Clearfield National Bank term loan is secured by substantially all of the Company’s assets. The loan agreement almost certainly contains change-of-control and/or default-on-acceleration provisions that will be triggered by the merger. Repayment or refinancing of this debt at or before closing is a condition to the Transaction (the $485 million enterprise value reflects $12 million of debt, yielding $473 million equity value). We have not yet reviewed the Clearfield loan agreement; it should be obtained and reviewed for change-of-control triggers, prepayment penalties, and any lender consent requirements. This is a separate (finance) workstream but is flagged here because a lender consent could be an additional closing condition.</w:t>
      </w:r>
    </w:p>
    <w:p>
      <w:r>
        <w:pict>
          <v:rect style="width:0;height:1.5pt" o:hralign="center" o:hrstd="t" o:hr="t"/>
        </w:pict>
      </w:r>
    </w:p>
    <w:bookmarkEnd w:id="39"/>
    <w:bookmarkEnd w:id="40"/>
    <w:bookmarkStart w:id="44" w:name="vi.-area-4-transfer-restrictions"/>
    <w:p>
      <w:pPr>
        <w:pStyle w:val="Heading2"/>
      </w:pPr>
      <w:r>
        <w:t xml:space="preserve">VI. Area 4 — Transfer Restrictions</w:t>
      </w:r>
    </w:p>
    <w:bookmarkStart w:id="41" w:name="Xab2443313a0a5f97f74a6441dd254c86ea4f9d2"/>
    <w:p>
      <w:pPr>
        <w:pStyle w:val="Heading3"/>
      </w:pPr>
      <w:r>
        <w:t xml:space="preserve">A. ROFR and co-sale mechanics (Stockholders’ Agreement Art. 2)</w:t>
      </w:r>
    </w:p>
    <w:p>
      <w:pPr>
        <w:pStyle w:val="FirstParagraph"/>
      </w:pPr>
      <w:r>
        <w:t xml:space="preserve">The Stockholders’ Agreement imposes a general restriction on transfers (Section 2.1): no Restricted Stockholder may transfer Shares except (a) in compliance with Article 2, (b) pursuant to a Permitted Transfer (Section 2.7), or (c) in connection with a Sale of the Company consummated in accordance with Article 3. The right of first refusal (Section 2.2) gives the Company 30 days to purchase shares subject to a bona fide third-party offer, followed by a 20-day stockholder ROFR period. The co-sale right (Section 2.3) allows Investor Stockholders to participate in a proposed transfer if the Company and other stockholders do not purchase all the shares. Tag-along rights (Section 2.4) apply to Founder transfers of more than 5% of the outstanding shares.</w:t>
      </w:r>
    </w:p>
    <w:bookmarkEnd w:id="41"/>
    <w:bookmarkStart w:id="42" w:name="Xc5974028d3ed721061cede89485a262155f37c6"/>
    <w:p>
      <w:pPr>
        <w:pStyle w:val="Heading3"/>
      </w:pPr>
      <w:r>
        <w:t xml:space="preserve">B. Does the merger trigger ROFR or co-sale?</w:t>
      </w:r>
    </w:p>
    <w:p>
      <w:pPr>
        <w:pStyle w:val="FirstParagraph"/>
      </w:pPr>
      <w:r>
        <w:rPr>
          <w:b/>
          <w:bCs/>
        </w:rPr>
        <w:t xml:space="preserve">In principle, no — but the carve-out is conditional, and the condition must be carefully managed.</w:t>
      </w:r>
      <w:r>
        <w:t xml:space="preserve"> </w:t>
      </w:r>
      <w:r>
        <w:t xml:space="preserve">Transfers</w:t>
      </w:r>
      <w:r>
        <w:t xml:space="preserve"> </w:t>
      </w:r>
      <w:r>
        <w:t xml:space="preserve">“</w:t>
      </w:r>
      <w:r>
        <w:t xml:space="preserve">in connection with a Sale of the Company</w:t>
      </w:r>
      <w:r>
        <w:t xml:space="preserve">”</w:t>
      </w:r>
      <w:r>
        <w:t xml:space="preserve"> </w:t>
      </w:r>
      <w:r>
        <w:t xml:space="preserve">are exempted from the transfer restrictions in two places: Section 2.1(c) (a general carve-out) and Section 2.7(e) (a Permitted Transfer).</w:t>
      </w:r>
      <w:r>
        <w:t xml:space="preserve"> </w:t>
      </w:r>
      <w:r>
        <w:rPr>
          <w:b/>
          <w:bCs/>
        </w:rPr>
        <w:t xml:space="preserve">However, both carve-outs are expressly conditioned on the Sale of the Company being</w:t>
      </w:r>
      <w:r>
        <w:rPr>
          <w:b/>
          <w:bCs/>
        </w:rPr>
        <w:t xml:space="preserve"> </w:t>
      </w:r>
      <w:r>
        <w:rPr>
          <w:b/>
          <w:bCs/>
        </w:rPr>
        <w:t xml:space="preserve">“</w:t>
      </w:r>
      <w:r>
        <w:rPr>
          <w:b/>
          <w:bCs/>
        </w:rPr>
        <w:t xml:space="preserve">consummated in accordance with Article 3</w:t>
      </w:r>
      <w:r>
        <w:rPr>
          <w:b/>
          <w:bCs/>
        </w:rPr>
        <w:t xml:space="preserve">”</w:t>
      </w:r>
      <w:r>
        <w:t xml:space="preserve"> </w:t>
      </w:r>
      <w:r>
        <w:t xml:space="preserve">— i.e., the drag-along article.</w:t>
      </w:r>
    </w:p>
    <w:p>
      <w:pPr>
        <w:pStyle w:val="BodyText"/>
      </w:pPr>
      <w:r>
        <w:t xml:space="preserve">This creates a potential trap. If the Transaction is approved and consummated by stockholder consent</w:t>
      </w:r>
      <w:r>
        <w:t xml:space="preserve"> </w:t>
      </w:r>
      <w:r>
        <w:rPr>
          <w:i/>
          <w:iCs/>
        </w:rPr>
        <w:t xml:space="preserve">without</w:t>
      </w:r>
      <w:r>
        <w:t xml:space="preserve"> </w:t>
      </w:r>
      <w:r>
        <w:t xml:space="preserve">formally invoking the drag-along (for example, if the Company simply solicits the DGCL § 251 vote and the protective-provision consents directly, without a Drag-Along Approval), then a litigant could argue that the Sale was not</w:t>
      </w:r>
      <w:r>
        <w:t xml:space="preserve"> </w:t>
      </w:r>
      <w:r>
        <w:t xml:space="preserve">“</w:t>
      </w:r>
      <w:r>
        <w:t xml:space="preserve">consummated in accordance with Article 3</w:t>
      </w:r>
      <w:r>
        <w:t xml:space="preserve">”</w:t>
      </w:r>
      <w:r>
        <w:t xml:space="preserve"> </w:t>
      </w:r>
      <w:r>
        <w:t xml:space="preserve">and that the ROFR/co-sale carve-outs do not apply. While the better view is that a company-wide merger for uniform consideration is not the kind of individual stockholder sale that the ROFR/co-sale provisions were designed to govern, the conditional language (</w:t>
      </w:r>
      <w:r>
        <w:t xml:space="preserve">“</w:t>
      </w:r>
      <w:r>
        <w:t xml:space="preserve">consummated in accordance with Article 3</w:t>
      </w:r>
      <w:r>
        <w:t xml:space="preserve">”</w:t>
      </w:r>
      <w:r>
        <w:t xml:space="preserve">) creates arguable ambiguity.</w:t>
      </w:r>
    </w:p>
    <w:p>
      <w:pPr>
        <w:pStyle w:val="BodyText"/>
      </w:pPr>
      <w:r>
        <w:rPr>
          <w:b/>
          <w:bCs/>
        </w:rPr>
        <w:t xml:space="preserve">Recommendation.</w:t>
      </w:r>
      <w:r>
        <w:t xml:space="preserve"> </w:t>
      </w:r>
      <w:r>
        <w:t xml:space="preserve">Structure the Transaction so that the Sale of the Company is expressly effected</w:t>
      </w:r>
      <w:r>
        <w:t xml:space="preserve"> </w:t>
      </w:r>
      <w:r>
        <w:t xml:space="preserve">“</w:t>
      </w:r>
      <w:r>
        <w:t xml:space="preserve">in accordance with Article 3</w:t>
      </w:r>
      <w:r>
        <w:t xml:space="preserve">”</w:t>
      </w:r>
      <w:r>
        <w:t xml:space="preserve"> </w:t>
      </w:r>
      <w:r>
        <w:t xml:space="preserve">of the Stockholders’ Agreement — i.e., obtain a Drag-Along Approval and invoke the drag-along as the mechanism for the stockholder vote. This cleanly brings the Transaction within the Section 2.1(c)/2.7(e) carve-outs and eliminates ROFR/co-sale ambiguity. As a belt-and-suspenders measure, obtain written ROFR/co-sale waivers from all Restricted Stockholders at signing or closing. Note that invoking the drag-along for this purpose is consistent with — and does not conflict with — the analysis in Section IV; the drag-along can be invoked to secure the stockholder vote and the ROFR/co-sale carve-out even if the Series C protective provision is separately satisfied by Stonemill’s affirmative consent.</w:t>
      </w:r>
    </w:p>
    <w:bookmarkEnd w:id="42"/>
    <w:bookmarkStart w:id="43" w:name="X0de813f3b5baf18b0baa2064983377adec75822"/>
    <w:p>
      <w:pPr>
        <w:pStyle w:val="Heading3"/>
      </w:pPr>
      <w:r>
        <w:t xml:space="preserve">C. Termination of the Stockholders’ Agreement</w:t>
      </w:r>
    </w:p>
    <w:p>
      <w:pPr>
        <w:pStyle w:val="FirstParagraph"/>
      </w:pPr>
      <w:r>
        <w:t xml:space="preserve">Section 6.1(b) provides that the Stockholders’ Agreement terminates upon</w:t>
      </w:r>
      <w:r>
        <w:t xml:space="preserve"> </w:t>
      </w:r>
      <w:r>
        <w:t xml:space="preserve">“</w:t>
      </w:r>
      <w:r>
        <w:t xml:space="preserve">a Sale of the Company (as defined in Section 1.1).</w:t>
      </w:r>
      <w:r>
        <w:t xml:space="preserve">”</w:t>
      </w:r>
      <w:r>
        <w:t xml:space="preserve"> </w:t>
      </w:r>
      <w:r>
        <w:t xml:space="preserve">The merger is a Sale of the Company. Accordingly, the Stockholders’ Agreement terminates at closing, and upon termination all transfer restrictions, ROFR, co-sale, tag-along, and drag-along rights cease (Section 6.3), and the Company must remove the related legends.</w:t>
      </w:r>
      <w:r>
        <w:t xml:space="preserve"> </w:t>
      </w:r>
      <w:r>
        <w:rPr>
          <w:b/>
          <w:bCs/>
        </w:rPr>
        <w:t xml:space="preserve">Status: Will terminate at closing, provided the merger is a Sale of the Company (which it is).</w:t>
      </w:r>
      <w:r>
        <w:t xml:space="preserve"> </w:t>
      </w:r>
      <w:r>
        <w:t xml:space="preserve">The survival of Article 7 (Miscellaneous) and pre-termination breach liability (Section 6.2) should be noted but do not impede closing.</w:t>
      </w:r>
    </w:p>
    <w:p>
      <w:r>
        <w:pict>
          <v:rect style="width:0;height:1.5pt" o:hralign="center" o:hrstd="t" o:hr="t"/>
        </w:pict>
      </w:r>
    </w:p>
    <w:bookmarkEnd w:id="43"/>
    <w:bookmarkEnd w:id="44"/>
    <w:bookmarkStart w:id="49" w:name="X6344b7399ebb669b609ab552eb07173a80f0df7"/>
    <w:p>
      <w:pPr>
        <w:pStyle w:val="Heading2"/>
      </w:pPr>
      <w:r>
        <w:t xml:space="preserve">VII. Area 5 — Board Composition — Post-Closing Implications</w:t>
      </w:r>
    </w:p>
    <w:bookmarkStart w:id="45" w:name="Xb956c515d98c34a5b2d32f298dfb6bc28723022"/>
    <w:p>
      <w:pPr>
        <w:pStyle w:val="Heading3"/>
      </w:pPr>
      <w:r>
        <w:t xml:space="preserve">A. Current board composition (Voting Agreement § 2.2)</w:t>
      </w:r>
    </w:p>
    <w:p>
      <w:pPr>
        <w:pStyle w:val="FirstParagraph"/>
      </w:pPr>
      <w:r>
        <w:t xml:space="preserve">The Voting Agreement fixes the Board at seven (7) directors with the following designation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Seat</w:t>
            </w:r>
          </w:p>
        </w:tc>
        <w:tc>
          <w:tcPr/>
          <w:p>
            <w:pPr>
              <w:pStyle w:val="Compact"/>
              <w:jc w:val="left"/>
            </w:pPr>
            <w:r>
              <w:t xml:space="preserve">Designator</w:t>
            </w:r>
          </w:p>
        </w:tc>
        <w:tc>
          <w:tcPr/>
          <w:p>
            <w:pPr>
              <w:pStyle w:val="Compact"/>
              <w:jc w:val="left"/>
            </w:pPr>
            <w:r>
              <w:t xml:space="preserve">Initial Director</w:t>
            </w:r>
          </w:p>
        </w:tc>
      </w:tr>
      <w:tr>
        <w:tc>
          <w:tcPr/>
          <w:p>
            <w:pPr>
              <w:pStyle w:val="Compact"/>
              <w:jc w:val="left"/>
            </w:pPr>
            <w:r>
              <w:t xml:space="preserve">Series A Director</w:t>
            </w:r>
          </w:p>
        </w:tc>
        <w:tc>
          <w:tcPr/>
          <w:p>
            <w:pPr>
              <w:pStyle w:val="Compact"/>
              <w:jc w:val="left"/>
            </w:pPr>
            <w:r>
              <w:t xml:space="preserve">Ridgeline (≥1,000,000 Series A)</w:t>
            </w:r>
          </w:p>
        </w:tc>
        <w:tc>
          <w:tcPr/>
          <w:p>
            <w:pPr>
              <w:pStyle w:val="Compact"/>
              <w:jc w:val="left"/>
            </w:pPr>
            <w:r>
              <w:t xml:space="preserve">David Kleinhans</w:t>
            </w:r>
          </w:p>
        </w:tc>
      </w:tr>
      <w:tr>
        <w:tc>
          <w:tcPr/>
          <w:p>
            <w:pPr>
              <w:pStyle w:val="Compact"/>
              <w:jc w:val="left"/>
            </w:pPr>
            <w:r>
              <w:t xml:space="preserve">Series B Director</w:t>
            </w:r>
          </w:p>
        </w:tc>
        <w:tc>
          <w:tcPr/>
          <w:p>
            <w:pPr>
              <w:pStyle w:val="Compact"/>
              <w:jc w:val="left"/>
            </w:pPr>
            <w:r>
              <w:t xml:space="preserve">Northbridge (≥1,000,000 Series B)</w:t>
            </w:r>
          </w:p>
        </w:tc>
        <w:tc>
          <w:tcPr/>
          <w:p>
            <w:pPr>
              <w:pStyle w:val="Compact"/>
              <w:jc w:val="left"/>
            </w:pPr>
            <w:r>
              <w:t xml:space="preserve">Sandra Okafor</w:t>
            </w:r>
          </w:p>
        </w:tc>
      </w:tr>
      <w:tr>
        <w:tc>
          <w:tcPr/>
          <w:p>
            <w:pPr>
              <w:pStyle w:val="Compact"/>
              <w:jc w:val="left"/>
            </w:pPr>
            <w:r>
              <w:t xml:space="preserve">Series C Director</w:t>
            </w:r>
          </w:p>
        </w:tc>
        <w:tc>
          <w:tcPr/>
          <w:p>
            <w:pPr>
              <w:pStyle w:val="Compact"/>
              <w:jc w:val="left"/>
            </w:pPr>
            <w:r>
              <w:t xml:space="preserve">Stonemill (≥1,000,000 Series C)</w:t>
            </w:r>
          </w:p>
        </w:tc>
        <w:tc>
          <w:tcPr/>
          <w:p>
            <w:pPr>
              <w:pStyle w:val="Compact"/>
              <w:jc w:val="left"/>
            </w:pPr>
            <w:r>
              <w:t xml:space="preserve">Julian Trask</w:t>
            </w:r>
          </w:p>
        </w:tc>
      </w:tr>
      <w:tr>
        <w:tc>
          <w:tcPr/>
          <w:p>
            <w:pPr>
              <w:pStyle w:val="Compact"/>
              <w:jc w:val="left"/>
            </w:pPr>
            <w:r>
              <w:t xml:space="preserve">CEO Director</w:t>
            </w:r>
          </w:p>
        </w:tc>
        <w:tc>
          <w:tcPr/>
          <w:p>
            <w:pPr>
              <w:pStyle w:val="Compact"/>
              <w:jc w:val="left"/>
            </w:pPr>
            <w:r>
              <w:t xml:space="preserve">CEO of the Company</w:t>
            </w:r>
          </w:p>
        </w:tc>
        <w:tc>
          <w:tcPr/>
          <w:p>
            <w:pPr>
              <w:pStyle w:val="Compact"/>
              <w:jc w:val="left"/>
            </w:pPr>
            <w:r>
              <w:t xml:space="preserve">Marcus Ellery</w:t>
            </w:r>
          </w:p>
        </w:tc>
      </w:tr>
      <w:tr>
        <w:tc>
          <w:tcPr/>
          <w:p>
            <w:pPr>
              <w:pStyle w:val="Compact"/>
              <w:jc w:val="left"/>
            </w:pPr>
            <w:r>
              <w:t xml:space="preserve">Founder Director</w:t>
            </w:r>
          </w:p>
        </w:tc>
        <w:tc>
          <w:tcPr/>
          <w:p>
            <w:pPr>
              <w:pStyle w:val="Compact"/>
              <w:jc w:val="left"/>
            </w:pPr>
            <w:r>
              <w:t xml:space="preserve">Founders (other than CEO)</w:t>
            </w:r>
          </w:p>
        </w:tc>
        <w:tc>
          <w:tcPr/>
          <w:p>
            <w:pPr>
              <w:pStyle w:val="Compact"/>
              <w:jc w:val="left"/>
            </w:pPr>
            <w:r>
              <w:t xml:space="preserve">Priya Chandrasekaran</w:t>
            </w:r>
          </w:p>
        </w:tc>
      </w:tr>
      <w:tr>
        <w:tc>
          <w:tcPr/>
          <w:p>
            <w:pPr>
              <w:pStyle w:val="Compact"/>
              <w:jc w:val="left"/>
            </w:pPr>
            <w:r>
              <w:t xml:space="preserve">Independent Director (1)</w:t>
            </w:r>
          </w:p>
        </w:tc>
        <w:tc>
          <w:tcPr/>
          <w:p>
            <w:pPr>
              <w:pStyle w:val="Compact"/>
              <w:jc w:val="left"/>
            </w:pPr>
            <w:r>
              <w:t xml:space="preserve">CEO + majority of Investors</w:t>
            </w:r>
          </w:p>
        </w:tc>
        <w:tc>
          <w:tcPr/>
          <w:p>
            <w:pPr>
              <w:pStyle w:val="Compact"/>
              <w:jc w:val="left"/>
            </w:pPr>
            <w:r>
              <w:t xml:space="preserve">Rebecca Lau</w:t>
            </w:r>
          </w:p>
        </w:tc>
      </w:tr>
      <w:tr>
        <w:tc>
          <w:tcPr/>
          <w:p>
            <w:pPr>
              <w:pStyle w:val="Compact"/>
              <w:jc w:val="left"/>
            </w:pPr>
            <w:r>
              <w:t xml:space="preserve">Independent Director (2)</w:t>
            </w:r>
          </w:p>
        </w:tc>
        <w:tc>
          <w:tcPr/>
          <w:p>
            <w:pPr>
              <w:pStyle w:val="Compact"/>
              <w:jc w:val="left"/>
            </w:pPr>
            <w:r>
              <w:t xml:space="preserve">CEO + majority of Investors</w:t>
            </w:r>
          </w:p>
        </w:tc>
        <w:tc>
          <w:tcPr/>
          <w:p>
            <w:pPr>
              <w:pStyle w:val="Compact"/>
              <w:jc w:val="left"/>
            </w:pPr>
            <w:r>
              <w:t xml:space="preserve">Thomas Garrett</w:t>
            </w:r>
          </w:p>
        </w:tc>
      </w:tr>
    </w:tbl>
    <w:p>
      <w:pPr>
        <w:pStyle w:val="BodyText"/>
      </w:pPr>
      <w:r>
        <w:t xml:space="preserve">Section 2.3 provides that a designated director may be removed only upon the written request of the designating party, and vacancies are filled by the designating party. Section 2.4 requires that each Board committee include at least one Investor Stockholder designee (unless otherwise agreed by the Investors). Section 3.1 obligates all parties to vote to maintain this composition.</w:t>
      </w:r>
    </w:p>
    <w:bookmarkEnd w:id="45"/>
    <w:bookmarkStart w:id="46" w:name="X80436d6f16256e706af6f456e19d5e4359551bc"/>
    <w:p>
      <w:pPr>
        <w:pStyle w:val="Heading3"/>
      </w:pPr>
      <w:r>
        <w:t xml:space="preserve">B. Termination of the Voting Agreement upon the merger</w:t>
      </w:r>
    </w:p>
    <w:p>
      <w:pPr>
        <w:pStyle w:val="FirstParagraph"/>
      </w:pPr>
      <w:r>
        <w:t xml:space="preserve">Section 7.1 provides that the Voting Agreement terminates upon the earliest of: (a) an IPO; (b) the consummation of a Sale of the Company (as defined in Section 1); (c) written consent of the Company, a majority of the Founder Common, and a majority of each series of Preferred held by parties (voting as separate classes); or (d)</w:t>
      </w:r>
      <w:r>
        <w:t xml:space="preserve"> </w:t>
      </w:r>
      <w:r>
        <w:rPr>
          <w:b/>
          <w:bCs/>
        </w:rPr>
        <w:t xml:space="preserve">November 3, 2026</w:t>
      </w:r>
      <w:r>
        <w:t xml:space="preserve"> </w:t>
      </w:r>
      <w:r>
        <w:t xml:space="preserve">(the fifth anniversary — the</w:t>
      </w:r>
      <w:r>
        <w:t xml:space="preserve"> </w:t>
      </w:r>
      <w:r>
        <w:t xml:space="preserve">“</w:t>
      </w:r>
      <w:r>
        <w:t xml:space="preserve">sunset</w:t>
      </w:r>
      <w:r>
        <w:t xml:space="preserve">”</w:t>
      </w:r>
      <w:r>
        <w:t xml:space="preserve">).</w:t>
      </w:r>
    </w:p>
    <w:p>
      <w:pPr>
        <w:pStyle w:val="BodyText"/>
      </w:pPr>
      <w:r>
        <w:t xml:space="preserve">The merger is a Sale of the Company under the Voting Agreement’s definition (Section 1), so the Voting Agreement</w:t>
      </w:r>
      <w:r>
        <w:t xml:space="preserve"> </w:t>
      </w:r>
      <w:r>
        <w:rPr>
          <w:b/>
          <w:bCs/>
        </w:rPr>
        <w:t xml:space="preserve">terminates at closing</w:t>
      </w:r>
      <w:r>
        <w:t xml:space="preserve"> </w:t>
      </w:r>
      <w:r>
        <w:t xml:space="preserve">under Section 7.1(b). Post-closing, Terravox is a wholly-owned subsidiary of Hargrove; Hargrove, as sole stockholder, will control the composition of the Terravox board. The designation rights, voting obligations, and committee-composition requirements all fall away at closing.</w:t>
      </w:r>
    </w:p>
    <w:bookmarkEnd w:id="46"/>
    <w:bookmarkStart w:id="47" w:name="X70110d8f6bd4e9c7e6f7b6df6c2f86cb23d1dda"/>
    <w:p>
      <w:pPr>
        <w:pStyle w:val="Heading3"/>
      </w:pPr>
      <w:r>
        <w:t xml:space="preserve">C. Stonemill’s board observer right — does it survive?</w:t>
      </w:r>
    </w:p>
    <w:p>
      <w:pPr>
        <w:pStyle w:val="FirstParagraph"/>
      </w:pPr>
      <w:r>
        <w:t xml:space="preserve">Section 4.1 grants Stonemill the right to appoint a non-voting board observer for so long as Stonemill holds at least 1,000,000 shares of Series C (or Common issued upon conversion). The observer is entitled to attend all Board and committee meetings and to receive all materials provided to directors (subject to attorney-client privilege and conflict-of-interest exclusions under Section 4.2).</w:t>
      </w:r>
    </w:p>
    <w:p>
      <w:pPr>
        <w:pStyle w:val="BodyText"/>
      </w:pPr>
      <w:r>
        <w:rPr>
          <w:b/>
          <w:bCs/>
        </w:rPr>
        <w:t xml:space="preserve">The observer right does not survive the merger.</w:t>
      </w:r>
      <w:r>
        <w:t xml:space="preserve"> </w:t>
      </w:r>
      <w:r>
        <w:t xml:space="preserve">Two independent reasons: (1) the Voting Agreement terminates at closing under Section 7.1(b) (Sale of the Company); and (2) even if the Voting Agreement did not terminate, the observer right is conditioned on Stonemill holding ≥1,000,000 Series C (or conversion Common), and at closing Stonemill’s Series C is cancelled for cash — so the condition fails and the right expires under Section 7.3. Post-closing, Hargrove controls the Terravox board and there is no continuing observer right.</w:t>
      </w:r>
    </w:p>
    <w:bookmarkEnd w:id="47"/>
    <w:bookmarkStart w:id="48" w:name="d.-the-sunset-risk-moderate"/>
    <w:p>
      <w:pPr>
        <w:pStyle w:val="Heading3"/>
      </w:pPr>
      <w:r>
        <w:t xml:space="preserve">D. The sunset risk (Moderate)</w:t>
      </w:r>
    </w:p>
    <w:p>
      <w:pPr>
        <w:pStyle w:val="FirstParagraph"/>
      </w:pPr>
      <w:r>
        <w:t xml:space="preserve">If, contrary to expectation, the merger were held</w:t>
      </w:r>
      <w:r>
        <w:t xml:space="preserve"> </w:t>
      </w:r>
      <w:r>
        <w:rPr>
          <w:i/>
          <w:iCs/>
        </w:rPr>
        <w:t xml:space="preserve">not</w:t>
      </w:r>
      <w:r>
        <w:t xml:space="preserve"> </w:t>
      </w:r>
      <w:r>
        <w:t xml:space="preserve">to be a</w:t>
      </w:r>
      <w:r>
        <w:t xml:space="preserve"> </w:t>
      </w:r>
      <w:r>
        <w:t xml:space="preserve">“</w:t>
      </w:r>
      <w:r>
        <w:t xml:space="preserve">Sale of the Company</w:t>
      </w:r>
      <w:r>
        <w:t xml:space="preserve">”</w:t>
      </w:r>
      <w:r>
        <w:t xml:space="preserve"> </w:t>
      </w:r>
      <w:r>
        <w:t xml:space="preserve">under the Voting Agreement (e.g., due to a definitional dispute), the Voting Agreement would not terminate at closing and would continue in force until the November 3, 2026 sunset. In that scenario, the designation rights and voting obligations would technically remain in force. However, the practical impact is limited: post-closing, the former stockholders (Founders and Investors) no longer hold shares (cashed out), so their voting obligations are moot, and the individual designation/observer rights expire under Section 7.3 when the minimum-share thresholds are no longer met. The residual risk is low but non-zero, and it reinforces the importance of the definitional-consistency analysis in Section VIII. We recommend that the merger agreement include an express termination/waiver of the Voting Agreement at closing to eliminate any sunset-related lingering risk.</w:t>
      </w:r>
    </w:p>
    <w:p>
      <w:r>
        <w:pict>
          <v:rect style="width:0;height:1.5pt" o:hralign="center" o:hrstd="t" o:hr="t"/>
        </w:pict>
      </w:r>
    </w:p>
    <w:bookmarkEnd w:id="48"/>
    <w:bookmarkEnd w:id="49"/>
    <w:bookmarkStart w:id="53" w:name="X5735d5a9a6508e99bab280e3b65c0e0be9c8c6d"/>
    <w:p>
      <w:pPr>
        <w:pStyle w:val="Heading2"/>
      </w:pPr>
      <w:r>
        <w:t xml:space="preserve">VIII. Area 6 — Cross-Document Definitional Inconsistencies</w:t>
      </w:r>
    </w:p>
    <w:p>
      <w:pPr>
        <w:pStyle w:val="FirstParagraph"/>
      </w:pPr>
      <w:r>
        <w:t xml:space="preserve">We compared the change-of-control defined terms across the five governance documents. The principal findings are below.</w:t>
      </w:r>
    </w:p>
    <w:bookmarkStart w:id="50" w:name="X2d699221dcc8de4fc92004663d94012e6f28766"/>
    <w:p>
      <w:pPr>
        <w:pStyle w:val="Heading3"/>
      </w:pPr>
      <w:r>
        <w:t xml:space="preserve">A.</w:t>
      </w:r>
      <w:r>
        <w:t xml:space="preserve"> </w:t>
      </w:r>
      <w:r>
        <w:t xml:space="preserve">“</w:t>
      </w:r>
      <w:r>
        <w:t xml:space="preserve">Liquidation Event</w:t>
      </w:r>
      <w:r>
        <w:t xml:space="preserve">”</w:t>
      </w:r>
      <w:r>
        <w:t xml:space="preserve"> </w:t>
      </w:r>
      <w:r>
        <w:t xml:space="preserve">(Restated Certificate § 4.3.2(d)) vs. </w:t>
      </w:r>
      <w:r>
        <w:t xml:space="preserve">“</w:t>
      </w:r>
      <w:r>
        <w:t xml:space="preserve">Sale of the Company</w:t>
      </w:r>
      <w:r>
        <w:t xml:space="preserve">”</w:t>
      </w:r>
      <w:r>
        <w:t xml:space="preserve"> </w:t>
      </w:r>
      <w:r>
        <w:t xml:space="preserve">(Stockholders’ Agreement § 1.1; Voting Agreement § 1)</w:t>
      </w:r>
    </w:p>
    <w:p>
      <w:pPr>
        <w:pStyle w:val="FirstParagraph"/>
      </w:pPr>
      <w:r>
        <w:t xml:space="preserve">These terms are</w:t>
      </w:r>
      <w:r>
        <w:t xml:space="preserve"> </w:t>
      </w:r>
      <w:r>
        <w:rPr>
          <w:b/>
          <w:bCs/>
        </w:rPr>
        <w:t xml:space="preserve">substantially consistent</w:t>
      </w:r>
      <w:r>
        <w:t xml:space="preserve"> </w:t>
      </w:r>
      <w:r>
        <w:t xml:space="preserve">in capturing the reverse triangular merger, but differ in two respects:</w:t>
      </w:r>
    </w:p>
    <w:p>
      <w:pPr>
        <w:numPr>
          <w:ilvl w:val="0"/>
          <w:numId w:val="1004"/>
        </w:numPr>
      </w:pPr>
      <w:r>
        <w:rPr>
          <w:b/>
          <w:bCs/>
        </w:rPr>
        <w:t xml:space="preserve">Threshold for the merger continuation exception.</w:t>
      </w:r>
      <w:r>
        <w:t xml:space="preserve"> </w:t>
      </w:r>
      <w:r>
        <w:t xml:space="preserve">The Restated Certificate’s</w:t>
      </w:r>
      <w:r>
        <w:t xml:space="preserve"> </w:t>
      </w:r>
      <w:r>
        <w:t xml:space="preserve">“</w:t>
      </w:r>
      <w:r>
        <w:t xml:space="preserve">Liquidation Event</w:t>
      </w:r>
      <w:r>
        <w:t xml:space="preserve">”</w:t>
      </w:r>
      <w:r>
        <w:t xml:space="preserve"> </w:t>
      </w:r>
      <w:r>
        <w:t xml:space="preserve">(Section 4.3.2(d)(i)) excludes a merger in which the Company’s stockholders continue to hold</w:t>
      </w:r>
      <w:r>
        <w:t xml:space="preserve"> </w:t>
      </w:r>
      <w:r>
        <w:t xml:space="preserve">“</w:t>
      </w:r>
      <w:r>
        <w:rPr>
          <w:b/>
          <w:bCs/>
        </w:rPr>
        <w:t xml:space="preserve">at least fifty percent (50%)</w:t>
      </w:r>
      <w:r>
        <w:t xml:space="preserve">”</w:t>
      </w:r>
      <w:r>
        <w:t xml:space="preserve"> </w:t>
      </w:r>
      <w:r>
        <w:t xml:space="preserve">of the voting power — i.e., a merger in which stockholders retain exactly 50% is</w:t>
      </w:r>
      <w:r>
        <w:t xml:space="preserve"> </w:t>
      </w:r>
      <w:r>
        <w:rPr>
          <w:i/>
          <w:iCs/>
        </w:rPr>
        <w:t xml:space="preserve">not</w:t>
      </w:r>
      <w:r>
        <w:t xml:space="preserve"> </w:t>
      </w:r>
      <w:r>
        <w:t xml:space="preserve">a Liquidation Event. The</w:t>
      </w:r>
      <w:r>
        <w:t xml:space="preserve"> </w:t>
      </w:r>
      <w:r>
        <w:t xml:space="preserve">“</w:t>
      </w:r>
      <w:r>
        <w:t xml:space="preserve">Sale of the Company</w:t>
      </w:r>
      <w:r>
        <w:t xml:space="preserve">”</w:t>
      </w:r>
      <w:r>
        <w:t xml:space="preserve"> </w:t>
      </w:r>
      <w:r>
        <w:t xml:space="preserve">definitions in the Stockholders’ Agreement and Voting Agreement exclude a merger in which stockholders</w:t>
      </w:r>
      <w:r>
        <w:t xml:space="preserve"> </w:t>
      </w:r>
      <w:r>
        <w:t xml:space="preserve">“</w:t>
      </w:r>
      <w:r>
        <w:t xml:space="preserve">do not retain a</w:t>
      </w:r>
      <w:r>
        <w:t xml:space="preserve"> </w:t>
      </w:r>
      <w:r>
        <w:rPr>
          <w:b/>
          <w:bCs/>
        </w:rPr>
        <w:t xml:space="preserve">majority</w:t>
      </w:r>
      <w:r>
        <w:t xml:space="preserve">”</w:t>
      </w:r>
      <w:r>
        <w:t xml:space="preserve"> </w:t>
      </w:r>
      <w:r>
        <w:t xml:space="preserve">of the voting power — i.e., a merger in which stockholders retain exactly 50%</w:t>
      </w:r>
      <w:r>
        <w:t xml:space="preserve"> </w:t>
      </w:r>
      <w:r>
        <w:rPr>
          <w:i/>
          <w:iCs/>
        </w:rPr>
        <w:t xml:space="preserve">is</w:t>
      </w:r>
      <w:r>
        <w:t xml:space="preserve"> </w:t>
      </w:r>
      <w:r>
        <w:t xml:space="preserve">a Sale of the Company (because 50% is not a majority). This is a subtle inconsistency that could produce different outcomes in the rare case of a merger in which stockholders retain exactly 50%.</w:t>
      </w:r>
      <w:r>
        <w:t xml:space="preserve"> </w:t>
      </w:r>
      <w:r>
        <w:rPr>
          <w:b/>
          <w:bCs/>
        </w:rPr>
        <w:t xml:space="preserve">It does not affect the Hargrove Transaction</w:t>
      </w:r>
      <w:r>
        <w:t xml:space="preserve"> </w:t>
      </w:r>
      <w:r>
        <w:t xml:space="preserve">(stockholders retain 0%), but it should be noted and, if practicable, conformed in any post-closing cleanup.</w:t>
      </w:r>
    </w:p>
    <w:p>
      <w:pPr>
        <w:numPr>
          <w:ilvl w:val="0"/>
          <w:numId w:val="1004"/>
        </w:numPr>
      </w:pPr>
      <w:r>
        <w:rPr>
          <w:b/>
          <w:bCs/>
        </w:rPr>
        <w:t xml:space="preserve">Scope.</w:t>
      </w:r>
      <w:r>
        <w:t xml:space="preserve"> </w:t>
      </w:r>
      <w:r>
        <w:t xml:space="preserve">The</w:t>
      </w:r>
      <w:r>
        <w:t xml:space="preserve"> </w:t>
      </w:r>
      <w:r>
        <w:t xml:space="preserve">“</w:t>
      </w:r>
      <w:r>
        <w:t xml:space="preserve">Liquidation Event</w:t>
      </w:r>
      <w:r>
        <w:t xml:space="preserve">”</w:t>
      </w:r>
      <w:r>
        <w:t xml:space="preserve"> </w:t>
      </w:r>
      <w:r>
        <w:t xml:space="preserve">definition includes a fourth sub-part (Section 4.3.2(d)(iv): voluntary or involuntary liquidation, dissolution, or winding up) that the</w:t>
      </w:r>
      <w:r>
        <w:t xml:space="preserve"> </w:t>
      </w:r>
      <w:r>
        <w:t xml:space="preserve">“</w:t>
      </w:r>
      <w:r>
        <w:t xml:space="preserve">Sale of the Company</w:t>
      </w:r>
      <w:r>
        <w:t xml:space="preserve">”</w:t>
      </w:r>
      <w:r>
        <w:t xml:space="preserve"> </w:t>
      </w:r>
      <w:r>
        <w:t xml:space="preserve">definitions do not expressly include. This is a minor scope difference; a liquidation/dissolution would not typically be a</w:t>
      </w:r>
      <w:r>
        <w:t xml:space="preserve"> </w:t>
      </w:r>
      <w:r>
        <w:t xml:space="preserve">“</w:t>
      </w:r>
      <w:r>
        <w:t xml:space="preserve">Sale of the Company</w:t>
      </w:r>
      <w:r>
        <w:t xml:space="preserve">”</w:t>
      </w:r>
      <w:r>
        <w:t xml:space="preserve"> </w:t>
      </w:r>
      <w:r>
        <w:t xml:space="preserve">but would be a</w:t>
      </w:r>
      <w:r>
        <w:t xml:space="preserve"> </w:t>
      </w:r>
      <w:r>
        <w:t xml:space="preserve">“</w:t>
      </w:r>
      <w:r>
        <w:t xml:space="preserve">Liquidation Event.</w:t>
      </w:r>
      <w:r>
        <w:t xml:space="preserve">”</w:t>
      </w:r>
      <w:r>
        <w:t xml:space="preserve"> </w:t>
      </w:r>
      <w:r>
        <w:t xml:space="preserve">Again, not relevant to the merger.</w:t>
      </w:r>
    </w:p>
    <w:bookmarkEnd w:id="50"/>
    <w:bookmarkStart w:id="51" w:name="X0f3ccd001441f020f1d0b08795c62948b85cf11"/>
    <w:p>
      <w:pPr>
        <w:pStyle w:val="Heading3"/>
      </w:pPr>
      <w:r>
        <w:t xml:space="preserve">B.</w:t>
      </w:r>
      <w:r>
        <w:t xml:space="preserve"> </w:t>
      </w:r>
      <w:r>
        <w:t xml:space="preserve">“</w:t>
      </w:r>
      <w:r>
        <w:t xml:space="preserve">Deemed Liquidation Event</w:t>
      </w:r>
      <w:r>
        <w:t xml:space="preserve">”</w:t>
      </w:r>
      <w:r>
        <w:t xml:space="preserve"> </w:t>
      </w:r>
      <w:r>
        <w:t xml:space="preserve">(RRA § 9(c)) — UNDEFINED — Significant</w:t>
      </w:r>
    </w:p>
    <w:p>
      <w:pPr>
        <w:pStyle w:val="FirstParagraph"/>
      </w:pPr>
      <w:r>
        <w:t xml:space="preserve">The RRA terminates upon</w:t>
      </w:r>
      <w:r>
        <w:t xml:space="preserve"> </w:t>
      </w:r>
      <w:r>
        <w:t xml:space="preserve">“</w:t>
      </w:r>
      <w:r>
        <w:t xml:space="preserve">a Deemed Liquidation Event</w:t>
      </w:r>
      <w:r>
        <w:t xml:space="preserve">”</w:t>
      </w:r>
      <w:r>
        <w:t xml:space="preserve"> </w:t>
      </w:r>
      <w:r>
        <w:t xml:space="preserve">(Section 9(c)) but</w:t>
      </w:r>
      <w:r>
        <w:t xml:space="preserve"> </w:t>
      </w:r>
      <w:r>
        <w:rPr>
          <w:b/>
          <w:bCs/>
        </w:rPr>
        <w:t xml:space="preserve">does not define</w:t>
      </w:r>
      <w:r>
        <w:rPr>
          <w:b/>
          <w:bCs/>
        </w:rPr>
        <w:t xml:space="preserve"> </w:t>
      </w:r>
      <w:r>
        <w:rPr>
          <w:b/>
          <w:bCs/>
        </w:rPr>
        <w:t xml:space="preserve">“</w:t>
      </w:r>
      <w:r>
        <w:rPr>
          <w:b/>
          <w:bCs/>
        </w:rPr>
        <w:t xml:space="preserve">Deemed Liquidation Event</w:t>
      </w:r>
      <w:r>
        <w:rPr>
          <w:b/>
          <w:bCs/>
        </w:rPr>
        <w:t xml:space="preserve">”</w:t>
      </w:r>
      <w:r>
        <w:t xml:space="preserve"> </w:t>
      </w:r>
      <w:r>
        <w:t xml:space="preserve">anywhere in the RRA and does not cross-reference the Restated Certificate’s</w:t>
      </w:r>
      <w:r>
        <w:t xml:space="preserve"> </w:t>
      </w:r>
      <w:r>
        <w:t xml:space="preserve">“</w:t>
      </w:r>
      <w:r>
        <w:t xml:space="preserve">Liquidation Event.</w:t>
      </w:r>
      <w:r>
        <w:t xml:space="preserve">”</w:t>
      </w:r>
      <w:r>
        <w:t xml:space="preserve"> </w:t>
      </w:r>
      <w:r>
        <w:t xml:space="preserve">This is the most significant definitional gap in the document set.</w:t>
      </w:r>
    </w:p>
    <w:p>
      <w:pPr>
        <w:pStyle w:val="Compact"/>
        <w:numPr>
          <w:ilvl w:val="0"/>
          <w:numId w:val="1005"/>
        </w:numPr>
      </w:pPr>
      <w:r>
        <w:rPr>
          <w:b/>
          <w:bCs/>
        </w:rPr>
        <w:t xml:space="preserve">Likely intent.</w:t>
      </w:r>
      <w:r>
        <w:t xml:space="preserve"> </w:t>
      </w:r>
      <w:r>
        <w:t xml:space="preserve">“</w:t>
      </w:r>
      <w:r>
        <w:t xml:space="preserve">Deemed Liquidation Event</w:t>
      </w:r>
      <w:r>
        <w:t xml:space="preserve">”</w:t>
      </w:r>
      <w:r>
        <w:t xml:space="preserve"> </w:t>
      </w:r>
      <w:r>
        <w:t xml:space="preserve">is a conventional VC term that refers to a change-of-control transaction (merger, asset sale, etc.) treated as a liquidation for preferred-stock purposes — i.e., functionally identical to the Restated Certificate’s</w:t>
      </w:r>
      <w:r>
        <w:t xml:space="preserve"> </w:t>
      </w:r>
      <w:r>
        <w:t xml:space="preserve">“</w:t>
      </w:r>
      <w:r>
        <w:t xml:space="preserve">Liquidation Event.</w:t>
      </w:r>
      <w:r>
        <w:t xml:space="preserve">”</w:t>
      </w:r>
      <w:r>
        <w:t xml:space="preserve"> </w:t>
      </w:r>
      <w:r>
        <w:t xml:space="preserve">The parties almost certainly intended the RRA to terminate upon the same change-of-control events that trigger the charter’s Liquidation Event and the other agreements’ Sale of the Company.</w:t>
      </w:r>
    </w:p>
    <w:p>
      <w:pPr>
        <w:pStyle w:val="Compact"/>
        <w:numPr>
          <w:ilvl w:val="0"/>
          <w:numId w:val="1005"/>
        </w:numPr>
      </w:pPr>
      <w:r>
        <w:rPr>
          <w:b/>
          <w:bCs/>
        </w:rPr>
        <w:t xml:space="preserve">The risk.</w:t>
      </w:r>
      <w:r>
        <w:t xml:space="preserve"> </w:t>
      </w:r>
      <w:r>
        <w:t xml:space="preserve">Because the term is undefined, a holder could argue that the RRA’s termination trigger is ambiguous and that registration rights survive the merger. In an all-cash merger, the practical impact is limited because post-closing there are no</w:t>
      </w:r>
      <w:r>
        <w:t xml:space="preserve"> </w:t>
      </w:r>
      <w:r>
        <w:t xml:space="preserve">“</w:t>
      </w:r>
      <w:r>
        <w:t xml:space="preserve">Registrable Securities</w:t>
      </w:r>
      <w:r>
        <w:t xml:space="preserve">”</w:t>
      </w:r>
      <w:r>
        <w:t xml:space="preserve"> </w:t>
      </w:r>
      <w:r>
        <w:t xml:space="preserve">outstanding (the Preferred is cancelled for cash; no Common is issued upon conversion), so the registration rights would be largely moot.</w:t>
      </w:r>
      <w:r>
        <w:t xml:space="preserve"> </w:t>
      </w:r>
      <w:r>
        <w:rPr>
          <w:b/>
          <w:bCs/>
        </w:rPr>
        <w:t xml:space="preserve">However</w:t>
      </w:r>
      <w:r>
        <w:t xml:space="preserve">, the definitional gap (i) creates avoidable ambiguity, (ii) would become material if the deal structure ever included stock consideration, and (iii) leaves the RRA’s indemnification provisions (Section 7, which survive termination under Section 9) technically in play.</w:t>
      </w:r>
    </w:p>
    <w:p>
      <w:pPr>
        <w:pStyle w:val="Compact"/>
        <w:numPr>
          <w:ilvl w:val="0"/>
          <w:numId w:val="1005"/>
        </w:numPr>
      </w:pPr>
      <w:r>
        <w:rPr>
          <w:b/>
          <w:bCs/>
        </w:rPr>
        <w:t xml:space="preserve">Recommendation.</w:t>
      </w:r>
      <w:r>
        <w:t xml:space="preserve"> </w:t>
      </w:r>
      <w:r>
        <w:t xml:space="preserve">Do not rely on the undefined</w:t>
      </w:r>
      <w:r>
        <w:t xml:space="preserve"> </w:t>
      </w:r>
      <w:r>
        <w:t xml:space="preserve">“</w:t>
      </w:r>
      <w:r>
        <w:t xml:space="preserve">Deemed Liquidation Event</w:t>
      </w:r>
      <w:r>
        <w:t xml:space="preserve">”</w:t>
      </w:r>
      <w:r>
        <w:t xml:space="preserve"> </w:t>
      </w:r>
      <w:r>
        <w:t xml:space="preserve">alone. The merger agreement should include an express termination of the RRA at closing and/or the Company and Holders of a majority of the Registrable Securities should execute a written termination under Section 9 (second clause) as a belt-and-suspenders measure. See Section XII.</w:t>
      </w:r>
    </w:p>
    <w:bookmarkEnd w:id="51"/>
    <w:bookmarkStart w:id="52" w:name="Xfe7be4f60b8ece34d6598ec23f71ab50912771b"/>
    <w:p>
      <w:pPr>
        <w:pStyle w:val="Heading3"/>
      </w:pPr>
      <w:r>
        <w:t xml:space="preserve">C. Referenced but unproduced agreements — potential additional definitional sources</w:t>
      </w:r>
    </w:p>
    <w:p>
      <w:pPr>
        <w:pStyle w:val="FirstParagraph"/>
      </w:pPr>
      <w:r>
        <w:t xml:space="preserve">The Board Minutes’ introductory paragraph references four governance agreements executed as of November 3, 2021:</w:t>
      </w:r>
      <w:r>
        <w:t xml:space="preserve"> </w:t>
      </w:r>
      <w:r>
        <w:t xml:space="preserve">“</w:t>
      </w:r>
      <w:r>
        <w:t xml:space="preserve">the Investors’ Rights Agreement, the Voting Agreement, the Right of First Refusal and Co-Sale Agreement, and the Stockholders’ Agreement.</w:t>
      </w:r>
      <w:r>
        <w:t xml:space="preserve">”</w:t>
      </w:r>
      <w:r>
        <w:t xml:space="preserve"> </w:t>
      </w:r>
      <w:r>
        <w:t xml:space="preserve">We have received the Stockholders’ Agreement, the Voting Agreement, and the RRA — but the Minutes reference an</w:t>
      </w:r>
      <w:r>
        <w:t xml:space="preserve"> </w:t>
      </w:r>
      <w:r>
        <w:t xml:space="preserve">“</w:t>
      </w:r>
      <w:r>
        <w:t xml:space="preserve">Investors’ Rights Agreement</w:t>
      </w:r>
      <w:r>
        <w:t xml:space="preserve">”</w:t>
      </w:r>
      <w:r>
        <w:t xml:space="preserve"> </w:t>
      </w:r>
      <w:r>
        <w:t xml:space="preserve">and a separate</w:t>
      </w:r>
      <w:r>
        <w:t xml:space="preserve"> </w:t>
      </w:r>
      <w:r>
        <w:t xml:space="preserve">“</w:t>
      </w:r>
      <w:r>
        <w:t xml:space="preserve">Right of First Refusal and Co-Sale Agreement</w:t>
      </w:r>
      <w:r>
        <w:t xml:space="preserve">”</w:t>
      </w:r>
      <w:r>
        <w:t xml:space="preserve"> </w:t>
      </w:r>
      <w:r>
        <w:t xml:space="preserve">as</w:t>
      </w:r>
      <w:r>
        <w:t xml:space="preserve"> </w:t>
      </w:r>
      <w:r>
        <w:rPr>
          <w:i/>
          <w:iCs/>
        </w:rPr>
        <w:t xml:space="preserve">distinct</w:t>
      </w:r>
      <w:r>
        <w:t xml:space="preserve"> </w:t>
      </w:r>
      <w:r>
        <w:t xml:space="preserve">from the Stockholders’ Agreement.</w:t>
      </w:r>
    </w:p>
    <w:p>
      <w:pPr>
        <w:pStyle w:val="BodyText"/>
      </w:pPr>
      <w:r>
        <w:t xml:space="preserve">This raises a document-integrity question: either (a) the Company executed separate Investors’ Rights and ROFR/Co-Sale agreements that we have not received (in which case there may be additional consent rights, transfer restrictions, or information rights not captured in the documents we reviewed), or (b) the Stockholders’ Agreement we received is a combined instrument that subsumes the ROFR/co-sale and information-rights provisions (and the RRA subsumes the registration-rights portion of what would conventionally be an Investors’ Rights Agreement), and the Minutes use imprecise terminology.</w:t>
      </w:r>
      <w:r>
        <w:t xml:space="preserve"> </w:t>
      </w:r>
      <w:r>
        <w:rPr>
          <w:b/>
          <w:bCs/>
        </w:rPr>
        <w:t xml:space="preserve">This must be confirmed with Avery, Pollard &amp; Glenn.</w:t>
      </w:r>
      <w:r>
        <w:t xml:space="preserve"> </w:t>
      </w:r>
      <w:r>
        <w:t xml:space="preserve">If separate agreements exist, they must be produced and reviewed, as they could contain additional change-of-control consent rights or transfer restrictions that affect the Transaction. This is included in the document request list (Appendix B).</w:t>
      </w:r>
    </w:p>
    <w:p>
      <w:r>
        <w:pict>
          <v:rect style="width:0;height:1.5pt" o:hralign="center" o:hrstd="t" o:hr="t"/>
        </w:pict>
      </w:r>
    </w:p>
    <w:bookmarkEnd w:id="52"/>
    <w:bookmarkEnd w:id="53"/>
    <w:bookmarkStart w:id="58" w:name="X878afb753682845ab3a0f0812c7dee481e37bd1"/>
    <w:p>
      <w:pPr>
        <w:pStyle w:val="Heading2"/>
      </w:pPr>
      <w:r>
        <w:t xml:space="preserve">IX. Area 7 — Outstanding Equity Awards and Change-of-Control Acceleration</w:t>
      </w:r>
    </w:p>
    <w:bookmarkStart w:id="54" w:name="X875b7c1ea6e63a4de60caa8611d140255726082"/>
    <w:p>
      <w:pPr>
        <w:pStyle w:val="Heading3"/>
      </w:pPr>
      <w:r>
        <w:t xml:space="preserve">A. Awards identified in the Board Minutes</w:t>
      </w:r>
    </w:p>
    <w:p>
      <w:pPr>
        <w:pStyle w:val="Compact"/>
        <w:numPr>
          <w:ilvl w:val="0"/>
          <w:numId w:val="1006"/>
        </w:numPr>
      </w:pPr>
      <w:r>
        <w:rPr>
          <w:b/>
          <w:bCs/>
        </w:rPr>
        <w:t xml:space="preserve">Raj Malhotra (VP, Engineering):</w:t>
      </w:r>
      <w:r>
        <w:t xml:space="preserve"> </w:t>
      </w:r>
      <w:r>
        <w:t xml:space="preserve">350,000 stock options granted April 12, 2023, under the 2021 Equity Incentive Plan (the</w:t>
      </w:r>
      <w:r>
        <w:t xml:space="preserve"> </w:t>
      </w:r>
      <w:r>
        <w:t xml:space="preserve">“</w:t>
      </w:r>
      <w:r>
        <w:t xml:space="preserve">Plan</w:t>
      </w:r>
      <w:r>
        <w:t xml:space="preserve">”</w:t>
      </w:r>
      <w:r>
        <w:t xml:space="preserve">), exercise price $14.30 per share (the then-current 409A fair market value), vesting over four years with a one-year cliff (Board Minutes, April 12, 2023).</w:t>
      </w:r>
    </w:p>
    <w:p>
      <w:pPr>
        <w:pStyle w:val="Compact"/>
        <w:numPr>
          <w:ilvl w:val="0"/>
          <w:numId w:val="1006"/>
        </w:numPr>
      </w:pPr>
      <w:r>
        <w:rPr>
          <w:b/>
          <w:bCs/>
        </w:rPr>
        <w:t xml:space="preserve">Linda Yeung (CFO):</w:t>
      </w:r>
      <w:r>
        <w:t xml:space="preserve"> </w:t>
      </w:r>
      <w:r>
        <w:t xml:space="preserve">200,000 RSUs granted April 17, 2024, under the Plan (as amended), vesting over three years (one-third per year), at a $14.30 fair market value (Board Minutes, April 17, 2024).</w:t>
      </w:r>
    </w:p>
    <w:p>
      <w:pPr>
        <w:pStyle w:val="Compact"/>
        <w:numPr>
          <w:ilvl w:val="0"/>
          <w:numId w:val="1006"/>
        </w:numPr>
      </w:pPr>
      <w:r>
        <w:rPr>
          <w:b/>
          <w:bCs/>
        </w:rPr>
        <w:t xml:space="preserve">Plan share reserve:</w:t>
      </w:r>
      <w:r>
        <w:t xml:space="preserve"> </w:t>
      </w:r>
      <w:r>
        <w:t xml:space="preserve">increased from 8,000,000 to 9,500,000 shares on July 19, 2023 (Board Minutes, July 19, 2023). As of that date, approximately 7,420,000 shares were subject to outstanding awards or previously exercised, leaving fewer than 580,000 available before the increase.</w:t>
      </w:r>
    </w:p>
    <w:p>
      <w:pPr>
        <w:pStyle w:val="Compact"/>
        <w:numPr>
          <w:ilvl w:val="0"/>
          <w:numId w:val="1006"/>
        </w:numPr>
      </w:pPr>
      <w:r>
        <w:rPr>
          <w:b/>
          <w:bCs/>
        </w:rPr>
        <w:t xml:space="preserve">Aggregate option/RSU pool:</w:t>
      </w:r>
      <w:r>
        <w:t xml:space="preserve"> </w:t>
      </w:r>
      <w:r>
        <w:t xml:space="preserve">approximately 10,100,000 shares (~29.8% of fully diluted capitalization), per Stockholders’ Agreement Exhibit B.</w:t>
      </w:r>
    </w:p>
    <w:bookmarkEnd w:id="54"/>
    <w:bookmarkStart w:id="55" w:name="Xe9c9a7bee4619b5f1ca68e02740a50472459ad3"/>
    <w:p>
      <w:pPr>
        <w:pStyle w:val="Heading3"/>
      </w:pPr>
      <w:r>
        <w:t xml:space="preserve">B. Document gap — the Plan and award agreements (Significant)</w:t>
      </w:r>
    </w:p>
    <w:p>
      <w:pPr>
        <w:pStyle w:val="FirstParagraph"/>
      </w:pPr>
      <w:r>
        <w:rPr>
          <w:b/>
          <w:bCs/>
        </w:rPr>
        <w:t xml:space="preserve">We have not received the 2021 Equity Incentive Plan (as amended) or any individual award agreements.</w:t>
      </w:r>
      <w:r>
        <w:t xml:space="preserve"> </w:t>
      </w:r>
      <w:r>
        <w:t xml:space="preserve">This is a material gap. Until we review the Plan and the standard form option and RSU agreements, we cannot determine:</w:t>
      </w:r>
    </w:p>
    <w:p>
      <w:pPr>
        <w:pStyle w:val="Compact"/>
        <w:numPr>
          <w:ilvl w:val="0"/>
          <w:numId w:val="1007"/>
        </w:numPr>
      </w:pPr>
      <w:r>
        <w:rPr>
          <w:b/>
          <w:bCs/>
        </w:rPr>
        <w:t xml:space="preserve">Change-of-control definition.</w:t>
      </w:r>
      <w:r>
        <w:t xml:space="preserve"> </w:t>
      </w:r>
      <w:r>
        <w:t xml:space="preserve">Whether the merger constitutes a</w:t>
      </w:r>
      <w:r>
        <w:t xml:space="preserve"> </w:t>
      </w:r>
      <w:r>
        <w:t xml:space="preserve">“</w:t>
      </w:r>
      <w:r>
        <w:t xml:space="preserve">change of control,</w:t>
      </w:r>
      <w:r>
        <w:t xml:space="preserve">”</w:t>
      </w:r>
      <w:r>
        <w:t xml:space="preserve"> </w:t>
      </w:r>
      <w:r>
        <w:t xml:space="preserve">“</w:t>
      </w:r>
      <w:r>
        <w:t xml:space="preserve">change in control,</w:t>
      </w:r>
      <w:r>
        <w:t xml:space="preserve">”</w:t>
      </w:r>
      <w:r>
        <w:t xml:space="preserve"> </w:t>
      </w:r>
      <w:r>
        <w:t xml:space="preserve">or equivalent defined event under the Plan.</w:t>
      </w:r>
    </w:p>
    <w:p>
      <w:pPr>
        <w:pStyle w:val="Compact"/>
        <w:numPr>
          <w:ilvl w:val="0"/>
          <w:numId w:val="1007"/>
        </w:numPr>
      </w:pPr>
      <w:r>
        <w:rPr>
          <w:b/>
          <w:bCs/>
        </w:rPr>
        <w:t xml:space="preserve">Acceleration triggers.</w:t>
      </w:r>
      <w:r>
        <w:t xml:space="preserve"> </w:t>
      </w:r>
      <w:r>
        <w:t xml:space="preserve">Whether unvested awards accelerate on a</w:t>
      </w:r>
      <w:r>
        <w:t xml:space="preserve"> </w:t>
      </w:r>
      <w:r>
        <w:rPr>
          <w:b/>
          <w:bCs/>
        </w:rPr>
        <w:t xml:space="preserve">single-trigger</w:t>
      </w:r>
      <w:r>
        <w:t xml:space="preserve"> </w:t>
      </w:r>
      <w:r>
        <w:t xml:space="preserve">basis (upon the change of control itself) or a</w:t>
      </w:r>
      <w:r>
        <w:t xml:space="preserve"> </w:t>
      </w:r>
      <w:r>
        <w:rPr>
          <w:b/>
          <w:bCs/>
        </w:rPr>
        <w:t xml:space="preserve">double-trigger</w:t>
      </w:r>
      <w:r>
        <w:t xml:space="preserve"> </w:t>
      </w:r>
      <w:r>
        <w:t xml:space="preserve">basis (upon change of control</w:t>
      </w:r>
      <w:r>
        <w:t xml:space="preserve"> </w:t>
      </w:r>
      <w:r>
        <w:rPr>
          <w:i/>
          <w:iCs/>
        </w:rPr>
        <w:t xml:space="preserve">plus</w:t>
      </w:r>
      <w:r>
        <w:t xml:space="preserve"> </w:t>
      </w:r>
      <w:r>
        <w:t xml:space="preserve">a qualifying termination of service). Single-trigger acceleration would cause all unvested awards to vest and become payable at closing, increasing the cash consideration payable to award holders and reducing the proceeds to stockholders; double-trigger acceleration would generally not accelerate at closing (absent post-closing terminations).</w:t>
      </w:r>
    </w:p>
    <w:p>
      <w:pPr>
        <w:pStyle w:val="Compact"/>
        <w:numPr>
          <w:ilvl w:val="0"/>
          <w:numId w:val="1007"/>
        </w:numPr>
      </w:pPr>
      <w:r>
        <w:rPr>
          <w:b/>
          <w:bCs/>
        </w:rPr>
        <w:t xml:space="preserve">Treatment of awards in the merger.</w:t>
      </w:r>
      <w:r>
        <w:t xml:space="preserve"> </w:t>
      </w:r>
      <w:r>
        <w:t xml:space="preserve">Whether awards are assumed, converted, cashed-out, or cancelled, and how the merger consideration is allocated to award holders (e.g., treasury-stock-method treatment of options, cash-out of in-the-money spreads).</w:t>
      </w:r>
    </w:p>
    <w:p>
      <w:pPr>
        <w:pStyle w:val="Compact"/>
        <w:numPr>
          <w:ilvl w:val="0"/>
          <w:numId w:val="1007"/>
        </w:numPr>
      </w:pPr>
      <w:r>
        <w:rPr>
          <w:b/>
          <w:bCs/>
        </w:rPr>
        <w:t xml:space="preserve">Repurchase rights.</w:t>
      </w:r>
      <w:r>
        <w:t xml:space="preserve"> </w:t>
      </w:r>
      <w:r>
        <w:t xml:space="preserve">The Stockholders’ Agreement (Section 5.2) provides that shares issued upon exercise/settlement are subject to Company repurchase rights and transfer restrictions — the interplay with the merger must be confirmed.</w:t>
      </w:r>
    </w:p>
    <w:p>
      <w:pPr>
        <w:pStyle w:val="FirstParagraph"/>
      </w:pPr>
      <w:r>
        <w:t xml:space="preserve">These items must be requested from Avery, Pollard &amp; Glenn (Appendix B) and reviewed before the merger agreement’s treatment-of-awards provisions can be finalized.</w:t>
      </w:r>
    </w:p>
    <w:bookmarkEnd w:id="55"/>
    <w:bookmarkStart w:id="56" w:name="X110f11ae46f3dd0e365bbc770cb196d98245812"/>
    <w:p>
      <w:pPr>
        <w:pStyle w:val="Heading3"/>
      </w:pPr>
      <w:r>
        <w:t xml:space="preserve">C. Economic observation — out-of-the-money options (Moderate)</w:t>
      </w:r>
    </w:p>
    <w:p>
      <w:pPr>
        <w:pStyle w:val="FirstParagraph"/>
      </w:pPr>
      <w:r>
        <w:t xml:space="preserve">The implied per-share equity value (~$13.95, blended) is</w:t>
      </w:r>
      <w:r>
        <w:t xml:space="preserve"> </w:t>
      </w:r>
      <w:r>
        <w:rPr>
          <w:i/>
          <w:iCs/>
        </w:rPr>
        <w:t xml:space="preserve">below</w:t>
      </w:r>
      <w:r>
        <w:t xml:space="preserve"> </w:t>
      </w:r>
      <w:r>
        <w:t xml:space="preserve">the 409A fair market value and option exercise price of $14.30 used for the Malhotra option grant and the Yeung RSU grant. This means the Malhotra options (exercise price $14.30) are</w:t>
      </w:r>
      <w:r>
        <w:t xml:space="preserve"> </w:t>
      </w:r>
      <w:r>
        <w:rPr>
          <w:b/>
          <w:bCs/>
        </w:rPr>
        <w:t xml:space="preserve">out-of-the-money</w:t>
      </w:r>
      <w:r>
        <w:t xml:space="preserve"> </w:t>
      </w:r>
      <w:r>
        <w:t xml:space="preserve">on a blended basis. If the actual per-share merger consideration to Common holders is at or below $14.30, those options would have zero intrinsic value and would typically be cancelled at closing for no consideration (or for a de minimis cash-out). This affects (i) the realistic vote count for the drag-along prong (1) analysis (out-of-the-money option holders have reduced economic incentive to support the Transaction), and (ii) the deal-economics modeling of acceleration. The actual per-share consideration to Common will depend on the waterfall; because all Preferred is in the money on an as-converted basis, the distribution is expected to be on an as-converted basis, but the precise per-share figure requires the full waterfall and treasury-stock-method analysis (a finance/valuation workstream). RSUs (no exercise price) are not affected by the out-of-the-money issue.</w:t>
      </w:r>
    </w:p>
    <w:bookmarkEnd w:id="56"/>
    <w:bookmarkStart w:id="57" w:name="Xac4d0616b66f5718166e40b0845f551e965af61"/>
    <w:p>
      <w:pPr>
        <w:pStyle w:val="Heading3"/>
      </w:pPr>
      <w:r>
        <w:t xml:space="preserve">D. Share-reserve increase — stockholder approval (Significant)</w:t>
      </w:r>
    </w:p>
    <w:p>
      <w:pPr>
        <w:pStyle w:val="FirstParagraph"/>
      </w:pPr>
      <w:r>
        <w:t xml:space="preserve">The Plan share reserve was increased from 8,000,000 to 9,500,000 shares on July 19, 2023, by</w:t>
      </w:r>
      <w:r>
        <w:t xml:space="preserve"> </w:t>
      </w:r>
      <w:r>
        <w:rPr>
          <w:b/>
          <w:bCs/>
        </w:rPr>
        <w:t xml:space="preserve">Board resolution only (approved 7-0)</w:t>
      </w:r>
      <w:r>
        <w:t xml:space="preserve">. Two questions arise:</w:t>
      </w:r>
    </w:p>
    <w:p>
      <w:pPr>
        <w:numPr>
          <w:ilvl w:val="0"/>
          <w:numId w:val="1008"/>
        </w:numPr>
      </w:pPr>
      <w:r>
        <w:rPr>
          <w:b/>
          <w:bCs/>
        </w:rPr>
        <w:t xml:space="preserve">Plan-required stockholder approval.</w:t>
      </w:r>
      <w:r>
        <w:t xml:space="preserve"> </w:t>
      </w:r>
      <w:r>
        <w:t xml:space="preserve">Many VC-backed equity incentive plans require stockholder approval for amendments that increase the share reserve. We cannot confirm whether the Plan requires stockholder approval without reviewing the Plan. If the Plan requires stockholder approval and it was not obtained, the amendment may be invalid and awards granted under the increased reserve may be vulnerable.</w:t>
      </w:r>
    </w:p>
    <w:p>
      <w:pPr>
        <w:numPr>
          <w:ilvl w:val="0"/>
          <w:numId w:val="1008"/>
        </w:numPr>
      </w:pPr>
      <w:r>
        <w:rPr>
          <w:b/>
          <w:bCs/>
        </w:rPr>
        <w:t xml:space="preserve">Charter protective provisions.</w:t>
      </w:r>
      <w:r>
        <w:t xml:space="preserve"> </w:t>
      </w:r>
      <w:r>
        <w:t xml:space="preserve">Section 4.3.6(a)(ii) requires Preferred consent to</w:t>
      </w:r>
      <w:r>
        <w:t xml:space="preserve"> </w:t>
      </w:r>
      <w:r>
        <w:t xml:space="preserve">“</w:t>
      </w:r>
      <w:r>
        <w:t xml:space="preserve">increase or decrease the total number of authorized shares of Common Stock or Preferred Stock, or any series thereof.</w:t>
      </w:r>
      <w:r>
        <w:t xml:space="preserve">”</w:t>
      </w:r>
      <w:r>
        <w:t xml:space="preserve"> </w:t>
      </w:r>
      <w:r>
        <w:t xml:space="preserve">The share-reserve increase does</w:t>
      </w:r>
      <w:r>
        <w:t xml:space="preserve"> </w:t>
      </w:r>
      <w:r>
        <w:rPr>
          <w:b/>
          <w:bCs/>
        </w:rPr>
        <w:t xml:space="preserve">not</w:t>
      </w:r>
      <w:r>
        <w:t xml:space="preserve"> </w:t>
      </w:r>
      <w:r>
        <w:t xml:space="preserve">increase the</w:t>
      </w:r>
      <w:r>
        <w:t xml:space="preserve"> </w:t>
      </w:r>
      <w:r>
        <w:rPr>
          <w:i/>
          <w:iCs/>
        </w:rPr>
        <w:t xml:space="preserve">authorized</w:t>
      </w:r>
      <w:r>
        <w:t xml:space="preserve"> </w:t>
      </w:r>
      <w:r>
        <w:t xml:space="preserve">Common Stock (50,000,000 authorized, unchanged); it merely reserves additional authorized shares for issuance under the Plan. Accordingly, Section 4.3.6(a)(ii) is likely</w:t>
      </w:r>
      <w:r>
        <w:t xml:space="preserve"> </w:t>
      </w:r>
      <w:r>
        <w:rPr>
          <w:b/>
          <w:bCs/>
        </w:rPr>
        <w:t xml:space="preserve">not</w:t>
      </w:r>
      <w:r>
        <w:t xml:space="preserve"> </w:t>
      </w:r>
      <w:r>
        <w:t xml:space="preserve">triggered. However, the anti-dilution exception in Section 4.3.4(b)(i) exempts options issued under a Board-approved plan (including at least one Preferred-designated director) from anti-dilution adjustment, so the increase should not trigger Preferred anti-dilution. We nonetheless recommend confirming that no other protective provision (e.g., a plan-specific consent right in a separate Investors’ Rights Agreement, if one exists — see Section VIII.C) was implicated.</w:t>
      </w:r>
    </w:p>
    <w:p>
      <w:pPr>
        <w:pStyle w:val="FirstParagraph"/>
      </w:pPr>
      <w:r>
        <w:rPr>
          <w:b/>
          <w:bCs/>
        </w:rPr>
        <w:t xml:space="preserve">Recommendation.</w:t>
      </w:r>
      <w:r>
        <w:t xml:space="preserve"> </w:t>
      </w:r>
      <w:r>
        <w:t xml:space="preserve">Request the Plan (as amended), the amendment effecting the share-reserve increase, and any stockholder consent records relating to the increase. Confirm whether stockholder approval was required and obtained; if not, assess the validity of the increase and consider a ratification/curative consent.</w:t>
      </w:r>
    </w:p>
    <w:p>
      <w:r>
        <w:pict>
          <v:rect style="width:0;height:1.5pt" o:hralign="center" o:hrstd="t" o:hr="t"/>
        </w:pict>
      </w:r>
    </w:p>
    <w:bookmarkEnd w:id="57"/>
    <w:bookmarkEnd w:id="58"/>
    <w:bookmarkStart w:id="63" w:name="X58fac29804cc1cfbdb8bed52a70f6386472f7f0"/>
    <w:p>
      <w:pPr>
        <w:pStyle w:val="Heading2"/>
      </w:pPr>
      <w:r>
        <w:t xml:space="preserve">X. Area 8 — Authorization of Corporate Actions — Board Minutes Review</w:t>
      </w:r>
    </w:p>
    <w:p>
      <w:pPr>
        <w:pStyle w:val="FirstParagraph"/>
      </w:pPr>
      <w:r>
        <w:t xml:space="preserve">We reviewed all eight sets of Board Minutes (January 18, 2023 through September 25, 2024). Each meeting had a quorum (4 of 7 directors) except as noted, and resolutions were adopted by majority of directors present. The following items require particular attention.</w:t>
      </w:r>
    </w:p>
    <w:bookmarkStart w:id="59" w:name="X5175d02f21d06c2e157fa148bc9578a1d6aa6bb"/>
    <w:p>
      <w:pPr>
        <w:pStyle w:val="Heading3"/>
      </w:pPr>
      <w:r>
        <w:t xml:space="preserve">A. Equity plan share-reserve increase (July 19, 2023) — Significant</w:t>
      </w:r>
    </w:p>
    <w:p>
      <w:pPr>
        <w:pStyle w:val="FirstParagraph"/>
      </w:pPr>
      <w:r>
        <w:t xml:space="preserve">As detailed in Section IX.D, the share-reserve increase (8.0M → 9.5M) was approved by Board resolution (7-0). The Minutes reflect only Board approval; there is no reference to stockholder or Preferred consent.</w:t>
      </w:r>
      <w:r>
        <w:t xml:space="preserve"> </w:t>
      </w:r>
      <w:r>
        <w:rPr>
          <w:b/>
          <w:bCs/>
        </w:rPr>
        <w:t xml:space="preserve">Stockholder approval status: unknown.</w:t>
      </w:r>
      <w:r>
        <w:t xml:space="preserve"> </w:t>
      </w:r>
      <w:r>
        <w:t xml:space="preserve">This must be confirmed. If the Plan required stockholder approval and it was not obtained, the increase and subsequent grants may be vulnerable.</w:t>
      </w:r>
    </w:p>
    <w:bookmarkEnd w:id="59"/>
    <w:bookmarkStart w:id="60" w:name="Xcb0c429e0b37b49746841d61482df108194f09f"/>
    <w:p>
      <w:pPr>
        <w:pStyle w:val="Heading3"/>
      </w:pPr>
      <w:r>
        <w:t xml:space="preserve">B. Clearfield National Bank term loan (October 11, 2023) — Significant</w:t>
      </w:r>
    </w:p>
    <w:p>
      <w:pPr>
        <w:pStyle w:val="FirstParagraph"/>
      </w:pPr>
      <w:r>
        <w:t xml:space="preserve">The Board approved a $12,000,000 secured term loan with Clearfield National Bank (7-0).</w:t>
      </w:r>
      <w:r>
        <w:t xml:space="preserve"> </w:t>
      </w:r>
      <w:r>
        <w:rPr>
          <w:b/>
          <w:bCs/>
        </w:rPr>
        <w:t xml:space="preserve">This appears to violate the Restated Certificate’s protective provision on indebtedness.</w:t>
      </w:r>
      <w:r>
        <w:t xml:space="preserve"> </w:t>
      </w:r>
      <w:r>
        <w:t xml:space="preserve">Section 4.3.6(a)(v) provides that, so long as any Preferred Stock is outstanding, the Company may not</w:t>
      </w:r>
      <w:r>
        <w:t xml:space="preserve"> </w:t>
      </w:r>
      <w:r>
        <w:t xml:space="preserve">“</w:t>
      </w:r>
      <w:r>
        <w:t xml:space="preserve">incur, assume, guarantee, or otherwise become liable for any indebtedness for borrowed money in excess of $5,000,000 in the aggregate outstanding at any time,</w:t>
      </w:r>
      <w:r>
        <w:t xml:space="preserve">”</w:t>
      </w:r>
      <w:r>
        <w:t xml:space="preserve"> </w:t>
      </w:r>
      <w:r>
        <w:t xml:space="preserve">other than (A) equipment financing/capital leases up to $2,000,000 and (B) ordinary-course trade payables —</w:t>
      </w:r>
      <w:r>
        <w:t xml:space="preserve"> </w:t>
      </w:r>
      <w:r>
        <w:rPr>
          <w:b/>
          <w:bCs/>
        </w:rPr>
        <w:t xml:space="preserve">without the prior consent or affirmative vote of holders of a majority of the Preferred Stock</w:t>
      </w:r>
      <w:r>
        <w:t xml:space="preserve"> </w:t>
      </w:r>
      <w:r>
        <w:t xml:space="preserve">(i.e., &gt;8,250,000 shares).</w:t>
      </w:r>
    </w:p>
    <w:p>
      <w:pPr>
        <w:pStyle w:val="BodyText"/>
      </w:pPr>
      <w:r>
        <w:t xml:space="preserve">The $12 million term loan</w:t>
      </w:r>
      <w:r>
        <w:t xml:space="preserve"> </w:t>
      </w:r>
      <w:r>
        <w:rPr>
          <w:b/>
          <w:bCs/>
        </w:rPr>
        <w:t xml:space="preserve">exceeds the $5 million threshold</w:t>
      </w:r>
      <w:r>
        <w:t xml:space="preserve"> </w:t>
      </w:r>
      <w:r>
        <w:t xml:space="preserve">and does not fall within either stated exception (it is a general secured term loan, not equipment financing ≤ $2 million and not trade payables). The October 11, 2023 Minutes reflect</w:t>
      </w:r>
      <w:r>
        <w:t xml:space="preserve"> </w:t>
      </w:r>
      <w:r>
        <w:rPr>
          <w:b/>
          <w:bCs/>
        </w:rPr>
        <w:t xml:space="preserve">only Board approval</w:t>
      </w:r>
      <w:r>
        <w:t xml:space="preserve"> </w:t>
      </w:r>
      <w:r>
        <w:t xml:space="preserve">and contain</w:t>
      </w:r>
      <w:r>
        <w:t xml:space="preserve"> </w:t>
      </w:r>
      <w:r>
        <w:rPr>
          <w:b/>
          <w:bCs/>
        </w:rPr>
        <w:t xml:space="preserve">no reference to Preferred Stockholder consent</w:t>
      </w:r>
      <w:r>
        <w:t xml:space="preserve"> </w:t>
      </w:r>
      <w:r>
        <w:t xml:space="preserve">being sought or obtained.</w:t>
      </w:r>
    </w:p>
    <w:p>
      <w:pPr>
        <w:pStyle w:val="BodyText"/>
      </w:pPr>
      <w:r>
        <w:rPr>
          <w:b/>
          <w:bCs/>
        </w:rPr>
        <w:t xml:space="preserve">Implications.</w:t>
      </w:r>
    </w:p>
    <w:p>
      <w:pPr>
        <w:pStyle w:val="Compact"/>
        <w:numPr>
          <w:ilvl w:val="0"/>
          <w:numId w:val="1009"/>
        </w:numPr>
      </w:pPr>
      <w:r>
        <w:t xml:space="preserve">If Preferred consent was not obtained, the Company may have incurred the debt in violation of the protective provisions. Under Delaware law, a protective-provision violation does not necessarily void the debt as against a good-faith third-party lender (Clearfield), but it may give the Preferred holders a claim against the Company and could be raised by Stonemill as evidence of a pattern of governance non-compliance — relevant to the fiduciary-duty and sale-process analysis in Section XI.</w:t>
      </w:r>
    </w:p>
    <w:p>
      <w:pPr>
        <w:pStyle w:val="Compact"/>
        <w:numPr>
          <w:ilvl w:val="0"/>
          <w:numId w:val="1009"/>
        </w:numPr>
      </w:pPr>
      <w:r>
        <w:t xml:space="preserve">The debt is to be repaid/refinanced at closing. A protective-provision violation does not, by itself, prevent repayment, but it should be disclosed and, if possible, cured (e.g., by a ratifying Preferred consent) before closing to avoid giving Stonemill additional leverage.</w:t>
      </w:r>
    </w:p>
    <w:p>
      <w:pPr>
        <w:pStyle w:val="Compact"/>
        <w:numPr>
          <w:ilvl w:val="0"/>
          <w:numId w:val="1009"/>
        </w:numPr>
      </w:pPr>
      <w:r>
        <w:rPr>
          <w:b/>
          <w:bCs/>
        </w:rPr>
        <w:t xml:space="preserve">Recommendation.</w:t>
      </w:r>
      <w:r>
        <w:t xml:space="preserve"> </w:t>
      </w:r>
      <w:r>
        <w:t xml:space="preserve">Request the stockholder consent records (written consents) for the period around October 2023 to confirm whether Preferred consent was obtained. If not, assess cure options (ratification) and disclose in the merger agreement reps.</w:t>
      </w:r>
    </w:p>
    <w:bookmarkEnd w:id="60"/>
    <w:bookmarkStart w:id="61" w:name="X6ec902814da88ff758779ff725d8f8a9c97657e"/>
    <w:p>
      <w:pPr>
        <w:pStyle w:val="Heading3"/>
      </w:pPr>
      <w:r>
        <w:t xml:space="preserve">C. SensorLink Technologies LOI — CRITICAL and TIME-SENSITIVE</w:t>
      </w:r>
    </w:p>
    <w:p>
      <w:pPr>
        <w:pStyle w:val="FirstParagraph"/>
      </w:pPr>
      <w:r>
        <w:t xml:space="preserve">This is the most time-sensitive issue in the diligence and is flagged for immediate attention.</w:t>
      </w:r>
    </w:p>
    <w:p>
      <w:pPr>
        <w:pStyle w:val="Compact"/>
        <w:numPr>
          <w:ilvl w:val="0"/>
          <w:numId w:val="1010"/>
        </w:numPr>
      </w:pPr>
      <w:r>
        <w:rPr>
          <w:b/>
          <w:bCs/>
        </w:rPr>
        <w:t xml:space="preserve">January 24, 2024:</w:t>
      </w:r>
      <w:r>
        <w:t xml:space="preserve"> </w:t>
      </w:r>
      <w:r>
        <w:t xml:space="preserve">The Board authorized the CEO to negotiate and execute a non-binding LOI for a potential acquisition of SensorLink for up to $22,000,000 (7-0).</w:t>
      </w:r>
    </w:p>
    <w:p>
      <w:pPr>
        <w:pStyle w:val="Compact"/>
        <w:numPr>
          <w:ilvl w:val="0"/>
          <w:numId w:val="1010"/>
        </w:numPr>
      </w:pPr>
      <w:r>
        <w:rPr>
          <w:b/>
          <w:bCs/>
        </w:rPr>
        <w:t xml:space="preserve">March 8, 2024:</w:t>
      </w:r>
      <w:r>
        <w:t xml:space="preserve"> </w:t>
      </w:r>
      <w:r>
        <w:t xml:space="preserve">The SensorLink LOI was executed. Per the September 25, 2024 Minutes, the LOI</w:t>
      </w:r>
      <w:r>
        <w:t xml:space="preserve"> </w:t>
      </w:r>
      <w:r>
        <w:t xml:space="preserve">“</w:t>
      </w:r>
      <w:r>
        <w:t xml:space="preserve">contained a mutual exclusivity provision with an initial term of six months expiring on September 8, 2024.</w:t>
      </w:r>
      <w:r>
        <w:t xml:space="preserve">”</w:t>
      </w:r>
    </w:p>
    <w:p>
      <w:pPr>
        <w:pStyle w:val="Compact"/>
        <w:numPr>
          <w:ilvl w:val="0"/>
          <w:numId w:val="1010"/>
        </w:numPr>
      </w:pPr>
      <w:r>
        <w:rPr>
          <w:b/>
          <w:bCs/>
        </w:rPr>
        <w:t xml:space="preserve">Automatic renewal.</w:t>
      </w:r>
      <w:r>
        <w:t xml:space="preserve"> </w:t>
      </w:r>
      <w:r>
        <w:t xml:space="preserve">Outside counsel Rourke observed at the September 25, 2024 meeting that the LOI’s exclusivity provision</w:t>
      </w:r>
      <w:r>
        <w:t xml:space="preserve"> </w:t>
      </w:r>
      <w:r>
        <w:t xml:space="preserve">“</w:t>
      </w:r>
      <w:r>
        <w:t xml:space="preserve">provided that the initial six-month exclusivity period would be automatically extended for successive ninety (90)-day periods unless either party provided written notice of termination to the other party at least fifteen (15) days prior to the expiration of the then-current exclusivity period.</w:t>
      </w:r>
      <w:r>
        <w:t xml:space="preserve">”</w:t>
      </w:r>
    </w:p>
    <w:p>
      <w:pPr>
        <w:pStyle w:val="Compact"/>
        <w:numPr>
          <w:ilvl w:val="0"/>
          <w:numId w:val="1010"/>
        </w:numPr>
      </w:pPr>
      <w:r>
        <w:rPr>
          <w:b/>
          <w:bCs/>
        </w:rPr>
        <w:t xml:space="preserve">Termination notice — uncertain.</w:t>
      </w:r>
      <w:r>
        <w:t xml:space="preserve"> </w:t>
      </w:r>
      <w:r>
        <w:t xml:space="preserve">CEO Ellery stated he believed the matter had</w:t>
      </w:r>
      <w:r>
        <w:t xml:space="preserve"> </w:t>
      </w:r>
      <w:r>
        <w:t xml:space="preserve">“</w:t>
      </w:r>
      <w:r>
        <w:t xml:space="preserve">run its course</w:t>
      </w:r>
      <w:r>
        <w:t xml:space="preserve">”</w:t>
      </w:r>
      <w:r>
        <w:t xml:space="preserve"> </w:t>
      </w:r>
      <w:r>
        <w:t xml:space="preserve">and that both parties had</w:t>
      </w:r>
      <w:r>
        <w:t xml:space="preserve"> </w:t>
      </w:r>
      <w:r>
        <w:t xml:space="preserve">“</w:t>
      </w:r>
      <w:r>
        <w:t xml:space="preserve">mutually agreed to move on,</w:t>
      </w:r>
      <w:r>
        <w:t xml:space="preserve">”</w:t>
      </w:r>
      <w:r>
        <w:t xml:space="preserve"> </w:t>
      </w:r>
      <w:r>
        <w:t xml:space="preserve">but</w:t>
      </w:r>
      <w:r>
        <w:t xml:space="preserve"> </w:t>
      </w:r>
      <w:r>
        <w:rPr>
          <w:b/>
          <w:bCs/>
        </w:rPr>
        <w:t xml:space="preserve">acknowledged he was not certain whether a formal written termination notice had been delivered</w:t>
      </w:r>
      <w:r>
        <w:t xml:space="preserve"> </w:t>
      </w:r>
      <w:r>
        <w:t xml:space="preserve">in accordance with the LOI before the September 8, 2024 expiration. Rourke recommended the Company</w:t>
      </w:r>
      <w:r>
        <w:t xml:space="preserve"> </w:t>
      </w:r>
      <w:r>
        <w:t xml:space="preserve">“</w:t>
      </w:r>
      <w:r>
        <w:t xml:space="preserve">immediately confirm whether a written termination notice was sent prior to September 8, 2024 and, if not, that the Company send one promptly.</w:t>
      </w:r>
      <w:r>
        <w:t xml:space="preserve">”</w:t>
      </w:r>
    </w:p>
    <w:p>
      <w:pPr>
        <w:pStyle w:val="FirstParagraph"/>
      </w:pPr>
      <w:r>
        <w:rPr>
          <w:b/>
          <w:bCs/>
        </w:rPr>
        <w:t xml:space="preserve">Risk analysis.</w:t>
      </w:r>
      <w:r>
        <w:t xml:space="preserve"> </w:t>
      </w:r>
      <w:r>
        <w:t xml:space="preserve">If no written termination notice was delivered at least 15 days before September 8, 2024, the exclusivity period</w:t>
      </w:r>
      <w:r>
        <w:t xml:space="preserve"> </w:t>
      </w:r>
      <w:r>
        <w:rPr>
          <w:b/>
          <w:bCs/>
        </w:rPr>
        <w:t xml:space="preserve">automatically renewed</w:t>
      </w:r>
      <w:r>
        <w:t xml:space="preserve"> </w:t>
      </w:r>
      <w:r>
        <w:t xml:space="preserve">for a successive 90-day period (through approximately December 7, 2024), and will continue to auto-renew in 90-day increments until proper notice is given. A live exclusivity obligation running in favor of SensorLink could</w:t>
      </w:r>
      <w:r>
        <w:t xml:space="preserve"> </w:t>
      </w:r>
      <w:r>
        <w:rPr>
          <w:b/>
          <w:bCs/>
        </w:rPr>
        <w:t xml:space="preserve">directly conflict with the Company’s ability to sign a definitive merger agreement with Hargrove</w:t>
      </w:r>
      <w:r>
        <w:t xml:space="preserve"> </w:t>
      </w:r>
      <w:r>
        <w:t xml:space="preserve">(which would constitute a breach of the SensorLink exclusivity, exposing the Company to damages and potentially to injunctive relief by SensorLink). Given the target Q1 2025 close and the active negotiation of definitive documentation, this is an immediate priority.</w:t>
      </w:r>
    </w:p>
    <w:p>
      <w:pPr>
        <w:pStyle w:val="BodyText"/>
      </w:pPr>
      <w:r>
        <w:rPr>
          <w:b/>
          <w:bCs/>
        </w:rPr>
        <w:t xml:space="preserve">Recommendation — immediate action.</w:t>
      </w:r>
    </w:p>
    <w:p>
      <w:pPr>
        <w:pStyle w:val="Compact"/>
        <w:numPr>
          <w:ilvl w:val="0"/>
          <w:numId w:val="1011"/>
        </w:numPr>
      </w:pPr>
      <w:r>
        <w:rPr>
          <w:b/>
          <w:bCs/>
        </w:rPr>
        <w:t xml:space="preserve">Confirm today</w:t>
      </w:r>
      <w:r>
        <w:t xml:space="preserve"> </w:t>
      </w:r>
      <w:r>
        <w:t xml:space="preserve">whether a written termination notice was delivered to SensorLink before September 8, 2024. This should be routed through Jonathan Hsieh to Avery, Pollard &amp; Glenn (we should not contact the Company directly).</w:t>
      </w:r>
    </w:p>
    <w:p>
      <w:pPr>
        <w:pStyle w:val="Compact"/>
        <w:numPr>
          <w:ilvl w:val="0"/>
          <w:numId w:val="1011"/>
        </w:numPr>
      </w:pPr>
      <w:r>
        <w:t xml:space="preserve">If no notice was sent,</w:t>
      </w:r>
      <w:r>
        <w:t xml:space="preserve"> </w:t>
      </w:r>
      <w:r>
        <w:rPr>
          <w:b/>
          <w:bCs/>
        </w:rPr>
        <w:t xml:space="preserve">deliver a written termination notice immediately</w:t>
      </w:r>
      <w:r>
        <w:t xml:space="preserve"> </w:t>
      </w:r>
      <w:r>
        <w:t xml:space="preserve">in accordance with the LOI’s notice provisions, to terminate the exclusivity at the earliest permitted date (15 days before the next expiration). Be aware that even with immediate notice, exclusivity may continue for up to 15 days (or until the next 90-day period end, depending on construction).</w:t>
      </w:r>
    </w:p>
    <w:p>
      <w:pPr>
        <w:pStyle w:val="Compact"/>
        <w:numPr>
          <w:ilvl w:val="0"/>
          <w:numId w:val="1011"/>
        </w:numPr>
      </w:pPr>
      <w:r>
        <w:rPr>
          <w:b/>
          <w:bCs/>
        </w:rPr>
        <w:t xml:space="preserve">Obtain and review the SensorLink LOI</w:t>
      </w:r>
      <w:r>
        <w:t xml:space="preserve"> </w:t>
      </w:r>
      <w:r>
        <w:t xml:space="preserve">to confirm the exact exclusivity scope (e.g., whether it is mutual, whether it covers only the SensorLink acquisition or any change-of-control transaction, and the notice mechanics).</w:t>
      </w:r>
    </w:p>
    <w:p>
      <w:pPr>
        <w:pStyle w:val="Compact"/>
        <w:numPr>
          <w:ilvl w:val="0"/>
          <w:numId w:val="1011"/>
        </w:numPr>
      </w:pPr>
      <w:r>
        <w:rPr>
          <w:b/>
          <w:bCs/>
        </w:rPr>
        <w:t xml:space="preserve">Assess breach exposure:</w:t>
      </w:r>
      <w:r>
        <w:t xml:space="preserve"> </w:t>
      </w:r>
      <w:r>
        <w:t xml:space="preserve">if exclusivity is still live, evaluate whether signing the Hargrove merger agreement would breach the LOI and whether SensorLink could seek injunctive relief. Consider whether a waiver/standstill from SensorLink is needed.</w:t>
      </w:r>
    </w:p>
    <w:p>
      <w:pPr>
        <w:pStyle w:val="Compact"/>
        <w:numPr>
          <w:ilvl w:val="0"/>
          <w:numId w:val="1011"/>
        </w:numPr>
      </w:pPr>
      <w:r>
        <w:rPr>
          <w:b/>
          <w:bCs/>
        </w:rPr>
        <w:t xml:space="preserve">Disclose</w:t>
      </w:r>
      <w:r>
        <w:t xml:space="preserve"> </w:t>
      </w:r>
      <w:r>
        <w:t xml:space="preserve">the SensorLink LOI and its status in the merger agreement disclosure schedules.</w:t>
      </w:r>
    </w:p>
    <w:bookmarkEnd w:id="61"/>
    <w:bookmarkStart w:id="62" w:name="d.-other-minutes-observations"/>
    <w:p>
      <w:pPr>
        <w:pStyle w:val="Heading3"/>
      </w:pPr>
      <w:r>
        <w:t xml:space="preserve">D. Other minutes observations</w:t>
      </w:r>
    </w:p>
    <w:p>
      <w:pPr>
        <w:pStyle w:val="Compact"/>
        <w:numPr>
          <w:ilvl w:val="0"/>
          <w:numId w:val="1012"/>
        </w:numPr>
      </w:pPr>
      <w:r>
        <w:rPr>
          <w:b/>
          <w:bCs/>
        </w:rPr>
        <w:t xml:space="preserve">Strategic alternatives process (Jan. 2023 – present):</w:t>
      </w:r>
      <w:r>
        <w:t xml:space="preserve"> </w:t>
      </w:r>
      <w:r>
        <w:t xml:space="preserve">The Board authorized engagement of Meridian Partners (Jan. 18, 2023), formed the Special Committee (April 12, 2023), pursued exclusivity with</w:t>
      </w:r>
      <w:r>
        <w:t xml:space="preserve"> </w:t>
      </w:r>
      <w:r>
        <w:t xml:space="preserve">“</w:t>
      </w:r>
      <w:r>
        <w:t xml:space="preserve">Beta</w:t>
      </w:r>
      <w:r>
        <w:t xml:space="preserve">”</w:t>
      </w:r>
      <w:r>
        <w:t xml:space="preserve"> </w:t>
      </w:r>
      <w:r>
        <w:t xml:space="preserve">(July 19, 2023, approved 6-1, Trask dissenting — Trask objected the process was</w:t>
      </w:r>
      <w:r>
        <w:t xml:space="preserve"> </w:t>
      </w:r>
      <w:r>
        <w:t xml:space="preserve">“</w:t>
      </w:r>
      <w:r>
        <w:t xml:space="preserve">insufficiently broad</w:t>
      </w:r>
      <w:r>
        <w:t xml:space="preserve">”</w:t>
      </w:r>
      <w:r>
        <w:t xml:space="preserve">), terminated Beta exclusivity (Oct. 11, 2023), received inbound Hargrove interest (April 17, 2024), granted Hargrove exclusivity (July 10, 2024, 6-1, Trask dissenting), and authorized definitive-documentation negotiation (Sept. 25, 2024, 6-1, Trask dissenting). Board approvals were properly obtained at each step with quorums present. The process narrative is relevant to the fiduciary-duty analysis in Section XI.</w:t>
      </w:r>
    </w:p>
    <w:p>
      <w:pPr>
        <w:pStyle w:val="Compact"/>
        <w:numPr>
          <w:ilvl w:val="0"/>
          <w:numId w:val="1012"/>
        </w:numPr>
      </w:pPr>
      <w:r>
        <w:rPr>
          <w:b/>
          <w:bCs/>
        </w:rPr>
        <w:t xml:space="preserve">Option/RSU grants:</w:t>
      </w:r>
      <w:r>
        <w:t xml:space="preserve"> </w:t>
      </w:r>
      <w:r>
        <w:t xml:space="preserve">The Malhotra option grant (April 12, 2023) and Yeung RSU grant (April 17, 2024) were approved by the Board on the recommendation of the Compensation Committee. Note that the Yeung RSU grant was approved at the April 17, 2024 meeting at which only 5 of 7 directors were present (Trask and Garrett absent) and at which the Yeung RSU was recommended by the Compensation Committee chaired by Lau; Yeung is the CFO and recording secretary. While Yeung is not a director (so no direct Board conflict), the grant to the CFO at the same meeting that authorized the Hargrove engagement is worth noting for process-completeness; it does not appear improper on its face.</w:t>
      </w:r>
    </w:p>
    <w:p>
      <w:pPr>
        <w:pStyle w:val="Compact"/>
        <w:numPr>
          <w:ilvl w:val="0"/>
          <w:numId w:val="1012"/>
        </w:numPr>
      </w:pPr>
      <w:r>
        <w:rPr>
          <w:b/>
          <w:bCs/>
        </w:rPr>
        <w:t xml:space="preserve">Trask’s dissenting votes and objections</w:t>
      </w:r>
      <w:r>
        <w:t xml:space="preserve"> </w:t>
      </w:r>
      <w:r>
        <w:t xml:space="preserve">are documented throughout (July 2023, July 2024, Sept. 2024) and his April 19, 2024 objection email is appended to the April 17, 2024 Minutes. This creates a clear record of Stonemill’s opposition, which Stonemill may leverage.</w:t>
      </w:r>
    </w:p>
    <w:p>
      <w:r>
        <w:pict>
          <v:rect style="width:0;height:1.5pt" o:hralign="center" o:hrstd="t" o:hr="t"/>
        </w:pict>
      </w:r>
    </w:p>
    <w:bookmarkEnd w:id="62"/>
    <w:bookmarkEnd w:id="63"/>
    <w:bookmarkStart w:id="67" w:name="X7764df51dbdd29f9d5e6bdef974718db056a9e8"/>
    <w:p>
      <w:pPr>
        <w:pStyle w:val="Heading2"/>
      </w:pPr>
      <w:r>
        <w:t xml:space="preserve">XI. Area 9 — Fiduciary Duty / Sale Process Concerns</w:t>
      </w:r>
    </w:p>
    <w:bookmarkStart w:id="64" w:name="Xf4af93d42652a88670ae32e86d529d3f34d1a41"/>
    <w:p>
      <w:pPr>
        <w:pStyle w:val="Heading3"/>
      </w:pPr>
      <w:r>
        <w:t xml:space="preserve">A. Special Committee composition — independence concern (Significant)</w:t>
      </w:r>
    </w:p>
    <w:p>
      <w:pPr>
        <w:pStyle w:val="FirstParagraph"/>
      </w:pPr>
      <w:r>
        <w:t xml:space="preserve">The Special Committee was formed on April 12, 2023, and consists of</w:t>
      </w:r>
      <w:r>
        <w:t xml:space="preserve"> </w:t>
      </w:r>
      <w:r>
        <w:rPr>
          <w:b/>
          <w:bCs/>
        </w:rPr>
        <w:t xml:space="preserve">Rebecca Lau (Chair), Thomas Garrett, and Sandra Okafor.</w:t>
      </w:r>
      <w:r>
        <w:t xml:space="preserve"> </w:t>
      </w:r>
      <w:r>
        <w:t xml:space="preserve">The concern flagged by the client is well-founded:</w:t>
      </w:r>
      <w:r>
        <w:t xml:space="preserve"> </w:t>
      </w:r>
      <w:r>
        <w:rPr>
          <w:b/>
          <w:bCs/>
        </w:rPr>
        <w:t xml:space="preserve">Sandra Okafor is not independent or disinterested.</w:t>
      </w:r>
    </w:p>
    <w:p>
      <w:pPr>
        <w:pStyle w:val="Compact"/>
        <w:numPr>
          <w:ilvl w:val="0"/>
          <w:numId w:val="1013"/>
        </w:numPr>
      </w:pPr>
      <w:r>
        <w:t xml:space="preserve">Okafor is the</w:t>
      </w:r>
      <w:r>
        <w:t xml:space="preserve"> </w:t>
      </w:r>
      <w:r>
        <w:rPr>
          <w:b/>
          <w:bCs/>
        </w:rPr>
        <w:t xml:space="preserve">Series B Director</w:t>
      </w:r>
      <w:r>
        <w:t xml:space="preserve">, designated by Northbridge Growth Equity Fund IV, LP pursuant to Section 2.2(b) of the Voting Agreement, and is a</w:t>
      </w:r>
      <w:r>
        <w:t xml:space="preserve"> </w:t>
      </w:r>
      <w:r>
        <w:rPr>
          <w:b/>
          <w:bCs/>
        </w:rPr>
        <w:t xml:space="preserve">Principal at Northbridge Growth Advisors, LLC</w:t>
      </w:r>
      <w:r>
        <w:t xml:space="preserve"> </w:t>
      </w:r>
      <w:r>
        <w:t xml:space="preserve">(Northbridge’s general partner). She is thus beholden to Northbridge for her board seat.</w:t>
      </w:r>
    </w:p>
    <w:p>
      <w:pPr>
        <w:pStyle w:val="Compact"/>
        <w:numPr>
          <w:ilvl w:val="0"/>
          <w:numId w:val="1013"/>
        </w:numPr>
      </w:pPr>
      <w:r>
        <w:t xml:space="preserve">Northbridge holds 5,200,000 shares of Series B Preferred with a liquidation preference of $48,100,000 (5,200,000 × $9.25). Northbridge has a substantial economic interest in the Transaction and in the allocation of merger consideration.</w:t>
      </w:r>
    </w:p>
    <w:p>
      <w:pPr>
        <w:pStyle w:val="Compact"/>
        <w:numPr>
          <w:ilvl w:val="0"/>
          <w:numId w:val="1013"/>
        </w:numPr>
      </w:pPr>
      <w:r>
        <w:t xml:space="preserve">Under Delaware law, a special committee formed to evaluate a sale-of-control transaction should be composed of</w:t>
      </w:r>
      <w:r>
        <w:t xml:space="preserve"> </w:t>
      </w:r>
      <w:r>
        <w:rPr>
          <w:b/>
          <w:bCs/>
        </w:rPr>
        <w:t xml:space="preserve">disinterested and independent</w:t>
      </w:r>
      <w:r>
        <w:t xml:space="preserve"> </w:t>
      </w:r>
      <w:r>
        <w:t xml:space="preserve">directors in order to provide the benefits of a special committee (e.g., shifting the burden of proof under</w:t>
      </w:r>
      <w:r>
        <w:t xml:space="preserve"> </w:t>
      </w:r>
      <w:r>
        <w:rPr>
          <w:i/>
          <w:iCs/>
        </w:rPr>
        <w:t xml:space="preserve">entire fairness</w:t>
      </w:r>
      <w:r>
        <w:t xml:space="preserve"> </w:t>
      </w:r>
      <w:r>
        <w:t xml:space="preserve">review, or supporting business-judgment deference in certain structures). The presence of an interested, non-independent director (Okafor) on the Special Committee</w:t>
      </w:r>
      <w:r>
        <w:t xml:space="preserve"> </w:t>
      </w:r>
      <w:r>
        <w:rPr>
          <w:b/>
          <w:bCs/>
        </w:rPr>
        <w:t xml:space="preserve">undermines the committee’s independence</w:t>
      </w:r>
      <w:r>
        <w:t xml:space="preserve"> </w:t>
      </w:r>
      <w:r>
        <w:t xml:space="preserve">and could deprive the Company of the procedural protections a special committee is meant to provide.</w:t>
      </w:r>
    </w:p>
    <w:p>
      <w:pPr>
        <w:pStyle w:val="FirstParagraph"/>
      </w:pPr>
      <w:r>
        <w:rPr>
          <w:b/>
          <w:bCs/>
        </w:rPr>
        <w:t xml:space="preserve">Vulnerability.</w:t>
      </w:r>
      <w:r>
        <w:t xml:space="preserve"> </w:t>
      </w:r>
      <w:r>
        <w:t xml:space="preserve">Stonemill (through Trask) is actively looking for ammunition to challenge the Transaction. A Special Committee that includes a Northbridge designee with a direct economic stake is a clear target. Stonemill could argue that the sale process was tainted by the participation of an interested director whose designator (Northbridge) stands to receive significant merger proceeds, and that the committee’s recommendation therefore does not carry the weight of an independent committee. This is particularly potent given that Northbridge’s Series B Director voted</w:t>
      </w:r>
      <w:r>
        <w:t xml:space="preserve"> </w:t>
      </w:r>
      <w:r>
        <w:rPr>
          <w:i/>
          <w:iCs/>
        </w:rPr>
        <w:t xml:space="preserve">in favor</w:t>
      </w:r>
      <w:r>
        <w:t xml:space="preserve"> </w:t>
      </w:r>
      <w:r>
        <w:t xml:space="preserve">of the Hargrove engagement and exclusivity at every step.</w:t>
      </w:r>
    </w:p>
    <w:p>
      <w:pPr>
        <w:pStyle w:val="BodyText"/>
      </w:pPr>
      <w:r>
        <w:rPr>
          <w:b/>
          <w:bCs/>
        </w:rPr>
        <w:t xml:space="preserve">Recommendation.</w:t>
      </w:r>
      <w:r>
        <w:t xml:space="preserve"> </w:t>
      </w:r>
      <w:r>
        <w:rPr>
          <w:b/>
          <w:bCs/>
        </w:rPr>
        <w:t xml:space="preserve">Reconstitute the Special Committee to exclude interested directors.</w:t>
      </w:r>
      <w:r>
        <w:t xml:space="preserve"> </w:t>
      </w:r>
      <w:r>
        <w:t xml:space="preserve">Remove Okafor from the Special Committee, leaving the two independent directors (Lau and Garrett). If a three-member committee is desired for quorum/robustness, add a new independent director (subject to the Voting Agreement’s board-composition mechanics — note that adding a director may require Investor consent under Voting Agreement Section 2.1 and the charter’s Section 4.3.6(a)(vii) Board-size protective provision; alternatively, the committee can operate with two independent members). The reconstituted committee should ratify its prior actions and issue a fresh recommendation on the definitive merger agreement, supported by the Thornbury &amp; Associates fairness analysis. This materially strengthens the sale process’s defensibility.</w:t>
      </w:r>
    </w:p>
    <w:bookmarkEnd w:id="64"/>
    <w:bookmarkStart w:id="65" w:name="X5253baa32769b5387bbc3b0b597dfa891aad266"/>
    <w:p>
      <w:pPr>
        <w:pStyle w:val="Heading3"/>
      </w:pPr>
      <w:r>
        <w:t xml:space="preserve">B. Trask’s absence and objection (April 17, 2024) — procedural vulnerability (Moderate to Significant)</w:t>
      </w:r>
    </w:p>
    <w:p>
      <w:pPr>
        <w:pStyle w:val="Compact"/>
        <w:numPr>
          <w:ilvl w:val="0"/>
          <w:numId w:val="1014"/>
        </w:numPr>
      </w:pPr>
      <w:r>
        <w:t xml:space="preserve">The April 17, 2024 meeting — at which the Board authorized the Special Committee to engage with Hargrove — was attended by only 5 of 7 directors.</w:t>
      </w:r>
      <w:r>
        <w:t xml:space="preserve"> </w:t>
      </w:r>
      <w:r>
        <w:rPr>
          <w:b/>
          <w:bCs/>
        </w:rPr>
        <w:t xml:space="preserve">Trask was absent</w:t>
      </w:r>
      <w:r>
        <w:t xml:space="preserve"> </w:t>
      </w:r>
      <w:r>
        <w:t xml:space="preserve">(he notified the Chairman on April 15 of a scheduling conflict and provided no proxy). Garrett was also absent (family medical). A quorum (4) was present, and the resolution passed 5-0, so the action was</w:t>
      </w:r>
      <w:r>
        <w:t xml:space="preserve"> </w:t>
      </w:r>
      <w:r>
        <w:rPr>
          <w:i/>
          <w:iCs/>
        </w:rPr>
        <w:t xml:space="preserve">validly taken</w:t>
      </w:r>
      <w:r>
        <w:t xml:space="preserve"> </w:t>
      </w:r>
      <w:r>
        <w:t xml:space="preserve">as a matter of corporate law.</w:t>
      </w:r>
    </w:p>
    <w:p>
      <w:pPr>
        <w:pStyle w:val="Compact"/>
        <w:numPr>
          <w:ilvl w:val="0"/>
          <w:numId w:val="1014"/>
        </w:numPr>
      </w:pPr>
      <w:r>
        <w:rPr>
          <w:b/>
          <w:bCs/>
        </w:rPr>
        <w:t xml:space="preserve">The Stonemill board observer was also absent</w:t>
      </w:r>
      <w:r>
        <w:t xml:space="preserve"> </w:t>
      </w:r>
      <w:r>
        <w:t xml:space="preserve">from the April 17, 2024 meeting. The Voting Agreement (Section 4.1) entitles the Stonemill observer to attend all Board meetings and to receive all materials provided to directors. If the observer was not given proper notice or was not provided the meeting materials,</w:t>
      </w:r>
      <w:r>
        <w:t xml:space="preserve"> </w:t>
      </w:r>
      <w:r>
        <w:rPr>
          <w:b/>
          <w:bCs/>
        </w:rPr>
        <w:t xml:space="preserve">Stonemill could claim a breach of the observer right</w:t>
      </w:r>
      <w:r>
        <w:t xml:space="preserve">, reinforcing its narrative that it was excluded from the sale process at a critical juncture. The Minutes do not state whether the observer was notified; this should be confirmed.</w:t>
      </w:r>
    </w:p>
    <w:p>
      <w:pPr>
        <w:pStyle w:val="Compact"/>
        <w:numPr>
          <w:ilvl w:val="0"/>
          <w:numId w:val="1014"/>
        </w:numPr>
      </w:pPr>
      <w:r>
        <w:rPr>
          <w:b/>
          <w:bCs/>
        </w:rPr>
        <w:t xml:space="preserve">Trask’s April 19, 2024 objection email</w:t>
      </w:r>
      <w:r>
        <w:t xml:space="preserve"> </w:t>
      </w:r>
      <w:r>
        <w:t xml:space="preserve">(appended to the Minutes) objects to the engagement</w:t>
      </w:r>
      <w:r>
        <w:t xml:space="preserve"> </w:t>
      </w:r>
      <w:r>
        <w:t xml:space="preserve">“</w:t>
      </w:r>
      <w:r>
        <w:t xml:space="preserve">without the full Board’s consideration and without Stonemill’s input</w:t>
      </w:r>
      <w:r>
        <w:t xml:space="preserve">”</w:t>
      </w:r>
      <w:r>
        <w:t xml:space="preserve"> </w:t>
      </w:r>
      <w:r>
        <w:t xml:space="preserve">and demands that</w:t>
      </w:r>
      <w:r>
        <w:t xml:space="preserve"> </w:t>
      </w:r>
      <w:r>
        <w:t xml:space="preserve">“</w:t>
      </w:r>
      <w:r>
        <w:t xml:space="preserve">no further substantive steps be taken… without Stonemill’s participation.</w:t>
      </w:r>
      <w:r>
        <w:t xml:space="preserve">”</w:t>
      </w:r>
      <w:r>
        <w:t xml:space="preserve"> </w:t>
      </w:r>
      <w:r>
        <w:t xml:space="preserve">This creates a record of Stonemill’s claimed exclusion.</w:t>
      </w:r>
    </w:p>
    <w:p>
      <w:pPr>
        <w:pStyle w:val="FirstParagraph"/>
      </w:pPr>
      <w:r>
        <w:rPr>
          <w:b/>
          <w:bCs/>
        </w:rPr>
        <w:t xml:space="preserve">Assessment.</w:t>
      </w:r>
      <w:r>
        <w:t xml:space="preserve"> </w:t>
      </w:r>
      <w:r>
        <w:t xml:space="preserve">The April 17 action was legally valid (quorum + majority), so Trask’s absence does not invalidate the authorization. However, the combination of (i) Trask’s absence, (ii) the observer’s absence, (iii) Trask’s prompt written objection, and (iv) the interested-director taint on the Special Committee creates a</w:t>
      </w:r>
      <w:r>
        <w:t xml:space="preserve"> </w:t>
      </w:r>
      <w:r>
        <w:rPr>
          <w:b/>
          <w:bCs/>
        </w:rPr>
        <w:t xml:space="preserve">procedural narrative</w:t>
      </w:r>
      <w:r>
        <w:t xml:space="preserve"> </w:t>
      </w:r>
      <w:r>
        <w:t xml:space="preserve">that Stonemill can exploit to allege that the sale process was conducted without full stockholder/director participation and without a fully independent committee. This does not rise to a deal-breaker, but it increases litigation risk and should be mitigated.</w:t>
      </w:r>
    </w:p>
    <w:p>
      <w:pPr>
        <w:pStyle w:val="BodyText"/>
      </w:pPr>
      <w:r>
        <w:rPr>
          <w:b/>
          <w:bCs/>
        </w:rPr>
        <w:t xml:space="preserve">Recommendations.</w:t>
      </w:r>
    </w:p>
    <w:p>
      <w:pPr>
        <w:pStyle w:val="Compact"/>
        <w:numPr>
          <w:ilvl w:val="0"/>
          <w:numId w:val="1015"/>
        </w:numPr>
      </w:pPr>
      <w:r>
        <w:rPr>
          <w:b/>
          <w:bCs/>
        </w:rPr>
        <w:t xml:space="preserve">Cure the observer issue:</w:t>
      </w:r>
      <w:r>
        <w:t xml:space="preserve"> </w:t>
      </w:r>
      <w:r>
        <w:t xml:space="preserve">confirm whether the Stonemill observer was notified of and provided materials for the April 17, 2024 meeting; if not, document the reason and ensure full observer compliance going forward (notice + materials for all future meetings). A breach, if any, should be cured prospectively.</w:t>
      </w:r>
    </w:p>
    <w:p>
      <w:pPr>
        <w:pStyle w:val="Compact"/>
        <w:numPr>
          <w:ilvl w:val="0"/>
          <w:numId w:val="1015"/>
        </w:numPr>
      </w:pPr>
      <w:r>
        <w:rPr>
          <w:b/>
          <w:bCs/>
        </w:rPr>
        <w:t xml:space="preserve">Reconstitute the Special Committee</w:t>
      </w:r>
      <w:r>
        <w:t xml:space="preserve"> </w:t>
      </w:r>
      <w:r>
        <w:t xml:space="preserve">(as above) and have it re-evaluate and ratify the process with full participation.</w:t>
      </w:r>
    </w:p>
    <w:p>
      <w:pPr>
        <w:pStyle w:val="Compact"/>
        <w:numPr>
          <w:ilvl w:val="0"/>
          <w:numId w:val="1015"/>
        </w:numPr>
      </w:pPr>
      <w:r>
        <w:rPr>
          <w:b/>
          <w:bCs/>
        </w:rPr>
        <w:t xml:space="preserve">Document the sale process robustly:</w:t>
      </w:r>
      <w:r>
        <w:t xml:space="preserve"> </w:t>
      </w:r>
      <w:r>
        <w:t xml:space="preserve">ensure the record reflects the market check (three initial bidders, Beta process, inbound Hargrove interest), the Meridian and Thornbury analyses, and the Special Committee’s deliberations. Consider whether a broader or refreshed market check is warranted to rebut Stonemill’s</w:t>
      </w:r>
      <w:r>
        <w:t xml:space="preserve"> </w:t>
      </w:r>
      <w:r>
        <w:t xml:space="preserve">“</w:t>
      </w:r>
      <w:r>
        <w:t xml:space="preserve">insufficiently broad</w:t>
      </w:r>
      <w:r>
        <w:t xml:space="preserve">”</w:t>
      </w:r>
      <w:r>
        <w:t xml:space="preserve"> </w:t>
      </w:r>
      <w:r>
        <w:t xml:space="preserve">objection — particularly given that the process narrowed from three bidders to a single inbound party (Hargrove) without a contemporaneous full market check.</w:t>
      </w:r>
    </w:p>
    <w:p>
      <w:pPr>
        <w:pStyle w:val="Compact"/>
        <w:numPr>
          <w:ilvl w:val="0"/>
          <w:numId w:val="1015"/>
        </w:numPr>
      </w:pPr>
      <w:r>
        <w:rPr>
          <w:b/>
          <w:bCs/>
        </w:rPr>
        <w:t xml:space="preserve">Obtain a fairness opinion</w:t>
      </w:r>
      <w:r>
        <w:t xml:space="preserve"> </w:t>
      </w:r>
      <w:r>
        <w:t xml:space="preserve">from Thornbury &amp; Associates (already engaged) and ensure it is presented to and relied upon by the reconstituted Special Committee and the full Board.</w:t>
      </w:r>
    </w:p>
    <w:bookmarkEnd w:id="65"/>
    <w:bookmarkStart w:id="66" w:name="c.-overall-sale-process-assessment"/>
    <w:p>
      <w:pPr>
        <w:pStyle w:val="Heading3"/>
      </w:pPr>
      <w:r>
        <w:t xml:space="preserve">C. Overall sale-process assessment</w:t>
      </w:r>
    </w:p>
    <w:p>
      <w:pPr>
        <w:pStyle w:val="FirstParagraph"/>
      </w:pPr>
      <w:r>
        <w:t xml:space="preserve">The sale process has several defensible features (engagement of a financial advisor, formation of a special committee, engagement of a valuation advisor, multiple-bidder outreach) and several vulnerabilities (interested director on the committee, Trask’s exclusion narrative, narrowing to a single inbound bidder without a fresh market check, Trask’s consistent dissenting votes). The process is not fatally flawed, but it should be</w:t>
      </w:r>
      <w:r>
        <w:t xml:space="preserve"> </w:t>
      </w:r>
      <w:r>
        <w:rPr>
          <w:b/>
          <w:bCs/>
        </w:rPr>
        <w:t xml:space="preserve">shored up before signing</w:t>
      </w:r>
      <w:r>
        <w:t xml:space="preserve"> </w:t>
      </w:r>
      <w:r>
        <w:t xml:space="preserve">to minimize the risk that Stonemill or other stockholders challenge the Transaction on fiduciary-duty grounds. The reconstitution of the Special Committee and a robust fairness opinion are the highest-value mitigants.</w:t>
      </w:r>
    </w:p>
    <w:p>
      <w:r>
        <w:pict>
          <v:rect style="width:0;height:1.5pt" o:hralign="center" o:hrstd="t" o:hr="t"/>
        </w:pict>
      </w:r>
    </w:p>
    <w:bookmarkEnd w:id="66"/>
    <w:bookmarkEnd w:id="67"/>
    <w:bookmarkStart w:id="72" w:name="X8f138a4c7ae3f68e3c028a5e375dfb290a0aff9"/>
    <w:p>
      <w:pPr>
        <w:pStyle w:val="Heading2"/>
      </w:pPr>
      <w:r>
        <w:t xml:space="preserve">XII. Area 10 — Registration Rights Post-Transaction</w:t>
      </w:r>
    </w:p>
    <w:bookmarkStart w:id="68" w:name="a.-rra-termination-provisions-section-9"/>
    <w:p>
      <w:pPr>
        <w:pStyle w:val="Heading3"/>
      </w:pPr>
      <w:r>
        <w:t xml:space="preserve">A. RRA termination provisions (Section 9)</w:t>
      </w:r>
    </w:p>
    <w:p>
      <w:pPr>
        <w:pStyle w:val="FirstParagraph"/>
      </w:pPr>
      <w:r>
        <w:t xml:space="preserve">Registration rights terminate with respect to a particular Holder upon the earliest of: (a) the Holder being able to sell all its Registrable Securities in a single three-month period under Rule 144 without volume/manner-of-sale restrictions and without the current-public-information requirement; (b) the fifth anniversary of the IPO closing; or (c)</w:t>
      </w:r>
      <w:r>
        <w:t xml:space="preserve"> </w:t>
      </w:r>
      <w:r>
        <w:rPr>
          <w:b/>
          <w:bCs/>
        </w:rPr>
        <w:t xml:space="preserve">“</w:t>
      </w:r>
      <w:r>
        <w:rPr>
          <w:b/>
          <w:bCs/>
        </w:rPr>
        <w:t xml:space="preserve">a Deemed Liquidation Event.</w:t>
      </w:r>
      <w:r>
        <w:rPr>
          <w:b/>
          <w:bCs/>
        </w:rPr>
        <w:t xml:space="preserve">”</w:t>
      </w:r>
      <w:r>
        <w:t xml:space="preserve"> </w:t>
      </w:r>
      <w:r>
        <w:t xml:space="preserve">The Agreement terminates in its entirety upon the earliest of (i) termination as to all Holders under (a)/(b)/(c), or (ii) the written consent of the Company and Holders of a majority of the then-outstanding Registrable Securities.</w:t>
      </w:r>
    </w:p>
    <w:bookmarkEnd w:id="68"/>
    <w:bookmarkStart w:id="69" w:name="b.-does-the-merger-terminate-the-rra"/>
    <w:p>
      <w:pPr>
        <w:pStyle w:val="Heading3"/>
      </w:pPr>
      <w:r>
        <w:t xml:space="preserve">B. Does the merger terminate the RRA?</w:t>
      </w:r>
    </w:p>
    <w:p>
      <w:pPr>
        <w:pStyle w:val="FirstParagraph"/>
      </w:pPr>
      <w:r>
        <w:rPr>
          <w:b/>
          <w:bCs/>
        </w:rPr>
        <w:t xml:space="preserve">Probably yes, but not cleanly.</w:t>
      </w:r>
      <w:r>
        <w:t xml:space="preserve"> </w:t>
      </w:r>
      <w:r>
        <w:t xml:space="preserve">The merger is intended to be a</w:t>
      </w:r>
      <w:r>
        <w:t xml:space="preserve"> </w:t>
      </w:r>
      <w:r>
        <w:t xml:space="preserve">“</w:t>
      </w:r>
      <w:r>
        <w:t xml:space="preserve">Deemed Liquidation Event,</w:t>
      </w:r>
      <w:r>
        <w:t xml:space="preserve">”</w:t>
      </w:r>
      <w:r>
        <w:t xml:space="preserve"> </w:t>
      </w:r>
      <w:r>
        <w:t xml:space="preserve">which would trigger termination under Section 9(c). However, as detailed in Section VIII.B,</w:t>
      </w:r>
      <w:r>
        <w:t xml:space="preserve"> </w:t>
      </w:r>
      <w:r>
        <w:rPr>
          <w:b/>
          <w:bCs/>
        </w:rPr>
        <w:t xml:space="preserve">“</w:t>
      </w:r>
      <w:r>
        <w:rPr>
          <w:b/>
          <w:bCs/>
        </w:rPr>
        <w:t xml:space="preserve">Deemed Liquidation Event</w:t>
      </w:r>
      <w:r>
        <w:rPr>
          <w:b/>
          <w:bCs/>
        </w:rPr>
        <w:t xml:space="preserve">”</w:t>
      </w:r>
      <w:r>
        <w:rPr>
          <w:b/>
          <w:bCs/>
        </w:rPr>
        <w:t xml:space="preserve"> </w:t>
      </w:r>
      <w:r>
        <w:rPr>
          <w:b/>
          <w:bCs/>
        </w:rPr>
        <w:t xml:space="preserve">is not defined in the RRA</w:t>
      </w:r>
      <w:r>
        <w:t xml:space="preserve"> </w:t>
      </w:r>
      <w:r>
        <w:t xml:space="preserve">and is not cross-referenced to the Restated Certificate’s</w:t>
      </w:r>
      <w:r>
        <w:t xml:space="preserve"> </w:t>
      </w:r>
      <w:r>
        <w:t xml:space="preserve">“</w:t>
      </w:r>
      <w:r>
        <w:t xml:space="preserve">Liquidation Event.</w:t>
      </w:r>
      <w:r>
        <w:t xml:space="preserve">”</w:t>
      </w:r>
      <w:r>
        <w:t xml:space="preserve"> </w:t>
      </w:r>
      <w:r>
        <w:t xml:space="preserve">The term is conventionally understood to mean a change-of-control transaction treated as a liquidation for preferred purposes, and the parties almost certainly intended the RRA to terminate on the same events as the charter’s Liquidation Event. On that reading, the merger terminates the RRA.</w:t>
      </w:r>
    </w:p>
    <w:p>
      <w:pPr>
        <w:pStyle w:val="BodyText"/>
      </w:pPr>
      <w:r>
        <w:rPr>
          <w:b/>
          <w:bCs/>
        </w:rPr>
        <w:t xml:space="preserve">Residual risk.</w:t>
      </w:r>
      <w:r>
        <w:t xml:space="preserve"> </w:t>
      </w:r>
      <w:r>
        <w:t xml:space="preserve">In an all-cash merger, the practical consequence of the RRA surviving is limited because post-closing there are no</w:t>
      </w:r>
      <w:r>
        <w:t xml:space="preserve"> </w:t>
      </w:r>
      <w:r>
        <w:t xml:space="preserve">“</w:t>
      </w:r>
      <w:r>
        <w:t xml:space="preserve">Registrable Securities</w:t>
      </w:r>
      <w:r>
        <w:t xml:space="preserve">”</w:t>
      </w:r>
      <w:r>
        <w:t xml:space="preserve"> </w:t>
      </w:r>
      <w:r>
        <w:t xml:space="preserve">outstanding (the Preferred is cancelled for cash; no Common is issued upon conversion; the former Holders hold no Company securities). The demand, piggyback, and S-3 registration rights would therefore be largely moot.</w:t>
      </w:r>
      <w:r>
        <w:t xml:space="preserve"> </w:t>
      </w:r>
      <w:r>
        <w:rPr>
          <w:b/>
          <w:bCs/>
        </w:rPr>
        <w:t xml:space="preserve">However:</w:t>
      </w:r>
    </w:p>
    <w:p>
      <w:pPr>
        <w:pStyle w:val="Compact"/>
        <w:numPr>
          <w:ilvl w:val="0"/>
          <w:numId w:val="1016"/>
        </w:numPr>
      </w:pPr>
      <w:r>
        <w:t xml:space="preserve">The RRA’s</w:t>
      </w:r>
      <w:r>
        <w:t xml:space="preserve"> </w:t>
      </w:r>
      <w:r>
        <w:rPr>
          <w:b/>
          <w:bCs/>
        </w:rPr>
        <w:t xml:space="preserve">indemnification provisions (Section 7) expressly survive termination</w:t>
      </w:r>
      <w:r>
        <w:t xml:space="preserve"> </w:t>
      </w:r>
      <w:r>
        <w:t xml:space="preserve">(Section 9). While indemnification relates to registration statements (which will not exist post-closing in an all-cash deal), the survival creates theoretical post-closing exposure.</w:t>
      </w:r>
    </w:p>
    <w:p>
      <w:pPr>
        <w:pStyle w:val="Compact"/>
        <w:numPr>
          <w:ilvl w:val="0"/>
          <w:numId w:val="1016"/>
        </w:numPr>
      </w:pPr>
      <w:r>
        <w:t xml:space="preserve">If the deal structure ever included</w:t>
      </w:r>
      <w:r>
        <w:t xml:space="preserve"> </w:t>
      </w:r>
      <w:r>
        <w:rPr>
          <w:b/>
          <w:bCs/>
        </w:rPr>
        <w:t xml:space="preserve">stock consideration</w:t>
      </w:r>
      <w:r>
        <w:t xml:space="preserve"> </w:t>
      </w:r>
      <w:r>
        <w:t xml:space="preserve">(e.g., Hargrove equity issued to former Terravox holders), the undefined</w:t>
      </w:r>
      <w:r>
        <w:t xml:space="preserve"> </w:t>
      </w:r>
      <w:r>
        <w:t xml:space="preserve">“</w:t>
      </w:r>
      <w:r>
        <w:t xml:space="preserve">Deemed Liquidation Event</w:t>
      </w:r>
      <w:r>
        <w:t xml:space="preserve">”</w:t>
      </w:r>
      <w:r>
        <w:t xml:space="preserve"> </w:t>
      </w:r>
      <w:r>
        <w:t xml:space="preserve">gap could leave registration rights alive with respect to the stock consideration — a material post-closing liability.</w:t>
      </w:r>
    </w:p>
    <w:p>
      <w:pPr>
        <w:pStyle w:val="Compact"/>
        <w:numPr>
          <w:ilvl w:val="0"/>
          <w:numId w:val="1016"/>
        </w:numPr>
      </w:pPr>
      <w:r>
        <w:t xml:space="preserve">The ambiguity itself is a diligence finding that should be cured.</w:t>
      </w:r>
    </w:p>
    <w:bookmarkEnd w:id="69"/>
    <w:bookmarkStart w:id="70" w:name="c.-demand-registration-timing-note"/>
    <w:p>
      <w:pPr>
        <w:pStyle w:val="Heading3"/>
      </w:pPr>
      <w:r>
        <w:t xml:space="preserve">C. Demand registration timing note</w:t>
      </w:r>
    </w:p>
    <w:p>
      <w:pPr>
        <w:pStyle w:val="FirstParagraph"/>
      </w:pPr>
      <w:r>
        <w:t xml:space="preserve">We note that demand registration rights under Section 2.1(a) became exercisable on</w:t>
      </w:r>
      <w:r>
        <w:t xml:space="preserve"> </w:t>
      </w:r>
      <w:r>
        <w:rPr>
          <w:b/>
          <w:bCs/>
        </w:rPr>
        <w:t xml:space="preserve">November 3, 2024</w:t>
      </w:r>
      <w:r>
        <w:t xml:space="preserve"> </w:t>
      </w:r>
      <w:r>
        <w:t xml:space="preserve">(three years after the RRA date), upon request of Holders of at least 30% of the then-outstanding Registrable Securities (the</w:t>
      </w:r>
      <w:r>
        <w:t xml:space="preserve"> </w:t>
      </w:r>
      <w:r>
        <w:t xml:space="preserve">“</w:t>
      </w:r>
      <w:r>
        <w:t xml:space="preserve">Initiating Holders,</w:t>
      </w:r>
      <w:r>
        <w:t xml:space="preserve">”</w:t>
      </w:r>
      <w:r>
        <w:t xml:space="preserve"> </w:t>
      </w:r>
      <w:r>
        <w:t xml:space="preserve">threshold 4,950,000 shares per Schedule A). Stonemill alone holds 7,800,000 Registrable Securities (as-converted) and could satisfy the 30% Initiating Holder threshold by itself. While a demand registration is unlikely to be pursued in the midst of an acquisition (and would be moot post-closing in an all-cash deal), Stonemill’s ability to demand registration is an additional (minor) lever and reinforces the importance of cleanly terminating the RRA at closing.</w:t>
      </w:r>
    </w:p>
    <w:bookmarkEnd w:id="70"/>
    <w:bookmarkStart w:id="71" w:name="d.-recommendation"/>
    <w:p>
      <w:pPr>
        <w:pStyle w:val="Heading3"/>
      </w:pPr>
      <w:r>
        <w:t xml:space="preserve">D. Recommendation</w:t>
      </w:r>
    </w:p>
    <w:p>
      <w:pPr>
        <w:pStyle w:val="Compact"/>
        <w:numPr>
          <w:ilvl w:val="0"/>
          <w:numId w:val="1017"/>
        </w:numPr>
      </w:pPr>
      <w:r>
        <w:rPr>
          <w:b/>
          <w:bCs/>
        </w:rPr>
        <w:t xml:space="preserve">Express termination at closing.</w:t>
      </w:r>
      <w:r>
        <w:t xml:space="preserve"> </w:t>
      </w:r>
      <w:r>
        <w:t xml:space="preserve">The merger agreement should include a covenant requiring the Company to terminate the RRA at closing, and the RRA should be terminated by written consent of the Company and Holders of a majority of the Registrable Securities under Section 9 (second clause) — which can be obtained from the same Holders whose consents are being solicited for the merger. This eliminates reliance on the undefined</w:t>
      </w:r>
      <w:r>
        <w:t xml:space="preserve"> </w:t>
      </w:r>
      <w:r>
        <w:t xml:space="preserve">“</w:t>
      </w:r>
      <w:r>
        <w:t xml:space="preserve">Deemed Liquidation Event.</w:t>
      </w:r>
      <w:r>
        <w:t xml:space="preserve">”</w:t>
      </w:r>
    </w:p>
    <w:p>
      <w:pPr>
        <w:pStyle w:val="Compact"/>
        <w:numPr>
          <w:ilvl w:val="0"/>
          <w:numId w:val="1017"/>
        </w:numPr>
      </w:pPr>
      <w:r>
        <w:rPr>
          <w:b/>
          <w:bCs/>
        </w:rPr>
        <w:t xml:space="preserve">Holder waivers/terminations.</w:t>
      </w:r>
      <w:r>
        <w:t xml:space="preserve"> </w:t>
      </w:r>
      <w:r>
        <w:t xml:space="preserve">Obtain individual written confirmations from each Holder (Ridgeline, Northbridge, Stonemill) acknowledging termination of the RRA in connection with the merger.</w:t>
      </w:r>
    </w:p>
    <w:p>
      <w:pPr>
        <w:pStyle w:val="Compact"/>
        <w:numPr>
          <w:ilvl w:val="0"/>
          <w:numId w:val="1017"/>
        </w:numPr>
      </w:pPr>
      <w:r>
        <w:rPr>
          <w:b/>
          <w:bCs/>
        </w:rPr>
        <w:t xml:space="preserve">Disclosure.</w:t>
      </w:r>
      <w:r>
        <w:t xml:space="preserve"> </w:t>
      </w:r>
      <w:r>
        <w:t xml:space="preserve">Disclose the RRA and its (cured) termination in the merger agreement disclosure schedules.</w:t>
      </w:r>
    </w:p>
    <w:p>
      <w:r>
        <w:pict>
          <v:rect style="width:0;height:1.5pt" o:hralign="center" o:hrstd="t" o:hr="t"/>
        </w:pict>
      </w:r>
    </w:p>
    <w:bookmarkEnd w:id="71"/>
    <w:bookmarkEnd w:id="72"/>
    <w:bookmarkStart w:id="76" w:name="X5353f4e396e5a1ba072d17861c8b9041616a63b"/>
    <w:p>
      <w:pPr>
        <w:pStyle w:val="Heading2"/>
      </w:pPr>
      <w:r>
        <w:t xml:space="preserve">XIII. Stonemill Leverage — Consolidated Map</w:t>
      </w:r>
    </w:p>
    <w:p>
      <w:pPr>
        <w:pStyle w:val="FirstParagraph"/>
      </w:pPr>
      <w:r>
        <w:t xml:space="preserve">At the client’s request, this section consolidates every leverage point Stonemill holds across the governance documents. This is the throughline of the diligence.</w:t>
      </w:r>
    </w:p>
    <w:bookmarkStart w:id="73" w:name="Xa7144ec71fb7a4c6c3eb9ee7e75fd53c8534da2"/>
    <w:p>
      <w:pPr>
        <w:pStyle w:val="Heading3"/>
      </w:pPr>
      <w:r>
        <w:t xml:space="preserve">A. Hard blocking rights (cannot be overcome without Stonemill’s consent, absent a successful drag-along override)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Leverage Point</w:t>
            </w:r>
          </w:p>
        </w:tc>
        <w:tc>
          <w:tcPr/>
          <w:p>
            <w:pPr>
              <w:pStyle w:val="Compact"/>
              <w:jc w:val="left"/>
            </w:pPr>
            <w:r>
              <w:t xml:space="preserve">Source</w:t>
            </w:r>
          </w:p>
        </w:tc>
        <w:tc>
          <w:tcPr/>
          <w:p>
            <w:pPr>
              <w:pStyle w:val="Compact"/>
              <w:jc w:val="left"/>
            </w:pPr>
            <w:r>
              <w:t xml:space="preserve">Threshold</w:t>
            </w:r>
          </w:p>
        </w:tc>
        <w:tc>
          <w:tcPr/>
          <w:p>
            <w:pPr>
              <w:pStyle w:val="Compact"/>
              <w:jc w:val="left"/>
            </w:pPr>
            <w:r>
              <w:t xml:space="preserve">Stonemill’s Position</w:t>
            </w:r>
          </w:p>
        </w:tc>
      </w:tr>
      <w:tr>
        <w:tc>
          <w:tcPr/>
          <w:p>
            <w:pPr>
              <w:pStyle w:val="Compact"/>
              <w:jc w:val="left"/>
            </w:pPr>
            <w:r>
              <w:rPr>
                <w:b/>
                <w:bCs/>
              </w:rPr>
              <w:t xml:space="preserve">Series C separate-class veto on any Liquidation Event</w:t>
            </w:r>
          </w:p>
        </w:tc>
        <w:tc>
          <w:tcPr/>
          <w:p>
            <w:pPr>
              <w:pStyle w:val="Compact"/>
              <w:jc w:val="left"/>
            </w:pPr>
            <w:r>
              <w:t xml:space="preserve">Restated Certificate § 4.3.6(b)(i)</w:t>
            </w:r>
          </w:p>
        </w:tc>
        <w:tc>
          <w:tcPr/>
          <w:p>
            <w:pPr>
              <w:pStyle w:val="Compact"/>
              <w:jc w:val="left"/>
            </w:pPr>
            <w:r>
              <w:t xml:space="preserve">66⅔% of Series C, separate class (≥5,200,000 shares)</w:t>
            </w:r>
          </w:p>
        </w:tc>
        <w:tc>
          <w:tcPr/>
          <w:p>
            <w:pPr>
              <w:pStyle w:val="Compact"/>
              <w:jc w:val="left"/>
            </w:pPr>
            <w:r>
              <w:t xml:space="preserve">Stonemill holds 100% of Series C (7,800,000).</w:t>
            </w:r>
            <w:r>
              <w:t xml:space="preserve"> </w:t>
            </w:r>
            <w:r>
              <w:rPr>
                <w:b/>
                <w:bCs/>
              </w:rPr>
              <w:t xml:space="preserve">Hard block.</w:t>
            </w:r>
          </w:p>
        </w:tc>
      </w:tr>
      <w:tr>
        <w:tc>
          <w:tcPr/>
          <w:p>
            <w:pPr>
              <w:pStyle w:val="Compact"/>
              <w:jc w:val="left"/>
            </w:pPr>
            <w:r>
              <w:rPr>
                <w:b/>
                <w:bCs/>
              </w:rPr>
              <w:t xml:space="preserve">Veto on charter amendments adversely/disproportionately affecting Series C</w:t>
            </w:r>
          </w:p>
        </w:tc>
        <w:tc>
          <w:tcPr/>
          <w:p>
            <w:pPr>
              <w:pStyle w:val="Compact"/>
              <w:jc w:val="left"/>
            </w:pPr>
            <w:r>
              <w:t xml:space="preserve">Restated Certificate § 4.3.6(b)(ii)</w:t>
            </w:r>
          </w:p>
        </w:tc>
        <w:tc>
          <w:tcPr/>
          <w:p>
            <w:pPr>
              <w:pStyle w:val="Compact"/>
              <w:jc w:val="left"/>
            </w:pPr>
            <w:r>
              <w:t xml:space="preserve">66⅔% of Series C, separate class</w:t>
            </w:r>
          </w:p>
        </w:tc>
        <w:tc>
          <w:tcPr/>
          <w:p>
            <w:pPr>
              <w:pStyle w:val="Compact"/>
              <w:jc w:val="left"/>
            </w:pPr>
            <w:r>
              <w:t xml:space="preserve">Stonemill can block any charter amendment that would, e.g., eliminate the Series C veto. Prevents a</w:t>
            </w:r>
            <w:r>
              <w:t xml:space="preserve"> </w:t>
            </w:r>
            <w:r>
              <w:t xml:space="preserve">“</w:t>
            </w:r>
            <w:r>
              <w:t xml:space="preserve">charter-scrub</w:t>
            </w:r>
            <w:r>
              <w:t xml:space="preserve">”</w:t>
            </w:r>
            <w:r>
              <w:t xml:space="preserve"> </w:t>
            </w:r>
            <w:r>
              <w:t xml:space="preserve">workaround.</w:t>
            </w:r>
          </w:p>
        </w:tc>
      </w:tr>
      <w:tr>
        <w:tc>
          <w:tcPr/>
          <w:p>
            <w:pPr>
              <w:pStyle w:val="Compact"/>
              <w:jc w:val="left"/>
            </w:pPr>
            <w:r>
              <w:rPr>
                <w:b/>
                <w:bCs/>
              </w:rPr>
              <w:t xml:space="preserve">Veto on issuing senior/parity equity to Series C</w:t>
            </w:r>
          </w:p>
        </w:tc>
        <w:tc>
          <w:tcPr/>
          <w:p>
            <w:pPr>
              <w:pStyle w:val="Compact"/>
              <w:jc w:val="left"/>
            </w:pPr>
            <w:r>
              <w:t xml:space="preserve">Restated Certificate § 4.3.6(b)(iii)</w:t>
            </w:r>
          </w:p>
        </w:tc>
        <w:tc>
          <w:tcPr/>
          <w:p>
            <w:pPr>
              <w:pStyle w:val="Compact"/>
              <w:jc w:val="left"/>
            </w:pPr>
            <w:r>
              <w:t xml:space="preserve">66⅔% of Series C, separate class</w:t>
            </w:r>
          </w:p>
        </w:tc>
        <w:tc>
          <w:tcPr/>
          <w:p>
            <w:pPr>
              <w:pStyle w:val="Compact"/>
              <w:jc w:val="left"/>
            </w:pPr>
            <w:r>
              <w:t xml:space="preserve">Prevents issuing new senior stock that could change the waterfall.</w:t>
            </w:r>
          </w:p>
        </w:tc>
      </w:tr>
    </w:tbl>
    <w:bookmarkEnd w:id="73"/>
    <w:bookmarkStart w:id="74" w:name="Xb0245b3e2d00ff360b4c90d5e8cad56d1b15ba5"/>
    <w:p>
      <w:pPr>
        <w:pStyle w:val="Heading3"/>
      </w:pPr>
      <w:r>
        <w:t xml:space="preserve">B. Soft / negotiating leverage (information, process, and economic leverage)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Leverage Point</w:t>
            </w:r>
          </w:p>
        </w:tc>
        <w:tc>
          <w:tcPr/>
          <w:p>
            <w:pPr>
              <w:pStyle w:val="Compact"/>
              <w:jc w:val="left"/>
            </w:pPr>
            <w:r>
              <w:t xml:space="preserve">Source</w:t>
            </w:r>
          </w:p>
        </w:tc>
        <w:tc>
          <w:tcPr/>
          <w:p>
            <w:pPr>
              <w:pStyle w:val="Compact"/>
              <w:jc w:val="left"/>
            </w:pPr>
            <w:r>
              <w:t xml:space="preserve">Effect</w:t>
            </w:r>
          </w:p>
        </w:tc>
      </w:tr>
      <w:tr>
        <w:tc>
          <w:tcPr/>
          <w:p>
            <w:pPr>
              <w:pStyle w:val="Compact"/>
              <w:jc w:val="left"/>
            </w:pPr>
            <w:r>
              <w:t xml:space="preserve">Board seat (Series C Director)</w:t>
            </w:r>
          </w:p>
        </w:tc>
        <w:tc>
          <w:tcPr/>
          <w:p>
            <w:pPr>
              <w:pStyle w:val="Compact"/>
              <w:jc w:val="left"/>
            </w:pPr>
            <w:r>
              <w:t xml:space="preserve">Voting Agreement § 2.2(c)</w:t>
            </w:r>
          </w:p>
        </w:tc>
        <w:tc>
          <w:tcPr/>
          <w:p>
            <w:pPr>
              <w:pStyle w:val="Compact"/>
              <w:jc w:val="left"/>
            </w:pPr>
            <w:r>
              <w:t xml:space="preserve">Trask can dissent, object, and build a record; cannot block Board actions (1 of 7).</w:t>
            </w:r>
          </w:p>
        </w:tc>
      </w:tr>
      <w:tr>
        <w:tc>
          <w:tcPr/>
          <w:p>
            <w:pPr>
              <w:pStyle w:val="Compact"/>
              <w:jc w:val="left"/>
            </w:pPr>
            <w:r>
              <w:t xml:space="preserve">Board observer right</w:t>
            </w:r>
          </w:p>
        </w:tc>
        <w:tc>
          <w:tcPr/>
          <w:p>
            <w:pPr>
              <w:pStyle w:val="Compact"/>
              <w:jc w:val="left"/>
            </w:pPr>
            <w:r>
              <w:t xml:space="preserve">Voting Agreement § 4.1</w:t>
            </w:r>
          </w:p>
        </w:tc>
        <w:tc>
          <w:tcPr/>
          <w:p>
            <w:pPr>
              <w:pStyle w:val="Compact"/>
              <w:jc w:val="left"/>
            </w:pPr>
            <w:r>
              <w:t xml:space="preserve">Entitled to all Board materials and meetings; basis to claim exclusion if not honored.</w:t>
            </w:r>
          </w:p>
        </w:tc>
      </w:tr>
      <w:tr>
        <w:tc>
          <w:tcPr/>
          <w:p>
            <w:pPr>
              <w:pStyle w:val="Compact"/>
              <w:jc w:val="left"/>
            </w:pPr>
            <w:r>
              <w:t xml:space="preserve">Information rights (Major Investor)</w:t>
            </w:r>
          </w:p>
        </w:tc>
        <w:tc>
          <w:tcPr/>
          <w:p>
            <w:pPr>
              <w:pStyle w:val="Compact"/>
              <w:jc w:val="left"/>
            </w:pPr>
            <w:r>
              <w:t xml:space="preserve">Stockholders’ Agreement § 4.1–4.2</w:t>
            </w:r>
          </w:p>
        </w:tc>
        <w:tc>
          <w:tcPr/>
          <w:p>
            <w:pPr>
              <w:pStyle w:val="Compact"/>
              <w:jc w:val="left"/>
            </w:pPr>
            <w:r>
              <w:t xml:space="preserve">Audited/quarterly financials, budget, inspection rights.</w:t>
            </w:r>
          </w:p>
        </w:tc>
      </w:tr>
      <w:tr>
        <w:tc>
          <w:tcPr/>
          <w:p>
            <w:pPr>
              <w:pStyle w:val="Compact"/>
              <w:jc w:val="left"/>
            </w:pPr>
            <w:r>
              <w:t xml:space="preserve">Large Preferred block (47.3% of Preferred; 23% fully diluted)</w:t>
            </w:r>
          </w:p>
        </w:tc>
        <w:tc>
          <w:tcPr/>
          <w:p>
            <w:pPr>
              <w:pStyle w:val="Compact"/>
              <w:jc w:val="left"/>
            </w:pPr>
            <w:r>
              <w:t xml:space="preserve">Restated Certificate § 4.3.5</w:t>
            </w:r>
          </w:p>
        </w:tc>
        <w:tc>
          <w:tcPr/>
          <w:p>
            <w:pPr>
              <w:pStyle w:val="Compact"/>
              <w:jc w:val="left"/>
            </w:pPr>
            <w:r>
              <w:t xml:space="preserve">Significant voting weight; relevant to all-Preferred vote and DGCL vote (though not a block).</w:t>
            </w:r>
          </w:p>
        </w:tc>
      </w:tr>
      <w:tr>
        <w:tc>
          <w:tcPr/>
          <w:p>
            <w:pPr>
              <w:pStyle w:val="Compact"/>
              <w:jc w:val="left"/>
            </w:pPr>
            <w:r>
              <w:t xml:space="preserve">Tag-along rights</w:t>
            </w:r>
          </w:p>
        </w:tc>
        <w:tc>
          <w:tcPr/>
          <w:p>
            <w:pPr>
              <w:pStyle w:val="Compact"/>
              <w:jc w:val="left"/>
            </w:pPr>
            <w:r>
              <w:t xml:space="preserve">Stockholders’ Agreement § 2.4</w:t>
            </w:r>
          </w:p>
        </w:tc>
        <w:tc>
          <w:tcPr/>
          <w:p>
            <w:pPr>
              <w:pStyle w:val="Compact"/>
              <w:jc w:val="left"/>
            </w:pPr>
            <w:r>
              <w:t xml:space="preserve">Relevant to Founder sales; not directly to the merger.</w:t>
            </w:r>
          </w:p>
        </w:tc>
      </w:tr>
      <w:tr>
        <w:tc>
          <w:tcPr/>
          <w:p>
            <w:pPr>
              <w:pStyle w:val="Compact"/>
              <w:jc w:val="left"/>
            </w:pPr>
            <w:r>
              <w:t xml:space="preserve">Demand registration (≥30% Initiating Holder)</w:t>
            </w:r>
          </w:p>
        </w:tc>
        <w:tc>
          <w:tcPr/>
          <w:p>
            <w:pPr>
              <w:pStyle w:val="Compact"/>
              <w:jc w:val="left"/>
            </w:pPr>
            <w:r>
              <w:t xml:space="preserve">RRA § 2.1(a)</w:t>
            </w:r>
          </w:p>
        </w:tc>
        <w:tc>
          <w:tcPr/>
          <w:p>
            <w:pPr>
              <w:pStyle w:val="Compact"/>
              <w:jc w:val="left"/>
            </w:pPr>
            <w:r>
              <w:t xml:space="preserve">Stonemill alone can demand registration (exercisable Nov. 3, 2024). Minor lever.</w:t>
            </w:r>
          </w:p>
        </w:tc>
      </w:tr>
      <w:tr>
        <w:tc>
          <w:tcPr/>
          <w:p>
            <w:pPr>
              <w:pStyle w:val="Compact"/>
              <w:jc w:val="left"/>
            </w:pPr>
            <w:r>
              <w:t xml:space="preserve">Veto on adverse amendments to drag-along (Art. 3)</w:t>
            </w:r>
          </w:p>
        </w:tc>
        <w:tc>
          <w:tcPr/>
          <w:p>
            <w:pPr>
              <w:pStyle w:val="Compact"/>
              <w:jc w:val="left"/>
            </w:pPr>
            <w:r>
              <w:t xml:space="preserve">Stockholders’ Agreement § 7.4</w:t>
            </w:r>
          </w:p>
        </w:tc>
        <w:tc>
          <w:tcPr/>
          <w:p>
            <w:pPr>
              <w:pStyle w:val="Compact"/>
              <w:jc w:val="left"/>
            </w:pPr>
            <w:r>
              <w:t xml:space="preserve">Protects Stonemill from having drag-along terms changed against it.</w:t>
            </w:r>
          </w:p>
        </w:tc>
      </w:tr>
      <w:tr>
        <w:tc>
          <w:tcPr/>
          <w:p>
            <w:pPr>
              <w:pStyle w:val="Compact"/>
              <w:jc w:val="left"/>
            </w:pPr>
            <w:r>
              <w:t xml:space="preserve">Veto on adverse Voting Agreement amendments</w:t>
            </w:r>
          </w:p>
        </w:tc>
        <w:tc>
          <w:tcPr/>
          <w:p>
            <w:pPr>
              <w:pStyle w:val="Compact"/>
              <w:jc w:val="left"/>
            </w:pPr>
            <w:r>
              <w:t xml:space="preserve">Voting Agreement § 8.4</w:t>
            </w:r>
          </w:p>
        </w:tc>
        <w:tc>
          <w:tcPr/>
          <w:p>
            <w:pPr>
              <w:pStyle w:val="Compact"/>
              <w:jc w:val="left"/>
            </w:pPr>
            <w:r>
              <w:t xml:space="preserve">Protects Stonemill’s designation/observer rights from amendment.</w:t>
            </w:r>
          </w:p>
        </w:tc>
      </w:tr>
      <w:tr>
        <w:tc>
          <w:tcPr/>
          <w:p>
            <w:pPr>
              <w:pStyle w:val="Compact"/>
              <w:jc w:val="left"/>
            </w:pPr>
            <w:r>
              <w:t xml:space="preserve">Economic stake (as-converted ~23%; preference $144.3M)</w:t>
            </w:r>
          </w:p>
        </w:tc>
        <w:tc>
          <w:tcPr/>
          <w:p>
            <w:pPr>
              <w:pStyle w:val="Compact"/>
              <w:jc w:val="left"/>
            </w:pPr>
            <w:r>
              <w:t xml:space="preserve">Restated Certificate § 4.3.2</w:t>
            </w:r>
          </w:p>
        </w:tc>
        <w:tc>
          <w:tcPr/>
          <w:p>
            <w:pPr>
              <w:pStyle w:val="Compact"/>
              <w:jc w:val="left"/>
            </w:pPr>
            <w:r>
              <w:t xml:space="preserve">Stonemill’s economic upside gives it both incentive and a basis to seek enhanced consideration.</w:t>
            </w:r>
          </w:p>
        </w:tc>
      </w:tr>
    </w:tbl>
    <w:bookmarkEnd w:id="74"/>
    <w:bookmarkStart w:id="75" w:name="c.-the-available-paths-to-closing"/>
    <w:p>
      <w:pPr>
        <w:pStyle w:val="Heading3"/>
      </w:pPr>
      <w:r>
        <w:t xml:space="preserve">C. The available paths to closing</w:t>
      </w:r>
    </w:p>
    <w:p>
      <w:pPr>
        <w:numPr>
          <w:ilvl w:val="0"/>
          <w:numId w:val="1018"/>
        </w:numPr>
      </w:pPr>
      <w:r>
        <w:rPr>
          <w:b/>
          <w:bCs/>
        </w:rPr>
        <w:t xml:space="preserve">Path 1 — Stonemill’s affirmative consent (preferred).</w:t>
      </w:r>
      <w:r>
        <w:t xml:space="preserve"> </w:t>
      </w:r>
      <w:r>
        <w:t xml:space="preserve">Obtain Stonemill’s affirmative Series C separate-class consent (satisfying § 4.3.6(b)(i)) along with the all-Preferred consent, the DGCL § 251 stockholder vote, and Board approval. This is the clean, litigation-free path. It likely requires negotiating with Stonemill — potentially on consideration allocation, side arrangements, or post-closing management/consulting rights — but it eliminates closing risk.</w:t>
      </w:r>
    </w:p>
    <w:p>
      <w:pPr>
        <w:numPr>
          <w:ilvl w:val="0"/>
          <w:numId w:val="1018"/>
        </w:numPr>
      </w:pPr>
      <w:r>
        <w:rPr>
          <w:b/>
          <w:bCs/>
        </w:rPr>
        <w:t xml:space="preserve">Path 2 — Drag-along override (contested fallback).</w:t>
      </w:r>
      <w:r>
        <w:t xml:space="preserve"> </w:t>
      </w:r>
      <w:r>
        <w:t xml:space="preserve">Trigger the drag-along without Stonemill (satisfying prongs (2) and (3) via Ridgeline + Northbridge, and prong (1) with sufficient option/common-holder support), then compel Stonemill’s Series C vote via the irrevocable proxy to satisfy § 4.3.6(b)(i). This path is</w:t>
      </w:r>
      <w:r>
        <w:t xml:space="preserve"> </w:t>
      </w:r>
      <w:r>
        <w:rPr>
          <w:i/>
          <w:iCs/>
        </w:rPr>
        <w:t xml:space="preserve">legally uncertain</w:t>
      </w:r>
      <w:r>
        <w:t xml:space="preserve"> </w:t>
      </w:r>
      <w:r>
        <w:t xml:space="preserve">(Section IV.C) and would likely trigger Stonemill litigation seeking to enjoin closing. It is a negotiating lever and a last-resort mechanism, not a primary plan.</w:t>
      </w:r>
    </w:p>
    <w:p>
      <w:pPr>
        <w:numPr>
          <w:ilvl w:val="0"/>
          <w:numId w:val="1018"/>
        </w:numPr>
      </w:pPr>
      <w:r>
        <w:rPr>
          <w:b/>
          <w:bCs/>
        </w:rPr>
        <w:t xml:space="preserve">Path 3 — Charter amendment (not viable).</w:t>
      </w:r>
      <w:r>
        <w:t xml:space="preserve"> </w:t>
      </w:r>
      <w:r>
        <w:t xml:space="preserve">Amending the charter to eliminate the Series C veto would itself require Series C consent under § 4.3.6(b)(ii) — the very consent Stonemill can withhold. This is circular and not a viable workaround.</w:t>
      </w:r>
    </w:p>
    <w:p>
      <w:pPr>
        <w:pStyle w:val="FirstParagraph"/>
      </w:pPr>
      <w:r>
        <w:rPr>
          <w:b/>
          <w:bCs/>
        </w:rPr>
        <w:t xml:space="preserve">Strategic recommendation.</w:t>
      </w:r>
      <w:r>
        <w:t xml:space="preserve"> </w:t>
      </w:r>
      <w:r>
        <w:t xml:space="preserve">Pursue Path 1 as the primary strategy while developing Path 2 as leverage. The credible existence of Path 2 (the drag-along) is itself a negotiating asset: it shifts Stonemill from a pure blocking posture toward a negotiated settlement, because Stonemill must weigh the risk of being dragged (and litigating, with uncertain outcome and cost) against the certainty of a negotiated deal. We recommend obtaining a Delaware-law opinion on the Path 2 viability before deploying it in negotiations, and structuring the merger agreement to permit closing on either path.</w:t>
      </w:r>
    </w:p>
    <w:p>
      <w:r>
        <w:pict>
          <v:rect style="width:0;height:1.5pt" o:hralign="center" o:hrstd="t" o:hr="t"/>
        </w:pict>
      </w:r>
    </w:p>
    <w:bookmarkEnd w:id="75"/>
    <w:bookmarkEnd w:id="76"/>
    <w:bookmarkStart w:id="81" w:name="xiv.-recommended-next-steps-action-items"/>
    <w:p>
      <w:pPr>
        <w:pStyle w:val="Heading2"/>
      </w:pPr>
      <w:r>
        <w:t xml:space="preserve">XIV. Recommended Next Steps / Action Items</w:t>
      </w:r>
    </w:p>
    <w:p>
      <w:pPr>
        <w:pStyle w:val="FirstParagraph"/>
      </w:pPr>
      <w:r>
        <w:t xml:space="preserve">The following action items are prioritized. Items marked</w:t>
      </w:r>
      <w:r>
        <w:t xml:space="preserve"> </w:t>
      </w:r>
      <w:r>
        <w:rPr>
          <w:b/>
          <w:bCs/>
        </w:rPr>
        <w:t xml:space="preserve">[IMMEDIATE]</w:t>
      </w:r>
      <w:r>
        <w:t xml:space="preserve"> </w:t>
      </w:r>
      <w:r>
        <w:t xml:space="preserve">should be addressed without waiting for the balance of diligence.</w:t>
      </w:r>
    </w:p>
    <w:bookmarkStart w:id="77" w:name="a.-immediate-time-sensitive"/>
    <w:p>
      <w:pPr>
        <w:pStyle w:val="Heading3"/>
      </w:pPr>
      <w:r>
        <w:t xml:space="preserve">A. Immediate / time-sensitive</w:t>
      </w:r>
    </w:p>
    <w:p>
      <w:pPr>
        <w:pStyle w:val="Compact"/>
        <w:numPr>
          <w:ilvl w:val="0"/>
          <w:numId w:val="1019"/>
        </w:numPr>
      </w:pPr>
      <w:r>
        <w:rPr>
          <w:b/>
          <w:bCs/>
        </w:rPr>
        <w:t xml:space="preserve">[IMMEDIATE] SensorLink LOI termination status.</w:t>
      </w:r>
      <w:r>
        <w:t xml:space="preserve"> </w:t>
      </w:r>
      <w:r>
        <w:t xml:space="preserve">Route a request through Jonathan Hsieh to Avery, Pollard &amp; Glenn to confirm whether a written termination notice was delivered to SensorLink before September 8, 2024; obtain and review the SensorLink LOI. If no notice was sent, deliver one immediately and assess exclusivity/breach exposure. (Section X.C)</w:t>
      </w:r>
    </w:p>
    <w:p>
      <w:pPr>
        <w:pStyle w:val="Compact"/>
        <w:numPr>
          <w:ilvl w:val="0"/>
          <w:numId w:val="1019"/>
        </w:numPr>
      </w:pPr>
      <w:r>
        <w:rPr>
          <w:b/>
          <w:bCs/>
        </w:rPr>
        <w:t xml:space="preserve">[IMMEDIATE] Flag to client.</w:t>
      </w:r>
      <w:r>
        <w:t xml:space="preserve"> </w:t>
      </w:r>
      <w:r>
        <w:t xml:space="preserve">Confirm that the Series C separate-class veto is a hard block and that the drag-along override is legally uncertain, so that deal strategy and merger-agreement structuring can proceed on the parallel-track approach. (Sections IV, XIII)</w:t>
      </w:r>
    </w:p>
    <w:bookmarkEnd w:id="77"/>
    <w:bookmarkStart w:id="78" w:name="X7bab5c2432939578590de076bda3dc2741502ab"/>
    <w:p>
      <w:pPr>
        <w:pStyle w:val="Heading3"/>
      </w:pPr>
      <w:r>
        <w:t xml:space="preserve">B. Document requests (to be routed through Jonathan Hsieh to Avery, Pollard &amp; Glenn)</w:t>
      </w:r>
    </w:p>
    <w:p>
      <w:pPr>
        <w:pStyle w:val="Compact"/>
        <w:numPr>
          <w:ilvl w:val="0"/>
          <w:numId w:val="1020"/>
        </w:numPr>
      </w:pPr>
      <w:r>
        <w:rPr>
          <w:b/>
          <w:bCs/>
        </w:rPr>
        <w:t xml:space="preserve">2021 Equity Incentive Plan</w:t>
      </w:r>
      <w:r>
        <w:t xml:space="preserve"> </w:t>
      </w:r>
      <w:r>
        <w:t xml:space="preserve">(as amended), including the amendment effecting the 8.0M → 9.5M share-reserve increase, and all individual award agreements (option agreements, RSU agreements, including the Malhotra option and Yeung RSU). (Section IX)</w:t>
      </w:r>
    </w:p>
    <w:p>
      <w:pPr>
        <w:pStyle w:val="Compact"/>
        <w:numPr>
          <w:ilvl w:val="0"/>
          <w:numId w:val="1020"/>
        </w:numPr>
      </w:pPr>
      <w:r>
        <w:rPr>
          <w:b/>
          <w:bCs/>
        </w:rPr>
        <w:t xml:space="preserve">Stockholder consent records</w:t>
      </w:r>
      <w:r>
        <w:t xml:space="preserve"> </w:t>
      </w:r>
      <w:r>
        <w:t xml:space="preserve">(written consents) for: (a) the Clearfield term loan (Oct. 2023); (b) the Plan share-reserve increase (July 2023); and (c) any other actions implicating the Section 4.3.6 protective provisions. (Sections IX.D, X.B)</w:t>
      </w:r>
    </w:p>
    <w:p>
      <w:pPr>
        <w:pStyle w:val="Compact"/>
        <w:numPr>
          <w:ilvl w:val="0"/>
          <w:numId w:val="1020"/>
        </w:numPr>
      </w:pPr>
      <w:r>
        <w:rPr>
          <w:b/>
          <w:bCs/>
        </w:rPr>
        <w:t xml:space="preserve">Confirmation of the governance-agreement inventory:</w:t>
      </w:r>
      <w:r>
        <w:t xml:space="preserve"> </w:t>
      </w:r>
      <w:r>
        <w:t xml:space="preserve">whether separate</w:t>
      </w:r>
      <w:r>
        <w:t xml:space="preserve"> </w:t>
      </w:r>
      <w:r>
        <w:t xml:space="preserve">“</w:t>
      </w:r>
      <w:r>
        <w:t xml:space="preserve">Investors’ Rights Agreement</w:t>
      </w:r>
      <w:r>
        <w:t xml:space="preserve">”</w:t>
      </w:r>
      <w:r>
        <w:t xml:space="preserve"> </w:t>
      </w:r>
      <w:r>
        <w:t xml:space="preserve">and</w:t>
      </w:r>
      <w:r>
        <w:t xml:space="preserve"> </w:t>
      </w:r>
      <w:r>
        <w:t xml:space="preserve">“</w:t>
      </w:r>
      <w:r>
        <w:t xml:space="preserve">Right of First Refusal and Co-Sale Agreement</w:t>
      </w:r>
      <w:r>
        <w:t xml:space="preserve">”</w:t>
      </w:r>
      <w:r>
        <w:t xml:space="preserve"> </w:t>
      </w:r>
      <w:r>
        <w:t xml:space="preserve">exist (as referenced in the Board Minutes), or whether the Stockholders’ Agreement and RRA are the operative combined instruments. If separate agreements exist, produce them. (Section VIII.C)</w:t>
      </w:r>
    </w:p>
    <w:p>
      <w:pPr>
        <w:pStyle w:val="Compact"/>
        <w:numPr>
          <w:ilvl w:val="0"/>
          <w:numId w:val="1020"/>
        </w:numPr>
      </w:pPr>
      <w:r>
        <w:rPr>
          <w:b/>
          <w:bCs/>
        </w:rPr>
        <w:t xml:space="preserve">SensorLink LOI</w:t>
      </w:r>
      <w:r>
        <w:t xml:space="preserve"> </w:t>
      </w:r>
      <w:r>
        <w:t xml:space="preserve">and any termination correspondence. (Section X.C)</w:t>
      </w:r>
    </w:p>
    <w:p>
      <w:pPr>
        <w:pStyle w:val="Compact"/>
        <w:numPr>
          <w:ilvl w:val="0"/>
          <w:numId w:val="1020"/>
        </w:numPr>
      </w:pPr>
      <w:r>
        <w:rPr>
          <w:b/>
          <w:bCs/>
        </w:rPr>
        <w:t xml:space="preserve">Clearfield National Bank loan agreement</w:t>
      </w:r>
      <w:r>
        <w:t xml:space="preserve"> </w:t>
      </w:r>
      <w:r>
        <w:t xml:space="preserve">and related security agreements (to confirm change-of-control triggers, prepayment terms, and lender consent requirements). (Section V.D)</w:t>
      </w:r>
    </w:p>
    <w:p>
      <w:pPr>
        <w:pStyle w:val="Compact"/>
        <w:numPr>
          <w:ilvl w:val="0"/>
          <w:numId w:val="1020"/>
        </w:numPr>
      </w:pPr>
      <w:r>
        <w:rPr>
          <w:b/>
          <w:bCs/>
        </w:rPr>
        <w:t xml:space="preserve">Confidentiality agreement with Hargrove</w:t>
      </w:r>
      <w:r>
        <w:t xml:space="preserve"> </w:t>
      </w:r>
      <w:r>
        <w:t xml:space="preserve">and any exclusivity agreement with Hargrove. (Section X.D)</w:t>
      </w:r>
    </w:p>
    <w:p>
      <w:pPr>
        <w:pStyle w:val="Compact"/>
        <w:numPr>
          <w:ilvl w:val="0"/>
          <w:numId w:val="1020"/>
        </w:numPr>
      </w:pPr>
      <w:r>
        <w:rPr>
          <w:b/>
          <w:bCs/>
        </w:rPr>
        <w:t xml:space="preserve">Meridian Partners engagement letter</w:t>
      </w:r>
      <w:r>
        <w:t xml:space="preserve"> </w:t>
      </w:r>
      <w:r>
        <w:t xml:space="preserve">and any draft fairness opinion / valuation analysis from</w:t>
      </w:r>
      <w:r>
        <w:t xml:space="preserve"> </w:t>
      </w:r>
      <w:r>
        <w:rPr>
          <w:b/>
          <w:bCs/>
        </w:rPr>
        <w:t xml:space="preserve">Thornbury &amp; Associates.</w:t>
      </w:r>
      <w:r>
        <w:t xml:space="preserve"> </w:t>
      </w:r>
      <w:r>
        <w:t xml:space="preserve">(Section XI)</w:t>
      </w:r>
    </w:p>
    <w:p>
      <w:pPr>
        <w:pStyle w:val="Compact"/>
        <w:numPr>
          <w:ilvl w:val="0"/>
          <w:numId w:val="1020"/>
        </w:numPr>
      </w:pPr>
      <w:r>
        <w:rPr>
          <w:b/>
          <w:bCs/>
        </w:rPr>
        <w:t xml:space="preserve">Indemnification agreements</w:t>
      </w:r>
      <w:r>
        <w:t xml:space="preserve"> </w:t>
      </w:r>
      <w:r>
        <w:t xml:space="preserve">with each director (referenced in Bylaws § 6.4). (general)</w:t>
      </w:r>
    </w:p>
    <w:p>
      <w:pPr>
        <w:pStyle w:val="Compact"/>
        <w:numPr>
          <w:ilvl w:val="0"/>
          <w:numId w:val="1020"/>
        </w:numPr>
      </w:pPr>
      <w:r>
        <w:rPr>
          <w:b/>
          <w:bCs/>
        </w:rPr>
        <w:t xml:space="preserve">Cap table and schedule of outstanding equity awards</w:t>
      </w:r>
      <w:r>
        <w:t xml:space="preserve"> </w:t>
      </w:r>
      <w:r>
        <w:t xml:space="preserve">(current, post-July 2023 grants), including vesting schedules and exercise prices. (Section IX)</w:t>
      </w:r>
    </w:p>
    <w:p>
      <w:pPr>
        <w:pStyle w:val="Compact"/>
        <w:numPr>
          <w:ilvl w:val="0"/>
          <w:numId w:val="1020"/>
        </w:numPr>
      </w:pPr>
      <w:r>
        <w:rPr>
          <w:b/>
          <w:bCs/>
        </w:rPr>
        <w:t xml:space="preserve">Joinder agreements</w:t>
      </w:r>
      <w:r>
        <w:t xml:space="preserve"> </w:t>
      </w:r>
      <w:r>
        <w:t xml:space="preserve">executed by option/common holders under the Stockholders’ Agreement (to confirm which holders are bound by the drag-along and to model the prong (1) vote). (Section IV.B)</w:t>
      </w:r>
    </w:p>
    <w:bookmarkEnd w:id="78"/>
    <w:bookmarkStart w:id="79" w:name="c.-legal-analysis-and-structuring"/>
    <w:p>
      <w:pPr>
        <w:pStyle w:val="Heading3"/>
      </w:pPr>
      <w:r>
        <w:t xml:space="preserve">C. Legal analysis and structuring</w:t>
      </w:r>
    </w:p>
    <w:p>
      <w:pPr>
        <w:pStyle w:val="Compact"/>
        <w:numPr>
          <w:ilvl w:val="0"/>
          <w:numId w:val="1021"/>
        </w:numPr>
      </w:pPr>
      <w:r>
        <w:rPr>
          <w:b/>
          <w:bCs/>
        </w:rPr>
        <w:t xml:space="preserve">Delaware-law opinion/memo on drag-along vs. protective provision.</w:t>
      </w:r>
      <w:r>
        <w:t xml:space="preserve"> </w:t>
      </w:r>
      <w:r>
        <w:t xml:space="preserve">Obtain a focused analysis of whether the Stockholders’ Agreement drag-along (and irrevocable proxy) can compel a Series C vote that satisfies the charter’s § 4.3.6(b)(i) separate-class protective provision over the objecting holder’s opposition. (Section IV.C)</w:t>
      </w:r>
    </w:p>
    <w:p>
      <w:pPr>
        <w:pStyle w:val="Compact"/>
        <w:numPr>
          <w:ilvl w:val="0"/>
          <w:numId w:val="1021"/>
        </w:numPr>
      </w:pPr>
      <w:r>
        <w:rPr>
          <w:b/>
          <w:bCs/>
        </w:rPr>
        <w:t xml:space="preserve">Reconstitute the Special Committee</w:t>
      </w:r>
      <w:r>
        <w:t xml:space="preserve"> </w:t>
      </w:r>
      <w:r>
        <w:t xml:space="preserve">to exclude interested directors (Okafor), leaving only independent directors; have the reconstituted committee ratify the process and issue a fresh recommendation supported by the Thornbury fairness analysis. (Section XI.A)</w:t>
      </w:r>
    </w:p>
    <w:p>
      <w:pPr>
        <w:pStyle w:val="Compact"/>
        <w:numPr>
          <w:ilvl w:val="0"/>
          <w:numId w:val="1021"/>
        </w:numPr>
      </w:pPr>
      <w:r>
        <w:rPr>
          <w:b/>
          <w:bCs/>
        </w:rPr>
        <w:t xml:space="preserve">Cure the observer-right issue:</w:t>
      </w:r>
      <w:r>
        <w:t xml:space="preserve"> </w:t>
      </w:r>
      <w:r>
        <w:t xml:space="preserve">confirm notice/materials to the Stonemill observer for the April 17, 2024 meeting and ensure full prospective compliance. (Section XI.B)</w:t>
      </w:r>
    </w:p>
    <w:p>
      <w:pPr>
        <w:pStyle w:val="Compact"/>
        <w:numPr>
          <w:ilvl w:val="0"/>
          <w:numId w:val="1021"/>
        </w:numPr>
      </w:pPr>
      <w:r>
        <w:rPr>
          <w:b/>
          <w:bCs/>
        </w:rPr>
        <w:t xml:space="preserve">Structure the merger to invoke the drag-along</w:t>
      </w:r>
      <w:r>
        <w:t xml:space="preserve"> </w:t>
      </w:r>
      <w:r>
        <w:t xml:space="preserve">(Article 3) so the Transaction is</w:t>
      </w:r>
      <w:r>
        <w:t xml:space="preserve"> </w:t>
      </w:r>
      <w:r>
        <w:t xml:space="preserve">“</w:t>
      </w:r>
      <w:r>
        <w:t xml:space="preserve">consummated in accordance with Article 3,</w:t>
      </w:r>
      <w:r>
        <w:t xml:space="preserve">”</w:t>
      </w:r>
      <w:r>
        <w:t xml:space="preserve"> </w:t>
      </w:r>
      <w:r>
        <w:t xml:space="preserve">securing the ROFR/co-sale carve-out; obtain ROFR/co-sale waivers as belt-and-suspenders. (Section VI.B)</w:t>
      </w:r>
    </w:p>
    <w:p>
      <w:pPr>
        <w:pStyle w:val="Compact"/>
        <w:numPr>
          <w:ilvl w:val="0"/>
          <w:numId w:val="1021"/>
        </w:numPr>
      </w:pPr>
      <w:r>
        <w:rPr>
          <w:b/>
          <w:bCs/>
        </w:rPr>
        <w:t xml:space="preserve">Merger agreement provisions:</w:t>
      </w:r>
      <w:r>
        <w:t xml:space="preserve"> </w:t>
      </w:r>
      <w:r>
        <w:t xml:space="preserve">(a) express termination of the RRA at closing + Holder termination consents; (b) express termination of the Stockholders’ Agreement and Voting Agreement; (c) treatment of equity awards (per the Plan, once received); (d) repayment/refinancing of the Clearfield debt; (e) closing conditions permitting closing on either Stonemill consent or a court-enforced drag-along. (Sections VI, VII, XII)</w:t>
      </w:r>
    </w:p>
    <w:p>
      <w:pPr>
        <w:pStyle w:val="Compact"/>
        <w:numPr>
          <w:ilvl w:val="0"/>
          <w:numId w:val="1021"/>
        </w:numPr>
      </w:pPr>
      <w:r>
        <w:rPr>
          <w:b/>
          <w:bCs/>
        </w:rPr>
        <w:t xml:space="preserve">Cure/assess the Clearfield protective-provision violation:</w:t>
      </w:r>
      <w:r>
        <w:t xml:space="preserve"> </w:t>
      </w:r>
      <w:r>
        <w:t xml:space="preserve">confirm whether Preferred consent was obtained; if not, consider a ratifying Preferred consent and disclose in the merger agreement reps. (Section X.B)</w:t>
      </w:r>
    </w:p>
    <w:p>
      <w:pPr>
        <w:pStyle w:val="Compact"/>
        <w:numPr>
          <w:ilvl w:val="0"/>
          <w:numId w:val="1021"/>
        </w:numPr>
      </w:pPr>
      <w:r>
        <w:rPr>
          <w:b/>
          <w:bCs/>
        </w:rPr>
        <w:t xml:space="preserve">Confirm stockholder approval for the Plan share-reserve increase</w:t>
      </w:r>
      <w:r>
        <w:t xml:space="preserve">; if required and not obtained, assess validity and cure. (Section IX.D)</w:t>
      </w:r>
    </w:p>
    <w:p>
      <w:pPr>
        <w:pStyle w:val="Compact"/>
        <w:numPr>
          <w:ilvl w:val="0"/>
          <w:numId w:val="1021"/>
        </w:numPr>
      </w:pPr>
      <w:r>
        <w:rPr>
          <w:b/>
          <w:bCs/>
        </w:rPr>
        <w:t xml:space="preserve">Consider a refreshed market check</w:t>
      </w:r>
      <w:r>
        <w:t xml:space="preserve"> </w:t>
      </w:r>
      <w:r>
        <w:t xml:space="preserve">to bolster the sale-process record and rebut Stonemill’s</w:t>
      </w:r>
      <w:r>
        <w:t xml:space="preserve"> </w:t>
      </w:r>
      <w:r>
        <w:t xml:space="preserve">“</w:t>
      </w:r>
      <w:r>
        <w:t xml:space="preserve">insufficiently broad</w:t>
      </w:r>
      <w:r>
        <w:t xml:space="preserve">”</w:t>
      </w:r>
      <w:r>
        <w:t xml:space="preserve"> </w:t>
      </w:r>
      <w:r>
        <w:t xml:space="preserve">objection. (Section XI.C)</w:t>
      </w:r>
    </w:p>
    <w:bookmarkEnd w:id="79"/>
    <w:bookmarkStart w:id="80" w:name="d.-items-requiring-client-input"/>
    <w:p>
      <w:pPr>
        <w:pStyle w:val="Heading3"/>
      </w:pPr>
      <w:r>
        <w:t xml:space="preserve">D. Items requiring client input</w:t>
      </w:r>
    </w:p>
    <w:p>
      <w:pPr>
        <w:pStyle w:val="Compact"/>
        <w:numPr>
          <w:ilvl w:val="0"/>
          <w:numId w:val="1022"/>
        </w:numPr>
      </w:pPr>
      <w:r>
        <w:rPr>
          <w:b/>
          <w:bCs/>
        </w:rPr>
        <w:t xml:space="preserve">Stonemill engagement strategy:</w:t>
      </w:r>
      <w:r>
        <w:t xml:space="preserve"> </w:t>
      </w:r>
      <w:r>
        <w:t xml:space="preserve">confirm whether Hargrove wishes to negotiate with Stonemill (and on what terms — consideration allocation, side arrangements, post-closing roles) versus pursue the contested drag-along path. (Section XIII)</w:t>
      </w:r>
    </w:p>
    <w:p>
      <w:pPr>
        <w:pStyle w:val="Compact"/>
        <w:numPr>
          <w:ilvl w:val="0"/>
          <w:numId w:val="1022"/>
        </w:numPr>
      </w:pPr>
      <w:r>
        <w:rPr>
          <w:b/>
          <w:bCs/>
        </w:rPr>
        <w:t xml:space="preserve">Treatment of equity awards:</w:t>
      </w:r>
      <w:r>
        <w:t xml:space="preserve"> </w:t>
      </w:r>
      <w:r>
        <w:t xml:space="preserve">confirm Hargrove’s preference for assumption vs. cash-out of unvested awards, and whether key-employee retention arrangements are contemplated. (Section IX)</w:t>
      </w:r>
    </w:p>
    <w:p>
      <w:pPr>
        <w:pStyle w:val="Compact"/>
        <w:numPr>
          <w:ilvl w:val="0"/>
          <w:numId w:val="1022"/>
        </w:numPr>
      </w:pPr>
      <w:r>
        <w:rPr>
          <w:b/>
          <w:bCs/>
        </w:rPr>
        <w:t xml:space="preserve">Indemnity structure:</w:t>
      </w:r>
      <w:r>
        <w:t xml:space="preserve"> </w:t>
      </w:r>
      <w:r>
        <w:t xml:space="preserve">confirm the stockholder indemnity/escrow approach in light of the drag-along’s Section 3.2(c)–(d) limitations (several liability, capped at consideration, no non-competes). (Section IV.D)</w:t>
      </w:r>
    </w:p>
    <w:p>
      <w:r>
        <w:pict>
          <v:rect style="width:0;height:1.5pt" o:hralign="center" o:hrstd="t" o:hr="t"/>
        </w:pict>
      </w:r>
    </w:p>
    <w:bookmarkEnd w:id="80"/>
    <w:bookmarkEnd w:id="81"/>
    <w:bookmarkStart w:id="82" w:name="xv.-severity-classification-summary"/>
    <w:p>
      <w:pPr>
        <w:pStyle w:val="Heading2"/>
      </w:pPr>
      <w:r>
        <w:t xml:space="preserve">XV. Severity Classification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Issue</w:t>
            </w:r>
          </w:p>
        </w:tc>
        <w:tc>
          <w:tcPr/>
          <w:p>
            <w:pPr>
              <w:pStyle w:val="Compact"/>
              <w:jc w:val="left"/>
            </w:pPr>
            <w:r>
              <w:t xml:space="preserve">Section</w:t>
            </w:r>
          </w:p>
        </w:tc>
      </w:tr>
      <w:tr>
        <w:tc>
          <w:tcPr/>
          <w:p>
            <w:pPr>
              <w:pStyle w:val="Compact"/>
              <w:jc w:val="left"/>
            </w:pPr>
            <w:r>
              <w:rPr>
                <w:b/>
                <w:bCs/>
              </w:rPr>
              <w:t xml:space="preserve">Critical</w:t>
            </w:r>
          </w:p>
        </w:tc>
        <w:tc>
          <w:tcPr/>
          <w:p>
            <w:pPr>
              <w:pStyle w:val="Compact"/>
              <w:jc w:val="left"/>
            </w:pPr>
            <w:r>
              <w:t xml:space="preserve">Series C separate-class protective provision — Stonemill hard blocking right over the Transaction</w:t>
            </w:r>
          </w:p>
        </w:tc>
        <w:tc>
          <w:tcPr/>
          <w:p>
            <w:pPr>
              <w:pStyle w:val="Compact"/>
              <w:jc w:val="left"/>
            </w:pPr>
            <w:r>
              <w:t xml:space="preserve">III.D, XIII.A</w:t>
            </w:r>
          </w:p>
        </w:tc>
      </w:tr>
      <w:tr>
        <w:tc>
          <w:tcPr/>
          <w:p>
            <w:pPr>
              <w:pStyle w:val="Compact"/>
              <w:jc w:val="left"/>
            </w:pPr>
            <w:r>
              <w:rPr>
                <w:b/>
                <w:bCs/>
              </w:rPr>
              <w:t xml:space="preserve">Critical</w:t>
            </w:r>
          </w:p>
        </w:tc>
        <w:tc>
          <w:tcPr/>
          <w:p>
            <w:pPr>
              <w:pStyle w:val="Compact"/>
              <w:jc w:val="left"/>
            </w:pPr>
            <w:r>
              <w:t xml:space="preserve">SensorLink LOI auto-renewal — potential live exclusivity obligation conflicting with the Hargrove Transaction (time-sensitive)</w:t>
            </w:r>
          </w:p>
        </w:tc>
        <w:tc>
          <w:tcPr/>
          <w:p>
            <w:pPr>
              <w:pStyle w:val="Compact"/>
              <w:jc w:val="left"/>
            </w:pPr>
            <w:r>
              <w:t xml:space="preserve">X.C</w:t>
            </w:r>
          </w:p>
        </w:tc>
      </w:tr>
      <w:tr>
        <w:tc>
          <w:tcPr/>
          <w:p>
            <w:pPr>
              <w:pStyle w:val="Compact"/>
              <w:jc w:val="left"/>
            </w:pPr>
            <w:r>
              <w:rPr>
                <w:b/>
                <w:bCs/>
              </w:rPr>
              <w:t xml:space="preserve">Significant</w:t>
            </w:r>
          </w:p>
        </w:tc>
        <w:tc>
          <w:tcPr/>
          <w:p>
            <w:pPr>
              <w:pStyle w:val="Compact"/>
              <w:jc w:val="left"/>
            </w:pPr>
            <w:r>
              <w:t xml:space="preserve">Uncertainty whether the drag-along can override the charter-level Series C protective provision under Delaware law</w:t>
            </w:r>
          </w:p>
        </w:tc>
        <w:tc>
          <w:tcPr/>
          <w:p>
            <w:pPr>
              <w:pStyle w:val="Compact"/>
              <w:jc w:val="left"/>
            </w:pPr>
            <w:r>
              <w:t xml:space="preserve">IV.C</w:t>
            </w:r>
          </w:p>
        </w:tc>
      </w:tr>
      <w:tr>
        <w:tc>
          <w:tcPr/>
          <w:p>
            <w:pPr>
              <w:pStyle w:val="Compact"/>
              <w:jc w:val="left"/>
            </w:pPr>
            <w:r>
              <w:rPr>
                <w:b/>
                <w:bCs/>
              </w:rPr>
              <w:t xml:space="preserve">Significant</w:t>
            </w:r>
          </w:p>
        </w:tc>
        <w:tc>
          <w:tcPr/>
          <w:p>
            <w:pPr>
              <w:pStyle w:val="Compact"/>
              <w:jc w:val="left"/>
            </w:pPr>
            <w:r>
              <w:t xml:space="preserve">$12M Clearfield term loan incurred without apparent Preferred consent required by § 4.3.6(a)(v)</w:t>
            </w:r>
          </w:p>
        </w:tc>
        <w:tc>
          <w:tcPr/>
          <w:p>
            <w:pPr>
              <w:pStyle w:val="Compact"/>
              <w:jc w:val="left"/>
            </w:pPr>
            <w:r>
              <w:t xml:space="preserve">X.B</w:t>
            </w:r>
          </w:p>
        </w:tc>
      </w:tr>
      <w:tr>
        <w:tc>
          <w:tcPr/>
          <w:p>
            <w:pPr>
              <w:pStyle w:val="Compact"/>
              <w:jc w:val="left"/>
            </w:pPr>
            <w:r>
              <w:rPr>
                <w:b/>
                <w:bCs/>
              </w:rPr>
              <w:t xml:space="preserve">Significant</w:t>
            </w:r>
          </w:p>
        </w:tc>
        <w:tc>
          <w:tcPr/>
          <w:p>
            <w:pPr>
              <w:pStyle w:val="Compact"/>
              <w:jc w:val="left"/>
            </w:pPr>
            <w:r>
              <w:t xml:space="preserve">Special Committee includes interested director (Okafor), undermining committee independence</w:t>
            </w:r>
          </w:p>
        </w:tc>
        <w:tc>
          <w:tcPr/>
          <w:p>
            <w:pPr>
              <w:pStyle w:val="Compact"/>
              <w:jc w:val="left"/>
            </w:pPr>
            <w:r>
              <w:t xml:space="preserve">XI.A</w:t>
            </w:r>
          </w:p>
        </w:tc>
      </w:tr>
      <w:tr>
        <w:tc>
          <w:tcPr/>
          <w:p>
            <w:pPr>
              <w:pStyle w:val="Compact"/>
              <w:jc w:val="left"/>
            </w:pPr>
            <w:r>
              <w:rPr>
                <w:b/>
                <w:bCs/>
              </w:rPr>
              <w:t xml:space="preserve">Significant</w:t>
            </w:r>
          </w:p>
        </w:tc>
        <w:tc>
          <w:tcPr/>
          <w:p>
            <w:pPr>
              <w:pStyle w:val="Compact"/>
              <w:jc w:val="left"/>
            </w:pPr>
            <w:r>
              <w:t xml:space="preserve">RRA termination hinges on undefined</w:t>
            </w:r>
            <w:r>
              <w:t xml:space="preserve"> </w:t>
            </w:r>
            <w:r>
              <w:t xml:space="preserve">“</w:t>
            </w:r>
            <w:r>
              <w:t xml:space="preserve">Deemed Liquidation Event</w:t>
            </w:r>
            <w:r>
              <w:t xml:space="preserve">”</w:t>
            </w:r>
            <w:r>
              <w:t xml:space="preserve"> </w:t>
            </w:r>
            <w:r>
              <w:t xml:space="preserve">— post-closing survival risk</w:t>
            </w:r>
          </w:p>
        </w:tc>
        <w:tc>
          <w:tcPr/>
          <w:p>
            <w:pPr>
              <w:pStyle w:val="Compact"/>
              <w:jc w:val="left"/>
            </w:pPr>
            <w:r>
              <w:t xml:space="preserve">VIII.B, XII</w:t>
            </w:r>
          </w:p>
        </w:tc>
      </w:tr>
      <w:tr>
        <w:tc>
          <w:tcPr/>
          <w:p>
            <w:pPr>
              <w:pStyle w:val="Compact"/>
              <w:jc w:val="left"/>
            </w:pPr>
            <w:r>
              <w:rPr>
                <w:b/>
                <w:bCs/>
              </w:rPr>
              <w:t xml:space="preserve">Significant</w:t>
            </w:r>
          </w:p>
        </w:tc>
        <w:tc>
          <w:tcPr/>
          <w:p>
            <w:pPr>
              <w:pStyle w:val="Compact"/>
              <w:jc w:val="left"/>
            </w:pPr>
            <w:r>
              <w:t xml:space="preserve">Document gaps: 2021 Equity Incentive Plan, award agreements, stockholder consent records, possible separate Investors’ Rights / ROFR-Co-Sale agreements</w:t>
            </w:r>
          </w:p>
        </w:tc>
        <w:tc>
          <w:tcPr/>
          <w:p>
            <w:pPr>
              <w:pStyle w:val="Compact"/>
              <w:jc w:val="left"/>
            </w:pPr>
            <w:r>
              <w:t xml:space="preserve">VIII.C, IX.B</w:t>
            </w:r>
          </w:p>
        </w:tc>
      </w:tr>
      <w:tr>
        <w:tc>
          <w:tcPr/>
          <w:p>
            <w:pPr>
              <w:pStyle w:val="Compact"/>
              <w:jc w:val="left"/>
            </w:pPr>
            <w:r>
              <w:rPr>
                <w:b/>
                <w:bCs/>
              </w:rPr>
              <w:t xml:space="preserve">Significant</w:t>
            </w:r>
          </w:p>
        </w:tc>
        <w:tc>
          <w:tcPr/>
          <w:p>
            <w:pPr>
              <w:pStyle w:val="Compact"/>
              <w:jc w:val="left"/>
            </w:pPr>
            <w:r>
              <w:t xml:space="preserve">Equity plan share-reserve increase (8.0M → 9.5M) — Board approval only; stockholder approval status unknown</w:t>
            </w:r>
          </w:p>
        </w:tc>
        <w:tc>
          <w:tcPr/>
          <w:p>
            <w:pPr>
              <w:pStyle w:val="Compact"/>
              <w:jc w:val="left"/>
            </w:pPr>
            <w:r>
              <w:t xml:space="preserve">IX.D, X.A</w:t>
            </w:r>
          </w:p>
        </w:tc>
      </w:tr>
      <w:tr>
        <w:tc>
          <w:tcPr/>
          <w:p>
            <w:pPr>
              <w:pStyle w:val="Compact"/>
              <w:jc w:val="left"/>
            </w:pPr>
            <w:r>
              <w:rPr>
                <w:b/>
                <w:bCs/>
              </w:rPr>
              <w:t xml:space="preserve">Moderate</w:t>
            </w:r>
          </w:p>
        </w:tc>
        <w:tc>
          <w:tcPr/>
          <w:p>
            <w:pPr>
              <w:pStyle w:val="Compact"/>
              <w:jc w:val="left"/>
            </w:pPr>
            <w:r>
              <w:t xml:space="preserve">Cross-document definitional inconsistencies (50% vs. majority; Liquidation Event vs. Sale of the Company vs. Deemed Liquidation Event)</w:t>
            </w:r>
          </w:p>
        </w:tc>
        <w:tc>
          <w:tcPr/>
          <w:p>
            <w:pPr>
              <w:pStyle w:val="Compact"/>
              <w:jc w:val="left"/>
            </w:pPr>
            <w:r>
              <w:t xml:space="preserve">VIII.A</w:t>
            </w:r>
          </w:p>
        </w:tc>
      </w:tr>
      <w:tr>
        <w:tc>
          <w:tcPr/>
          <w:p>
            <w:pPr>
              <w:pStyle w:val="Compact"/>
              <w:jc w:val="left"/>
            </w:pPr>
            <w:r>
              <w:rPr>
                <w:b/>
                <w:bCs/>
              </w:rPr>
              <w:t xml:space="preserve">Moderate</w:t>
            </w:r>
          </w:p>
        </w:tc>
        <w:tc>
          <w:tcPr/>
          <w:p>
            <w:pPr>
              <w:pStyle w:val="Compact"/>
              <w:jc w:val="left"/>
            </w:pPr>
            <w:r>
              <w:t xml:space="preserve">ROFR/co-sale carve-out conditioned on Sale</w:t>
            </w:r>
            <w:r>
              <w:t xml:space="preserve"> </w:t>
            </w:r>
            <w:r>
              <w:t xml:space="preserve">“</w:t>
            </w:r>
            <w:r>
              <w:t xml:space="preserve">consummated in accordance with Article 3</w:t>
            </w:r>
            <w:r>
              <w:t xml:space="preserve">”</w:t>
            </w:r>
            <w:r>
              <w:t xml:space="preserve"> </w:t>
            </w:r>
            <w:r>
              <w:t xml:space="preserve">(drag-along)</w:t>
            </w:r>
          </w:p>
        </w:tc>
        <w:tc>
          <w:tcPr/>
          <w:p>
            <w:pPr>
              <w:pStyle w:val="Compact"/>
              <w:jc w:val="left"/>
            </w:pPr>
            <w:r>
              <w:t xml:space="preserve">VI.B</w:t>
            </w:r>
          </w:p>
        </w:tc>
      </w:tr>
      <w:tr>
        <w:tc>
          <w:tcPr/>
          <w:p>
            <w:pPr>
              <w:pStyle w:val="Compact"/>
              <w:jc w:val="left"/>
            </w:pPr>
            <w:r>
              <w:rPr>
                <w:b/>
                <w:bCs/>
              </w:rPr>
              <w:t xml:space="preserve">Moderate</w:t>
            </w:r>
          </w:p>
        </w:tc>
        <w:tc>
          <w:tcPr/>
          <w:p>
            <w:pPr>
              <w:pStyle w:val="Compact"/>
              <w:jc w:val="left"/>
            </w:pPr>
            <w:r>
              <w:t xml:space="preserve">Stonemill board observer absent from April 17, 2024 meeting — potential observer-right breach</w:t>
            </w:r>
          </w:p>
        </w:tc>
        <w:tc>
          <w:tcPr/>
          <w:p>
            <w:pPr>
              <w:pStyle w:val="Compact"/>
              <w:jc w:val="left"/>
            </w:pPr>
            <w:r>
              <w:t xml:space="preserve">XI.B</w:t>
            </w:r>
          </w:p>
        </w:tc>
      </w:tr>
      <w:tr>
        <w:tc>
          <w:tcPr/>
          <w:p>
            <w:pPr>
              <w:pStyle w:val="Compact"/>
              <w:jc w:val="left"/>
            </w:pPr>
            <w:r>
              <w:rPr>
                <w:b/>
                <w:bCs/>
              </w:rPr>
              <w:t xml:space="preserve">Moderate</w:t>
            </w:r>
          </w:p>
        </w:tc>
        <w:tc>
          <w:tcPr/>
          <w:p>
            <w:pPr>
              <w:pStyle w:val="Compact"/>
              <w:jc w:val="left"/>
            </w:pPr>
            <w:r>
              <w:t xml:space="preserve">Voting Agreement 5-year sunset (Nov. 3, 2026) — lingering risk if Sale of the Company not cleanly triggered</w:t>
            </w:r>
          </w:p>
        </w:tc>
        <w:tc>
          <w:tcPr/>
          <w:p>
            <w:pPr>
              <w:pStyle w:val="Compact"/>
              <w:jc w:val="left"/>
            </w:pPr>
            <w:r>
              <w:t xml:space="preserve">VII.D</w:t>
            </w:r>
          </w:p>
        </w:tc>
      </w:tr>
      <w:tr>
        <w:tc>
          <w:tcPr/>
          <w:p>
            <w:pPr>
              <w:pStyle w:val="Compact"/>
              <w:jc w:val="left"/>
            </w:pPr>
            <w:r>
              <w:rPr>
                <w:b/>
                <w:bCs/>
              </w:rPr>
              <w:t xml:space="preserve">Moderate</w:t>
            </w:r>
          </w:p>
        </w:tc>
        <w:tc>
          <w:tcPr/>
          <w:p>
            <w:pPr>
              <w:pStyle w:val="Compact"/>
              <w:jc w:val="left"/>
            </w:pPr>
            <w:r>
              <w:t xml:space="preserve">Outstanding employee options appear out-of-the-money ($14.30 exercise price vs. ~$13.95 implied per-share value)</w:t>
            </w:r>
          </w:p>
        </w:tc>
        <w:tc>
          <w:tcPr/>
          <w:p>
            <w:pPr>
              <w:pStyle w:val="Compact"/>
              <w:jc w:val="left"/>
            </w:pPr>
            <w:r>
              <w:t xml:space="preserve">IX.C</w:t>
            </w:r>
          </w:p>
        </w:tc>
      </w:tr>
    </w:tbl>
    <w:p>
      <w:r>
        <w:pict>
          <v:rect style="width:0;height:1.5pt" o:hralign="center" o:hrstd="t" o:hr="t"/>
        </w:pict>
      </w:r>
    </w:p>
    <w:bookmarkEnd w:id="82"/>
    <w:bookmarkStart w:id="83" w:name="appendix-a-consent-approval-matrix"/>
    <w:p>
      <w:pPr>
        <w:pStyle w:val="Heading2"/>
      </w:pPr>
      <w:r>
        <w:t xml:space="preserve">Appendix A — Consent / Approval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Approval / Consent</w:t>
            </w:r>
          </w:p>
        </w:tc>
        <w:tc>
          <w:tcPr/>
          <w:p>
            <w:pPr>
              <w:pStyle w:val="Compact"/>
              <w:jc w:val="left"/>
            </w:pPr>
            <w:r>
              <w:t xml:space="preserve">Source Provision</w:t>
            </w:r>
          </w:p>
        </w:tc>
        <w:tc>
          <w:tcPr/>
          <w:p>
            <w:pPr>
              <w:pStyle w:val="Compact"/>
              <w:jc w:val="left"/>
            </w:pPr>
            <w:r>
              <w:t xml:space="preserve">Threshold</w:t>
            </w:r>
          </w:p>
        </w:tc>
        <w:tc>
          <w:tcPr/>
          <w:p>
            <w:pPr>
              <w:pStyle w:val="Compact"/>
              <w:jc w:val="left"/>
            </w:pPr>
            <w:r>
              <w:t xml:space="preserve">Parties Whose Consent Is Needed</w:t>
            </w:r>
          </w:p>
        </w:tc>
        <w:tc>
          <w:tcPr/>
          <w:p>
            <w:pPr>
              <w:pStyle w:val="Compact"/>
              <w:jc w:val="left"/>
            </w:pPr>
            <w:r>
              <w:t xml:space="preserve">Current Status</w:t>
            </w:r>
          </w:p>
        </w:tc>
      </w:tr>
      <w:tr>
        <w:tc>
          <w:tcPr/>
          <w:p>
            <w:pPr>
              <w:pStyle w:val="Compact"/>
              <w:jc w:val="left"/>
            </w:pPr>
            <w:r>
              <w:t xml:space="preserve">1</w:t>
            </w:r>
          </w:p>
        </w:tc>
        <w:tc>
          <w:tcPr/>
          <w:p>
            <w:pPr>
              <w:pStyle w:val="Compact"/>
              <w:jc w:val="left"/>
            </w:pPr>
            <w:r>
              <w:t xml:space="preserve">Board approval of definitive merger agreement</w:t>
            </w:r>
          </w:p>
        </w:tc>
        <w:tc>
          <w:tcPr/>
          <w:p>
            <w:pPr>
              <w:pStyle w:val="Compact"/>
              <w:jc w:val="left"/>
            </w:pPr>
            <w:r>
              <w:t xml:space="preserve">DGCL § 251(b); Bylaws § 3.7</w:t>
            </w:r>
          </w:p>
        </w:tc>
        <w:tc>
          <w:tcPr/>
          <w:p>
            <w:pPr>
              <w:pStyle w:val="Compact"/>
              <w:jc w:val="left"/>
            </w:pPr>
            <w:r>
              <w:t xml:space="preserve">Majority of directors present at a quorum (≥4 of 7)</w:t>
            </w:r>
          </w:p>
        </w:tc>
        <w:tc>
          <w:tcPr/>
          <w:p>
            <w:pPr>
              <w:pStyle w:val="Compact"/>
              <w:jc w:val="left"/>
            </w:pPr>
            <w:r>
              <w:t xml:space="preserve">Board of Directors</w:t>
            </w:r>
          </w:p>
        </w:tc>
        <w:tc>
          <w:tcPr/>
          <w:p>
            <w:pPr>
              <w:pStyle w:val="Compact"/>
              <w:jc w:val="left"/>
            </w:pPr>
            <w:r>
              <w:t xml:space="preserve">Not yet obtained (definitive docs pending); negotiation authorized 6-1 on Sept. 25, 2024</w:t>
            </w:r>
          </w:p>
        </w:tc>
      </w:tr>
      <w:tr>
        <w:tc>
          <w:tcPr/>
          <w:p>
            <w:pPr>
              <w:pStyle w:val="Compact"/>
              <w:jc w:val="left"/>
            </w:pPr>
            <w:r>
              <w:t xml:space="preserve">2</w:t>
            </w:r>
          </w:p>
        </w:tc>
        <w:tc>
          <w:tcPr/>
          <w:p>
            <w:pPr>
              <w:pStyle w:val="Compact"/>
              <w:jc w:val="left"/>
            </w:pPr>
            <w:r>
              <w:t xml:space="preserve">Stockholder approval (merger)</w:t>
            </w:r>
          </w:p>
        </w:tc>
        <w:tc>
          <w:tcPr/>
          <w:p>
            <w:pPr>
              <w:pStyle w:val="Compact"/>
              <w:jc w:val="left"/>
            </w:pPr>
            <w:r>
              <w:t xml:space="preserve">DGCL § 251(c); Restated Certificate Art. VI</w:t>
            </w:r>
          </w:p>
        </w:tc>
        <w:tc>
          <w:tcPr/>
          <w:p>
            <w:pPr>
              <w:pStyle w:val="Compact"/>
              <w:jc w:val="left"/>
            </w:pPr>
            <w:r>
              <w:t xml:space="preserve">Majority of outstanding shares entitled to vote, as-converted, single class (&gt;16,950,000 of 33,900,000)</w:t>
            </w:r>
          </w:p>
        </w:tc>
        <w:tc>
          <w:tcPr/>
          <w:p>
            <w:pPr>
              <w:pStyle w:val="Compact"/>
              <w:jc w:val="left"/>
            </w:pPr>
            <w:r>
              <w:t xml:space="preserve">All stockholders (Common + Preferred as-converted)</w:t>
            </w:r>
          </w:p>
        </w:tc>
        <w:tc>
          <w:tcPr/>
          <w:p>
            <w:pPr>
              <w:pStyle w:val="Compact"/>
              <w:jc w:val="left"/>
            </w:pPr>
            <w:r>
              <w:t xml:space="preserve">Not yet obtained; may be taken by written consent (DGCL § 228)</w:t>
            </w:r>
          </w:p>
        </w:tc>
      </w:tr>
      <w:tr>
        <w:tc>
          <w:tcPr/>
          <w:p>
            <w:pPr>
              <w:pStyle w:val="Compact"/>
              <w:jc w:val="left"/>
            </w:pPr>
            <w:r>
              <w:t xml:space="preserve">3</w:t>
            </w:r>
          </w:p>
        </w:tc>
        <w:tc>
          <w:tcPr/>
          <w:p>
            <w:pPr>
              <w:pStyle w:val="Compact"/>
              <w:jc w:val="left"/>
            </w:pPr>
            <w:r>
              <w:t xml:space="preserve">All-Preferred protective provision (Liquidation Event)</w:t>
            </w:r>
          </w:p>
        </w:tc>
        <w:tc>
          <w:tcPr/>
          <w:p>
            <w:pPr>
              <w:pStyle w:val="Compact"/>
              <w:jc w:val="left"/>
            </w:pPr>
            <w:r>
              <w:t xml:space="preserve">Restated Certificate § 4.3.6(a)(vi)</w:t>
            </w:r>
          </w:p>
        </w:tc>
        <w:tc>
          <w:tcPr/>
          <w:p>
            <w:pPr>
              <w:pStyle w:val="Compact"/>
              <w:jc w:val="left"/>
            </w:pPr>
            <w:r>
              <w:t xml:space="preserve">Majority (&gt;50%) of Preferred, as-converted, single class (&gt;8,250,000 of 16,500,000)</w:t>
            </w:r>
          </w:p>
        </w:tc>
        <w:tc>
          <w:tcPr/>
          <w:p>
            <w:pPr>
              <w:pStyle w:val="Compact"/>
              <w:jc w:val="left"/>
            </w:pPr>
            <w:r>
              <w:t xml:space="preserve">Preferred holders (Ridgeline, Northbridge, Stonemill)</w:t>
            </w:r>
          </w:p>
        </w:tc>
        <w:tc>
          <w:tcPr/>
          <w:p>
            <w:pPr>
              <w:pStyle w:val="Compact"/>
              <w:jc w:val="left"/>
            </w:pPr>
            <w:r>
              <w:t xml:space="preserve">Not yet obtained;</w:t>
            </w:r>
            <w:r>
              <w:t xml:space="preserve"> </w:t>
            </w:r>
            <w:r>
              <w:rPr>
                <w:b/>
                <w:bCs/>
              </w:rPr>
              <w:t xml:space="preserve">achievable without Stonemill</w:t>
            </w:r>
            <w:r>
              <w:t xml:space="preserve"> </w:t>
            </w:r>
            <w:r>
              <w:t xml:space="preserve">(Ridgeline + Northbridge = 8,700,000)</w:t>
            </w:r>
          </w:p>
        </w:tc>
      </w:tr>
      <w:tr>
        <w:tc>
          <w:tcPr/>
          <w:p>
            <w:pPr>
              <w:pStyle w:val="Compact"/>
              <w:jc w:val="left"/>
            </w:pPr>
            <w:r>
              <w:t xml:space="preserve">4</w:t>
            </w:r>
          </w:p>
        </w:tc>
        <w:tc>
          <w:tcPr/>
          <w:p>
            <w:pPr>
              <w:pStyle w:val="Compact"/>
              <w:jc w:val="left"/>
            </w:pPr>
            <w:r>
              <w:t xml:space="preserve">Series C separate-class protective provision (Liquidation Event)</w:t>
            </w:r>
          </w:p>
        </w:tc>
        <w:tc>
          <w:tcPr/>
          <w:p>
            <w:pPr>
              <w:pStyle w:val="Compact"/>
              <w:jc w:val="left"/>
            </w:pPr>
            <w:r>
              <w:t xml:space="preserve">Restated Certificate § 4.3.6(b)(i)</w:t>
            </w:r>
          </w:p>
        </w:tc>
        <w:tc>
          <w:tcPr/>
          <w:p>
            <w:pPr>
              <w:pStyle w:val="Compact"/>
              <w:jc w:val="left"/>
            </w:pPr>
            <w:r>
              <w:t xml:space="preserve">66⅔% of Series C, separate class (≥5,200,000 of 7,800,000)</w:t>
            </w:r>
          </w:p>
        </w:tc>
        <w:tc>
          <w:tcPr/>
          <w:p>
            <w:pPr>
              <w:pStyle w:val="Compact"/>
              <w:jc w:val="left"/>
            </w:pPr>
            <w:r>
              <w:t xml:space="preserve">Series C holders (Stonemill = 100%)</w:t>
            </w:r>
          </w:p>
        </w:tc>
        <w:tc>
          <w:tcPr/>
          <w:p>
            <w:pPr>
              <w:pStyle w:val="Compact"/>
              <w:jc w:val="left"/>
            </w:pPr>
            <w:r>
              <w:t xml:space="preserve">Not yet obtained;</w:t>
            </w:r>
            <w:r>
              <w:t xml:space="preserve"> </w:t>
            </w:r>
            <w:r>
              <w:rPr>
                <w:b/>
                <w:bCs/>
              </w:rPr>
              <w:t xml:space="preserve">CANNOT be obtained without Stonemill — HARD BLOCK</w:t>
            </w:r>
          </w:p>
        </w:tc>
      </w:tr>
      <w:tr>
        <w:tc>
          <w:tcPr/>
          <w:p>
            <w:pPr>
              <w:pStyle w:val="Compact"/>
              <w:jc w:val="left"/>
            </w:pPr>
            <w:r>
              <w:t xml:space="preserve">5</w:t>
            </w:r>
          </w:p>
        </w:tc>
        <w:tc>
          <w:tcPr/>
          <w:p>
            <w:pPr>
              <w:pStyle w:val="Compact"/>
              <w:jc w:val="left"/>
            </w:pPr>
            <w:r>
              <w:t xml:space="preserve">Drag-along trigger (if invoked)</w:t>
            </w:r>
          </w:p>
        </w:tc>
        <w:tc>
          <w:tcPr/>
          <w:p>
            <w:pPr>
              <w:pStyle w:val="Compact"/>
              <w:jc w:val="left"/>
            </w:pPr>
            <w:r>
              <w:t xml:space="preserve">Stockholders’ Agreement § 3.1(a)</w:t>
            </w:r>
          </w:p>
        </w:tc>
        <w:tc>
          <w:tcPr/>
          <w:p>
            <w:pPr>
              <w:pStyle w:val="Compact"/>
              <w:jc w:val="left"/>
            </w:pPr>
            <w:r>
              <w:t xml:space="preserve">(i) Common majority as-converted (&gt;16,950,000); (ii) Preferred majority as-converted (&gt;8,250,000); (iii) 2 of 3 Investors</w:t>
            </w:r>
          </w:p>
        </w:tc>
        <w:tc>
          <w:tcPr/>
          <w:p>
            <w:pPr>
              <w:pStyle w:val="Compact"/>
              <w:jc w:val="left"/>
            </w:pPr>
            <w:r>
              <w:t xml:space="preserve">All Restricted Stockholders (to be compelled)</w:t>
            </w:r>
          </w:p>
        </w:tc>
        <w:tc>
          <w:tcPr/>
          <w:p>
            <w:pPr>
              <w:pStyle w:val="Compact"/>
              <w:jc w:val="left"/>
            </w:pPr>
            <w:r>
              <w:t xml:space="preserve">Not yet invoked; (ii) and (iii) met without Stonemill; (i) short by ~950,000 shares (needs option/common-holder support)</w:t>
            </w:r>
          </w:p>
        </w:tc>
      </w:tr>
      <w:tr>
        <w:tc>
          <w:tcPr/>
          <w:p>
            <w:pPr>
              <w:pStyle w:val="Compact"/>
              <w:jc w:val="left"/>
            </w:pPr>
            <w:r>
              <w:t xml:space="preserve">6</w:t>
            </w:r>
          </w:p>
        </w:tc>
        <w:tc>
          <w:tcPr/>
          <w:p>
            <w:pPr>
              <w:pStyle w:val="Compact"/>
              <w:jc w:val="left"/>
            </w:pPr>
            <w:r>
              <w:t xml:space="preserve">Drag-along override of Series C veto</w:t>
            </w:r>
          </w:p>
        </w:tc>
        <w:tc>
          <w:tcPr/>
          <w:p>
            <w:pPr>
              <w:pStyle w:val="Compact"/>
              <w:jc w:val="left"/>
            </w:pPr>
            <w:r>
              <w:t xml:space="preserve">Stockholders’ Agreement § 3.3 (proxy) + Restated Certificate § 4.3.6(b)(i)</w:t>
            </w:r>
          </w:p>
        </w:tc>
        <w:tc>
          <w:tcPr/>
          <w:p>
            <w:pPr>
              <w:pStyle w:val="Compact"/>
              <w:jc w:val="left"/>
            </w:pPr>
            <w:r>
              <w:t xml:space="preserve">Compelled Series C vote satisfying 66⅔%</w:t>
            </w:r>
          </w:p>
        </w:tc>
        <w:tc>
          <w:tcPr/>
          <w:p>
            <w:pPr>
              <w:pStyle w:val="Compact"/>
              <w:jc w:val="left"/>
            </w:pPr>
            <w:r>
              <w:t xml:space="preserve">N/A (enforcement question)</w:t>
            </w:r>
          </w:p>
        </w:tc>
        <w:tc>
          <w:tcPr/>
          <w:p>
            <w:pPr>
              <w:pStyle w:val="Compact"/>
              <w:jc w:val="left"/>
            </w:pPr>
            <w:r>
              <w:rPr>
                <w:b/>
                <w:bCs/>
              </w:rPr>
              <w:t xml:space="preserve">Legally uncertain</w:t>
            </w:r>
            <w:r>
              <w:t xml:space="preserve"> </w:t>
            </w:r>
            <w:r>
              <w:t xml:space="preserve">— requires Delaware-law analysis; likely contested</w:t>
            </w:r>
          </w:p>
        </w:tc>
      </w:tr>
      <w:tr>
        <w:tc>
          <w:tcPr/>
          <w:p>
            <w:pPr>
              <w:pStyle w:val="Compact"/>
              <w:jc w:val="left"/>
            </w:pPr>
            <w:r>
              <w:t xml:space="preserve">7</w:t>
            </w:r>
          </w:p>
        </w:tc>
        <w:tc>
          <w:tcPr/>
          <w:p>
            <w:pPr>
              <w:pStyle w:val="Compact"/>
              <w:jc w:val="left"/>
            </w:pPr>
            <w:r>
              <w:t xml:space="preserve">Stockholders’ Agreement termination</w:t>
            </w:r>
          </w:p>
        </w:tc>
        <w:tc>
          <w:tcPr/>
          <w:p>
            <w:pPr>
              <w:pStyle w:val="Compact"/>
              <w:jc w:val="left"/>
            </w:pPr>
            <w:r>
              <w:t xml:space="preserve">Stockholders’ Agreement § 6.1(b)</w:t>
            </w:r>
          </w:p>
        </w:tc>
        <w:tc>
          <w:tcPr/>
          <w:p>
            <w:pPr>
              <w:pStyle w:val="Compact"/>
              <w:jc w:val="left"/>
            </w:pPr>
            <w:r>
              <w:t xml:space="preserve">Sale of the Company (automatic)</w:t>
            </w:r>
          </w:p>
        </w:tc>
        <w:tc>
          <w:tcPr/>
          <w:p>
            <w:pPr>
              <w:pStyle w:val="Compact"/>
              <w:jc w:val="left"/>
            </w:pPr>
            <w:r>
              <w:t xml:space="preserve">N/A</w:t>
            </w:r>
          </w:p>
        </w:tc>
        <w:tc>
          <w:tcPr/>
          <w:p>
            <w:pPr>
              <w:pStyle w:val="Compact"/>
              <w:jc w:val="left"/>
            </w:pPr>
            <w:r>
              <w:t xml:space="preserve">Will terminate at closing (merger = Sale of the Company)</w:t>
            </w:r>
          </w:p>
        </w:tc>
      </w:tr>
      <w:tr>
        <w:tc>
          <w:tcPr/>
          <w:p>
            <w:pPr>
              <w:pStyle w:val="Compact"/>
              <w:jc w:val="left"/>
            </w:pPr>
            <w:r>
              <w:t xml:space="preserve">8</w:t>
            </w:r>
          </w:p>
        </w:tc>
        <w:tc>
          <w:tcPr/>
          <w:p>
            <w:pPr>
              <w:pStyle w:val="Compact"/>
              <w:jc w:val="left"/>
            </w:pPr>
            <w:r>
              <w:t xml:space="preserve">Voting Agreement termination</w:t>
            </w:r>
          </w:p>
        </w:tc>
        <w:tc>
          <w:tcPr/>
          <w:p>
            <w:pPr>
              <w:pStyle w:val="Compact"/>
              <w:jc w:val="left"/>
            </w:pPr>
            <w:r>
              <w:t xml:space="preserve">Voting Agreement § 7.1(b)</w:t>
            </w:r>
          </w:p>
        </w:tc>
        <w:tc>
          <w:tcPr/>
          <w:p>
            <w:pPr>
              <w:pStyle w:val="Compact"/>
              <w:jc w:val="left"/>
            </w:pPr>
            <w:r>
              <w:t xml:space="preserve">Sale of the Company (automatic)</w:t>
            </w:r>
          </w:p>
        </w:tc>
        <w:tc>
          <w:tcPr/>
          <w:p>
            <w:pPr>
              <w:pStyle w:val="Compact"/>
              <w:jc w:val="left"/>
            </w:pPr>
            <w:r>
              <w:t xml:space="preserve">N/A</w:t>
            </w:r>
          </w:p>
        </w:tc>
        <w:tc>
          <w:tcPr/>
          <w:p>
            <w:pPr>
              <w:pStyle w:val="Compact"/>
              <w:jc w:val="left"/>
            </w:pPr>
            <w:r>
              <w:t xml:space="preserve">Will terminate at closing (merger = Sale of the Company); sunset Nov. 3, 2026 if not triggered</w:t>
            </w:r>
          </w:p>
        </w:tc>
      </w:tr>
      <w:tr>
        <w:tc>
          <w:tcPr/>
          <w:p>
            <w:pPr>
              <w:pStyle w:val="Compact"/>
              <w:jc w:val="left"/>
            </w:pPr>
            <w:r>
              <w:t xml:space="preserve">9</w:t>
            </w:r>
          </w:p>
        </w:tc>
        <w:tc>
          <w:tcPr/>
          <w:p>
            <w:pPr>
              <w:pStyle w:val="Compact"/>
              <w:jc w:val="left"/>
            </w:pPr>
            <w:r>
              <w:t xml:space="preserve">RRA termination</w:t>
            </w:r>
          </w:p>
        </w:tc>
        <w:tc>
          <w:tcPr/>
          <w:p>
            <w:pPr>
              <w:pStyle w:val="Compact"/>
              <w:jc w:val="left"/>
            </w:pPr>
            <w:r>
              <w:t xml:space="preserve">RRA § 9(c)</w:t>
            </w:r>
          </w:p>
        </w:tc>
        <w:tc>
          <w:tcPr/>
          <w:p>
            <w:pPr>
              <w:pStyle w:val="Compact"/>
              <w:jc w:val="left"/>
            </w:pPr>
            <w:r>
              <w:t xml:space="preserve">“</w:t>
            </w:r>
            <w:r>
              <w:t xml:space="preserve">Deemed Liquidation Event</w:t>
            </w:r>
            <w:r>
              <w:t xml:space="preserve">”</w:t>
            </w:r>
            <w:r>
              <w:t xml:space="preserve"> </w:t>
            </w:r>
            <w:r>
              <w:t xml:space="preserve">(undefined)</w:t>
            </w:r>
          </w:p>
        </w:tc>
        <w:tc>
          <w:tcPr/>
          <w:p>
            <w:pPr>
              <w:pStyle w:val="Compact"/>
              <w:jc w:val="left"/>
            </w:pPr>
            <w:r>
              <w:t xml:space="preserve">N/A (automatic) or written consent (Company + majority of Registrable Securities)</w:t>
            </w:r>
          </w:p>
        </w:tc>
        <w:tc>
          <w:tcPr/>
          <w:p>
            <w:pPr>
              <w:pStyle w:val="Compact"/>
              <w:jc w:val="left"/>
            </w:pPr>
            <w:r>
              <w:rPr>
                <w:b/>
                <w:bCs/>
              </w:rPr>
              <w:t xml:space="preserve">Ambiguous</w:t>
            </w:r>
            <w:r>
              <w:t xml:space="preserve"> </w:t>
            </w:r>
            <w:r>
              <w:t xml:space="preserve">(undefined term); recommend express termination at closing</w:t>
            </w:r>
          </w:p>
        </w:tc>
      </w:tr>
      <w:tr>
        <w:tc>
          <w:tcPr/>
          <w:p>
            <w:pPr>
              <w:pStyle w:val="Compact"/>
              <w:jc w:val="left"/>
            </w:pPr>
            <w:r>
              <w:t xml:space="preserve">10</w:t>
            </w:r>
          </w:p>
        </w:tc>
        <w:tc>
          <w:tcPr/>
          <w:p>
            <w:pPr>
              <w:pStyle w:val="Compact"/>
              <w:jc w:val="left"/>
            </w:pPr>
            <w:r>
              <w:t xml:space="preserve">ROFR / co-sale waiver (belt-and-suspenders)</w:t>
            </w:r>
          </w:p>
        </w:tc>
        <w:tc>
          <w:tcPr/>
          <w:p>
            <w:pPr>
              <w:pStyle w:val="Compact"/>
              <w:jc w:val="left"/>
            </w:pPr>
            <w:r>
              <w:t xml:space="preserve">Stockholders’ Agreement §§ 2.1(c), 2.7(e)</w:t>
            </w:r>
          </w:p>
        </w:tc>
        <w:tc>
          <w:tcPr/>
          <w:p>
            <w:pPr>
              <w:pStyle w:val="Compact"/>
              <w:jc w:val="left"/>
            </w:pPr>
            <w:r>
              <w:t xml:space="preserve">Sale</w:t>
            </w:r>
            <w:r>
              <w:t xml:space="preserve"> </w:t>
            </w:r>
            <w:r>
              <w:t xml:space="preserve">“</w:t>
            </w:r>
            <w:r>
              <w:t xml:space="preserve">consummated in accordance with Article 3</w:t>
            </w:r>
            <w:r>
              <w:t xml:space="preserve">”</w:t>
            </w:r>
            <w:r>
              <w:t xml:space="preserve"> </w:t>
            </w:r>
            <w:r>
              <w:t xml:space="preserve">or written waivers</w:t>
            </w:r>
          </w:p>
        </w:tc>
        <w:tc>
          <w:tcPr/>
          <w:p>
            <w:pPr>
              <w:pStyle w:val="Compact"/>
              <w:jc w:val="left"/>
            </w:pPr>
            <w:r>
              <w:t xml:space="preserve">Restricted Stockholders</w:t>
            </w:r>
          </w:p>
        </w:tc>
        <w:tc>
          <w:tcPr/>
          <w:p>
            <w:pPr>
              <w:pStyle w:val="Compact"/>
              <w:jc w:val="left"/>
            </w:pPr>
            <w:r>
              <w:t xml:space="preserve">Not yet obtained; structure to invoke drag-along and/or obtain waivers</w:t>
            </w:r>
          </w:p>
        </w:tc>
      </w:tr>
      <w:tr>
        <w:tc>
          <w:tcPr/>
          <w:p>
            <w:pPr>
              <w:pStyle w:val="Compact"/>
              <w:jc w:val="left"/>
            </w:pPr>
            <w:r>
              <w:t xml:space="preserve">11</w:t>
            </w:r>
          </w:p>
        </w:tc>
        <w:tc>
          <w:tcPr/>
          <w:p>
            <w:pPr>
              <w:pStyle w:val="Compact"/>
              <w:jc w:val="left"/>
            </w:pPr>
            <w:r>
              <w:t xml:space="preserve">Clearfield debt repayment / lender consent</w:t>
            </w:r>
          </w:p>
        </w:tc>
        <w:tc>
          <w:tcPr/>
          <w:p>
            <w:pPr>
              <w:pStyle w:val="Compact"/>
              <w:jc w:val="left"/>
            </w:pPr>
            <w:r>
              <w:t xml:space="preserve">Loan agreement (not yet reviewed)</w:t>
            </w:r>
          </w:p>
        </w:tc>
        <w:tc>
          <w:tcPr/>
          <w:p>
            <w:pPr>
              <w:pStyle w:val="Compact"/>
              <w:jc w:val="left"/>
            </w:pPr>
            <w:r>
              <w:t xml:space="preserve">Per loan agreement change-of-control provisions</w:t>
            </w:r>
          </w:p>
        </w:tc>
        <w:tc>
          <w:tcPr/>
          <w:p>
            <w:pPr>
              <w:pStyle w:val="Compact"/>
              <w:jc w:val="left"/>
            </w:pPr>
            <w:r>
              <w:t xml:space="preserve">Clearfield National Bank</w:t>
            </w:r>
          </w:p>
        </w:tc>
        <w:tc>
          <w:tcPr/>
          <w:p>
            <w:pPr>
              <w:pStyle w:val="Compact"/>
              <w:jc w:val="left"/>
            </w:pPr>
            <w:r>
              <w:t xml:space="preserve">Not yet confirmed; obtain and review loan agreement</w:t>
            </w:r>
          </w:p>
        </w:tc>
      </w:tr>
      <w:tr>
        <w:tc>
          <w:tcPr/>
          <w:p>
            <w:pPr>
              <w:pStyle w:val="Compact"/>
              <w:jc w:val="left"/>
            </w:pPr>
            <w:r>
              <w:t xml:space="preserve">12</w:t>
            </w:r>
          </w:p>
        </w:tc>
        <w:tc>
          <w:tcPr/>
          <w:p>
            <w:pPr>
              <w:pStyle w:val="Compact"/>
              <w:jc w:val="left"/>
            </w:pPr>
            <w:r>
              <w:t xml:space="preserve">Equity award treatment / acceleration</w:t>
            </w:r>
          </w:p>
        </w:tc>
        <w:tc>
          <w:tcPr/>
          <w:p>
            <w:pPr>
              <w:pStyle w:val="Compact"/>
              <w:jc w:val="left"/>
            </w:pPr>
            <w:r>
              <w:t xml:space="preserve">2021 Equity Incentive Plan (not yet received)</w:t>
            </w:r>
          </w:p>
        </w:tc>
        <w:tc>
          <w:tcPr/>
          <w:p>
            <w:pPr>
              <w:pStyle w:val="Compact"/>
              <w:jc w:val="left"/>
            </w:pPr>
            <w:r>
              <w:t xml:space="preserve">Per Plan change-of-control / acceleration provisions</w:t>
            </w:r>
          </w:p>
        </w:tc>
        <w:tc>
          <w:tcPr/>
          <w:p>
            <w:pPr>
              <w:pStyle w:val="Compact"/>
              <w:jc w:val="left"/>
            </w:pPr>
            <w:r>
              <w:t xml:space="preserve">Plan administrator / award holders</w:t>
            </w:r>
          </w:p>
        </w:tc>
        <w:tc>
          <w:tcPr/>
          <w:p>
            <w:pPr>
              <w:pStyle w:val="Compact"/>
              <w:jc w:val="left"/>
            </w:pPr>
            <w:r>
              <w:t xml:space="preserve">Unknown — Plan and award agreements outstanding</w:t>
            </w:r>
          </w:p>
        </w:tc>
      </w:tr>
    </w:tbl>
    <w:p>
      <w:r>
        <w:pict>
          <v:rect style="width:0;height:1.5pt" o:hralign="center" o:hrstd="t" o:hr="t"/>
        </w:pict>
      </w:r>
    </w:p>
    <w:bookmarkEnd w:id="83"/>
    <w:bookmarkStart w:id="84" w:name="appendix-b-document-request-list"/>
    <w:p>
      <w:pPr>
        <w:pStyle w:val="Heading2"/>
      </w:pPr>
      <w:r>
        <w:t xml:space="preserve">Appendix B — Document Request List</w:t>
      </w:r>
    </w:p>
    <w:p>
      <w:pPr>
        <w:pStyle w:val="FirstParagraph"/>
      </w:pPr>
      <w:r>
        <w:t xml:space="preserve">The following documents should be requested from Avery, Pollard &amp; Glenn (Nathaniel Rourke), routed through Jonathan Hsieh. We should not communicate directly with Company counsel or representatives.</w:t>
      </w:r>
    </w:p>
    <w:p>
      <w:pPr>
        <w:pStyle w:val="Compact"/>
        <w:numPr>
          <w:ilvl w:val="0"/>
          <w:numId w:val="1023"/>
        </w:numPr>
      </w:pPr>
      <w:r>
        <w:t xml:space="preserve">2021 Equity Incentive Plan, as amended (including the July 2023 amendment increasing the share reserve from 8,000,000 to 9,500,000 shares).</w:t>
      </w:r>
    </w:p>
    <w:p>
      <w:pPr>
        <w:pStyle w:val="Compact"/>
        <w:numPr>
          <w:ilvl w:val="0"/>
          <w:numId w:val="1023"/>
        </w:numPr>
      </w:pPr>
      <w:r>
        <w:t xml:space="preserve">All individual equity award agreements (stock option agreements, RSU agreements) granted under the Plan, including the Raj Malhotra option agreement (350,000 options, $14.30 exercise price) and the Linda Yeung RSU agreement (200,000 RSUs).</w:t>
      </w:r>
    </w:p>
    <w:p>
      <w:pPr>
        <w:pStyle w:val="Compact"/>
        <w:numPr>
          <w:ilvl w:val="0"/>
          <w:numId w:val="1023"/>
        </w:numPr>
      </w:pPr>
      <w:r>
        <w:t xml:space="preserve">Current capitalization table and schedule of outstanding equity awards, with vesting schedules, exercise prices, and grant dates.</w:t>
      </w:r>
    </w:p>
    <w:p>
      <w:pPr>
        <w:pStyle w:val="Compact"/>
        <w:numPr>
          <w:ilvl w:val="0"/>
          <w:numId w:val="1023"/>
        </w:numPr>
      </w:pPr>
      <w:r>
        <w:t xml:space="preserve">Stockholder written-consent records for the period January 2023 through September 2024, including any consents relating to: (a) the Clearfield National Bank term loan (October 2023); (b) the 2021 Equity Incentive Plan share-reserve increase (July 2023); and (c) any other actions implicating the Restated Certificate protective provisions (Section 4.3.6).</w:t>
      </w:r>
    </w:p>
    <w:p>
      <w:pPr>
        <w:pStyle w:val="Compact"/>
        <w:numPr>
          <w:ilvl w:val="0"/>
          <w:numId w:val="1023"/>
        </w:numPr>
      </w:pPr>
      <w:r>
        <w:t xml:space="preserve">Confirmation of the complete inventory of governance agreements executed as of November 3, 2021 — specifically, whether separate</w:t>
      </w:r>
      <w:r>
        <w:t xml:space="preserve"> </w:t>
      </w:r>
      <w:r>
        <w:t xml:space="preserve">“</w:t>
      </w:r>
      <w:r>
        <w:t xml:space="preserve">Investors’ Rights Agreement</w:t>
      </w:r>
      <w:r>
        <w:t xml:space="preserve">”</w:t>
      </w:r>
      <w:r>
        <w:t xml:space="preserve"> </w:t>
      </w:r>
      <w:r>
        <w:t xml:space="preserve">and</w:t>
      </w:r>
      <w:r>
        <w:t xml:space="preserve"> </w:t>
      </w:r>
      <w:r>
        <w:t xml:space="preserve">“</w:t>
      </w:r>
      <w:r>
        <w:t xml:space="preserve">Right of First Refusal and Co-Sale Agreement</w:t>
      </w:r>
      <w:r>
        <w:t xml:space="preserve">”</w:t>
      </w:r>
      <w:r>
        <w:t xml:space="preserve"> </w:t>
      </w:r>
      <w:r>
        <w:t xml:space="preserve">exist as standalone documents (as referenced in the Board Minutes), or whether the Stockholders’ Agreement and Registration Rights Agreement are the operative combined instruments. If separate agreements exist, complete copies.</w:t>
      </w:r>
    </w:p>
    <w:p>
      <w:pPr>
        <w:pStyle w:val="Compact"/>
        <w:numPr>
          <w:ilvl w:val="0"/>
          <w:numId w:val="1023"/>
        </w:numPr>
      </w:pPr>
      <w:r>
        <w:t xml:space="preserve">SensorLink Technologies LOI (executed March 8, 2024) and any related correspondence, including any written termination notice delivered to SensorLink.</w:t>
      </w:r>
    </w:p>
    <w:p>
      <w:pPr>
        <w:pStyle w:val="Compact"/>
        <w:numPr>
          <w:ilvl w:val="0"/>
          <w:numId w:val="1023"/>
        </w:numPr>
      </w:pPr>
      <w:r>
        <w:t xml:space="preserve">Clearfield National Bank term loan agreement, promissory note, security agreement, intellectual property security agreement, and all ancillary loan documents.</w:t>
      </w:r>
    </w:p>
    <w:p>
      <w:pPr>
        <w:pStyle w:val="Compact"/>
        <w:numPr>
          <w:ilvl w:val="0"/>
          <w:numId w:val="1023"/>
        </w:numPr>
      </w:pPr>
      <w:r>
        <w:t xml:space="preserve">Confidentiality agreement(s) executed with Hargrove Capital Partners III, LP, and any exclusivity agreement with Hargrove.</w:t>
      </w:r>
    </w:p>
    <w:p>
      <w:pPr>
        <w:pStyle w:val="Compact"/>
        <w:numPr>
          <w:ilvl w:val="0"/>
          <w:numId w:val="1023"/>
        </w:numPr>
      </w:pPr>
      <w:r>
        <w:t xml:space="preserve">Meridian Partners LLC engagement letter and any process materials / indication-of-interest correspondence.</w:t>
      </w:r>
    </w:p>
    <w:p>
      <w:pPr>
        <w:pStyle w:val="Compact"/>
        <w:numPr>
          <w:ilvl w:val="0"/>
          <w:numId w:val="1023"/>
        </w:numPr>
      </w:pPr>
      <w:r>
        <w:t xml:space="preserve">Thornbury &amp; Associates engagement letter and any draft or final fairness opinion / valuation analysis.</w:t>
      </w:r>
    </w:p>
    <w:p>
      <w:pPr>
        <w:pStyle w:val="Compact"/>
        <w:numPr>
          <w:ilvl w:val="0"/>
          <w:numId w:val="1023"/>
        </w:numPr>
      </w:pPr>
      <w:r>
        <w:t xml:space="preserve">Indemnification agreements between the Company and each director (referenced in Bylaws Section 6.4).</w:t>
      </w:r>
    </w:p>
    <w:p>
      <w:pPr>
        <w:pStyle w:val="Compact"/>
        <w:numPr>
          <w:ilvl w:val="0"/>
          <w:numId w:val="1023"/>
        </w:numPr>
      </w:pPr>
      <w:r>
        <w:t xml:space="preserve">Joinder agreements executed by any common stockholders or option holders under the Stockholders’ Agreement and/or Voting Agreement.</w:t>
      </w:r>
    </w:p>
    <w:p>
      <w:pPr>
        <w:pStyle w:val="Compact"/>
        <w:numPr>
          <w:ilvl w:val="0"/>
          <w:numId w:val="1023"/>
        </w:numPr>
      </w:pPr>
      <w:r>
        <w:t xml:space="preserve">The Company’s most recent 409A valuation report(s) supporting the $14.30 fair market value determination.</w:t>
      </w:r>
    </w:p>
    <w:p>
      <w:pPr>
        <w:pStyle w:val="Compact"/>
        <w:numPr>
          <w:ilvl w:val="0"/>
          <w:numId w:val="1023"/>
        </w:numPr>
      </w:pPr>
      <w:r>
        <w:t xml:space="preserve">Any stockholder notices, objection letters, or written communications from Stonemill or Julian Trask (beyond the April 19, 2024 email already produced) relating to the strategic alternatives process or the Hargrove Transaction.</w:t>
      </w:r>
    </w:p>
    <w:p>
      <w:r>
        <w:pict>
          <v:rect style="width:0;height:1.5pt" o:hralign="center" o:hrstd="t" o:hr="t"/>
        </w:pict>
      </w:r>
    </w:p>
    <w:bookmarkEnd w:id="84"/>
    <w:bookmarkStart w:id="85" w:name="X18b5872751aadd5a6b472e9fcb0ddec4c746b95"/>
    <w:p>
      <w:pPr>
        <w:pStyle w:val="Heading2"/>
      </w:pPr>
      <w:r>
        <w:t xml:space="preserve">Appendix C — Capitalization and Waterfall Summary</w:t>
      </w:r>
    </w:p>
    <w:p>
      <w:pPr>
        <w:pStyle w:val="FirstParagraph"/>
      </w:pPr>
      <w:r>
        <w:rPr>
          <w:b/>
          <w:bCs/>
        </w:rPr>
        <w:t xml:space="preserve">Authorized capital (Restated Certificate § 4.1):</w:t>
      </w:r>
      <w:r>
        <w:t xml:space="preserve"> </w:t>
      </w:r>
      <w:r>
        <w:t xml:space="preserve">72,000,000 shares — 50,000,000 Common ($0.001 par); 22,000,000 Preferred ($0.001 par), designated as 5,000,000 Series A, 7,000,000 Series B, and 10,000,000 Series C.</w:t>
      </w:r>
    </w:p>
    <w:p>
      <w:pPr>
        <w:pStyle w:val="BodyText"/>
      </w:pPr>
      <w:r>
        <w:rPr>
          <w:b/>
          <w:bCs/>
        </w:rPr>
        <w:t xml:space="preserve">Outstanding (per Stockholders’ Agreement Exhibit B and Board Minutes):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Shares</w:t>
            </w:r>
          </w:p>
        </w:tc>
        <w:tc>
          <w:tcPr/>
          <w:p>
            <w:pPr>
              <w:pStyle w:val="Compact"/>
              <w:jc w:val="left"/>
            </w:pPr>
            <w:r>
              <w:t xml:space="preserve">OIP/Share</w:t>
            </w:r>
          </w:p>
        </w:tc>
        <w:tc>
          <w:tcPr/>
          <w:p>
            <w:pPr>
              <w:pStyle w:val="Compact"/>
              <w:jc w:val="left"/>
            </w:pPr>
            <w:r>
              <w:t xml:space="preserve">Liquidation Preference</w:t>
            </w:r>
          </w:p>
        </w:tc>
      </w:tr>
      <w:tr>
        <w:tc>
          <w:tcPr/>
          <w:p>
            <w:pPr>
              <w:pStyle w:val="Compact"/>
              <w:jc w:val="left"/>
            </w:pPr>
            <w:r>
              <w:t xml:space="preserve">Series C Preferred (Stonemill)</w:t>
            </w:r>
          </w:p>
        </w:tc>
        <w:tc>
          <w:tcPr/>
          <w:p>
            <w:pPr>
              <w:pStyle w:val="Compact"/>
              <w:jc w:val="left"/>
            </w:pPr>
            <w:r>
              <w:t xml:space="preserve">7,800,000</w:t>
            </w:r>
          </w:p>
        </w:tc>
        <w:tc>
          <w:tcPr/>
          <w:p>
            <w:pPr>
              <w:pStyle w:val="Compact"/>
              <w:jc w:val="left"/>
            </w:pPr>
            <w:r>
              <w:t xml:space="preserve">$18.50</w:t>
            </w:r>
          </w:p>
        </w:tc>
        <w:tc>
          <w:tcPr/>
          <w:p>
            <w:pPr>
              <w:pStyle w:val="Compact"/>
              <w:jc w:val="left"/>
            </w:pPr>
            <w:r>
              <w:t xml:space="preserve">$144,300,000</w:t>
            </w:r>
          </w:p>
        </w:tc>
      </w:tr>
      <w:tr>
        <w:tc>
          <w:tcPr/>
          <w:p>
            <w:pPr>
              <w:pStyle w:val="Compact"/>
              <w:jc w:val="left"/>
            </w:pPr>
            <w:r>
              <w:t xml:space="preserve">Series B Preferred (Northbridge)</w:t>
            </w:r>
          </w:p>
        </w:tc>
        <w:tc>
          <w:tcPr/>
          <w:p>
            <w:pPr>
              <w:pStyle w:val="Compact"/>
              <w:jc w:val="left"/>
            </w:pPr>
            <w:r>
              <w:t xml:space="preserve">5,200,000</w:t>
            </w:r>
          </w:p>
        </w:tc>
        <w:tc>
          <w:tcPr/>
          <w:p>
            <w:pPr>
              <w:pStyle w:val="Compact"/>
              <w:jc w:val="left"/>
            </w:pPr>
            <w:r>
              <w:t xml:space="preserve">$9.25</w:t>
            </w:r>
          </w:p>
        </w:tc>
        <w:tc>
          <w:tcPr/>
          <w:p>
            <w:pPr>
              <w:pStyle w:val="Compact"/>
              <w:jc w:val="left"/>
            </w:pPr>
            <w:r>
              <w:t xml:space="preserve">$48,100,000</w:t>
            </w:r>
          </w:p>
        </w:tc>
      </w:tr>
      <w:tr>
        <w:tc>
          <w:tcPr/>
          <w:p>
            <w:pPr>
              <w:pStyle w:val="Compact"/>
              <w:jc w:val="left"/>
            </w:pPr>
            <w:r>
              <w:t xml:space="preserve">Series A Preferred (Ridgeline)</w:t>
            </w:r>
          </w:p>
        </w:tc>
        <w:tc>
          <w:tcPr/>
          <w:p>
            <w:pPr>
              <w:pStyle w:val="Compact"/>
              <w:jc w:val="left"/>
            </w:pPr>
            <w:r>
              <w:t xml:space="preserve">3,500,000</w:t>
            </w:r>
          </w:p>
        </w:tc>
        <w:tc>
          <w:tcPr/>
          <w:p>
            <w:pPr>
              <w:pStyle w:val="Compact"/>
              <w:jc w:val="left"/>
            </w:pPr>
            <w:r>
              <w:t xml:space="preserve">$4.00</w:t>
            </w:r>
          </w:p>
        </w:tc>
        <w:tc>
          <w:tcPr/>
          <w:p>
            <w:pPr>
              <w:pStyle w:val="Compact"/>
              <w:jc w:val="left"/>
            </w:pPr>
            <w:r>
              <w:t xml:space="preserve">$14,000,000</w:t>
            </w:r>
          </w:p>
        </w:tc>
      </w:tr>
      <w:tr>
        <w:tc>
          <w:tcPr/>
          <w:p>
            <w:pPr>
              <w:pStyle w:val="Compact"/>
              <w:jc w:val="left"/>
            </w:pPr>
            <w:r>
              <w:t xml:space="preserve">Common — Founders (Ellery + Chandrasekaran)</w:t>
            </w:r>
          </w:p>
        </w:tc>
        <w:tc>
          <w:tcPr/>
          <w:p>
            <w:pPr>
              <w:pStyle w:val="Compact"/>
              <w:jc w:val="left"/>
            </w:pPr>
            <w:r>
              <w:t xml:space="preserve">7,300,000</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Common / Options / RSUs (other)</w:t>
            </w:r>
          </w:p>
        </w:tc>
        <w:tc>
          <w:tcPr/>
          <w:p>
            <w:pPr>
              <w:pStyle w:val="Compact"/>
              <w:jc w:val="left"/>
            </w:pPr>
            <w:r>
              <w:t xml:space="preserve">10,100,000</w:t>
            </w:r>
          </w:p>
        </w:tc>
        <w:tc>
          <w:tcPr/>
          <w:p>
            <w:pPr>
              <w:pStyle w:val="Compact"/>
              <w:jc w:val="left"/>
            </w:pPr>
            <w:r>
              <w:t xml:space="preserve">n/a</w:t>
            </w:r>
          </w:p>
        </w:tc>
        <w:tc>
          <w:tcPr/>
          <w:p>
            <w:pPr>
              <w:pStyle w:val="Compact"/>
              <w:jc w:val="left"/>
            </w:pPr>
            <w:r>
              <w:t xml:space="preserve">—</w:t>
            </w:r>
          </w:p>
        </w:tc>
      </w:tr>
      <w:tr>
        <w:tc>
          <w:tcPr/>
          <w:p>
            <w:pPr>
              <w:pStyle w:val="Compact"/>
              <w:jc w:val="left"/>
            </w:pPr>
            <w:r>
              <w:rPr>
                <w:b/>
                <w:bCs/>
              </w:rPr>
              <w:t xml:space="preserve">Total fully diluted</w:t>
            </w:r>
          </w:p>
        </w:tc>
        <w:tc>
          <w:tcPr/>
          <w:p>
            <w:pPr>
              <w:pStyle w:val="Compact"/>
              <w:jc w:val="left"/>
            </w:pPr>
            <w:r>
              <w:rPr>
                <w:b/>
                <w:bCs/>
              </w:rPr>
              <w:t xml:space="preserve">33,900,000</w:t>
            </w:r>
          </w:p>
        </w:tc>
        <w:tc>
          <w:tcPr/>
          <w:p>
            <w:pPr>
              <w:pStyle w:val="Compact"/>
            </w:pPr>
          </w:p>
        </w:tc>
        <w:tc>
          <w:tcPr/>
          <w:p>
            <w:pPr>
              <w:pStyle w:val="Compact"/>
              <w:jc w:val="left"/>
            </w:pPr>
            <w:r>
              <w:rPr>
                <w:b/>
                <w:bCs/>
              </w:rPr>
              <w:t xml:space="preserve">$206,400,000</w:t>
            </w:r>
          </w:p>
        </w:tc>
      </w:tr>
    </w:tbl>
    <w:p>
      <w:pPr>
        <w:pStyle w:val="BodyText"/>
      </w:pPr>
      <w:r>
        <w:rPr>
          <w:b/>
          <w:bCs/>
        </w:rPr>
        <w:t xml:space="preserve">Waterfall (non-participating Preferred, § 4.3.2):</w:t>
      </w:r>
      <w:r>
        <w:t xml:space="preserve"> </w:t>
      </w:r>
      <w:r>
        <w:t xml:space="preserve">Series C → Series B → Series A → Common. Because implied equity value ($473M) exceeds aggregate preference ($206.4M), all Preferred is in the money on an as-converted basis; the waterfall is expected to collapse to an as-converted distribution. Implied blended per-share value: ~$13.95 ($473M ÷ 33.9M), subject to treasury-stock-method adjustments for options and the precise waterfall.</w:t>
      </w:r>
    </w:p>
    <w:p>
      <w:pPr>
        <w:pStyle w:val="BodyText"/>
      </w:pPr>
      <w:r>
        <w:rPr>
          <w:b/>
          <w:bCs/>
        </w:rPr>
        <w:t xml:space="preserve">Anti-dilution:</w:t>
      </w:r>
      <w:r>
        <w:t xml:space="preserve"> </w:t>
      </w:r>
      <w:r>
        <w:t xml:space="preserve">Broad-based weighted average only (no full ratchet) (§ 4.3.4). Conversion ratio 1:1 initial (§ 4.3.3). Mandatory conversion on IPO ≥ $75M proceeds at ≥ $55.50/share, or 60% Preferred consent (§ 4.3.3(b)).</w:t>
      </w:r>
    </w:p>
    <w:p>
      <w:r>
        <w:pict>
          <v:rect style="width:0;height:1.5pt" o:hralign="center" o:hrstd="t" o:hr="t"/>
        </w:pict>
      </w:r>
    </w:p>
    <w:p>
      <w:pPr>
        <w:pStyle w:val="FirstParagraph"/>
      </w:pPr>
      <w:r>
        <w:rPr>
          <w:i/>
          <w:iCs/>
        </w:rPr>
        <w:t xml:space="preserve">This memorandum is attorney work product prepared in anticipation of litigation and is privileged and confidential. It is prepared for the internal use of Whitfield &amp; Crane LLP and its client, Hargrove Capital Management, LLC, in connection with the proposed acquisition of Terravox Systems, Inc. It should not be disclosed to any third party (including the Company, its counsel, or its stockholders) without the prior consent of Jonathan Hsieh or Elena Marchetti. The analysis herein is based on the governance documents made available as of the date hereof and is subject to revision as additional documents (identified in Appendix B) are received and reviewed.</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AND CONFIDENTIAL — ATTORNEY WORK PRODUCT</dc:title>
  <dc:creator/>
  <cp:keywords/>
  <dcterms:created xsi:type="dcterms:W3CDTF">2026-06-23T05:29:55Z</dcterms:created>
  <dcterms:modified xsi:type="dcterms:W3CDTF">2026-06-23T05:29:55Z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Governance Diligence Memorandum</vt:lpwstr>
  </property>
</Properties>
</file>