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472ae9d0d4fe6d54f67c0cecbe6e87c2dd2eb7a"/>
    <w:p>
      <w:pPr>
        <w:pStyle w:val="Heading1"/>
      </w:pPr>
      <w:r>
        <w:t xml:space="preserve">PRIVILEGED AND CONFIDENTIAL — ATTORNEY WORK PRODUCT</w:t>
      </w:r>
    </w:p>
    <w:p>
      <w:pPr>
        <w:pStyle w:val="FirstParagraph"/>
      </w:pPr>
      <w:r>
        <w:rPr>
          <w:b/>
          <w:bCs/>
        </w:rPr>
        <w:t xml:space="preserve">WHITFIELD &amp; CRANE LLP</w:t>
      </w:r>
    </w:p>
    <w:p>
      <w:pPr>
        <w:pStyle w:val="BodyText"/>
      </w:pPr>
      <w:r>
        <w:t xml:space="preserve">610 Lexington Avenue, 38th Floor, New York, NY 10022</w:t>
      </w:r>
    </w:p>
    <w:p>
      <w:r>
        <w:pict>
          <v:rect style="width:0;height:1.5pt" o:hralign="center" o:hrstd="t" o:hr="t"/>
        </w:pict>
      </w:r>
    </w:p>
    <w:bookmarkStart w:id="20" w:name="governance-diligence-memorandum"/>
    <w:p>
      <w:pPr>
        <w:pStyle w:val="Heading2"/>
      </w:pPr>
      <w:r>
        <w:t xml:space="preserve">GOVERNANCE DILIGENCE MEMORANDUM</w:t>
      </w:r>
    </w:p>
    <w:p>
      <w:pPr>
        <w:pStyle w:val="FirstParagraph"/>
      </w:pPr>
      <w:r>
        <w:rPr>
          <w:b/>
          <w:bCs/>
        </w:rPr>
        <w:t xml:space="preserve">TO:</w:t>
      </w:r>
      <w:r>
        <w:t xml:space="preserve"> </w:t>
      </w:r>
      <w:r>
        <w:t xml:space="preserve">Elena Marchetti; Jonathan Hsieh</w:t>
      </w:r>
      <w:r>
        <w:t xml:space="preserve"> </w:t>
      </w:r>
      <w:r>
        <w:rPr>
          <w:b/>
          <w:bCs/>
        </w:rPr>
        <w:t xml:space="preserve">FROM:</w:t>
      </w:r>
      <w:r>
        <w:t xml:space="preserve"> </w:t>
      </w:r>
      <w:r>
        <w:t xml:space="preserve">[Associate], Whitfield &amp; Crane LLP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Governance Diligence — Proposed Acquisition of Terravox Systems, Inc. by Hargrove Capital Partners III, LP</w:t>
      </w:r>
      <w:r>
        <w:t xml:space="preserve"> </w:t>
      </w:r>
      <w:r>
        <w:rPr>
          <w:b/>
          <w:bCs/>
        </w:rPr>
        <w:t xml:space="preserve">MATTER:</w:t>
      </w:r>
      <w:r>
        <w:t xml:space="preserve"> </w:t>
      </w:r>
      <w:r>
        <w:t xml:space="preserve">Hargrove Capital Partners III, LP — Terravox Acquisition</w:t>
      </w:r>
    </w:p>
    <w:p>
      <w:pPr>
        <w:pStyle w:val="BodyText"/>
      </w:pPr>
      <w:r>
        <w:rPr>
          <w:i/>
          <w:iCs/>
        </w:rPr>
        <w:t xml:space="preserve">Privilege Legend: This memorandum constitutes attorney work product prepared in anticipation of litigation and reflects the confidential legal analysis of Whitfield &amp; Crane LLP in connection with the above-captioned matter. It is privileged and confidential, is intended solely for the internal use of Whitfield &amp; Crane LLP and its client, and may not be disclosed to any third party (including the Company, its counsel, or any Company representative) without the prior consent of Jonathan Hsieh or Elena Marchetti.</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our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(the</w:t>
      </w:r>
      <w:r>
        <w:t xml:space="preserve"> </w:t>
      </w:r>
      <w:r>
        <w:t xml:space="preserve">“</w:t>
      </w:r>
      <w:r>
        <w:t xml:space="preserve">Transaction</w:t>
      </w:r>
      <w:r>
        <w:t xml:space="preserve">”</w:t>
      </w:r>
      <w:r>
        <w:t xml:space="preserve">). We reviewed the Company’s Third Amended and Restated Certificate of Incorporation (the</w:t>
      </w:r>
      <w:r>
        <w:t xml:space="preserve"> </w:t>
      </w:r>
      <w:r>
        <w:t xml:space="preserve">“</w:t>
      </w:r>
      <w:r>
        <w:t xml:space="preserve">Restated Certificate</w:t>
      </w:r>
      <w:r>
        <w:t xml:space="preserve">”</w:t>
      </w:r>
      <w:r>
        <w:t xml:space="preserve"> </w:t>
      </w:r>
      <w:r>
        <w:t xml:space="preserve">or</w:t>
      </w:r>
      <w:r>
        <w:t xml:space="preserve"> </w:t>
      </w:r>
      <w:r>
        <w:t xml:space="preserve">“</w:t>
      </w:r>
      <w:r>
        <w:t xml:space="preserve">Charter</w:t>
      </w:r>
      <w:r>
        <w:t xml:space="preserve">”</w:t>
      </w:r>
      <w:r>
        <w:t xml:space="preserve">), Amended and Restated Bylaws (the</w:t>
      </w:r>
      <w:r>
        <w:t xml:space="preserve"> </w:t>
      </w:r>
      <w:r>
        <w:t xml:space="preserve">“</w:t>
      </w:r>
      <w:r>
        <w:t xml:space="preserve">Bylaws</w:t>
      </w:r>
      <w:r>
        <w:t xml:space="preserve">”</w:t>
      </w:r>
      <w:r>
        <w:t xml:space="preserve">), Stockholders’ Agreement, Voting Agreement, Registration Rights Agreement (the</w:t>
      </w:r>
      <w:r>
        <w:t xml:space="preserve"> </w:t>
      </w:r>
      <w:r>
        <w:t xml:space="preserve">“</w:t>
      </w:r>
      <w:r>
        <w:t xml:space="preserve">RRA</w:t>
      </w:r>
      <w:r>
        <w:t xml:space="preserve">”</w:t>
      </w:r>
      <w:r>
        <w:t xml:space="preserve">), and Board minutes covering January 2023 through September 2024.</w:t>
      </w:r>
    </w:p>
    <w:p>
      <w:pPr>
        <w:pStyle w:val="BodyText"/>
      </w:pPr>
      <w:r>
        <w:rPr>
          <w:b/>
          <w:bCs/>
        </w:rPr>
        <w:t xml:space="preserve">The central finding of this diligence is that Stonemill Capital Partners Fund VI, LP (</w:t>
      </w:r>
      <w:r>
        <w:rPr>
          <w:b/>
          <w:bCs/>
        </w:rPr>
        <w:t xml:space="preserve">“</w:t>
      </w:r>
      <w:r>
        <w:rPr>
          <w:b/>
          <w:bCs/>
        </w:rPr>
        <w:t xml:space="preserve">Stonemill</w:t>
      </w:r>
      <w:r>
        <w:rPr>
          <w:b/>
          <w:bCs/>
        </w:rPr>
        <w:t xml:space="preserve">”</w:t>
      </w:r>
      <w:r>
        <w:rPr>
          <w:b/>
          <w:bCs/>
        </w:rPr>
        <w:t xml:space="preserve">) holds a hard, charter-level blocking right over the Transaction that cannot be reliably overcome through the governance documents alone.</w:t>
      </w:r>
      <w:r>
        <w:t xml:space="preserve"> </w:t>
      </w:r>
      <w:r>
        <w:t xml:space="preserve">Specifically, Section 4.3.6(b)(i) of the Restated Certificate requires the affirmative consent of holders of at least sixty-six and two-thirds percent (66⅔%) of the outstanding Series C Preferred Stock, voting as a separate class, to effect any</w:t>
      </w:r>
      <w:r>
        <w:t xml:space="preserve"> </w:t>
      </w:r>
      <w:r>
        <w:t xml:space="preserve">“</w:t>
      </w:r>
      <w:r>
        <w:t xml:space="preserve">Liquidation Event</w:t>
      </w:r>
      <w:r>
        <w:t xml:space="preserve">”</w:t>
      </w:r>
      <w:r>
        <w:t xml:space="preserve"> </w:t>
      </w:r>
      <w:r>
        <w:t xml:space="preserve">— a threshold that, because Stonemill holds 100% of the outstanding Series C Preferred Stock (7,800,000 shares), cannot be satisfied without Stonemill’s affirmative consent. The reverse triangular merger squarely constitutes a</w:t>
      </w:r>
      <w:r>
        <w:t xml:space="preserve"> </w:t>
      </w:r>
      <w:r>
        <w:t xml:space="preserve">“</w:t>
      </w:r>
      <w:r>
        <w:t xml:space="preserve">Liquidation Event</w:t>
      </w:r>
      <w:r>
        <w:t xml:space="preserve">”</w:t>
      </w:r>
      <w:r>
        <w:t xml:space="preserve"> </w:t>
      </w:r>
      <w:r>
        <w:t xml:space="preserve">under Section 4.3.2(d) of the Charter. This is the decisive leverage point in the deal and the throughline of this memorandum.</w:t>
      </w:r>
    </w:p>
    <w:p>
      <w:pPr>
        <w:pStyle w:val="BodyText"/>
      </w:pPr>
      <w:r>
        <w:rPr>
          <w:b/>
          <w:bCs/>
        </w:rPr>
        <w:t xml:space="preserve">Key conclusions:</w:t>
      </w:r>
    </w:p>
    <w:p>
      <w:pPr>
        <w:numPr>
          <w:ilvl w:val="0"/>
          <w:numId w:val="1001"/>
        </w:numPr>
      </w:pPr>
      <w:r>
        <w:rPr>
          <w:b/>
          <w:bCs/>
        </w:rPr>
        <w:t xml:space="preserve">No viable path to closing over Stonemill’s objection via the governance documents.</w:t>
      </w:r>
      <w:r>
        <w:t xml:space="preserve"> </w:t>
      </w:r>
      <w:r>
        <w:t xml:space="preserve">The Series C separate-class protective provision is a non-waivable charter right. The drag-along in the Stockholders’ Agreement, even if triggered, most likely cannot override this charter protective provision under Delaware law (see</w:t>
      </w:r>
      <w:r>
        <w:t xml:space="preserve"> </w:t>
      </w:r>
      <w:r>
        <w:rPr>
          <w:i/>
          <w:iCs/>
        </w:rPr>
        <w:t xml:space="preserve">ODN Holding Corp. 25, LLC v. Knowlton</w:t>
      </w:r>
      <w:r>
        <w:t xml:space="preserve">, Del. Ch. 2011). Accordingly, the Transaction cannot be consummated without Stonemill’s consent, and the negotiation strategy must be built around obtaining it.</w:t>
      </w:r>
    </w:p>
    <w:p>
      <w:pPr>
        <w:numPr>
          <w:ilvl w:val="0"/>
          <w:numId w:val="1001"/>
        </w:numPr>
      </w:pPr>
      <w:r>
        <w:rPr>
          <w:b/>
          <w:bCs/>
        </w:rPr>
        <w:t xml:space="preserve">The all-Preferred protective provision CAN be satisfied without Stonemill.</w:t>
      </w:r>
      <w:r>
        <w:t xml:space="preserve"> </w:t>
      </w:r>
      <w:r>
        <w:t xml:space="preserve">Section 4.3.6(a)(vi) requires the consent of holders of a majority of the Preferred Stock (voting as a single class on an as-converted basis), a threshold of more than 8,250,000 of the 16,500,000 outstanding Preferred shares. Northbridge (5,200,000) and Ridgeline (3,500,000) together hold 8,700,000 shares, sufficient to satisfy this threshold without Stonemill. This narrows Stonemill’s blocking position to the Series C separate-class vote alone.</w:t>
      </w:r>
    </w:p>
    <w:p>
      <w:pPr>
        <w:numPr>
          <w:ilvl w:val="0"/>
          <w:numId w:val="1001"/>
        </w:numPr>
      </w:pPr>
      <w:r>
        <w:rPr>
          <w:b/>
          <w:bCs/>
        </w:rPr>
        <w:t xml:space="preserve">Stonemill’s economic motivation to block is strong.</w:t>
      </w:r>
      <w:r>
        <w:t xml:space="preserve"> </w:t>
      </w:r>
      <w:r>
        <w:t xml:space="preserve">At $485 million enterprise value (approximately $473 million equity value), the Series C liquidation preference ($144.3 million) consumes a substantial portion of the equity proceeds, and Stonemill would receive essentially its Original Issue Price back with no return, while Series B, Series A, and Common holders capture the upside. This economic structure explains Stonemill’s resistance and its likely demand for a higher allocation of consideration or a side arrangement.</w:t>
      </w:r>
    </w:p>
    <w:p>
      <w:pPr>
        <w:numPr>
          <w:ilvl w:val="0"/>
          <w:numId w:val="1001"/>
        </w:numPr>
      </w:pPr>
      <w:r>
        <w:rPr>
          <w:b/>
          <w:bCs/>
        </w:rPr>
        <w:t xml:space="preserve">A time-sensitive exclusivity issue with SensorLink Technologies may impede signing.</w:t>
      </w:r>
      <w:r>
        <w:t xml:space="preserve"> </w:t>
      </w:r>
      <w:r>
        <w:t xml:space="preserve">The SensorLink LOI contains an automatic-renewal exclusivity provision; the Company’s CEO was unable to confirm whether a termination notice was sent before the September 8, 2024 expiration. If the exclusivity is still live, it could conflict with the Company’s ability to sign a definitive agreement with Hargrove. This requires immediate attention.</w:t>
      </w:r>
    </w:p>
    <w:p>
      <w:pPr>
        <w:numPr>
          <w:ilvl w:val="0"/>
          <w:numId w:val="1001"/>
        </w:numPr>
      </w:pPr>
      <w:r>
        <w:rPr>
          <w:b/>
          <w:bCs/>
        </w:rPr>
        <w:t xml:space="preserve">The $12 million Clearfield National Bank term loan appears to have been incurred without the Preferred Stockholder consent required by Section 4.3.6(a)(v) of the Charter.</w:t>
      </w:r>
      <w:r>
        <w:t xml:space="preserve"> </w:t>
      </w:r>
      <w:r>
        <w:t xml:space="preserve">The Board minutes reflect only director approval, not the separate stockholder consent the Charter requires for indebtedness exceeding $5 million. This is a governance defect that Stonemill may invoke as leverage.</w:t>
      </w:r>
    </w:p>
    <w:p>
      <w:pPr>
        <w:numPr>
          <w:ilvl w:val="0"/>
          <w:numId w:val="1001"/>
        </w:numPr>
      </w:pPr>
      <w:r>
        <w:rPr>
          <w:b/>
          <w:bCs/>
        </w:rPr>
        <w:t xml:space="preserve">The Special Committee is not fully independent.</w:t>
      </w:r>
      <w:r>
        <w:t xml:space="preserve"> </w:t>
      </w:r>
      <w:r>
        <w:t xml:space="preserve">Sandra Okafor, Northbridge’s board designee, serves on the three-member Special Committee overseeing the sale process. Her presence undermines the Committee’s independence and its cleansing effect, creating a process vulnerability that Stonemill may exploit.</w:t>
      </w:r>
    </w:p>
    <w:p>
      <w:pPr>
        <w:numPr>
          <w:ilvl w:val="0"/>
          <w:numId w:val="1001"/>
        </w:numPr>
      </w:pPr>
      <w:r>
        <w:rPr>
          <w:b/>
          <w:bCs/>
        </w:rPr>
        <w:t xml:space="preserve">Critical document gaps remain.</w:t>
      </w:r>
      <w:r>
        <w:t xml:space="preserve"> </w:t>
      </w:r>
      <w:r>
        <w:t xml:space="preserve">We have not received the 2021 Equity Incentive Plan, individual award agreements, the Clearfield loan documents, the SensorLink LOI, or any stockholder consent records. Several conclusions in this memorandum are necessarily preliminary pending production of these items.</w:t>
      </w:r>
    </w:p>
    <w:p>
      <w:pPr>
        <w:pStyle w:val="FirstParagraph"/>
      </w:pPr>
      <w:r>
        <w:t xml:space="preserve">A consolidated consent/approval matrix appears in Appendix A. A document request list appears in Appendix B. Severity classifications are summarized in Appendix C.</w:t>
      </w:r>
    </w:p>
    <w:p>
      <w:r>
        <w:pict>
          <v:rect style="width:0;height:1.5pt" o:hralign="center" o:hrstd="t" o:hr="t"/>
        </w:pict>
      </w:r>
    </w:p>
    <w:bookmarkEnd w:id="21"/>
    <w:bookmarkStart w:id="22" w:name="X61d309386bd6785cb2ba4ec943ab1b98fbe89c4"/>
    <w:p>
      <w:pPr>
        <w:pStyle w:val="Heading2"/>
      </w:pPr>
      <w:r>
        <w:t xml:space="preserve">II. SCOPE, DOCUMENTS REVIEWED, AND CAPITALIZATION</w:t>
      </w:r>
    </w:p>
    <w:p>
      <w:pPr>
        <w:pStyle w:val="FirstParagraph"/>
      </w:pPr>
      <w:r>
        <w:rPr>
          <w:b/>
          <w:bCs/>
        </w:rPr>
        <w:t xml:space="preserve">Documents reviewed.</w:t>
      </w:r>
      <w:r>
        <w:t xml:space="preserve"> </w:t>
      </w:r>
      <w:r>
        <w:t xml:space="preserve">We reviewed the following documents, each dated November 3, 2021 (except as noted):</w:t>
      </w:r>
    </w:p>
    <w:p>
      <w:pPr>
        <w:pStyle w:val="Compact"/>
        <w:numPr>
          <w:ilvl w:val="0"/>
          <w:numId w:val="1002"/>
        </w:numPr>
      </w:pPr>
      <w:r>
        <w:t xml:space="preserve">Third Amended and Restated Certificate of Incorporation (the</w:t>
      </w:r>
      <w:r>
        <w:t xml:space="preserve"> </w:t>
      </w:r>
      <w:r>
        <w:t xml:space="preserve">“</w:t>
      </w:r>
      <w:r>
        <w:t xml:space="preserve">Restated Certificate</w:t>
      </w:r>
      <w:r>
        <w:t xml:space="preserve">”</w:t>
      </w:r>
      <w:r>
        <w:t xml:space="preserve"> </w:t>
      </w:r>
      <w:r>
        <w:t xml:space="preserve">or</w:t>
      </w:r>
      <w:r>
        <w:t xml:space="preserve"> </w:t>
      </w:r>
      <w:r>
        <w:t xml:space="preserve">“</w:t>
      </w:r>
      <w:r>
        <w:t xml:space="preserve">Charter</w:t>
      </w:r>
      <w:r>
        <w:t xml:space="preserve">”</w:t>
      </w:r>
      <w:r>
        <w:t xml:space="preserve">);</w:t>
      </w:r>
    </w:p>
    <w:p>
      <w:pPr>
        <w:pStyle w:val="Compact"/>
        <w:numPr>
          <w:ilvl w:val="0"/>
          <w:numId w:val="1002"/>
        </w:numPr>
      </w:pPr>
      <w:r>
        <w:t xml:space="preserve">Amended and Restated Bylaws (the</w:t>
      </w:r>
      <w:r>
        <w:t xml:space="preserve"> </w:t>
      </w:r>
      <w:r>
        <w:t xml:space="preserve">“</w:t>
      </w:r>
      <w:r>
        <w:t xml:space="preserve">Bylaws</w:t>
      </w:r>
      <w:r>
        <w:t xml:space="preserve">”</w:t>
      </w:r>
      <w:r>
        <w:t xml:space="preserve">);</w:t>
      </w:r>
    </w:p>
    <w:p>
      <w:pPr>
        <w:pStyle w:val="Compact"/>
        <w:numPr>
          <w:ilvl w:val="0"/>
          <w:numId w:val="1002"/>
        </w:numPr>
      </w:pPr>
      <w:r>
        <w:t xml:space="preserve">Stockholders’ Agreement (the</w:t>
      </w:r>
      <w:r>
        <w:t xml:space="preserve"> </w:t>
      </w:r>
      <w:r>
        <w:t xml:space="preserve">“</w:t>
      </w:r>
      <w:r>
        <w:t xml:space="preserve">Stockholders’ Agreement</w:t>
      </w:r>
      <w:r>
        <w:t xml:space="preserve">”</w:t>
      </w:r>
      <w:r>
        <w:t xml:space="preserve">);</w:t>
      </w:r>
    </w:p>
    <w:p>
      <w:pPr>
        <w:pStyle w:val="Compact"/>
        <w:numPr>
          <w:ilvl w:val="0"/>
          <w:numId w:val="1002"/>
        </w:numPr>
      </w:pPr>
      <w:r>
        <w:t xml:space="preserve">Voting Agreement (the</w:t>
      </w:r>
      <w:r>
        <w:t xml:space="preserve"> </w:t>
      </w:r>
      <w:r>
        <w:t xml:space="preserve">“</w:t>
      </w:r>
      <w:r>
        <w:t xml:space="preserve">Voting Agreement</w:t>
      </w:r>
      <w:r>
        <w:t xml:space="preserve">”</w:t>
      </w:r>
      <w:r>
        <w:t xml:space="preserve">);</w:t>
      </w:r>
    </w:p>
    <w:p>
      <w:pPr>
        <w:pStyle w:val="Compact"/>
        <w:numPr>
          <w:ilvl w:val="0"/>
          <w:numId w:val="1002"/>
        </w:numPr>
      </w:pPr>
      <w:r>
        <w:t xml:space="preserve">Registration Rights Agreement (the</w:t>
      </w:r>
      <w:r>
        <w:t xml:space="preserve"> </w:t>
      </w:r>
      <w:r>
        <w:t xml:space="preserve">“</w:t>
      </w:r>
      <w:r>
        <w:t xml:space="preserve">RRA</w:t>
      </w:r>
      <w:r>
        <w:t xml:space="preserve">”</w:t>
      </w:r>
      <w:r>
        <w:t xml:space="preserve">); and</w:t>
      </w:r>
    </w:p>
    <w:p>
      <w:pPr>
        <w:pStyle w:val="Compact"/>
        <w:numPr>
          <w:ilvl w:val="0"/>
          <w:numId w:val="1002"/>
        </w:numPr>
      </w:pPr>
      <w:r>
        <w:t xml:space="preserve">Board minutes for eight meetings spanning January 18, 2023 through September 25, 2024 (the</w:t>
      </w:r>
      <w:r>
        <w:t xml:space="preserve"> </w:t>
      </w:r>
      <w:r>
        <w:t xml:space="preserve">“</w:t>
      </w:r>
      <w:r>
        <w:t xml:space="preserve">Board Minutes</w:t>
      </w:r>
      <w:r>
        <w:t xml:space="preserve">”</w:t>
      </w:r>
      <w:r>
        <w:t xml:space="preserve">).</w:t>
      </w:r>
    </w:p>
    <w:p>
      <w:pPr>
        <w:pStyle w:val="FirstParagraph"/>
      </w:pPr>
      <w:r>
        <w:rPr>
          <w:b/>
          <w:bCs/>
        </w:rPr>
        <w:t xml:space="preserve">Transaction structure.</w:t>
      </w:r>
      <w:r>
        <w:t xml:space="preserve"> </w:t>
      </w:r>
      <w:r>
        <w:t xml:space="preserve">Hargrove will form a wholly-owned acquisition subsidiary (</w:t>
      </w:r>
      <w:r>
        <w:t xml:space="preserve">“</w:t>
      </w:r>
      <w:r>
        <w:t xml:space="preserve">Merger Sub</w:t>
      </w:r>
      <w:r>
        <w:t xml:space="preserve">”</w:t>
      </w:r>
      <w:r>
        <w:t xml:space="preserve">) that will merge with and into Terravox, with Terravox surviving as a wholly-owned subsidiary of Hargrove. All outstanding equity interests of Terravox (Common Stock and all series of Preferred Stock) will be cancelled and converted into the right to receive cash merger consideration. Enterprise value is $485 million; with approximately $12 million of outstanding indebtedness, implied equity value is approximately $473 million. Target closing is Q1 2025.</w:t>
      </w:r>
    </w:p>
    <w:p>
      <w:pPr>
        <w:pStyle w:val="BodyText"/>
      </w:pPr>
      <w:r>
        <w:rPr>
          <w:b/>
          <w:bCs/>
        </w:rPr>
        <w:t xml:space="preserve">Capitalization (fully diluted, per Stockholders’ Agreement Exhibit 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Class</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Marcus Ellery</w:t>
            </w:r>
          </w:p>
        </w:tc>
        <w:tc>
          <w:tcPr/>
          <w:p>
            <w:pPr>
              <w:pStyle w:val="Compact"/>
              <w:jc w:val="left"/>
            </w:pPr>
            <w:r>
              <w:t xml:space="preserve">Common Stock</w:t>
            </w:r>
          </w:p>
        </w:tc>
        <w:tc>
          <w:tcPr/>
          <w:p>
            <w:pPr>
              <w:pStyle w:val="Compact"/>
              <w:jc w:val="left"/>
            </w:pPr>
            <w:r>
              <w:t xml:space="preserve">4,200,000</w:t>
            </w:r>
          </w:p>
        </w:tc>
        <w:tc>
          <w:tcPr/>
          <w:p>
            <w:pPr>
              <w:pStyle w:val="Compact"/>
              <w:jc w:val="left"/>
            </w:pPr>
            <w:r>
              <w:t xml:space="preserve">~12.4%</w:t>
            </w:r>
          </w:p>
        </w:tc>
      </w:tr>
      <w:tr>
        <w:tc>
          <w:tcPr/>
          <w:p>
            <w:pPr>
              <w:pStyle w:val="Compact"/>
              <w:jc w:val="left"/>
            </w:pPr>
            <w:r>
              <w:t xml:space="preserve">Priya Chandrasekaran</w:t>
            </w:r>
          </w:p>
        </w:tc>
        <w:tc>
          <w:tcPr/>
          <w:p>
            <w:pPr>
              <w:pStyle w:val="Compact"/>
              <w:jc w:val="left"/>
            </w:pPr>
            <w:r>
              <w:t xml:space="preserve">Common Stock</w:t>
            </w:r>
          </w:p>
        </w:tc>
        <w:tc>
          <w:tcPr/>
          <w:p>
            <w:pPr>
              <w:pStyle w:val="Compact"/>
              <w:jc w:val="left"/>
            </w:pPr>
            <w:r>
              <w:t xml:space="preserve">3,100,000</w:t>
            </w:r>
          </w:p>
        </w:tc>
        <w:tc>
          <w:tcPr/>
          <w:p>
            <w:pPr>
              <w:pStyle w:val="Compact"/>
              <w:jc w:val="left"/>
            </w:pPr>
            <w:r>
              <w:t xml:space="preserve">~9.1%</w:t>
            </w:r>
          </w:p>
        </w:tc>
      </w:tr>
      <w:tr>
        <w:tc>
          <w:tcPr/>
          <w:p>
            <w:pPr>
              <w:pStyle w:val="Compact"/>
              <w:jc w:val="left"/>
            </w:pPr>
            <w:r>
              <w:t xml:space="preserve">Ridgeline Ventures Fund II, LP</w:t>
            </w:r>
          </w:p>
        </w:tc>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~10.3%</w:t>
            </w:r>
          </w:p>
        </w:tc>
      </w:tr>
      <w:tr>
        <w:tc>
          <w:tcPr/>
          <w:p>
            <w:pPr>
              <w:pStyle w:val="Compact"/>
              <w:jc w:val="left"/>
            </w:pPr>
            <w:r>
              <w:t xml:space="preserve">Northbridge Growth Equity Fund IV, LP</w:t>
            </w:r>
          </w:p>
        </w:tc>
        <w:tc>
          <w:tcPr/>
          <w:p>
            <w:pPr>
              <w:pStyle w:val="Compact"/>
              <w:jc w:val="left"/>
            </w:pPr>
            <w:r>
              <w:t xml:space="preserve">Series B Preferred</w:t>
            </w:r>
          </w:p>
        </w:tc>
        <w:tc>
          <w:tcPr/>
          <w:p>
            <w:pPr>
              <w:pStyle w:val="Compact"/>
              <w:jc w:val="left"/>
            </w:pPr>
            <w:r>
              <w:t xml:space="preserve">5,200,000</w:t>
            </w:r>
          </w:p>
        </w:tc>
        <w:tc>
          <w:tcPr/>
          <w:p>
            <w:pPr>
              <w:pStyle w:val="Compact"/>
              <w:jc w:val="left"/>
            </w:pPr>
            <w:r>
              <w:t xml:space="preserve">~15.3%</w:t>
            </w:r>
          </w:p>
        </w:tc>
      </w:tr>
      <w:tr>
        <w:tc>
          <w:tcPr/>
          <w:p>
            <w:pPr>
              <w:pStyle w:val="Compact"/>
              <w:jc w:val="left"/>
            </w:pPr>
            <w:r>
              <w:t xml:space="preserve">Stonemill Capital Partners Fund VI, LP</w:t>
            </w:r>
          </w:p>
        </w:tc>
        <w:tc>
          <w:tcPr/>
          <w:p>
            <w:pPr>
              <w:pStyle w:val="Compact"/>
              <w:jc w:val="left"/>
            </w:pPr>
            <w:r>
              <w:t xml:space="preserve">Series C Preferred</w:t>
            </w:r>
          </w:p>
        </w:tc>
        <w:tc>
          <w:tcPr/>
          <w:p>
            <w:pPr>
              <w:pStyle w:val="Compact"/>
              <w:jc w:val="left"/>
            </w:pPr>
            <w:r>
              <w:t xml:space="preserve">7,800,000</w:t>
            </w:r>
          </w:p>
        </w:tc>
        <w:tc>
          <w:tcPr/>
          <w:p>
            <w:pPr>
              <w:pStyle w:val="Compact"/>
              <w:jc w:val="left"/>
            </w:pPr>
            <w:r>
              <w:t xml:space="preserve">~23.0%</w:t>
            </w:r>
          </w:p>
        </w:tc>
      </w:tr>
      <w:tr>
        <w:tc>
          <w:tcPr/>
          <w:p>
            <w:pPr>
              <w:pStyle w:val="Compact"/>
              <w:jc w:val="left"/>
            </w:pPr>
            <w:r>
              <w:t xml:space="preserve">Various Common Holders / Option Pool</w:t>
            </w:r>
          </w:p>
        </w:tc>
        <w:tc>
          <w:tcPr/>
          <w:p>
            <w:pPr>
              <w:pStyle w:val="Compact"/>
              <w:jc w:val="left"/>
            </w:pPr>
            <w:r>
              <w:t xml:space="preserve">Common / Options / RSUs</w:t>
            </w:r>
          </w:p>
        </w:tc>
        <w:tc>
          <w:tcPr/>
          <w:p>
            <w:pPr>
              <w:pStyle w:val="Compact"/>
              <w:jc w:val="left"/>
            </w:pPr>
            <w:r>
              <w:t xml:space="preserve">10,100,000</w:t>
            </w:r>
          </w:p>
        </w:tc>
        <w:tc>
          <w:tcPr/>
          <w:p>
            <w:pPr>
              <w:pStyle w:val="Compact"/>
              <w:jc w:val="left"/>
            </w:pPr>
            <w:r>
              <w:t xml:space="preserve">~29.8%</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33,900,000</w:t>
            </w:r>
          </w:p>
        </w:tc>
        <w:tc>
          <w:tcPr/>
          <w:p>
            <w:pPr>
              <w:pStyle w:val="Compact"/>
              <w:jc w:val="left"/>
            </w:pPr>
            <w:r>
              <w:rPr>
                <w:b/>
                <w:bCs/>
              </w:rPr>
              <w:t xml:space="preserve">100.0%</w:t>
            </w:r>
          </w:p>
        </w:tc>
      </w:tr>
    </w:tbl>
    <w:p>
      <w:pPr>
        <w:pStyle w:val="BodyText"/>
      </w:pPr>
      <w:r>
        <w:rPr>
          <w:b/>
          <w:bCs/>
        </w:rPr>
        <w:t xml:space="preserve">Board composition (per Voting Agreement § 2.2).</w:t>
      </w:r>
      <w:r>
        <w:t xml:space="preserve"> </w:t>
      </w:r>
      <w:r>
        <w:t xml:space="preserve">Seven directors: Marcus Ellery (CEO/Chair), Priya Chandrasekaran (Founder designee), David Kleinhans (Ridgeline/Series A designee), Sandra Okafor (Northbridge/Series B designee), Julian Trask (Stonemill/Series C designee), Rebecca Lau (Independent), and Thomas Garrett (Independent). Stonemill also holds a non-voting board observer right (Voting Agreement § 4).</w:t>
      </w:r>
    </w:p>
    <w:p>
      <w:r>
        <w:pict>
          <v:rect style="width:0;height:1.5pt" o:hralign="center" o:hrstd="t" o:hr="t"/>
        </w:pict>
      </w:r>
    </w:p>
    <w:bookmarkEnd w:id="22"/>
    <w:bookmarkStart w:id="30" w:name="Xd15357f244735efa6aba1899a51c1118483d554"/>
    <w:p>
      <w:pPr>
        <w:pStyle w:val="Heading2"/>
      </w:pPr>
      <w:r>
        <w:t xml:space="preserve">III. AREA 1 — CHANGE-OF-CONTROL CONSENT REQUIREMENTS</w:t>
      </w:r>
    </w:p>
    <w:p>
      <w:pPr>
        <w:pStyle w:val="FirstParagraph"/>
      </w:pPr>
      <w:r>
        <w:t xml:space="preserve">To consummate the reverse triangular merger, the following consents and approvals must be obtained. We have mapped each requirement across the Charter, the Stockholders’ Agreement, the Voting Agreement, the RRA, and the DGCL.</w:t>
      </w:r>
    </w:p>
    <w:bookmarkStart w:id="23" w:name="a.-dgcl-requirements-section-251"/>
    <w:p>
      <w:pPr>
        <w:pStyle w:val="Heading3"/>
      </w:pPr>
      <w:r>
        <w:t xml:space="preserve">A. DGCL Requirements (Section 251)</w:t>
      </w:r>
    </w:p>
    <w:p>
      <w:pPr>
        <w:pStyle w:val="FirstParagraph"/>
      </w:pPr>
      <w:r>
        <w:t xml:space="preserve">Under Section 251 of the Delaware General Corporation Law (the</w:t>
      </w:r>
      <w:r>
        <w:t xml:space="preserve"> </w:t>
      </w:r>
      <w:r>
        <w:t xml:space="preserve">“</w:t>
      </w:r>
      <w:r>
        <w:t xml:space="preserve">DGCL</w:t>
      </w:r>
      <w:r>
        <w:t xml:space="preserve">”</w:t>
      </w:r>
      <w:r>
        <w:t xml:space="preserve">), a merger requires (i) approval of the merger agreement by the board of directors of each constituent corporation and (ii) approval by the stockholders of the surviving corporation, unless an exemption applies. The Section 251(f) exemption from stockholder approval is</w:t>
      </w:r>
      <w:r>
        <w:t xml:space="preserve"> </w:t>
      </w:r>
      <w:r>
        <w:rPr>
          <w:b/>
          <w:bCs/>
        </w:rPr>
        <w:t xml:space="preserve">not available</w:t>
      </w:r>
      <w:r>
        <w:t xml:space="preserve"> </w:t>
      </w:r>
      <w:r>
        <w:t xml:space="preserve">here because all outstanding shares of Terravox will be cancelled and converted into the right to receive cash — the shares do not</w:t>
      </w:r>
      <w:r>
        <w:t xml:space="preserve"> </w:t>
      </w:r>
      <w:r>
        <w:t xml:space="preserve">“</w:t>
      </w:r>
      <w:r>
        <w:t xml:space="preserve">remain outstanding as the same share</w:t>
      </w:r>
      <w:r>
        <w:t xml:space="preserve">”</w:t>
      </w:r>
      <w:r>
        <w:t xml:space="preserve"> </w:t>
      </w:r>
      <w:r>
        <w:t xml:space="preserve">as required by Section 251(f)(2). Accordingly, stockholder approval under Section 251(d) is required: the affirmative vote of a majority of the outstanding shares of stock entitled to vote. This is consistent with the analysis of Company counsel (Nathaniel Rourke) reflected in the September 25, 2024 Board minutes.</w:t>
      </w:r>
    </w:p>
    <w:bookmarkEnd w:id="23"/>
    <w:bookmarkStart w:id="24" w:name="b.-charter-protective-provisions"/>
    <w:p>
      <w:pPr>
        <w:pStyle w:val="Heading3"/>
      </w:pPr>
      <w:r>
        <w:t xml:space="preserve">B. Charter Protective Provisions</w:t>
      </w:r>
    </w:p>
    <w:p>
      <w:pPr>
        <w:pStyle w:val="FirstParagraph"/>
      </w:pPr>
      <w:r>
        <w:rPr>
          <w:b/>
          <w:bCs/>
        </w:rPr>
        <w:t xml:space="preserve">1. All-Preferred protective provision (Section 4.3.6(a)(vi)).</w:t>
      </w:r>
      <w:r>
        <w:t xml:space="preserve"> </w:t>
      </w:r>
      <w:r>
        <w:t xml:space="preserve">So long as any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 a majority (greater than 50%) of the then-outstanding Preferred Stock, voting together as a single class on an as-converted basis. The Charter specifies that this requires the affirmative vote or consent of holders of more than</w:t>
      </w:r>
      <w:r>
        <w:t xml:space="preserve"> </w:t>
      </w:r>
      <w:r>
        <w:rPr>
          <w:b/>
          <w:bCs/>
        </w:rPr>
        <w:t xml:space="preserve">8,250,000 shares</w:t>
      </w:r>
      <w:r>
        <w:t xml:space="preserve"> </w:t>
      </w:r>
      <w:r>
        <w:t xml:space="preserve">of Preferred Stock (based on 16,500,000 shares outstanding).</w:t>
      </w:r>
    </w:p>
    <w:p>
      <w:pPr>
        <w:pStyle w:val="Compact"/>
        <w:numPr>
          <w:ilvl w:val="0"/>
          <w:numId w:val="1003"/>
        </w:numPr>
      </w:pPr>
      <w:r>
        <w:t xml:space="preserve">The reverse triangular merger is a</w:t>
      </w:r>
      <w:r>
        <w:t xml:space="preserve"> </w:t>
      </w:r>
      <w:r>
        <w:t xml:space="preserve">“</w:t>
      </w:r>
      <w:r>
        <w:t xml:space="preserve">Liquidation Event</w:t>
      </w:r>
      <w:r>
        <w:t xml:space="preserve">”</w:t>
      </w:r>
      <w:r>
        <w:t xml:space="preserve"> </w:t>
      </w:r>
      <w:r>
        <w:t xml:space="preserve">under Section 4.3.2(d)(i) (a merger in which the Company’s stockholders do not continue to hold at least 50% of the voting power of the surviving entity) and under Section 4.3.2(d)(iii) (a transaction resulting in the transfer of more than 50% of the voting power).</w:t>
      </w:r>
    </w:p>
    <w:p>
      <w:pPr>
        <w:pStyle w:val="Compact"/>
        <w:numPr>
          <w:ilvl w:val="0"/>
          <w:numId w:val="1003"/>
        </w:numPr>
      </w:pPr>
      <w:r>
        <w:rPr>
          <w:b/>
          <w:bCs/>
        </w:rPr>
        <w:t xml:space="preserve">This threshold CAN be satisfied without Stonemill.</w:t>
      </w:r>
      <w:r>
        <w:t xml:space="preserve"> </w:t>
      </w:r>
      <w:r>
        <w:t xml:space="preserve">Northbridge (5,200,000 shares) and Ridgeline (3,500,000 shares) together hold 8,700,000 shares, which exceeds the 8,250,000-share threshold. Stonemill’s 7,800,000 shares are not required.</w:t>
      </w:r>
    </w:p>
    <w:p>
      <w:pPr>
        <w:pStyle w:val="FirstParagraph"/>
      </w:pPr>
      <w:r>
        <w:rPr>
          <w:b/>
          <w:bCs/>
        </w:rPr>
        <w:t xml:space="preserve">2. Series C separate-class protective provision (Section 4.3.6(b)(i)).</w:t>
      </w:r>
      <w:r>
        <w:t xml:space="preserve"> </w:t>
      </w:r>
      <w:r>
        <w:t xml:space="preserve">So long as any Series C Preferred Stock is outstanding, the Company may not</w:t>
      </w:r>
      <w:r>
        <w:t xml:space="preserve"> </w:t>
      </w:r>
      <w:r>
        <w:t xml:space="preserve">“</w:t>
      </w:r>
      <w:r>
        <w:t xml:space="preserve">effect any Liquidation Event</w:t>
      </w:r>
      <w:r>
        <w:t xml:space="preserve">”</w:t>
      </w:r>
      <w:r>
        <w:t xml:space="preserve"> </w:t>
      </w:r>
      <w:r>
        <w:t xml:space="preserve">without the prior written consent or affirmative vote of holders of at least</w:t>
      </w:r>
      <w:r>
        <w:t xml:space="preserve"> </w:t>
      </w:r>
      <w:r>
        <w:rPr>
          <w:b/>
          <w:bCs/>
        </w:rPr>
        <w:t xml:space="preserve">66⅔% of the then-outstanding Series C Preferred Stock, voting as a separate class</w:t>
      </w:r>
      <w:r>
        <w:t xml:space="preserve">. The Charter specifies that this requires the affirmative vote or consent of holders of at least</w:t>
      </w:r>
      <w:r>
        <w:t xml:space="preserve"> </w:t>
      </w:r>
      <w:r>
        <w:rPr>
          <w:b/>
          <w:bCs/>
        </w:rPr>
        <w:t xml:space="preserve">5,200,000 shares</w:t>
      </w:r>
      <w:r>
        <w:t xml:space="preserve"> </w:t>
      </w:r>
      <w:r>
        <w:t xml:space="preserve">of Series C (based on 7,800,000 shares outstanding).</w:t>
      </w:r>
    </w:p>
    <w:p>
      <w:pPr>
        <w:pStyle w:val="Compact"/>
        <w:numPr>
          <w:ilvl w:val="0"/>
          <w:numId w:val="1004"/>
        </w:numPr>
      </w:pPr>
      <w:r>
        <w:rPr>
          <w:b/>
          <w:bCs/>
        </w:rPr>
        <w:t xml:space="preserve">This threshold CANNOT be satisfied without Stonemill.</w:t>
      </w:r>
      <w:r>
        <w:t xml:space="preserve"> </w:t>
      </w:r>
      <w:r>
        <w:t xml:space="preserve">Stonemill holds 100% of the outstanding Series C Preferred Stock (7,800,000 shares). Julian Trask confirmed this on the record at the September 25, 2024 Board meeting, stating that</w:t>
      </w:r>
      <w:r>
        <w:t xml:space="preserve"> </w:t>
      </w:r>
      <w:r>
        <w:t xml:space="preserve">“</w:t>
      </w:r>
      <w:r>
        <w:t xml:space="preserve">the Series C separate class vote … cannot be satisfied without Stonemill’s affirmative consent.</w:t>
      </w:r>
      <w:r>
        <w:t xml:space="preserve">”</w:t>
      </w:r>
    </w:p>
    <w:p>
      <w:pPr>
        <w:pStyle w:val="Compact"/>
        <w:numPr>
          <w:ilvl w:val="0"/>
          <w:numId w:val="1004"/>
        </w:numPr>
      </w:pPr>
      <w:r>
        <w:t xml:space="preserve">The Section 4.3.6(b) consent is</w:t>
      </w:r>
      <w:r>
        <w:t xml:space="preserve"> </w:t>
      </w:r>
      <w:r>
        <w:t xml:space="preserve">“</w:t>
      </w:r>
      <w:r>
        <w:t xml:space="preserve">separate from and in addition to</w:t>
      </w:r>
      <w:r>
        <w:t xml:space="preserve">”</w:t>
      </w:r>
      <w:r>
        <w:t xml:space="preserve"> </w:t>
      </w:r>
      <w:r>
        <w:t xml:space="preserve">the Section 4.3.6(a) consent; both must be independently obtained.</w:t>
      </w:r>
    </w:p>
    <w:bookmarkEnd w:id="24"/>
    <w:bookmarkStart w:id="25" w:name="X1803827b1a5db7db50f54c80aa1bf37162f8e67"/>
    <w:p>
      <w:pPr>
        <w:pStyle w:val="Heading3"/>
      </w:pPr>
      <w:r>
        <w:t xml:space="preserve">C. Stockholders’ Agreement — Drag-Along (Article 3)</w:t>
      </w:r>
    </w:p>
    <w:p>
      <w:pPr>
        <w:pStyle w:val="FirstParagraph"/>
      </w:pPr>
      <w:r>
        <w:t xml:space="preserve">The Stockholders’ Agreement contains drag-along rights that, if the</w:t>
      </w:r>
      <w:r>
        <w:t xml:space="preserve"> </w:t>
      </w:r>
      <w:r>
        <w:t xml:space="preserve">“</w:t>
      </w:r>
      <w:r>
        <w:t xml:space="preserve">Drag-Along Approval</w:t>
      </w:r>
      <w:r>
        <w:t xml:space="preserve">”</w:t>
      </w:r>
      <w:r>
        <w:t xml:space="preserve"> </w:t>
      </w:r>
      <w:r>
        <w:t xml:space="preserve">thresholds are met, would obligate all stockholder parties (including Stonemill) to vote in favor of a Sale of the Company. The drag-along is analyzed in detail in Section IV (Area 2). For purposes of the consent map: the drag-along is not itself a</w:t>
      </w:r>
      <w:r>
        <w:t xml:space="preserve"> </w:t>
      </w:r>
      <w:r>
        <w:t xml:space="preserve">“</w:t>
      </w:r>
      <w:r>
        <w:t xml:space="preserve">consent</w:t>
      </w:r>
      <w:r>
        <w:t xml:space="preserve">”</w:t>
      </w:r>
      <w:r>
        <w:t xml:space="preserve"> </w:t>
      </w:r>
      <w:r>
        <w:t xml:space="preserve">required to consummate the merger, but it is a mechanism that, if validly triggered and enforceable, could compel dissenting stockholders to vote in favor. As discussed in Section IV, the drag-along most likely cannot override the Series C separate-class protective provision.</w:t>
      </w:r>
    </w:p>
    <w:bookmarkEnd w:id="25"/>
    <w:bookmarkStart w:id="26" w:name="d.-voting-agreement"/>
    <w:p>
      <w:pPr>
        <w:pStyle w:val="Heading3"/>
      </w:pPr>
      <w:r>
        <w:t xml:space="preserve">D. Voting Agreement</w:t>
      </w:r>
    </w:p>
    <w:p>
      <w:pPr>
        <w:pStyle w:val="FirstParagraph"/>
      </w:pPr>
      <w:r>
        <w:t xml:space="preserve">The Voting Agreement’s voting obligations (Section 3) relate to</w:t>
      </w:r>
      <w:r>
        <w:t xml:space="preserve"> </w:t>
      </w:r>
      <w:r>
        <w:rPr>
          <w:b/>
          <w:bCs/>
        </w:rPr>
        <w:t xml:space="preserve">board composition</w:t>
      </w:r>
      <w:r>
        <w:t xml:space="preserve">, not to the merger itself. Section 3.2 expressly provides that the Voting Agreement</w:t>
      </w:r>
      <w:r>
        <w:t xml:space="preserve"> </w:t>
      </w:r>
      <w:r>
        <w:t xml:space="preserve">“</w:t>
      </w:r>
      <w:r>
        <w:t xml:space="preserve">shall not be construed to create any obligation on the part of any Party to vote Shares in any particular manner with respect to any … proposed merger, consolidation, sale of assets, or other corporate transaction.</w:t>
      </w:r>
      <w:r>
        <w:t xml:space="preserve">”</w:t>
      </w:r>
      <w:r>
        <w:t xml:space="preserve"> </w:t>
      </w:r>
      <w:r>
        <w:t xml:space="preserve">Accordingly, the Voting Agreement imposes no consent or voting requirement for the Transaction. The Voting Agreement terminates upon a</w:t>
      </w:r>
      <w:r>
        <w:t xml:space="preserve"> </w:t>
      </w:r>
      <w:r>
        <w:t xml:space="preserve">“</w:t>
      </w:r>
      <w:r>
        <w:t xml:space="preserve">Sale of the Company</w:t>
      </w:r>
      <w:r>
        <w:t xml:space="preserve">”</w:t>
      </w:r>
      <w:r>
        <w:t xml:space="preserve"> </w:t>
      </w:r>
      <w:r>
        <w:t xml:space="preserve">(Section 7.1(b)); see Section VII (Area 5).</w:t>
      </w:r>
    </w:p>
    <w:bookmarkEnd w:id="26"/>
    <w:bookmarkStart w:id="27" w:name="e.-registration-rights-agreement"/>
    <w:p>
      <w:pPr>
        <w:pStyle w:val="Heading3"/>
      </w:pPr>
      <w:r>
        <w:t xml:space="preserve">E. Registration Rights Agreement</w:t>
      </w:r>
    </w:p>
    <w:p>
      <w:pPr>
        <w:pStyle w:val="FirstParagraph"/>
      </w:pPr>
      <w:r>
        <w:t xml:space="preserve">The RRA does not impose a consent requirement for the merger. It terminates upon a</w:t>
      </w:r>
      <w:r>
        <w:t xml:space="preserve"> </w:t>
      </w:r>
      <w:r>
        <w:t xml:space="preserve">“</w:t>
      </w:r>
      <w:r>
        <w:t xml:space="preserve">Deemed Liquidation Event</w:t>
      </w:r>
      <w:r>
        <w:t xml:space="preserve">”</w:t>
      </w:r>
      <w:r>
        <w:t xml:space="preserve"> </w:t>
      </w:r>
      <w:r>
        <w:t xml:space="preserve">(Section 9(c)); see Section XI (Area 10) and Section VIII (Area 6) regarding the undefined nature of that term.</w:t>
      </w:r>
    </w:p>
    <w:bookmarkEnd w:id="27"/>
    <w:bookmarkStart w:id="28" w:name="f.-third-party-consents"/>
    <w:p>
      <w:pPr>
        <w:pStyle w:val="Heading3"/>
      </w:pPr>
      <w:r>
        <w:t xml:space="preserve">F. Third-Party Consents</w:t>
      </w:r>
    </w:p>
    <w:p>
      <w:pPr>
        <w:pStyle w:val="Compact"/>
        <w:numPr>
          <w:ilvl w:val="0"/>
          <w:numId w:val="1005"/>
        </w:numPr>
      </w:pPr>
      <w:r>
        <w:rPr>
          <w:b/>
          <w:bCs/>
        </w:rPr>
        <w:t xml:space="preserve">Clearfield National Bank term loan.</w:t>
      </w:r>
      <w:r>
        <w:t xml:space="preserve"> </w:t>
      </w:r>
      <w:r>
        <w:t xml:space="preserve">The $12 million secured term loan (authorized October 11, 2023) is secured by substantially all of the Company’s assets. The loan agreement (not yet produced) may contain change-of-control covenants requiring lender consent. This must be confirmed. See Section IX (Area 8).</w:t>
      </w:r>
    </w:p>
    <w:p>
      <w:pPr>
        <w:pStyle w:val="Compact"/>
        <w:numPr>
          <w:ilvl w:val="0"/>
          <w:numId w:val="1005"/>
        </w:numPr>
      </w:pPr>
      <w:r>
        <w:rPr>
          <w:b/>
          <w:bCs/>
        </w:rPr>
        <w:t xml:space="preserve">SensorLink Technologies LOI.</w:t>
      </w:r>
      <w:r>
        <w:t xml:space="preserve"> </w:t>
      </w:r>
      <w:r>
        <w:t xml:space="preserve">The exclusivity provision of the SensorLink LOI (executed March 8, 2024) may be live and could impede signing. See Section IX (Area 8).</w:t>
      </w:r>
    </w:p>
    <w:bookmarkEnd w:id="28"/>
    <w:bookmarkStart w:id="29" w:name="g.-consent-checklist"/>
    <w:p>
      <w:pPr>
        <w:pStyle w:val="Heading3"/>
      </w:pPr>
      <w:r>
        <w:t xml:space="preserve">G. Consent Checklist</w:t>
      </w:r>
    </w:p>
    <w:p>
      <w:pPr>
        <w:pStyle w:val="FirstParagraph"/>
      </w:pPr>
      <w:r>
        <w:t xml:space="preserve">The consolidated consent/approval matrix is set forth in</w:t>
      </w:r>
      <w:r>
        <w:t xml:space="preserve"> </w:t>
      </w:r>
      <w:r>
        <w:rPr>
          <w:b/>
          <w:bCs/>
        </w:rPr>
        <w:t xml:space="preserve">Appendix A</w:t>
      </w:r>
      <w:r>
        <w:t xml:space="preserve">. In summary, the Transaction requires: (i) Board approval of the definitive merger agreement (not yet obtained — the September 25, 2024 resolution authorized negotiation only); (ii) a majority stockholder vote under DGCL Section 251(d) (not yet obtained); (iii) the all-Preferred consent under Section 4.3.6(a)(vi) (not yet obtained, but achievable without Stonemill); and (iv) the Series C separate-class consent under Section 4.3.6(b)(i) (not yet obtained, and</w:t>
      </w:r>
      <w:r>
        <w:t xml:space="preserve"> </w:t>
      </w:r>
      <w:r>
        <w:rPr>
          <w:b/>
          <w:bCs/>
        </w:rPr>
        <w:t xml:space="preserve">not achievable without Stonemill</w:t>
      </w:r>
      <w:r>
        <w:t xml:space="preserve">).</w:t>
      </w:r>
    </w:p>
    <w:p>
      <w:r>
        <w:pict>
          <v:rect style="width:0;height:1.5pt" o:hralign="center" o:hrstd="t" o:hr="t"/>
        </w:pict>
      </w:r>
    </w:p>
    <w:bookmarkEnd w:id="29"/>
    <w:bookmarkEnd w:id="30"/>
    <w:bookmarkStart w:id="35" w:name="iv.-area-2-drag-along-analysis"/>
    <w:p>
      <w:pPr>
        <w:pStyle w:val="Heading2"/>
      </w:pPr>
      <w:r>
        <w:t xml:space="preserve">IV. AREA 2 — DRAG-ALONG ANALYSIS</w:t>
      </w:r>
    </w:p>
    <w:bookmarkStart w:id="31" w:name="a.-the-three-pronged-trigger"/>
    <w:p>
      <w:pPr>
        <w:pStyle w:val="Heading3"/>
      </w:pPr>
      <w:r>
        <w:t xml:space="preserve">A. The Three-Pronged Trigger</w:t>
      </w:r>
    </w:p>
    <w:p>
      <w:pPr>
        <w:pStyle w:val="FirstParagraph"/>
      </w:pPr>
      <w:r>
        <w:t xml:space="preserve">Section 3.1(a) of the Stockholders’ Agreement provides that a</w:t>
      </w:r>
      <w:r>
        <w:t xml:space="preserve"> </w:t>
      </w:r>
      <w:r>
        <w:t xml:space="preserve">“</w:t>
      </w:r>
      <w:r>
        <w:t xml:space="preserve">Drag-Along Approval</w:t>
      </w:r>
      <w:r>
        <w:t xml:space="preserve">”</w:t>
      </w:r>
      <w:r>
        <w:t xml:space="preserve"> </w:t>
      </w:r>
      <w:r>
        <w:t xml:space="preserve">is obtained only upon the satisfaction of</w:t>
      </w:r>
      <w:r>
        <w:t xml:space="preserve"> </w:t>
      </w:r>
      <w:r>
        <w:rPr>
          <w:b/>
          <w:bCs/>
        </w:rPr>
        <w:t xml:space="preserve">all three</w:t>
      </w:r>
      <w:r>
        <w:t xml:space="preserve"> </w:t>
      </w:r>
      <w:r>
        <w:t xml:space="preserve">of the following conditions:</w:t>
      </w:r>
    </w:p>
    <w:p>
      <w:pPr>
        <w:pStyle w:val="Compact"/>
        <w:numPr>
          <w:ilvl w:val="0"/>
          <w:numId w:val="1006"/>
        </w:numPr>
      </w:pPr>
      <w:r>
        <w:rPr>
          <w:b/>
          <w:bCs/>
        </w:rPr>
        <w:t xml:space="preserve">Common vote:</w:t>
      </w:r>
      <w:r>
        <w:t xml:space="preserve"> </w:t>
      </w:r>
      <w:r>
        <w:t xml:space="preserve">holders of at least a majority of the outstanding shares of Common Stock (calculated on an as-converted to Common Stock basis, treating each share of Preferred Stock as converted) (Section 3.1(a)(i));</w:t>
      </w:r>
    </w:p>
    <w:p>
      <w:pPr>
        <w:pStyle w:val="Compact"/>
        <w:numPr>
          <w:ilvl w:val="0"/>
          <w:numId w:val="1006"/>
        </w:numPr>
      </w:pPr>
      <w:r>
        <w:rPr>
          <w:b/>
          <w:bCs/>
        </w:rPr>
        <w:t xml:space="preserve">Preferred vote:</w:t>
      </w:r>
      <w:r>
        <w:t xml:space="preserve"> </w:t>
      </w:r>
      <w:r>
        <w:t xml:space="preserve">holders of at least a majority of the outstanding shares of Preferred Stock (calculated on an as-converted basis, voting together as a single class) (Section 3.1(a)(ii)); and</w:t>
      </w:r>
    </w:p>
    <w:p>
      <w:pPr>
        <w:pStyle w:val="Compact"/>
        <w:numPr>
          <w:ilvl w:val="0"/>
          <w:numId w:val="1006"/>
        </w:numPr>
      </w:pPr>
      <w:r>
        <w:rPr>
          <w:b/>
          <w:bCs/>
        </w:rPr>
        <w:t xml:space="preserve">Investor vote:</w:t>
      </w:r>
      <w:r>
        <w:t xml:space="preserve"> </w:t>
      </w:r>
      <w:r>
        <w:t xml:space="preserve">at least two (2) of the three (3) Investor Stockholders (Section 3.1(a)(iii)).</w:t>
      </w:r>
    </w:p>
    <w:p>
      <w:pPr>
        <w:pStyle w:val="FirstParagraph"/>
      </w:pPr>
      <w:r>
        <w:t xml:space="preserve">Section 3.1(b) confirms that all three conditions must be satisfied; fewer than all three does not constitute a Drag-Along Approval.</w:t>
      </w:r>
    </w:p>
    <w:bookmarkEnd w:id="31"/>
    <w:bookmarkStart w:id="32" w:name="Xaf9d6ea6c9a77d44ac521a9de399de568cdb5c3"/>
    <w:p>
      <w:pPr>
        <w:pStyle w:val="Heading3"/>
      </w:pPr>
      <w:r>
        <w:t xml:space="preserve">B. Can the Drag-Along Be Triggered Without Stonemill?</w:t>
      </w:r>
    </w:p>
    <w:p>
      <w:pPr>
        <w:pStyle w:val="FirstParagraph"/>
      </w:pPr>
      <w:r>
        <w:rPr>
          <w:b/>
          <w:bCs/>
        </w:rPr>
        <w:t xml:space="preserve">Condition (ii) — Preferred vote:</w:t>
      </w:r>
      <w:r>
        <w:t xml:space="preserve"> </w:t>
      </w:r>
      <w:r>
        <w:t xml:space="preserve">The threshold is a majority of the 16,500,000 outstanding Preferred shares (as-converted), i.e., more than 8,250,000 shares. Without Stonemill, Northbridge (5,200,000) and Ridgeline (3,500,000) together hold 8,700,000 shares — sufficient to satisfy this condition.</w:t>
      </w:r>
      <w:r>
        <w:t xml:space="preserve"> </w:t>
      </w:r>
      <w:r>
        <w:rPr>
          <w:b/>
          <w:bCs/>
        </w:rPr>
        <w:t xml:space="preserve">Satisfiable without Stonemill.</w:t>
      </w:r>
    </w:p>
    <w:p>
      <w:pPr>
        <w:pStyle w:val="BodyText"/>
      </w:pPr>
      <w:r>
        <w:rPr>
          <w:b/>
          <w:bCs/>
        </w:rPr>
        <w:t xml:space="preserve">Condition (iii) — Investor vote:</w:t>
      </w:r>
      <w:r>
        <w:t xml:space="preserve"> </w:t>
      </w:r>
      <w:r>
        <w:t xml:space="preserve">At least two of the three Investor Stockholders (Ridgeline, Northbridge, Stonemill) must approve. Without Stonemill, both Ridgeline and Northbridge must approve.</w:t>
      </w:r>
      <w:r>
        <w:t xml:space="preserve"> </w:t>
      </w:r>
      <w:r>
        <w:rPr>
          <w:b/>
          <w:bCs/>
        </w:rPr>
        <w:t xml:space="preserve">Satisfiable without Stonemill</w:t>
      </w:r>
      <w:r>
        <w:t xml:space="preserve"> </w:t>
      </w:r>
      <w:r>
        <w:t xml:space="preserve">(assuming both Ridgeline and Northbridge consent, which is consistent with their expressed support in the Board minutes).</w:t>
      </w:r>
    </w:p>
    <w:p>
      <w:pPr>
        <w:pStyle w:val="BodyText"/>
      </w:pPr>
      <w:r>
        <w:rPr>
          <w:b/>
          <w:bCs/>
        </w:rPr>
        <w:t xml:space="preserve">Condition (i) — Common vote:</w:t>
      </w:r>
      <w:r>
        <w:t xml:space="preserve"> </w:t>
      </w:r>
      <w:r>
        <w:t xml:space="preserve">This condition is the principal uncertainty. The provision requires a majority of the outstanding Common Stock</w:t>
      </w:r>
      <w:r>
        <w:t xml:space="preserve"> </w:t>
      </w:r>
      <w:r>
        <w:t xml:space="preserve">“</w:t>
      </w:r>
      <w:r>
        <w:t xml:space="preserve">calculated on an as-converted to Common Stock basis, treating each share of Preferred Stock as having been converted.</w:t>
      </w:r>
      <w:r>
        <w:t xml:space="preserve">”</w:t>
      </w:r>
      <w:r>
        <w:t xml:space="preserve"> </w:t>
      </w:r>
      <w:r>
        <w:t xml:space="preserve">Read naturally, this is a majority of the fully diluted as-converted base. On a fully diluted basis of approximately 33,900,000 shares, a majority requires more than approximately 16,950,000 shares. The non-Stonemill parties to the Stockholders’ Agreement (the Founders, Ridgeline, and Northbridge) collectively hold 16,000,000 as-converted shares (Founders 7,300,000 + Ridgeline 3,500,000 + Northbridge 5,200,000) — approximately 950,000 shares short of the threshold. Satisfaction of this condition without Stonemill would therefore require the support of additional Common holders who are not parties to the Stockholders’ Agreement (a portion of the 10,100,000 shares held by</w:t>
      </w:r>
      <w:r>
        <w:t xml:space="preserve"> </w:t>
      </w:r>
      <w:r>
        <w:t xml:space="preserve">“</w:t>
      </w:r>
      <w:r>
        <w:t xml:space="preserve">Various Common Holders / Option Pool</w:t>
      </w:r>
      <w:r>
        <w:t xml:space="preserve">”</w:t>
      </w:r>
      <w:r>
        <w:t xml:space="preserve">). The availability of that support cannot be confirmed without the complete capitalization table and clarification of whether unexercised options and unvested RSUs are counted as</w:t>
      </w:r>
      <w:r>
        <w:t xml:space="preserve"> </w:t>
      </w:r>
      <w:r>
        <w:t xml:space="preserve">“</w:t>
      </w:r>
      <w:r>
        <w:t xml:space="preserve">outstanding shares of Common Stock.</w:t>
      </w:r>
      <w:r>
        <w:t xml:space="preserve">”</w:t>
      </w:r>
      <w:r>
        <w:t xml:space="preserve"> </w:t>
      </w:r>
      <w:r>
        <w:rPr>
          <w:b/>
          <w:bCs/>
        </w:rPr>
        <w:t xml:space="preserve">Uncertain — likely requires non-party Common holder support.</w:t>
      </w:r>
    </w:p>
    <w:p>
      <w:pPr>
        <w:pStyle w:val="BodyText"/>
      </w:pPr>
      <w:r>
        <w:rPr>
          <w:b/>
          <w:bCs/>
        </w:rPr>
        <w:t xml:space="preserve">Preliminary conclusion on trigger:</w:t>
      </w:r>
      <w:r>
        <w:t xml:space="preserve"> </w:t>
      </w:r>
      <w:r>
        <w:t xml:space="preserve">Conditions (ii) and (iii) can be satisfied without Stonemill. Condition (i) is uncertain and may require support from non-party Common holders. Even if all three conditions are satisfied, however, the more fundamental question is whether the drag-along can override the Charter’s Series C protective provision, addressed below.</w:t>
      </w:r>
    </w:p>
    <w:bookmarkEnd w:id="32"/>
    <w:bookmarkStart w:id="33" w:name="X7755d8d458c034662bfa5cac2efab0ee4c068eb"/>
    <w:p>
      <w:pPr>
        <w:pStyle w:val="Heading3"/>
      </w:pPr>
      <w:r>
        <w:t xml:space="preserve">C. Can the Drag-Along Override the Charter Protective Provisions?</w:t>
      </w:r>
    </w:p>
    <w:p>
      <w:pPr>
        <w:pStyle w:val="FirstParagraph"/>
      </w:pPr>
      <w:r>
        <w:t xml:space="preserve">This is the critical legal question. If the drag-along is validly triggered, Section 3.1(a) obligates each Restricted Stockholder — including Stonemill — to vote all of its Shares (including its Series C Preferred Stock) in favor of the Sale of the Company. Section 3.3 reinforces this with an irrevocable proxy granted to the holders constituting the Drag-Along Approval. If Stonemill were compelled to vote 100% of its Series C in favor, the 66⅔% Series C separate-class threshold would be satisfied.</w:t>
      </w:r>
    </w:p>
    <w:p>
      <w:pPr>
        <w:pStyle w:val="BodyText"/>
      </w:pPr>
      <w:r>
        <w:rPr>
          <w:b/>
          <w:bCs/>
        </w:rPr>
        <w:t xml:space="preserve">The difficulty is that the Series C separate-class vote is a protective provision embedded in the Charter — the supreme governance document of the Company.</w:t>
      </w:r>
      <w:r>
        <w:t xml:space="preserve"> </w:t>
      </w:r>
      <w:r>
        <w:t xml:space="preserve">Under Delaware law, a stockholders’ agreement is a contract among stockholders and cannot amend or override the certificate of incorporation. The leading authority is</w:t>
      </w:r>
      <w:r>
        <w:t xml:space="preserve"> </w:t>
      </w:r>
      <w:r>
        <w:rPr>
          <w:i/>
          <w:iCs/>
        </w:rPr>
        <w:t xml:space="preserve">ODN Holding Corp. 25, LLC v. Knowlton</w:t>
      </w:r>
      <w:r>
        <w:t xml:space="preserve">, 2011 WL 6153080 (Del. Ch. Dec. 2, 2011), in which the Court of Chancery held that a drag-along provision could not be used to circumvent the class-voting protections of the certificate of incorporation. The court reasoned that the certificate of incorporation is the supreme governing document and that a stockholders’ agreement cannot be employed to override its protective provisions or to force a transaction that violates a charter class-vote requirement.</w:t>
      </w:r>
    </w:p>
    <w:p>
      <w:pPr>
        <w:pStyle w:val="BodyText"/>
      </w:pPr>
      <w:r>
        <w:t xml:space="preserve">There is a colorable counter-argument: the drag-along does not</w:t>
      </w:r>
      <w:r>
        <w:t xml:space="preserve"> </w:t>
      </w:r>
      <w:r>
        <w:t xml:space="preserve">“</w:t>
      </w:r>
      <w:r>
        <w:t xml:space="preserve">amend</w:t>
      </w:r>
      <w:r>
        <w:t xml:space="preserve">”</w:t>
      </w:r>
      <w:r>
        <w:t xml:space="preserve"> </w:t>
      </w:r>
      <w:r>
        <w:t xml:space="preserve">the Charter but rather compels a stockholder to vote in a particular way, and if the compelled vote satisfies the Charter threshold, no Charter provision is violated. On this view, Stonemill contractually agreed to be dragged and must vote accordingly. The irrevocable proxy in Section 3.3 strengthens the enforcement argument. However, this argument is in tension with the</w:t>
      </w:r>
      <w:r>
        <w:t xml:space="preserve"> </w:t>
      </w:r>
      <w:r>
        <w:rPr>
          <w:i/>
          <w:iCs/>
        </w:rPr>
        <w:t xml:space="preserve">ODN</w:t>
      </w:r>
      <w:r>
        <w:t xml:space="preserve"> </w:t>
      </w:r>
      <w:r>
        <w:t xml:space="preserve">reasoning and has not been reliably endorsed by Delaware courts as a means to override a separate-class protective provision to which the protected holder objects.</w:t>
      </w:r>
    </w:p>
    <w:p>
      <w:pPr>
        <w:pStyle w:val="BodyText"/>
      </w:pPr>
      <w:r>
        <w:rPr>
          <w:b/>
          <w:bCs/>
        </w:rPr>
        <w:t xml:space="preserve">Assessment.</w:t>
      </w:r>
      <w:r>
        <w:t xml:space="preserve"> </w:t>
      </w:r>
      <w:r>
        <w:t xml:space="preserve">This is a genuinely contested question under Delaware law. The weight of authority and the</w:t>
      </w:r>
      <w:r>
        <w:t xml:space="preserve"> </w:t>
      </w:r>
      <w:r>
        <w:rPr>
          <w:i/>
          <w:iCs/>
        </w:rPr>
        <w:t xml:space="preserve">ODN</w:t>
      </w:r>
      <w:r>
        <w:t xml:space="preserve"> </w:t>
      </w:r>
      <w:r>
        <w:t xml:space="preserve">line of cases suggest that the drag-along</w:t>
      </w:r>
      <w:r>
        <w:t xml:space="preserve"> </w:t>
      </w:r>
      <w:r>
        <w:rPr>
          <w:b/>
          <w:bCs/>
        </w:rPr>
        <w:t xml:space="preserve">most likely cannot</w:t>
      </w:r>
      <w:r>
        <w:t xml:space="preserve"> </w:t>
      </w:r>
      <w:r>
        <w:t xml:space="preserve">override the Series C separate-class protective provision. Relying on the drag-along to close over Stonemill’s objection would expose the Transaction to significant litigation risk, including a likely injunction motion by Stonemill seeking to enjoin the closing on the ground that the Series C separate-class consent was not validly obtained. The outcome of such litigation is uncertain and would likely delay or derail the Transaction.</w:t>
      </w:r>
    </w:p>
    <w:p>
      <w:pPr>
        <w:pStyle w:val="BodyText"/>
      </w:pPr>
      <w:r>
        <w:rPr>
          <w:b/>
          <w:bCs/>
        </w:rPr>
        <w:t xml:space="preserve">Recommendation.</w:t>
      </w:r>
      <w:r>
        <w:t xml:space="preserve"> </w:t>
      </w:r>
      <w:r>
        <w:t xml:space="preserve">Do</w:t>
      </w:r>
      <w:r>
        <w:t xml:space="preserve"> </w:t>
      </w:r>
      <w:r>
        <w:rPr>
          <w:b/>
          <w:bCs/>
        </w:rPr>
        <w:t xml:space="preserve">not</w:t>
      </w:r>
      <w:r>
        <w:t xml:space="preserve"> </w:t>
      </w:r>
      <w:r>
        <w:t xml:space="preserve">rely on the drag-along as a primary path to closing over Stonemill’s objection. Treat the Series C separate-class vote as a hard blocking right requiring Stonemill’s affirmative consent. The drag-along may be retained as a secondary negotiating lever and a potential litigation fallback, but it should not be the cornerstone of the closing strategy.</w:t>
      </w:r>
    </w:p>
    <w:bookmarkEnd w:id="33"/>
    <w:bookmarkStart w:id="34" w:name="Xd0369743bc8298ba79213b7e62045ae9b1ced33"/>
    <w:p>
      <w:pPr>
        <w:pStyle w:val="Heading3"/>
      </w:pPr>
      <w:r>
        <w:t xml:space="preserve">D. Drag-Along Terms Affecting Consideration</w:t>
      </w:r>
    </w:p>
    <w:p>
      <w:pPr>
        <w:pStyle w:val="FirstParagraph"/>
      </w:pPr>
      <w:r>
        <w:t xml:space="preserve">Section 3.2(a) provides that each Restricted Stockholder receives the same form and amount of consideration per share (as-converted), subject to the liquidation waterfall of the Charter — i.e., consideration is distributed</w:t>
      </w:r>
      <w:r>
        <w:t xml:space="preserve"> </w:t>
      </w:r>
      <w:r>
        <w:t xml:space="preserve">“</w:t>
      </w:r>
      <w:r>
        <w:t xml:space="preserve">as if the Sale of the Company were a Liquidation Event.</w:t>
      </w:r>
      <w:r>
        <w:t xml:space="preserve">”</w:t>
      </w:r>
      <w:r>
        <w:t xml:space="preserve"> </w:t>
      </w:r>
      <w:r>
        <w:t xml:space="preserve">Section 3.2(d) limits stockholder representations and warranties to title, authority, and enforceability, and limits indemnification to a several (not joint) basis capped at the consideration received; no stockholder may be required to enter non-competition or non-solicitation covenants. These terms are favorable to the selling stockholders and would, if the drag-along is invoked, govern the stockholders’ obligations in the merger agreement.</w:t>
      </w:r>
    </w:p>
    <w:p>
      <w:r>
        <w:pict>
          <v:rect style="width:0;height:1.5pt" o:hralign="center" o:hrstd="t" o:hr="t"/>
        </w:pict>
      </w:r>
    </w:p>
    <w:bookmarkEnd w:id="34"/>
    <w:bookmarkEnd w:id="35"/>
    <w:bookmarkStart w:id="41" w:name="Xec9540fcdb55ea5ae66c3fbc65eaa6a2ca04222"/>
    <w:p>
      <w:pPr>
        <w:pStyle w:val="Heading2"/>
      </w:pPr>
      <w:r>
        <w:t xml:space="preserve">V. AREA 3 — IMPEDIMENTS TO CLOSING A REVERSE TRIANGULAR MERGER</w:t>
      </w:r>
    </w:p>
    <w:bookmarkStart w:id="36" w:name="X1cb6b2847bf3ce0e01e3fefb867afd908a22027"/>
    <w:p>
      <w:pPr>
        <w:pStyle w:val="Heading3"/>
      </w:pPr>
      <w:r>
        <w:t xml:space="preserve">A. Defined Terms Clearly Capture the Structure</w:t>
      </w:r>
    </w:p>
    <w:p>
      <w:pPr>
        <w:pStyle w:val="FirstParagraph"/>
      </w:pPr>
      <w:r>
        <w:t xml:space="preserve">The reverse triangular merger is unambiguously captured by the operative defined terms:</w:t>
      </w:r>
    </w:p>
    <w:p>
      <w:pPr>
        <w:pStyle w:val="Compact"/>
        <w:numPr>
          <w:ilvl w:val="0"/>
          <w:numId w:val="1007"/>
        </w:numPr>
      </w:pPr>
      <w:r>
        <w:rPr>
          <w:b/>
          <w:bCs/>
        </w:rPr>
        <w:t xml:space="preserve">“</w:t>
      </w:r>
      <w:r>
        <w:rPr>
          <w:b/>
          <w:bCs/>
        </w:rPr>
        <w:t xml:space="preserve">Liquidation Event</w:t>
      </w:r>
      <w:r>
        <w:rPr>
          <w:b/>
          <w:bCs/>
        </w:rPr>
        <w:t xml:space="preserve">”</w:t>
      </w:r>
      <w:r>
        <w:rPr>
          <w:b/>
          <w:bCs/>
        </w:rPr>
        <w:t xml:space="preserve"> </w:t>
      </w:r>
      <w:r>
        <w:rPr>
          <w:b/>
          <w:bCs/>
        </w:rPr>
        <w:t xml:space="preserve">(Charter § 4.3.2(d)(i)):</w:t>
      </w:r>
      <w:r>
        <w:t xml:space="preserve"> </w:t>
      </w:r>
      <w:r>
        <w:t xml:space="preserve">“</w:t>
      </w:r>
      <w:r>
        <w:t xml:space="preserve">any merger, consolidation, or other business combination of the Corporation with or into another entity (</w:t>
      </w:r>
      <w:r>
        <w:rPr>
          <w:b/>
          <w:bCs/>
        </w:rPr>
        <w:t xml:space="preserve">whether or not the Corporation is the surviving entity</w:t>
      </w:r>
      <w:r>
        <w:t xml:space="preserve">), other than [one in which the stockholders retain at least 50% of the voting power].</w:t>
      </w:r>
      <w:r>
        <w:t xml:space="preserve">”</w:t>
      </w:r>
      <w:r>
        <w:t xml:space="preserve"> </w:t>
      </w:r>
      <w:r>
        <w:t xml:space="preserve">The explicit</w:t>
      </w:r>
      <w:r>
        <w:t xml:space="preserve"> </w:t>
      </w:r>
      <w:r>
        <w:t xml:space="preserve">“</w:t>
      </w:r>
      <w:r>
        <w:t xml:space="preserve">whether or not the Corporation is the surviving entity</w:t>
      </w:r>
      <w:r>
        <w:t xml:space="preserve">”</w:t>
      </w:r>
      <w:r>
        <w:t xml:space="preserve"> </w:t>
      </w:r>
      <w:r>
        <w:t xml:space="preserve">language confirms that both forward and reverse mergers are captured. Because Terravox stockholders will retain 0% of the voting power post-merger (Hargrove will own 100%), the Transaction is a Liquidation Event. Section 4.3.2(d)(iii) (transfer of more than 50% of voting power) is independently satisfied.</w:t>
      </w:r>
    </w:p>
    <w:p>
      <w:pPr>
        <w:pStyle w:val="Compact"/>
        <w:numPr>
          <w:ilvl w:val="0"/>
          <w:numId w:val="1007"/>
        </w:numPr>
      </w:pPr>
      <w:r>
        <w:rPr>
          <w:b/>
          <w:bCs/>
        </w:rPr>
        <w:t xml:space="preserve">“</w:t>
      </w:r>
      <w:r>
        <w:rPr>
          <w:b/>
          <w:bCs/>
        </w:rPr>
        <w:t xml:space="preserve">Sale of the Company</w:t>
      </w:r>
      <w:r>
        <w:rPr>
          <w:b/>
          <w:bCs/>
        </w:rPr>
        <w:t xml:space="preserve">”</w:t>
      </w:r>
      <w:r>
        <w:rPr>
          <w:b/>
          <w:bCs/>
        </w:rPr>
        <w:t xml:space="preserve"> </w:t>
      </w:r>
      <w:r>
        <w:rPr>
          <w:b/>
          <w:bCs/>
        </w:rPr>
        <w:t xml:space="preserve">(Stockholders’ Agreement § 1.1; Voting Agreement § 1):</w:t>
      </w:r>
      <w:r>
        <w:t xml:space="preserve"> </w:t>
      </w:r>
      <w:r>
        <w:t xml:space="preserve">“</w:t>
      </w:r>
      <w:r>
        <w:t xml:space="preserve">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The Transaction satisfies this definition.</w:t>
      </w:r>
    </w:p>
    <w:p>
      <w:pPr>
        <w:pStyle w:val="FirstParagraph"/>
      </w:pPr>
      <w:r>
        <w:t xml:space="preserve">Accordingly, there is</w:t>
      </w:r>
      <w:r>
        <w:t xml:space="preserve"> </w:t>
      </w:r>
      <w:r>
        <w:rPr>
          <w:b/>
          <w:bCs/>
        </w:rPr>
        <w:t xml:space="preserve">no structural ambiguity</w:t>
      </w:r>
      <w:r>
        <w:t xml:space="preserve"> </w:t>
      </w:r>
      <w:r>
        <w:t xml:space="preserve">as to whether the reverse triangular merger triggers the Liquidation Event and Sale of the Company definitions. The consent and termination consequences follow.</w:t>
      </w:r>
    </w:p>
    <w:bookmarkEnd w:id="36"/>
    <w:bookmarkStart w:id="37" w:name="b.-dgcl-section-251f-does-not-apply"/>
    <w:p>
      <w:pPr>
        <w:pStyle w:val="Heading3"/>
      </w:pPr>
      <w:r>
        <w:t xml:space="preserve">B. DGCL Section 251(f) Does Not Apply</w:t>
      </w:r>
    </w:p>
    <w:p>
      <w:pPr>
        <w:pStyle w:val="FirstParagraph"/>
      </w:pPr>
      <w:r>
        <w:t xml:space="preserve">As noted in Section III, because all Terravox shares will be cancelled and converted into cash, the Section 251(f) exemption from stockholder approval is unavailable, and a full stockholder vote under Section 251(d) is required. This is consistent with the structure (a 100% cash-out acquisition) and with Company counsel’s analysis.</w:t>
      </w:r>
    </w:p>
    <w:bookmarkEnd w:id="37"/>
    <w:bookmarkStart w:id="38" w:name="Xde6b90532451b828db1ea86214a088434e88760"/>
    <w:p>
      <w:pPr>
        <w:pStyle w:val="Heading3"/>
      </w:pPr>
      <w:r>
        <w:t xml:space="preserve">C. Survival of the Company and Its Contracts</w:t>
      </w:r>
    </w:p>
    <w:p>
      <w:pPr>
        <w:pStyle w:val="FirstParagraph"/>
      </w:pPr>
      <w:r>
        <w:t xml:space="preserve">In a reverse triangular merger, Terravox survives as a wholly-owned subsidiary. This has two principal implications:</w:t>
      </w:r>
    </w:p>
    <w:p>
      <w:pPr>
        <w:numPr>
          <w:ilvl w:val="0"/>
          <w:numId w:val="1008"/>
        </w:numPr>
      </w:pPr>
      <w:r>
        <w:rPr>
          <w:b/>
          <w:bCs/>
        </w:rPr>
        <w:t xml:space="preserve">Contracts generally survive without assignment.</w:t>
      </w:r>
      <w:r>
        <w:t xml:space="preserve"> </w:t>
      </w:r>
      <w:r>
        <w:t xml:space="preserve">Because the legal entity persists, contracts that would otherwise require counterparty consent upon an assignment or change of control by merger may not be triggered (depending on the specific change-of-control language in each contract). This is generally an advantage of the reverse triangular structure. However, certain contracts contain change-of-control triggers that apply regardless of entity survival — most notably the Clearfield term loan (see Section IX) and potentially the Permian Basin Energy Co. master services agreement and other commercial contracts. We have not yet reviewed these contracts and cannot confirm whether change-of-control consents are required.</w:t>
      </w:r>
    </w:p>
    <w:p>
      <w:pPr>
        <w:numPr>
          <w:ilvl w:val="0"/>
          <w:numId w:val="1008"/>
        </w:numPr>
      </w:pPr>
      <w:r>
        <w:rPr>
          <w:b/>
          <w:bCs/>
        </w:rPr>
        <w:t xml:space="preserve">Charter and Bylaws survive (as subsidiary documents).</w:t>
      </w:r>
      <w:r>
        <w:t xml:space="preserve"> </w:t>
      </w:r>
      <w:r>
        <w:t xml:space="preserve">The Charter and Bylaws remain in effect post-closing until amended. The protective provisions become practically moot because no Preferred Stock will remain outstanding post-closing, but they must be satisfied</w:t>
      </w:r>
      <w:r>
        <w:t xml:space="preserve"> </w:t>
      </w:r>
      <w:r>
        <w:rPr>
          <w:b/>
          <w:bCs/>
        </w:rPr>
        <w:t xml:space="preserve">at closing</w:t>
      </w:r>
      <w:r>
        <w:t xml:space="preserve"> </w:t>
      </w:r>
      <w:r>
        <w:t xml:space="preserve">(before the shares are cancelled). The Series C separate-class consent is therefore a closing condition, not a post-closing concern.</w:t>
      </w:r>
    </w:p>
    <w:bookmarkEnd w:id="38"/>
    <w:bookmarkStart w:id="39" w:name="d.-the-rra-deemed-liquidation-event-gap"/>
    <w:p>
      <w:pPr>
        <w:pStyle w:val="Heading3"/>
      </w:pPr>
      <w:r>
        <w:t xml:space="preserve">D. The RRA</w:t>
      </w:r>
      <w:r>
        <w:t xml:space="preserve"> </w:t>
      </w:r>
      <w:r>
        <w:t xml:space="preserve">“</w:t>
      </w:r>
      <w:r>
        <w:t xml:space="preserve">Deemed Liquidation Event</w:t>
      </w:r>
      <w:r>
        <w:t xml:space="preserve">”</w:t>
      </w:r>
      <w:r>
        <w:t xml:space="preserve"> </w:t>
      </w:r>
      <w:r>
        <w:t xml:space="preserve">Gap</w:t>
      </w:r>
    </w:p>
    <w:p>
      <w:pPr>
        <w:pStyle w:val="FirstParagraph"/>
      </w:pPr>
      <w:r>
        <w:t xml:space="preserve">The RRA terminates upon</w:t>
      </w:r>
      <w:r>
        <w:t xml:space="preserve"> </w:t>
      </w:r>
      <w:r>
        <w:t xml:space="preserve">“</w:t>
      </w:r>
      <w:r>
        <w:t xml:space="preserve">a Deemed Liquidation Event</w:t>
      </w:r>
      <w:r>
        <w:t xml:space="preserve">”</w:t>
      </w:r>
      <w:r>
        <w:t xml:space="preserve"> </w:t>
      </w:r>
      <w:r>
        <w:t xml:space="preserve">(Section 9(c)), but the RRA does</w:t>
      </w:r>
      <w:r>
        <w:t xml:space="preserve"> </w:t>
      </w:r>
      <w:r>
        <w:rPr>
          <w:b/>
          <w:bCs/>
        </w:rPr>
        <w:t xml:space="preserve">not define</w:t>
      </w:r>
      <w:r>
        <w:t xml:space="preserve"> </w:t>
      </w:r>
      <w:r>
        <w:t xml:space="preserve">“</w:t>
      </w:r>
      <w:r>
        <w:t xml:space="preserve">Deemed Liquidation Event.</w:t>
      </w:r>
      <w:r>
        <w:t xml:space="preserve">”</w:t>
      </w:r>
      <w:r>
        <w:t xml:space="preserve"> </w:t>
      </w:r>
      <w:r>
        <w:t xml:space="preserve">The Charter defines</w:t>
      </w:r>
      <w:r>
        <w:t xml:space="preserve"> </w:t>
      </w:r>
      <w:r>
        <w:t xml:space="preserve">“</w:t>
      </w:r>
      <w:r>
        <w:t xml:space="preserve">Liquidation Event</w:t>
      </w:r>
      <w:r>
        <w:t xml:space="preserve">”</w:t>
      </w:r>
      <w:r>
        <w:t xml:space="preserve"> </w:t>
      </w:r>
      <w:r>
        <w:t xml:space="preserve">(not</w:t>
      </w:r>
      <w:r>
        <w:t xml:space="preserve"> </w:t>
      </w:r>
      <w:r>
        <w:t xml:space="preserve">“</w:t>
      </w:r>
      <w:r>
        <w:t xml:space="preserve">Deemed Liquidation Event</w:t>
      </w:r>
      <w:r>
        <w:t xml:space="preserve">”</w:t>
      </w:r>
      <w:r>
        <w:t xml:space="preserve">), and the Stockholders’ Agreement and Voting Agreement define</w:t>
      </w:r>
      <w:r>
        <w:t xml:space="preserve"> </w:t>
      </w:r>
      <w:r>
        <w:t xml:space="preserve">“</w:t>
      </w:r>
      <w:r>
        <w:t xml:space="preserve">Sale of the Company.</w:t>
      </w:r>
      <w:r>
        <w:t xml:space="preserve">”</w:t>
      </w:r>
      <w:r>
        <w:t xml:space="preserve"> </w:t>
      </w:r>
      <w:r>
        <w:t xml:space="preserve">The absence of a defined term in the RRA creates ambiguity as to whether the Transaction terminates the RRA. This is addressed in detail in Sections VIII (Area 6) and XI (Area 10). The merger agreement should include an express termination/waiver of the RRA at closing to eliminate this ambiguity.</w:t>
      </w:r>
    </w:p>
    <w:bookmarkEnd w:id="39"/>
    <w:bookmarkStart w:id="40" w:name="e.-conclusion-on-structure"/>
    <w:p>
      <w:pPr>
        <w:pStyle w:val="Heading3"/>
      </w:pPr>
      <w:r>
        <w:t xml:space="preserve">E. Conclusion on Structure</w:t>
      </w:r>
    </w:p>
    <w:p>
      <w:pPr>
        <w:pStyle w:val="FirstParagraph"/>
      </w:pPr>
      <w:r>
        <w:t xml:space="preserve">The reverse triangular merger structure does not create unique definitional impediments — the operative defined terms clearly capture it. The principal structure-related risks are (i) the survival of the Company’s contracts (requiring review for change-of-control consents, particularly the Clearfield loan) and (ii) the RRA definitional gap. Neither is a deal-breaker, but both require affirmative attention in the merger agreement and diligence.</w:t>
      </w:r>
    </w:p>
    <w:p>
      <w:r>
        <w:pict>
          <v:rect style="width:0;height:1.5pt" o:hralign="center" o:hrstd="t" o:hr="t"/>
        </w:pict>
      </w:r>
    </w:p>
    <w:bookmarkEnd w:id="40"/>
    <w:bookmarkEnd w:id="41"/>
    <w:bookmarkStart w:id="47" w:name="vi.-area-4-transfer-restrictions"/>
    <w:p>
      <w:pPr>
        <w:pStyle w:val="Heading2"/>
      </w:pPr>
      <w:r>
        <w:t xml:space="preserve">VI. AREA 4 — TRANSFER RESTRICTIONS</w:t>
      </w:r>
    </w:p>
    <w:bookmarkStart w:id="42" w:name="Xc1b9c82207532fccebf1267e2f20e29adf66016"/>
    <w:p>
      <w:pPr>
        <w:pStyle w:val="Heading3"/>
      </w:pPr>
      <w:r>
        <w:t xml:space="preserve">A. ROFR and Co-Sale (Stockholders’ Agreement §§ 2.2–2.3)</w:t>
      </w:r>
    </w:p>
    <w:p>
      <w:pPr>
        <w:pStyle w:val="FirstParagraph"/>
      </w:pPr>
      <w:r>
        <w:t xml:space="preserve">Section 2.1 prohibits any Restricted Stockholder from Transferring Shares except (a) in compliance with Article 2, (b) pursuant to a Permitted Transfer (Section 2.7), or (c)</w:t>
      </w:r>
      <w:r>
        <w:t xml:space="preserve"> </w:t>
      </w:r>
      <w:r>
        <w:t xml:space="preserve">“</w:t>
      </w:r>
      <w:r>
        <w:t xml:space="preserve">in connection with a Sale of the Company consummated in accordance with Article 3.</w:t>
      </w:r>
      <w:r>
        <w:t xml:space="preserve">”</w:t>
      </w:r>
      <w:r>
        <w:t xml:space="preserve"> </w:t>
      </w:r>
      <w:r>
        <w:t xml:space="preserve">Section 2.7(e) lists as a Permitted Transfer any</w:t>
      </w:r>
      <w:r>
        <w:t xml:space="preserve"> </w:t>
      </w:r>
      <w:r>
        <w:t xml:space="preserve">“</w:t>
      </w:r>
      <w:r>
        <w:t xml:space="preserve">Transfer[] in connection with a Sale of the Company consummated in accordance with Article 3.</w:t>
      </w:r>
      <w:r>
        <w:t xml:space="preserve">”</w:t>
      </w:r>
    </w:p>
    <w:p>
      <w:pPr>
        <w:pStyle w:val="BodyText"/>
      </w:pPr>
      <w:r>
        <w:t xml:space="preserve">The right of first refusal (Section 2.2) is triggered when a Restricted Stockholder</w:t>
      </w:r>
      <w:r>
        <w:t xml:space="preserve"> </w:t>
      </w:r>
      <w:r>
        <w:t xml:space="preserve">“</w:t>
      </w:r>
      <w:r>
        <w:t xml:space="preserve">receives a bona fide written offer from a third party … to purchase any Shares and desires to accept such offer.</w:t>
      </w:r>
      <w:r>
        <w:t xml:space="preserve">”</w:t>
      </w:r>
      <w:r>
        <w:t xml:space="preserve"> </w:t>
      </w:r>
      <w:r>
        <w:t xml:space="preserve">The co-sale right (Section 2.3) is triggered when the Company and other Restricted Stockholders do not purchase all Shares subject to a ROFR Notice. These provisions are designed for individual stockholder sales to third parties, not for a statutory merger in which all shares are cancelled and converted by operation of law.</w:t>
      </w:r>
    </w:p>
    <w:p>
      <w:pPr>
        <w:pStyle w:val="BodyText"/>
      </w:pPr>
      <w:r>
        <w:rPr>
          <w:b/>
          <w:bCs/>
        </w:rPr>
        <w:t xml:space="preserve">Whether the merger triggers ROFR/co-sale turns on the conditional carve-out.</w:t>
      </w:r>
      <w:r>
        <w:t xml:space="preserve"> </w:t>
      </w:r>
      <w:r>
        <w:t xml:space="preserve">The Sale of the Company carve-out in Sections 2.1(c) and 2.7(e) is conditioned on the Sale of the Company being</w:t>
      </w:r>
      <w:r>
        <w:t xml:space="preserve"> </w:t>
      </w:r>
      <w:r>
        <w:t xml:space="preserve">“</w:t>
      </w:r>
      <w:r>
        <w:t xml:space="preserve">consummated in accordance with Article 3</w:t>
      </w:r>
      <w:r>
        <w:t xml:space="preserve">”</w:t>
      </w:r>
      <w:r>
        <w:t xml:space="preserve"> </w:t>
      </w:r>
      <w:r>
        <w:t xml:space="preserve">— i.e., pursuant to the drag-along. If the drag-along is invoked and the Sale of the Company is consummated under Article 3, the merger is a Permitted Transfer and ROFR/co-sale do not apply. If the drag-along is</w:t>
      </w:r>
      <w:r>
        <w:t xml:space="preserve"> </w:t>
      </w:r>
      <w:r>
        <w:rPr>
          <w:b/>
          <w:bCs/>
        </w:rPr>
        <w:t xml:space="preserve">not</w:t>
      </w:r>
      <w:r>
        <w:t xml:space="preserve"> </w:t>
      </w:r>
      <w:r>
        <w:t xml:space="preserve">invoked (for example, because the Transaction proceeds on the basis of stockholder consents and a stockholder vote without a formal drag-along trigger), the conditional language creates ambiguity as to whether the merger falls within the carve-out.</w:t>
      </w:r>
    </w:p>
    <w:p>
      <w:pPr>
        <w:pStyle w:val="BodyText"/>
      </w:pPr>
      <w:r>
        <w:rPr>
          <w:b/>
          <w:bCs/>
        </w:rPr>
        <w:t xml:space="preserve">Practical resolution.</w:t>
      </w:r>
      <w:r>
        <w:t xml:space="preserve"> </w:t>
      </w:r>
      <w:r>
        <w:t xml:space="preserve">The Stockholders’ Agreement terminates upon</w:t>
      </w:r>
      <w:r>
        <w:t xml:space="preserve"> </w:t>
      </w:r>
      <w:r>
        <w:t xml:space="preserve">“</w:t>
      </w:r>
      <w:r>
        <w:t xml:space="preserve">a Sale of the Company</w:t>
      </w:r>
      <w:r>
        <w:t xml:space="preserve">”</w:t>
      </w:r>
      <w:r>
        <w:t xml:space="preserve"> </w:t>
      </w:r>
      <w:r>
        <w:t xml:space="preserve">(Section 6.1(b)), so the transfer restrictions cease upon closing in any event. The concern is whether the restrictions impede the path</w:t>
      </w:r>
      <w:r>
        <w:t xml:space="preserve"> </w:t>
      </w:r>
      <w:r>
        <w:rPr>
          <w:b/>
          <w:bCs/>
        </w:rPr>
        <w:t xml:space="preserve">to</w:t>
      </w:r>
      <w:r>
        <w:t xml:space="preserve"> </w:t>
      </w:r>
      <w:r>
        <w:t xml:space="preserve">closing. Because the merger is a statutory transaction (not a voluntary sale by an individual stockholder) and the Stockholders’ Agreement terminates upon the Sale of the Company, the better view is that ROFR/co-sale do not apply to the merger. Nonetheless, the conditional carve-out language is imprecise.</w:t>
      </w:r>
    </w:p>
    <w:p>
      <w:pPr>
        <w:pStyle w:val="BodyText"/>
      </w:pPr>
      <w:r>
        <w:rPr>
          <w:b/>
          <w:bCs/>
        </w:rPr>
        <w:t xml:space="preserve">Recommendation.</w:t>
      </w:r>
      <w:r>
        <w:t xml:space="preserve"> </w:t>
      </w:r>
      <w:r>
        <w:t xml:space="preserve">Obtain an interpretive confirmation or waiver from the stockholder parties (or structure the Transaction to invoke the drag-along formally) to eliminate any argument that ROFR or co-sale rights are triggered. The merger agreement should include a representation that the Transaction constitutes a Sale of the Company and that the transfer restrictions do not apply.</w:t>
      </w:r>
    </w:p>
    <w:bookmarkEnd w:id="42"/>
    <w:bookmarkStart w:id="43" w:name="b.-tag-along-rights-section-2.4"/>
    <w:p>
      <w:pPr>
        <w:pStyle w:val="Heading3"/>
      </w:pPr>
      <w:r>
        <w:t xml:space="preserve">B. Tag-Along Rights (Section 2.4)</w:t>
      </w:r>
    </w:p>
    <w:p>
      <w:pPr>
        <w:pStyle w:val="FirstParagraph"/>
      </w:pPr>
      <w:r>
        <w:t xml:space="preserve">Tag-along rights apply to a</w:t>
      </w:r>
      <w:r>
        <w:t xml:space="preserve"> </w:t>
      </w:r>
      <w:r>
        <w:t xml:space="preserve">“</w:t>
      </w:r>
      <w:r>
        <w:t xml:space="preserve">Founder Transfer</w:t>
      </w:r>
      <w:r>
        <w:t xml:space="preserve">”</w:t>
      </w:r>
      <w:r>
        <w:t xml:space="preserve"> </w:t>
      </w:r>
      <w:r>
        <w:t xml:space="preserve">— a Founder’s transfer of more than 5% of the outstanding Shares to a non-Affiliate third party. The merger is not a Founder Transfer in the ordinary sense; it is a Sale of the Company. The same analysis as ROFR/co-sale applies: the Sale of the Company carve-out and the termination of the Stockholders’ Agreement upon a Sale of the Company (Section 6.1(b)) should govern. No separate impediment is identified, but the conditional-carve-out ambiguity noted above applies equally here.</w:t>
      </w:r>
    </w:p>
    <w:bookmarkEnd w:id="43"/>
    <w:bookmarkStart w:id="44" w:name="c.-founder-lock-up-section-2.5"/>
    <w:p>
      <w:pPr>
        <w:pStyle w:val="Heading3"/>
      </w:pPr>
      <w:r>
        <w:t xml:space="preserve">C. Founder Lock-Up (Section 2.5)</w:t>
      </w:r>
    </w:p>
    <w:p>
      <w:pPr>
        <w:pStyle w:val="FirstParagraph"/>
      </w:pPr>
      <w:r>
        <w:t xml:space="preserve">The 12-month lock-up period ran from November 3, 2021 and expired on November 3, 2022. It is no longer in effect and presents no impediment.</w:t>
      </w:r>
    </w:p>
    <w:bookmarkEnd w:id="44"/>
    <w:bookmarkStart w:id="45" w:name="Xe6863a430d5e0f3887edad0494f52a58cf3332d"/>
    <w:p>
      <w:pPr>
        <w:pStyle w:val="Heading3"/>
      </w:pPr>
      <w:r>
        <w:t xml:space="preserve">D. Voting Agreement Transfer Restriction (Section 6.2)</w:t>
      </w:r>
    </w:p>
    <w:p>
      <w:pPr>
        <w:pStyle w:val="FirstParagraph"/>
      </w:pPr>
      <w:r>
        <w:t xml:space="preserve">Section 6.2 of the Voting Agreement prohibits Transfers unless the transferee agrees to be bound by the Voting Agreement. The Voting Agreement terminates upon a Sale of the Company (Section 7.1(b)), so this restriction ceases upon closing. The merger is not a voluntary Transfer by a party in the conventional sense. No impediment is identified.</w:t>
      </w:r>
    </w:p>
    <w:bookmarkEnd w:id="45"/>
    <w:bookmarkStart w:id="46" w:name="e.-conclusion-on-transfer-restrictions"/>
    <w:p>
      <w:pPr>
        <w:pStyle w:val="Heading3"/>
      </w:pPr>
      <w:r>
        <w:t xml:space="preserve">E. Conclusion on Transfer Restrictions</w:t>
      </w:r>
    </w:p>
    <w:p>
      <w:pPr>
        <w:pStyle w:val="FirstParagraph"/>
      </w:pPr>
      <w:r>
        <w:t xml:space="preserve">The transfer restrictions should not impede the Transaction, particularly given that the Stockholders’ Agreement and Voting Agreement both terminate upon a Sale of the Company. The principal risk is the conditional carve-out language (</w:t>
      </w:r>
      <w:r>
        <w:t xml:space="preserve">“</w:t>
      </w:r>
      <w:r>
        <w:t xml:space="preserve">consummated in accordance with Article 3</w:t>
      </w:r>
      <w:r>
        <w:t xml:space="preserve">”</w:t>
      </w:r>
      <w:r>
        <w:t xml:space="preserve">), which creates ambiguity if the drag-along is not formally invoked. We recommend addressing this through waiver/confirmation or formal drag-along invocation, and through appropriate provisions in the merger agreement.</w:t>
      </w:r>
    </w:p>
    <w:p>
      <w:r>
        <w:pict>
          <v:rect style="width:0;height:1.5pt" o:hralign="center" o:hrstd="t" o:hr="t"/>
        </w:pict>
      </w:r>
    </w:p>
    <w:bookmarkEnd w:id="46"/>
    <w:bookmarkEnd w:id="47"/>
    <w:bookmarkStart w:id="52" w:name="X6344b7399ebb669b609ab552eb07173a80f0df7"/>
    <w:p>
      <w:pPr>
        <w:pStyle w:val="Heading2"/>
      </w:pPr>
      <w:r>
        <w:t xml:space="preserve">VII. AREA 5 — BOARD COMPOSITION: POST-CLOSING IMPLICATIONS</w:t>
      </w:r>
    </w:p>
    <w:bookmarkStart w:id="48" w:name="Xd7ce744d18e03b314f5740b47eb975a53b87819"/>
    <w:p>
      <w:pPr>
        <w:pStyle w:val="Heading3"/>
      </w:pPr>
      <w:r>
        <w:t xml:space="preserve">A. Termination of the Voting Agreement Upon the Merger</w:t>
      </w:r>
    </w:p>
    <w:p>
      <w:pPr>
        <w:pStyle w:val="FirstParagraph"/>
      </w:pPr>
      <w:r>
        <w:t xml:space="preserve">Section 7.1 of the Voting Agreement provides that the agreement terminates upon the earliest of: (a) an IPO; (b)</w:t>
      </w:r>
      <w:r>
        <w:t xml:space="preserve"> </w:t>
      </w:r>
      <w:r>
        <w:t xml:space="preserve">“</w:t>
      </w:r>
      <w:r>
        <w:t xml:space="preserve">the consummation of a Sale of the Company (as defined in Section 1)</w:t>
      </w:r>
      <w:r>
        <w:t xml:space="preserve">”</w:t>
      </w:r>
      <w:r>
        <w:t xml:space="preserve">; (c) written consent of the Company and specified stockholder majorities; or (d) November 3, 2026 (the fifth anniversary).</w:t>
      </w:r>
    </w:p>
    <w:p>
      <w:pPr>
        <w:pStyle w:val="BodyText"/>
      </w:pPr>
      <w:r>
        <w:t xml:space="preserve">The</w:t>
      </w:r>
      <w:r>
        <w:t xml:space="preserve"> </w:t>
      </w:r>
      <w:r>
        <w:t xml:space="preserve">“</w:t>
      </w:r>
      <w:r>
        <w:t xml:space="preserve">Sale of the Company</w:t>
      </w:r>
      <w:r>
        <w:t xml:space="preserve">”</w:t>
      </w:r>
      <w:r>
        <w:t xml:space="preserve"> </w:t>
      </w:r>
      <w:r>
        <w:t xml:space="preserve">definition (Section 1) captures the reverse triangular merger (a merger in which the stockholders do not retain a majority of the voting power of the surviving entity). Accordingly,</w:t>
      </w:r>
      <w:r>
        <w:t xml:space="preserve"> </w:t>
      </w:r>
      <w:r>
        <w:rPr>
          <w:b/>
          <w:bCs/>
        </w:rPr>
        <w:t xml:space="preserve">the Voting Agreement terminates upon closing of the Transaction</w:t>
      </w:r>
      <w:r>
        <w:t xml:space="preserve">. The board designation rights in Section 2.2 lapse at closing; they do not survive, and the November 3, 2026 sunset is moot if the Transaction closes before that date (target Q1 2025).</w:t>
      </w:r>
    </w:p>
    <w:p>
      <w:pPr>
        <w:pStyle w:val="BodyText"/>
      </w:pPr>
      <w:r>
        <w:rPr>
          <w:b/>
          <w:bCs/>
        </w:rPr>
        <w:t xml:space="preserve">Post-closing board.</w:t>
      </w:r>
      <w:r>
        <w:t xml:space="preserve"> </w:t>
      </w:r>
      <w:r>
        <w:t xml:space="preserve">Upon closing, Hargrove, as the sole stockholder of the surviving subsidiary, will control the board and may appoint directors as it sees fit. No designation rights, voting obligations, or committee-composition requirements under the Voting Agreement survive. This is a clean outcome.</w:t>
      </w:r>
    </w:p>
    <w:bookmarkEnd w:id="48"/>
    <w:bookmarkStart w:id="49" w:name="X9119ca6d8175594181a0a4bb7be0cfa92ff74df"/>
    <w:p>
      <w:pPr>
        <w:pStyle w:val="Heading3"/>
      </w:pPr>
      <w:r>
        <w:t xml:space="preserve">B. Stonemill’s Board Observer Right (Section 4)</w:t>
      </w:r>
    </w:p>
    <w:p>
      <w:pPr>
        <w:pStyle w:val="FirstParagraph"/>
      </w:pPr>
      <w:r>
        <w:t xml:space="preserve">Section 4.1 grants Stonemill the right to appoint a non-voting observer to attend all Board (and committee) meetings and to receive all Board materials, for so long as Stonemill holds at least 1,000,000 shares of Series C Preferred Stock (or Common issued upon conversion). Section 7.3 provides that the observer right terminates if Stonemill ceases to hold the minimum share threshold.</w:t>
      </w:r>
    </w:p>
    <w:p>
      <w:pPr>
        <w:pStyle w:val="BodyText"/>
      </w:pPr>
      <w:r>
        <w:t xml:space="preserve">Upon closing, all Series C Preferred Stock is cancelled and converted into cash, so Stonemill ceases to hold any Series C (or Common issued upon conversion). The observer right therefore terminates at closing. In addition, the Voting Agreement itself terminates upon the Sale of the Company (Section 7.1(b)), independently terminating the observer right.</w:t>
      </w:r>
      <w:r>
        <w:t xml:space="preserve"> </w:t>
      </w:r>
      <w:r>
        <w:rPr>
          <w:b/>
          <w:bCs/>
        </w:rPr>
        <w:t xml:space="preserve">The observer right does not survive the Transaction.</w:t>
      </w:r>
    </w:p>
    <w:p>
      <w:pPr>
        <w:pStyle w:val="BodyText"/>
      </w:pPr>
      <w:r>
        <w:rPr>
          <w:b/>
          <w:bCs/>
        </w:rPr>
        <w:t xml:space="preserve">During the signing-to-closing period, however, the observer right is live.</w:t>
      </w:r>
      <w:r>
        <w:t xml:space="preserve"> </w:t>
      </w:r>
      <w:r>
        <w:t xml:space="preserve">Stonemill’s observer is entitled to attend Board meetings and receive Board materials during the pendency of the Transaction. This is significant because the Board will be considering the merger agreement and related matters. Section 4.2 permits the Company to exclude the observer (and withhold materials) to preserve attorney-client privilege or to address a bona fide conflict of interest between Stonemill and the Company, upon advice of counsel. Given Stonemill’s adversarial posture, the Company should be prepared to invoke this exclusion judiciously for privileged deliberations and conflict-sensitive matters. We note that the Stonemill observer was</w:t>
      </w:r>
      <w:r>
        <w:t xml:space="preserve"> </w:t>
      </w:r>
      <w:r>
        <w:rPr>
          <w:b/>
          <w:bCs/>
        </w:rPr>
        <w:t xml:space="preserve">not present</w:t>
      </w:r>
      <w:r>
        <w:t xml:space="preserve"> </w:t>
      </w:r>
      <w:r>
        <w:t xml:space="preserve">at the April 17, 2024 meeting at which the Board authorized engagement with Hargrove — a fact relevant to the sale-process analysis in Section X (Area 9).</w:t>
      </w:r>
    </w:p>
    <w:bookmarkEnd w:id="49"/>
    <w:bookmarkStart w:id="50" w:name="c.-committee-composition-section-2.4"/>
    <w:p>
      <w:pPr>
        <w:pStyle w:val="Heading3"/>
      </w:pPr>
      <w:r>
        <w:t xml:space="preserve">C. Committee Composition (Section 2.4)</w:t>
      </w:r>
    </w:p>
    <w:p>
      <w:pPr>
        <w:pStyle w:val="FirstParagraph"/>
      </w:pPr>
      <w:r>
        <w:t xml:space="preserve">Section 2.4 provides that, unless otherwise agreed by the Investor Stockholders, each Board committee must include at least one Investor Stockholder designee. This requirement is live during the signing-to-closing period. The Special Committee currently includes Sandra Okafor (Northbridge’s designee), satisfying this requirement. Post-closing, the requirement is moot. The composition of the Special Committee is analyzed in Section X (Area 9).</w:t>
      </w:r>
    </w:p>
    <w:bookmarkEnd w:id="50"/>
    <w:bookmarkStart w:id="51" w:name="d.-conclusion-on-board-composition"/>
    <w:p>
      <w:pPr>
        <w:pStyle w:val="Heading3"/>
      </w:pPr>
      <w:r>
        <w:t xml:space="preserve">D. Conclusion on Board Composition</w:t>
      </w:r>
    </w:p>
    <w:p>
      <w:pPr>
        <w:pStyle w:val="FirstParagraph"/>
      </w:pPr>
      <w:r>
        <w:t xml:space="preserve">The Voting Agreement and its designation rights and observer rights terminate cleanly upon closing. No post-closing governance entanglement arises from the Voting Agreement. The principal operational concern is managing Stonemill’s observer rights (and information access) during the signing-to-closing period.</w:t>
      </w:r>
    </w:p>
    <w:p>
      <w:r>
        <w:pict>
          <v:rect style="width:0;height:1.5pt" o:hralign="center" o:hrstd="t" o:hr="t"/>
        </w:pict>
      </w:r>
    </w:p>
    <w:bookmarkEnd w:id="51"/>
    <w:bookmarkEnd w:id="52"/>
    <w:bookmarkStart w:id="59" w:name="X9a405a09e107294e4a99d384c850cddedf95319"/>
    <w:p>
      <w:pPr>
        <w:pStyle w:val="Heading2"/>
      </w:pPr>
      <w:r>
        <w:t xml:space="preserve">VIII. AREA 6 — CROSS-DOCUMENT DEFINITIONAL INCONSISTISTENCIES</w:t>
      </w:r>
    </w:p>
    <w:p>
      <w:pPr>
        <w:pStyle w:val="FirstParagraph"/>
      </w:pPr>
      <w:r>
        <w:t xml:space="preserve">We compared the key defined terms across all five governance documents. The most significant findings are as follows.</w:t>
      </w:r>
    </w:p>
    <w:bookmarkStart w:id="53" w:name="Xf0a7f0949bb1fc8bc3dd15b7a873e1708ceded9"/>
    <w:p>
      <w:pPr>
        <w:pStyle w:val="Heading3"/>
      </w:pPr>
      <w:r>
        <w:t xml:space="preserve">A.</w:t>
      </w:r>
      <w:r>
        <w:t xml:space="preserve"> </w:t>
      </w:r>
      <w:r>
        <w:t xml:space="preserve">“</w:t>
      </w:r>
      <w:r>
        <w:t xml:space="preserve">Deemed Liquidation Event</w:t>
      </w:r>
      <w:r>
        <w:t xml:space="preserve">”</w:t>
      </w:r>
      <w:r>
        <w:t xml:space="preserve"> </w:t>
      </w:r>
      <w:r>
        <w:t xml:space="preserve">(RRA) Is Undefined — Critical Gap</w:t>
      </w:r>
    </w:p>
    <w:p>
      <w:pPr>
        <w:pStyle w:val="FirstParagraph"/>
      </w:pPr>
      <w:r>
        <w:t xml:space="preserve">The RRA terminates upon</w:t>
      </w:r>
      <w:r>
        <w:t xml:space="preserve"> </w:t>
      </w:r>
      <w:r>
        <w:t xml:space="preserve">“</w:t>
      </w:r>
      <w:r>
        <w:t xml:space="preserve">a Deemed Liquidation Event</w:t>
      </w:r>
      <w:r>
        <w:t xml:space="preserve">”</w:t>
      </w:r>
      <w:r>
        <w:t xml:space="preserve"> </w:t>
      </w:r>
      <w:r>
        <w:t xml:space="preserve">(Section 9(c)) but</w:t>
      </w:r>
      <w:r>
        <w:t xml:space="preserve"> </w:t>
      </w:r>
      <w:r>
        <w:rPr>
          <w:b/>
          <w:bCs/>
        </w:rPr>
        <w:t xml:space="preserve">does not define</w:t>
      </w:r>
      <w:r>
        <w:t xml:space="preserve"> </w:t>
      </w:r>
      <w:r>
        <w:t xml:space="preserve">“</w:t>
      </w:r>
      <w:r>
        <w:t xml:space="preserve">Deemed Liquidation Event</w:t>
      </w:r>
      <w:r>
        <w:t xml:space="preserve">”</w:t>
      </w:r>
      <w:r>
        <w:t xml:space="preserve"> </w:t>
      </w:r>
      <w:r>
        <w:t xml:space="preserve">anywhere in the agreement (the defined terms in Section 1 do not include it). The Charter defines</w:t>
      </w:r>
      <w:r>
        <w:t xml:space="preserve"> </w:t>
      </w:r>
      <w:r>
        <w:t xml:space="preserve">“</w:t>
      </w:r>
      <w:r>
        <w:t xml:space="preserve">Liquidation Event</w:t>
      </w:r>
      <w:r>
        <w:t xml:space="preserve">”</w:t>
      </w:r>
      <w:r>
        <w:t xml:space="preserve"> </w:t>
      </w:r>
      <w:r>
        <w:t xml:space="preserve">(Section 4.3.2(d)); the Stockholders’ Agreement and Voting Agreement define</w:t>
      </w:r>
      <w:r>
        <w:t xml:space="preserve"> </w:t>
      </w:r>
      <w:r>
        <w:t xml:space="preserve">“</w:t>
      </w:r>
      <w:r>
        <w:t xml:space="preserve">Sale of the Company</w:t>
      </w:r>
      <w:r>
        <w:t xml:space="preserve">”</w:t>
      </w:r>
      <w:r>
        <w:t xml:space="preserve"> </w:t>
      </w:r>
      <w:r>
        <w:t xml:space="preserve">(each in Section 1). The RRA does not cross-reference the Charter’s</w:t>
      </w:r>
      <w:r>
        <w:t xml:space="preserve"> </w:t>
      </w:r>
      <w:r>
        <w:t xml:space="preserve">“</w:t>
      </w:r>
      <w:r>
        <w:t xml:space="preserve">Liquidation Event</w:t>
      </w:r>
      <w:r>
        <w:t xml:space="preserve">”</w:t>
      </w:r>
      <w:r>
        <w:t xml:space="preserve"> </w:t>
      </w:r>
      <w:r>
        <w:t xml:space="preserve">definition.</w:t>
      </w:r>
    </w:p>
    <w:p>
      <w:pPr>
        <w:pStyle w:val="BodyText"/>
      </w:pPr>
      <w:r>
        <w:t xml:space="preserve">The evident intent is that</w:t>
      </w:r>
      <w:r>
        <w:t xml:space="preserve"> </w:t>
      </w:r>
      <w:r>
        <w:t xml:space="preserve">“</w:t>
      </w:r>
      <w:r>
        <w:t xml:space="preserve">Deemed Liquidation Event</w:t>
      </w:r>
      <w:r>
        <w:t xml:space="preserve">”</w:t>
      </w:r>
      <w:r>
        <w:t xml:space="preserve"> </w:t>
      </w:r>
      <w:r>
        <w:t xml:space="preserve">corresponds to the Charter’s</w:t>
      </w:r>
      <w:r>
        <w:t xml:space="preserve"> </w:t>
      </w:r>
      <w:r>
        <w:t xml:space="preserve">“</w:t>
      </w:r>
      <w:r>
        <w:t xml:space="preserve">Liquidation Event</w:t>
      </w:r>
      <w:r>
        <w:t xml:space="preserve">”</w:t>
      </w:r>
      <w:r>
        <w:t xml:space="preserve"> </w:t>
      </w:r>
      <w:r>
        <w:t xml:space="preserve">(which captures the merger). However, because the term is undefined, a strict reading creates ambiguity as to whether the Transaction terminates the RRA. This is the most significant cross-document inconsistency and has direct consequences for the RRA’s post-transaction treatment (Section XI, Area 10).</w:t>
      </w:r>
      <w:r>
        <w:t xml:space="preserve"> </w:t>
      </w:r>
      <w:r>
        <w:rPr>
          <w:b/>
          <w:bCs/>
        </w:rPr>
        <w:t xml:space="preserve">Severity: Significant.</w:t>
      </w:r>
      <w:r>
        <w:t xml:space="preserve"> </w:t>
      </w:r>
      <w:r>
        <w:t xml:space="preserve">The merger agreement should include an express termination/waiver of the RRA at closing.</w:t>
      </w:r>
    </w:p>
    <w:bookmarkEnd w:id="53"/>
    <w:bookmarkStart w:id="54" w:name="X631d74c28a90dca89042671a916a2bf71841196"/>
    <w:p>
      <w:pPr>
        <w:pStyle w:val="Heading3"/>
      </w:pPr>
      <w:r>
        <w:t xml:space="preserve">B. Threshold Mismatch:</w:t>
      </w:r>
      <w:r>
        <w:t xml:space="preserve"> </w:t>
      </w:r>
      <w:r>
        <w:t xml:space="preserve">“</w:t>
      </w:r>
      <w:r>
        <w:t xml:space="preserve">At Least 50%</w:t>
      </w:r>
      <w:r>
        <w:t xml:space="preserve">”</w:t>
      </w:r>
      <w:r>
        <w:t xml:space="preserve"> </w:t>
      </w:r>
      <w:r>
        <w:t xml:space="preserve">(Charter) vs. </w:t>
      </w:r>
      <w:r>
        <w:t xml:space="preserve">“</w:t>
      </w:r>
      <w:r>
        <w:t xml:space="preserve">Majority</w:t>
      </w:r>
      <w:r>
        <w:t xml:space="preserve">”</w:t>
      </w:r>
      <w:r>
        <w:t xml:space="preserve"> </w:t>
      </w:r>
      <w:r>
        <w:t xml:space="preserve">(Stockholders’ Agreement / Voting Agreement)</w:t>
      </w:r>
    </w:p>
    <w:p>
      <w:pPr>
        <w:pStyle w:val="Compact"/>
        <w:numPr>
          <w:ilvl w:val="0"/>
          <w:numId w:val="1009"/>
        </w:numPr>
      </w:pPr>
      <w:r>
        <w:rPr>
          <w:b/>
          <w:bCs/>
        </w:rPr>
        <w:t xml:space="preserve">Charter § 4.3.2(d)(i):</w:t>
      </w:r>
      <w:r>
        <w:t xml:space="preserve"> </w:t>
      </w:r>
      <w:r>
        <w:t xml:space="preserve">a merger is a Liquidation Event unless the Company’s stockholders</w:t>
      </w:r>
      <w:r>
        <w:t xml:space="preserve"> </w:t>
      </w:r>
      <w:r>
        <w:t xml:space="preserve">“</w:t>
      </w:r>
      <w:r>
        <w:t xml:space="preserve">continue to hold</w:t>
      </w:r>
      <w:r>
        <w:t xml:space="preserve"> </w:t>
      </w:r>
      <w:r>
        <w:rPr>
          <w:b/>
          <w:bCs/>
        </w:rPr>
        <w:t xml:space="preserve">at least fifty percent (50%)</w:t>
      </w:r>
      <w:r>
        <w:t xml:space="preserve">”</w:t>
      </w:r>
      <w:r>
        <w:t xml:space="preserve"> </w:t>
      </w:r>
      <w:r>
        <w:t xml:space="preserve">of the voting power of the surviving entity.</w:t>
      </w:r>
    </w:p>
    <w:p>
      <w:pPr>
        <w:pStyle w:val="Compact"/>
        <w:numPr>
          <w:ilvl w:val="0"/>
          <w:numId w:val="1009"/>
        </w:numPr>
      </w:pPr>
      <w:r>
        <w:rPr>
          <w:b/>
          <w:bCs/>
        </w:rPr>
        <w:t xml:space="preserve">Stockholders’ Agreement § 1.1 / Voting Agreement § 1:</w:t>
      </w:r>
      <w:r>
        <w:t xml:space="preserve"> </w:t>
      </w:r>
      <w:r>
        <w:t xml:space="preserve">a merger is a Sale of the Company if the stockholders</w:t>
      </w:r>
      <w:r>
        <w:t xml:space="preserve"> </w:t>
      </w:r>
      <w:r>
        <w:t xml:space="preserve">“</w:t>
      </w:r>
      <w:r>
        <w:t xml:space="preserve">do not retain a</w:t>
      </w:r>
      <w:r>
        <w:t xml:space="preserve"> </w:t>
      </w:r>
      <w:r>
        <w:rPr>
          <w:b/>
          <w:bCs/>
        </w:rPr>
        <w:t xml:space="preserve">majority</w:t>
      </w:r>
      <w:r>
        <w:t xml:space="preserve">”</w:t>
      </w:r>
      <w:r>
        <w:t xml:space="preserve"> </w:t>
      </w:r>
      <w:r>
        <w:t xml:space="preserve">of the voting power of the surviving entity.</w:t>
      </w:r>
    </w:p>
    <w:p>
      <w:pPr>
        <w:pStyle w:val="FirstParagraph"/>
      </w:pPr>
      <w:r>
        <w:t xml:space="preserve">“</w:t>
      </w:r>
      <w:r>
        <w:t xml:space="preserve">At least 50%</w:t>
      </w:r>
      <w:r>
        <w:t xml:space="preserve">”</w:t>
      </w:r>
      <w:r>
        <w:t xml:space="preserve"> </w:t>
      </w:r>
      <w:r>
        <w:t xml:space="preserve">(≥50%) and</w:t>
      </w:r>
      <w:r>
        <w:t xml:space="preserve"> </w:t>
      </w:r>
      <w:r>
        <w:t xml:space="preserve">“</w:t>
      </w:r>
      <w:r>
        <w:t xml:space="preserve">majority</w:t>
      </w:r>
      <w:r>
        <w:t xml:space="preserve">”</w:t>
      </w:r>
      <w:r>
        <w:t xml:space="preserve"> </w:t>
      </w:r>
      <w:r>
        <w:t xml:space="preserve">(&gt;50%) differ at the boundary: if the stockholders retained exactly 50% of the voting power, the transaction would</w:t>
      </w:r>
      <w:r>
        <w:t xml:space="preserve"> </w:t>
      </w:r>
      <w:r>
        <w:rPr>
          <w:b/>
          <w:bCs/>
        </w:rPr>
        <w:t xml:space="preserve">not</w:t>
      </w:r>
      <w:r>
        <w:t xml:space="preserve"> </w:t>
      </w:r>
      <w:r>
        <w:t xml:space="preserve">be a Liquidation Event under the Charter (50% ≥ 50%) but</w:t>
      </w:r>
      <w:r>
        <w:t xml:space="preserve"> </w:t>
      </w:r>
      <w:r>
        <w:rPr>
          <w:b/>
          <w:bCs/>
        </w:rPr>
        <w:t xml:space="preserve">would</w:t>
      </w:r>
      <w:r>
        <w:t xml:space="preserve"> </w:t>
      </w:r>
      <w:r>
        <w:t xml:space="preserve">be a Sale of the Company under the Stockholders’ Agreement and Voting Agreement (50% is not a majority, so the stockholders do not</w:t>
      </w:r>
      <w:r>
        <w:t xml:space="preserve"> </w:t>
      </w:r>
      <w:r>
        <w:t xml:space="preserve">“</w:t>
      </w:r>
      <w:r>
        <w:t xml:space="preserve">retain a majority</w:t>
      </w:r>
      <w:r>
        <w:t xml:space="preserve">”</w:t>
      </w:r>
      <w:r>
        <w:t xml:space="preserve">). For the Hargrove Transaction (stockholders retain 0%), both definitions are triggered, so there is no practical effect here. The inconsistency is nonetheless a drafting defect that could produce divergent outcomes in other transactions (e.g., a minority investment or a partial roll-over structure).</w:t>
      </w:r>
      <w:r>
        <w:t xml:space="preserve"> </w:t>
      </w:r>
      <w:r>
        <w:rPr>
          <w:b/>
          <w:bCs/>
        </w:rPr>
        <w:t xml:space="preserve">Severity: Moderate.</w:t>
      </w:r>
    </w:p>
    <w:bookmarkEnd w:id="54"/>
    <w:bookmarkStart w:id="55" w:name="Xe8a79b10401737366f6573b5189079f90ddec93"/>
    <w:p>
      <w:pPr>
        <w:pStyle w:val="Heading3"/>
      </w:pPr>
      <w:r>
        <w:t xml:space="preserve">C. Equity Financing Carve-Out Present in Charter, Absent Elsewhere</w:t>
      </w:r>
    </w:p>
    <w:p>
      <w:pPr>
        <w:pStyle w:val="Compact"/>
        <w:numPr>
          <w:ilvl w:val="0"/>
          <w:numId w:val="1010"/>
        </w:numPr>
      </w:pPr>
      <w:r>
        <w:rPr>
          <w:b/>
          <w:bCs/>
        </w:rPr>
        <w:t xml:space="preserve">Charter § 4.3.2(d)(iii):</w:t>
      </w:r>
      <w:r>
        <w:t xml:space="preserve"> </w:t>
      </w:r>
      <w:r>
        <w:t xml:space="preserve">excludes from the Liquidation Event definition</w:t>
      </w:r>
      <w:r>
        <w:t xml:space="preserve"> </w:t>
      </w:r>
      <w:r>
        <w:t xml:space="preserve">“</w:t>
      </w:r>
      <w:r>
        <w:t xml:space="preserve">an equity financing transaction primarily for capital-raising purposes.</w:t>
      </w:r>
      <w:r>
        <w:t xml:space="preserve">”</w:t>
      </w:r>
    </w:p>
    <w:p>
      <w:pPr>
        <w:pStyle w:val="Compact"/>
        <w:numPr>
          <w:ilvl w:val="0"/>
          <w:numId w:val="1010"/>
        </w:numPr>
      </w:pPr>
      <w:r>
        <w:rPr>
          <w:b/>
          <w:bCs/>
        </w:rPr>
        <w:t xml:space="preserve">Stockholders’ Agreement § 1.1 / Voting Agreement § 1:</w:t>
      </w:r>
      <w:r>
        <w:t xml:space="preserve"> </w:t>
      </w:r>
      <w:r>
        <w:t xml:space="preserve">contain no equivalent equity-financing carve-out in their Sale of the Company definitions.</w:t>
      </w:r>
    </w:p>
    <w:p>
      <w:pPr>
        <w:pStyle w:val="FirstParagraph"/>
      </w:pPr>
      <w:r>
        <w:t xml:space="preserve">Accordingly, an equity financing that results in the transfer of more than 50% of the voting power would be a Sale of the Company (triggering drag-along, termination, etc.) under the Stockholders’ Agreement and Voting Agreement but would</w:t>
      </w:r>
      <w:r>
        <w:t xml:space="preserve"> </w:t>
      </w:r>
      <w:r>
        <w:rPr>
          <w:b/>
          <w:bCs/>
        </w:rPr>
        <w:t xml:space="preserve">not</w:t>
      </w:r>
      <w:r>
        <w:t xml:space="preserve"> </w:t>
      </w:r>
      <w:r>
        <w:t xml:space="preserve">be a Liquidation Event under the Charter (and thus would not trigger the liquidation preference or the protective provisions). This divergence is not implicated by the Hargrove Transaction (which is not an equity financing) but is a latent inconsistency.</w:t>
      </w:r>
      <w:r>
        <w:t xml:space="preserve"> </w:t>
      </w:r>
      <w:r>
        <w:rPr>
          <w:b/>
          <w:bCs/>
        </w:rPr>
        <w:t xml:space="preserve">Severity: Moderate.</w:t>
      </w:r>
    </w:p>
    <w:bookmarkEnd w:id="55"/>
    <w:bookmarkStart w:id="56" w:name="d.-ipo-definition-inconsistencies"/>
    <w:p>
      <w:pPr>
        <w:pStyle w:val="Heading3"/>
      </w:pPr>
      <w:r>
        <w:t xml:space="preserve">D. IPO Definition Inconsistencies</w:t>
      </w:r>
    </w:p>
    <w:p>
      <w:pPr>
        <w:pStyle w:val="Compact"/>
        <w:numPr>
          <w:ilvl w:val="0"/>
          <w:numId w:val="1011"/>
        </w:numPr>
      </w:pPr>
      <w:r>
        <w:rPr>
          <w:b/>
          <w:bCs/>
        </w:rPr>
        <w:t xml:space="preserve">Charter § 4.3.3(b)(i):</w:t>
      </w:r>
      <w:r>
        <w:t xml:space="preserve"> </w:t>
      </w:r>
      <w:r>
        <w:t xml:space="preserve">mandatory conversion upon an IPO with aggregate gross proceeds of at least $75,000,000</w:t>
      </w:r>
      <w:r>
        <w:t xml:space="preserve"> </w:t>
      </w:r>
      <w:r>
        <w:rPr>
          <w:b/>
          <w:bCs/>
        </w:rPr>
        <w:t xml:space="preserve">and a price per share of at least $55.50</w:t>
      </w:r>
      <w:r>
        <w:t xml:space="preserve"> </w:t>
      </w:r>
      <w:r>
        <w:t xml:space="preserve">(3x the Series C Original Issue Price).</w:t>
      </w:r>
    </w:p>
    <w:p>
      <w:pPr>
        <w:pStyle w:val="Compact"/>
        <w:numPr>
          <w:ilvl w:val="0"/>
          <w:numId w:val="1011"/>
        </w:numPr>
      </w:pPr>
      <w:r>
        <w:rPr>
          <w:b/>
          <w:bCs/>
        </w:rPr>
        <w:t xml:space="preserve">Stockholders’ Agreement § 6.1(a):</w:t>
      </w:r>
      <w:r>
        <w:t xml:space="preserve"> </w:t>
      </w:r>
      <w:r>
        <w:t xml:space="preserve">termination upon an IPO with gross proceeds of at least $75,000,000 (no per-share price threshold).</w:t>
      </w:r>
    </w:p>
    <w:p>
      <w:pPr>
        <w:pStyle w:val="Compact"/>
        <w:numPr>
          <w:ilvl w:val="0"/>
          <w:numId w:val="1011"/>
        </w:numPr>
      </w:pPr>
      <w:r>
        <w:rPr>
          <w:b/>
          <w:bCs/>
        </w:rPr>
        <w:t xml:space="preserve">Voting Agreement § 7.1(a):</w:t>
      </w:r>
      <w:r>
        <w:t xml:space="preserve"> </w:t>
      </w:r>
      <w:r>
        <w:t xml:space="preserve">termination upon an IPO with gross proceeds of at least $75,000,000 (no per-share price threshold).</w:t>
      </w:r>
    </w:p>
    <w:p>
      <w:pPr>
        <w:pStyle w:val="Compact"/>
        <w:numPr>
          <w:ilvl w:val="0"/>
          <w:numId w:val="1011"/>
        </w:numPr>
      </w:pPr>
      <w:r>
        <w:rPr>
          <w:b/>
          <w:bCs/>
        </w:rPr>
        <w:t xml:space="preserve">RRA § 1:</w:t>
      </w:r>
      <w:r>
        <w:t xml:space="preserve"> </w:t>
      </w:r>
      <w:r>
        <w:t xml:space="preserve">“</w:t>
      </w:r>
      <w:r>
        <w:t xml:space="preserve">IPO</w:t>
      </w:r>
      <w:r>
        <w:t xml:space="preserve">”</w:t>
      </w:r>
      <w:r>
        <w:t xml:space="preserve"> </w:t>
      </w:r>
      <w:r>
        <w:t xml:space="preserve">means the Company’s first underwritten public offering of Common Stock (no proceeds threshold).</w:t>
      </w:r>
    </w:p>
    <w:p>
      <w:pPr>
        <w:pStyle w:val="FirstParagraph"/>
      </w:pPr>
      <w:r>
        <w:t xml:space="preserve">The Charter’s per-share price threshold ($55.50) is unique to the Charter and affects only the timing of mandatory conversion of Preferred Stock. The divergence is not implicated by the Transaction but is a latent inconsistency affecting when the various agreements would terminate in an IPO scenario.</w:t>
      </w:r>
      <w:r>
        <w:t xml:space="preserve"> </w:t>
      </w:r>
      <w:r>
        <w:rPr>
          <w:b/>
          <w:bCs/>
        </w:rPr>
        <w:t xml:space="preserve">Severity: Moderate.</w:t>
      </w:r>
    </w:p>
    <w:bookmarkEnd w:id="56"/>
    <w:bookmarkStart w:id="57" w:name="e.-other-minor-inconsistencies"/>
    <w:p>
      <w:pPr>
        <w:pStyle w:val="Heading3"/>
      </w:pPr>
      <w:r>
        <w:t xml:space="preserve">E. Other Minor Inconsistencies</w:t>
      </w:r>
    </w:p>
    <w:p>
      <w:pPr>
        <w:pStyle w:val="Compact"/>
        <w:numPr>
          <w:ilvl w:val="0"/>
          <w:numId w:val="1012"/>
        </w:numPr>
      </w:pPr>
      <w:r>
        <w:t xml:space="preserve">The Charter’s Liquidation Event asset-disposition prong (Section 4.3.2(d)(ii)) uses</w:t>
      </w:r>
      <w:r>
        <w:t xml:space="preserve"> </w:t>
      </w:r>
      <w:r>
        <w:t xml:space="preserve">“</w:t>
      </w:r>
      <w:r>
        <w:t xml:space="preserve">sale, lease, transfer, exclusive license, or other disposition,</w:t>
      </w:r>
      <w:r>
        <w:t xml:space="preserve">”</w:t>
      </w:r>
      <w:r>
        <w:t xml:space="preserve"> </w:t>
      </w:r>
      <w:r>
        <w:t xml:space="preserve">while the Stockholders’ Agreement and Voting Agreement use</w:t>
      </w:r>
      <w:r>
        <w:t xml:space="preserve"> </w:t>
      </w:r>
      <w:r>
        <w:t xml:space="preserve">“</w:t>
      </w:r>
      <w:r>
        <w:t xml:space="preserve">sale, lease, exclusive license, or other disposition</w:t>
      </w:r>
      <w:r>
        <w:t xml:space="preserve">”</w:t>
      </w:r>
      <w:r>
        <w:t xml:space="preserve"> </w:t>
      </w:r>
      <w:r>
        <w:t xml:space="preserve">(omitting</w:t>
      </w:r>
      <w:r>
        <w:t xml:space="preserve"> </w:t>
      </w:r>
      <w:r>
        <w:t xml:space="preserve">“</w:t>
      </w:r>
      <w:r>
        <w:t xml:space="preserve">transfer</w:t>
      </w:r>
      <w:r>
        <w:t xml:space="preserve">”</w:t>
      </w:r>
      <w:r>
        <w:t xml:space="preserve">). Substantively similar; minor drafting variance.</w:t>
      </w:r>
    </w:p>
    <w:p>
      <w:pPr>
        <w:pStyle w:val="Compact"/>
        <w:numPr>
          <w:ilvl w:val="0"/>
          <w:numId w:val="1012"/>
        </w:numPr>
      </w:pPr>
      <w:r>
        <w:t xml:space="preserve">The Charter uses</w:t>
      </w:r>
      <w:r>
        <w:t xml:space="preserve"> </w:t>
      </w:r>
      <w:r>
        <w:t xml:space="preserve">“</w:t>
      </w:r>
      <w:r>
        <w:t xml:space="preserve">merger, consolidation, or other business combination</w:t>
      </w:r>
      <w:r>
        <w:t xml:space="preserve">”</w:t>
      </w:r>
      <w:r>
        <w:t xml:space="preserve"> </w:t>
      </w:r>
      <w:r>
        <w:t xml:space="preserve">(Section 4.3.2(d)(i)); the Stockholders’ Agreement and Voting Agreement use</w:t>
      </w:r>
      <w:r>
        <w:t xml:space="preserve"> </w:t>
      </w:r>
      <w:r>
        <w:t xml:space="preserve">“</w:t>
      </w:r>
      <w:r>
        <w:t xml:space="preserve">merger, consolidation, or reorganization.</w:t>
      </w:r>
      <w:r>
        <w:t xml:space="preserve">”</w:t>
      </w:r>
      <w:r>
        <w:t xml:space="preserve"> </w:t>
      </w:r>
      <w:r>
        <w:t xml:space="preserve">Substantively similar; minor drafting variance.</w:t>
      </w:r>
    </w:p>
    <w:p>
      <w:pPr>
        <w:pStyle w:val="Compact"/>
        <w:numPr>
          <w:ilvl w:val="0"/>
          <w:numId w:val="1012"/>
        </w:numPr>
      </w:pPr>
      <w:r>
        <w:t xml:space="preserve">“</w:t>
      </w:r>
      <w:r>
        <w:t xml:space="preserve">Affiliate</w:t>
      </w:r>
      <w:r>
        <w:t xml:space="preserve">”</w:t>
      </w:r>
      <w:r>
        <w:t xml:space="preserve"> </w:t>
      </w:r>
      <w:r>
        <w:t xml:space="preserve">is defined only in the Stockholders’ Agreement (Section 1.1); the Voting Agreement and RRA use the concept without defining it.</w:t>
      </w:r>
    </w:p>
    <w:bookmarkEnd w:id="57"/>
    <w:bookmarkStart w:id="58" w:name="f.-document-completeness-question"/>
    <w:p>
      <w:pPr>
        <w:pStyle w:val="Heading3"/>
      </w:pPr>
      <w:r>
        <w:t xml:space="preserve">F. Document Completeness Question</w:t>
      </w:r>
    </w:p>
    <w:p>
      <w:pPr>
        <w:pStyle w:val="FirstParagraph"/>
      </w:pPr>
      <w:r>
        <w:t xml:space="preserve">The preamble to the Board Minutes refers to</w:t>
      </w:r>
      <w:r>
        <w:t xml:space="preserve"> </w:t>
      </w:r>
      <w:r>
        <w:t xml:space="preserve">“</w:t>
      </w:r>
      <w:r>
        <w:t xml:space="preserve">the Investors’ Rights Agreement, the Voting Agreement, the Right of First Refusal and Co-Sale Agreement, and the Stockholders’ Agreement (collectively, the</w:t>
      </w:r>
      <w:r>
        <w:t xml:space="preserve"> </w:t>
      </w:r>
      <w:r>
        <w:t xml:space="preserve">‘</w:t>
      </w:r>
      <w:r>
        <w:t xml:space="preserve">Governance Agreements</w:t>
      </w:r>
      <w:r>
        <w:t xml:space="preserve">’</w:t>
      </w:r>
      <w:r>
        <w:t xml:space="preserve">)</w:t>
      </w:r>
      <w:r>
        <w:t xml:space="preserve">”</w:t>
      </w:r>
      <w:r>
        <w:t xml:space="preserve"> </w:t>
      </w:r>
      <w:r>
        <w:t xml:space="preserve">— listing</w:t>
      </w:r>
      <w:r>
        <w:t xml:space="preserve"> </w:t>
      </w:r>
      <w:r>
        <w:rPr>
          <w:b/>
          <w:bCs/>
        </w:rPr>
        <w:t xml:space="preserve">four</w:t>
      </w:r>
      <w:r>
        <w:t xml:space="preserve"> </w:t>
      </w:r>
      <w:r>
        <w:t xml:space="preserve">agreements. We have received</w:t>
      </w:r>
      <w:r>
        <w:t xml:space="preserve"> </w:t>
      </w:r>
      <w:r>
        <w:rPr>
          <w:b/>
          <w:bCs/>
        </w:rPr>
        <w:t xml:space="preserve">three</w:t>
      </w:r>
      <w:r>
        <w:t xml:space="preserve"> </w:t>
      </w:r>
      <w:r>
        <w:t xml:space="preserve">(the Stockholders’ Agreement, the Voting Agreement, and the RRA). It appears that the Stockholders’ Agreement combines the ROFR/co-sale and information-rights functions (Articles 2 and 4) and the RRA provides registration rights, such that the</w:t>
      </w:r>
      <w:r>
        <w:t xml:space="preserve"> </w:t>
      </w:r>
      <w:r>
        <w:t xml:space="preserve">“</w:t>
      </w:r>
      <w:r>
        <w:t xml:space="preserve">Investors’ Rights Agreement</w:t>
      </w:r>
      <w:r>
        <w:t xml:space="preserve">”</w:t>
      </w:r>
      <w:r>
        <w:t xml:space="preserve"> </w:t>
      </w:r>
      <w:r>
        <w:t xml:space="preserve">and</w:t>
      </w:r>
      <w:r>
        <w:t xml:space="preserve"> </w:t>
      </w:r>
      <w:r>
        <w:t xml:space="preserve">“</w:t>
      </w:r>
      <w:r>
        <w:t xml:space="preserve">Right of First Refusal and Co-Sale Agreement</w:t>
      </w:r>
      <w:r>
        <w:t xml:space="preserve">”</w:t>
      </w:r>
      <w:r>
        <w:t xml:space="preserve"> </w:t>
      </w:r>
      <w:r>
        <w:t xml:space="preserve">referenced in the minutes may be informal names for the documents we have. We should confirm with Company counsel that we have received all operative governance agreements and that no separate Investors’ Rights Agreement or ROFR/Co-Sale Agreement exists.</w:t>
      </w:r>
      <w:r>
        <w:t xml:space="preserve"> </w:t>
      </w:r>
      <w:r>
        <w:rPr>
          <w:b/>
          <w:bCs/>
        </w:rPr>
        <w:t xml:space="preserve">Severity: Moderate (document completeness).</w:t>
      </w:r>
    </w:p>
    <w:p>
      <w:r>
        <w:pict>
          <v:rect style="width:0;height:1.5pt" o:hralign="center" o:hrstd="t" o:hr="t"/>
        </w:pict>
      </w:r>
    </w:p>
    <w:bookmarkEnd w:id="58"/>
    <w:bookmarkEnd w:id="59"/>
    <w:bookmarkStart w:id="65" w:name="X878afb753682845ab3a0f0812c7dee481e37bd1"/>
    <w:p>
      <w:pPr>
        <w:pStyle w:val="Heading2"/>
      </w:pPr>
      <w:r>
        <w:t xml:space="preserve">IX. AREA 7 — OUTSTANDING EQUITY AWARDS AND CHANGE-OF-CONTROL ACCELERATION</w:t>
      </w:r>
    </w:p>
    <w:bookmarkStart w:id="60" w:name="a.-document-gap-critical"/>
    <w:p>
      <w:pPr>
        <w:pStyle w:val="Heading3"/>
      </w:pPr>
      <w:r>
        <w:t xml:space="preserve">A. Document Gap — Critical</w:t>
      </w:r>
    </w:p>
    <w:p>
      <w:pPr>
        <w:pStyle w:val="FirstParagraph"/>
      </w:pPr>
      <w:r>
        <w:t xml:space="preserve">We have</w:t>
      </w:r>
      <w:r>
        <w:t xml:space="preserve"> </w:t>
      </w:r>
      <w:r>
        <w:rPr>
          <w:b/>
          <w:bCs/>
        </w:rPr>
        <w:t xml:space="preserve">not</w:t>
      </w:r>
      <w:r>
        <w:t xml:space="preserve"> </w:t>
      </w:r>
      <w:r>
        <w:t xml:space="preserve">received the 2021 Equity Incentive Plan (the</w:t>
      </w:r>
      <w:r>
        <w:t xml:space="preserve"> </w:t>
      </w:r>
      <w:r>
        <w:t xml:space="preserve">“</w:t>
      </w:r>
      <w:r>
        <w:t xml:space="preserve">Plan</w:t>
      </w:r>
      <w:r>
        <w:t xml:space="preserve">”</w:t>
      </w:r>
      <w:r>
        <w:t xml:space="preserve">) or any individual award agreements (option agreements, RSU agreements). Without these documents, we cannot determine (i) whether the merger constitutes a</w:t>
      </w:r>
      <w:r>
        <w:t xml:space="preserve"> </w:t>
      </w:r>
      <w:r>
        <w:t xml:space="preserve">“</w:t>
      </w:r>
      <w:r>
        <w:t xml:space="preserve">change of control</w:t>
      </w:r>
      <w:r>
        <w:t xml:space="preserve">”</w:t>
      </w:r>
      <w:r>
        <w:t xml:space="preserve"> </w:t>
      </w:r>
      <w:r>
        <w:t xml:space="preserve">under the Plan, (ii) whether unvested awards accelerate on a single-trigger or double-trigger basis, (iii) whether awards are assumed, cashed out, or cancelled in the merger, or (iv) the aggregate dollar impact of any acceleration. The Plan and all award agreements must be requested immediately.</w:t>
      </w:r>
      <w:r>
        <w:t xml:space="preserve"> </w:t>
      </w:r>
      <w:r>
        <w:rPr>
          <w:b/>
          <w:bCs/>
        </w:rPr>
        <w:t xml:space="preserve">Severity: Critical (document gap).</w:t>
      </w:r>
    </w:p>
    <w:bookmarkEnd w:id="60"/>
    <w:bookmarkStart w:id="61" w:name="Xd8a27f8e62c3668df04948c9c6f568367743686"/>
    <w:p>
      <w:pPr>
        <w:pStyle w:val="Heading3"/>
      </w:pPr>
      <w:r>
        <w:t xml:space="preserve">B. Awards Identified in the Board Minutes</w:t>
      </w:r>
    </w:p>
    <w:p>
      <w:pPr>
        <w:pStyle w:val="Compact"/>
        <w:numPr>
          <w:ilvl w:val="0"/>
          <w:numId w:val="1013"/>
        </w:numPr>
      </w:pPr>
      <w:r>
        <w:rPr>
          <w:b/>
          <w:bCs/>
        </w:rPr>
        <w:t xml:space="preserve">Raj Malhotra (VP of Engineering):</w:t>
      </w:r>
      <w:r>
        <w:t xml:space="preserve"> </w:t>
      </w:r>
      <w:r>
        <w:t xml:space="preserve">350,000 stock options, exercise price $14.30 per share, four-year vesting with a one-year cliff, granted April 12, 2023 under the Plan.</w:t>
      </w:r>
    </w:p>
    <w:p>
      <w:pPr>
        <w:pStyle w:val="Compact"/>
        <w:numPr>
          <w:ilvl w:val="0"/>
          <w:numId w:val="1013"/>
        </w:numPr>
      </w:pPr>
      <w:r>
        <w:rPr>
          <w:b/>
          <w:bCs/>
        </w:rPr>
        <w:t xml:space="preserve">Linda Yeung (CFO):</w:t>
      </w:r>
      <w:r>
        <w:t xml:space="preserve"> </w:t>
      </w:r>
      <w:r>
        <w:t xml:space="preserve">200,000 RSUs, three-year vesting (one-third per year), granted April 17, 2024 under the Plan (as amended).</w:t>
      </w:r>
    </w:p>
    <w:p>
      <w:pPr>
        <w:pStyle w:val="Compact"/>
        <w:numPr>
          <w:ilvl w:val="0"/>
          <w:numId w:val="1013"/>
        </w:numPr>
      </w:pPr>
      <w:r>
        <w:t xml:space="preserve">Additional awards are presumably outstanding to other employees, directors, and consultants under the Plan; the</w:t>
      </w:r>
      <w:r>
        <w:t xml:space="preserve"> </w:t>
      </w:r>
      <w:r>
        <w:t xml:space="preserve">“</w:t>
      </w:r>
      <w:r>
        <w:t xml:space="preserve">Various Common Holders / Option Pool</w:t>
      </w:r>
      <w:r>
        <w:t xml:space="preserve">”</w:t>
      </w:r>
      <w:r>
        <w:t xml:space="preserve"> </w:t>
      </w:r>
      <w:r>
        <w:t xml:space="preserve">line (10,100,000 shares) in the capitalization table includes a mix of issued Common Stock, outstanding options, and RSUs, the precise composition of which is unknown.</w:t>
      </w:r>
    </w:p>
    <w:bookmarkEnd w:id="61"/>
    <w:bookmarkStart w:id="62" w:name="X7c5ad31cb9562a9de867077340881d4362ed72e"/>
    <w:p>
      <w:pPr>
        <w:pStyle w:val="Heading3"/>
      </w:pPr>
      <w:r>
        <w:t xml:space="preserve">C. Preliminary Waterfall and Per-Share Consideration Analysis</w:t>
      </w:r>
    </w:p>
    <w:p>
      <w:pPr>
        <w:pStyle w:val="FirstParagraph"/>
      </w:pPr>
      <w:r>
        <w:t xml:space="preserve">Based on the figures in the September 25, 2024 Board minutes, we performed a preliminary liquidation waterfall analysis at the $473 million equity value: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Shares</w:t>
            </w:r>
          </w:p>
        </w:tc>
        <w:tc>
          <w:tcPr/>
          <w:p>
            <w:pPr>
              <w:pStyle w:val="Compact"/>
              <w:jc w:val="left"/>
            </w:pPr>
            <w:r>
              <w:t xml:space="preserve">Liquidation Preference (aggregate)</w:t>
            </w:r>
          </w:p>
        </w:tc>
        <w:tc>
          <w:tcPr/>
          <w:p>
            <w:pPr>
              <w:pStyle w:val="Compact"/>
              <w:jc w:val="left"/>
            </w:pPr>
            <w:r>
              <w:t xml:space="preserve">Outcome</w:t>
            </w:r>
          </w:p>
        </w:tc>
        <w:tc>
          <w:tcPr/>
          <w:p>
            <w:pPr>
              <w:pStyle w:val="Compact"/>
              <w:jc w:val="left"/>
            </w:pPr>
            <w:r>
              <w:t xml:space="preserve">Per-Share Proceeds</w:t>
            </w:r>
          </w:p>
        </w:tc>
        <w:tc>
          <w:tcPr/>
          <w:p>
            <w:pPr>
              <w:pStyle w:val="Compact"/>
              <w:jc w:val="left"/>
            </w:pPr>
            <w:r>
              <w:t xml:space="preserve">Aggregate Proceeds</w:t>
            </w:r>
          </w:p>
        </w:tc>
      </w:tr>
      <w:tr>
        <w:tc>
          <w:tcPr/>
          <w:p>
            <w:pPr>
              <w:pStyle w:val="Compact"/>
              <w:jc w:val="left"/>
            </w:pPr>
            <w:r>
              <w:t xml:space="preserve">Series C (Stonemill)</w:t>
            </w:r>
          </w:p>
        </w:tc>
        <w:tc>
          <w:tcPr/>
          <w:p>
            <w:pPr>
              <w:pStyle w:val="Compact"/>
              <w:jc w:val="left"/>
            </w:pPr>
            <w:r>
              <w:t xml:space="preserve">7,800,000</w:t>
            </w:r>
          </w:p>
        </w:tc>
        <w:tc>
          <w:tcPr/>
          <w:p>
            <w:pPr>
              <w:pStyle w:val="Compact"/>
              <w:jc w:val="left"/>
            </w:pPr>
            <w:r>
              <w:t xml:space="preserve">$144,300,000 ($18.50/sh)</w:t>
            </w:r>
          </w:p>
        </w:tc>
        <w:tc>
          <w:tcPr/>
          <w:p>
            <w:pPr>
              <w:pStyle w:val="Compact"/>
              <w:jc w:val="left"/>
            </w:pPr>
            <w:r>
              <w:t xml:space="preserve">Takes preference (preference &gt; as-converted value)</w:t>
            </w:r>
          </w:p>
        </w:tc>
        <w:tc>
          <w:tcPr/>
          <w:p>
            <w:pPr>
              <w:pStyle w:val="Compact"/>
              <w:jc w:val="left"/>
            </w:pPr>
            <w:r>
              <w:t xml:space="preserve">$18.50</w:t>
            </w:r>
          </w:p>
        </w:tc>
        <w:tc>
          <w:tcPr/>
          <w:p>
            <w:pPr>
              <w:pStyle w:val="Compact"/>
              <w:jc w:val="left"/>
            </w:pPr>
            <w:r>
              <w:t xml:space="preserve">$144,300,000</w:t>
            </w:r>
          </w:p>
        </w:tc>
      </w:tr>
      <w:tr>
        <w:tc>
          <w:tcPr/>
          <w:p>
            <w:pPr>
              <w:pStyle w:val="Compact"/>
              <w:jc w:val="left"/>
            </w:pPr>
            <w:r>
              <w:t xml:space="preserve">Series B (Northbridge)</w:t>
            </w:r>
          </w:p>
        </w:tc>
        <w:tc>
          <w:tcPr/>
          <w:p>
            <w:pPr>
              <w:pStyle w:val="Compact"/>
              <w:jc w:val="left"/>
            </w:pPr>
            <w:r>
              <w:t xml:space="preserve">5,200,000</w:t>
            </w:r>
          </w:p>
        </w:tc>
        <w:tc>
          <w:tcPr/>
          <w:p>
            <w:pPr>
              <w:pStyle w:val="Compact"/>
              <w:jc w:val="left"/>
            </w:pPr>
            <w:r>
              <w:t xml:space="preserve">$48,100,000 ($9.25/sh)</w:t>
            </w:r>
          </w:p>
        </w:tc>
        <w:tc>
          <w:tcPr/>
          <w:p>
            <w:pPr>
              <w:pStyle w:val="Compact"/>
              <w:jc w:val="left"/>
            </w:pPr>
            <w:r>
              <w:t xml:space="preserve">Converts (as-converted &gt; preference)</w:t>
            </w:r>
          </w:p>
        </w:tc>
        <w:tc>
          <w:tcPr/>
          <w:p>
            <w:pPr>
              <w:pStyle w:val="Compact"/>
              <w:jc w:val="left"/>
            </w:pPr>
            <w:r>
              <w:t xml:space="preserve">~$12.59</w:t>
            </w:r>
          </w:p>
        </w:tc>
        <w:tc>
          <w:tcPr/>
          <w:p>
            <w:pPr>
              <w:pStyle w:val="Compact"/>
              <w:jc w:val="left"/>
            </w:pPr>
            <w:r>
              <w:t xml:space="preserve">~$65,500,000</w:t>
            </w:r>
          </w:p>
        </w:tc>
      </w:tr>
      <w:tr>
        <w:tc>
          <w:tcPr/>
          <w:p>
            <w:pPr>
              <w:pStyle w:val="Compact"/>
              <w:jc w:val="left"/>
            </w:pPr>
            <w:r>
              <w:t xml:space="preserve">Series A (Ridgeline)</w:t>
            </w:r>
          </w:p>
        </w:tc>
        <w:tc>
          <w:tcPr/>
          <w:p>
            <w:pPr>
              <w:pStyle w:val="Compact"/>
              <w:jc w:val="left"/>
            </w:pPr>
            <w:r>
              <w:t xml:space="preserve">3,500,000</w:t>
            </w:r>
          </w:p>
        </w:tc>
        <w:tc>
          <w:tcPr/>
          <w:p>
            <w:pPr>
              <w:pStyle w:val="Compact"/>
              <w:jc w:val="left"/>
            </w:pPr>
            <w:r>
              <w:t xml:space="preserve">$14,000,000 ($4.00/sh)</w:t>
            </w:r>
          </w:p>
        </w:tc>
        <w:tc>
          <w:tcPr/>
          <w:p>
            <w:pPr>
              <w:pStyle w:val="Compact"/>
              <w:jc w:val="left"/>
            </w:pPr>
            <w:r>
              <w:t xml:space="preserve">Converts (as-converted &gt; preference)</w:t>
            </w:r>
          </w:p>
        </w:tc>
        <w:tc>
          <w:tcPr/>
          <w:p>
            <w:pPr>
              <w:pStyle w:val="Compact"/>
              <w:jc w:val="left"/>
            </w:pPr>
            <w:r>
              <w:t xml:space="preserve">~$12.59</w:t>
            </w:r>
          </w:p>
        </w:tc>
        <w:tc>
          <w:tcPr/>
          <w:p>
            <w:pPr>
              <w:pStyle w:val="Compact"/>
              <w:jc w:val="left"/>
            </w:pPr>
            <w:r>
              <w:t xml:space="preserve">~$44,100,000</w:t>
            </w:r>
          </w:p>
        </w:tc>
      </w:tr>
      <w:tr>
        <w:tc>
          <w:tcPr/>
          <w:p>
            <w:pPr>
              <w:pStyle w:val="Compact"/>
              <w:jc w:val="left"/>
            </w:pPr>
            <w:r>
              <w:t xml:space="preserve">Common (incl. options/RSUs)</w:t>
            </w:r>
          </w:p>
        </w:tc>
        <w:tc>
          <w:tcPr/>
          <w:p>
            <w:pPr>
              <w:pStyle w:val="Compact"/>
              <w:jc w:val="left"/>
            </w:pPr>
            <w:r>
              <w:t xml:space="preserve">17,400,000</w:t>
            </w:r>
          </w:p>
        </w:tc>
        <w:tc>
          <w:tcPr/>
          <w:p>
            <w:pPr>
              <w:pStyle w:val="Compact"/>
              <w:jc w:val="left"/>
            </w:pPr>
            <w:r>
              <w:t xml:space="preserve">—</w:t>
            </w:r>
          </w:p>
        </w:tc>
        <w:tc>
          <w:tcPr/>
          <w:p>
            <w:pPr>
              <w:pStyle w:val="Compact"/>
              <w:jc w:val="left"/>
            </w:pPr>
            <w:r>
              <w:t xml:space="preserve">Residual</w:t>
            </w:r>
          </w:p>
        </w:tc>
        <w:tc>
          <w:tcPr/>
          <w:p>
            <w:pPr>
              <w:pStyle w:val="Compact"/>
              <w:jc w:val="left"/>
            </w:pPr>
            <w:r>
              <w:t xml:space="preserve">~$12.59</w:t>
            </w:r>
          </w:p>
        </w:tc>
        <w:tc>
          <w:tcPr/>
          <w:p>
            <w:pPr>
              <w:pStyle w:val="Compact"/>
              <w:jc w:val="left"/>
            </w:pPr>
            <w:r>
              <w:t xml:space="preserve">~$219,100,000</w:t>
            </w:r>
          </w:p>
        </w:tc>
      </w:tr>
    </w:tbl>
    <w:p>
      <w:pPr>
        <w:pStyle w:val="BodyText"/>
      </w:pPr>
      <w:r>
        <w:rPr>
          <w:i/>
          <w:iCs/>
        </w:rPr>
        <w:t xml:space="preserve">Methodology:</w:t>
      </w:r>
      <w:r>
        <w:t xml:space="preserve"> </w:t>
      </w:r>
      <w:r>
        <w:t xml:space="preserve">Series C takes its $18.50/share liquidation preference ($144.3 million) because converting would yield only approximately $13.95/share on a pro rata basis across all 33,900,000 fully diluted shares — less than the preference. The remaining approximately $328.7 million is shared pro rata among Series B, Series A, and Common (26,100,000 shares), yielding approximately $12.59/share. Series B and Series A each convert because $12.59/share exceeds their respective preferences ($9.25 and $4.00).</w:t>
      </w:r>
    </w:p>
    <w:p>
      <w:pPr>
        <w:pStyle w:val="BodyText"/>
      </w:pPr>
      <w:r>
        <w:rPr>
          <w:b/>
          <w:bCs/>
        </w:rPr>
        <w:t xml:space="preserve">This analysis reveals two important points:</w:t>
      </w:r>
    </w:p>
    <w:p>
      <w:pPr>
        <w:numPr>
          <w:ilvl w:val="0"/>
          <w:numId w:val="1014"/>
        </w:numPr>
      </w:pPr>
      <w:r>
        <w:rPr>
          <w:b/>
          <w:bCs/>
        </w:rPr>
        <w:t xml:space="preserve">The September 25, 2024 Board minutes’ characterization appears imprecise.</w:t>
      </w:r>
      <w:r>
        <w:t xml:space="preserve"> </w:t>
      </w:r>
      <w:r>
        <w:t xml:space="preserve">The minutes state that</w:t>
      </w:r>
      <w:r>
        <w:t xml:space="preserve"> </w:t>
      </w:r>
      <w:r>
        <w:t xml:space="preserve">“</w:t>
      </w:r>
      <w:r>
        <w:t xml:space="preserve">all holders of Preferred Stock would receive amounts in excess of their respective liquidation preferences on an as-converted basis, suggesting that participation on an as-converted basis would be economically favorable for all preferred holders.</w:t>
      </w:r>
      <w:r>
        <w:t xml:space="preserve">”</w:t>
      </w:r>
      <w:r>
        <w:t xml:space="preserve"> </w:t>
      </w:r>
      <w:r>
        <w:t xml:space="preserve">In fact, Series C does</w:t>
      </w:r>
      <w:r>
        <w:t xml:space="preserve"> </w:t>
      </w:r>
      <w:r>
        <w:rPr>
          <w:b/>
          <w:bCs/>
        </w:rPr>
        <w:t xml:space="preserve">not</w:t>
      </w:r>
      <w:r>
        <w:t xml:space="preserve"> </w:t>
      </w:r>
      <w:r>
        <w:t xml:space="preserve">receive an amount in excess of its liquidation preference — it receives exactly its preference ($18.50/share) and does</w:t>
      </w:r>
      <w:r>
        <w:t xml:space="preserve"> </w:t>
      </w:r>
      <w:r>
        <w:rPr>
          <w:b/>
          <w:bCs/>
        </w:rPr>
        <w:t xml:space="preserve">not</w:t>
      </w:r>
      <w:r>
        <w:t xml:space="preserve"> </w:t>
      </w:r>
      <w:r>
        <w:t xml:space="preserve">participate on an as-converted basis (because as-converted participation would yield less). Only Series B and Series A receive amounts in excess of their preferences. This imprecision in the Board’s characterization should be noted; it may reflect an oversimplification in the minutes or in Meridian’s preliminary analysis, and it is relevant to the fairness analysis (Section X, Area 9).</w:t>
      </w:r>
    </w:p>
    <w:p>
      <w:pPr>
        <w:numPr>
          <w:ilvl w:val="0"/>
          <w:numId w:val="1014"/>
        </w:numPr>
      </w:pPr>
      <w:r>
        <w:rPr>
          <w:b/>
          <w:bCs/>
        </w:rPr>
        <w:t xml:space="preserve">Stonemill’s economic position explains its resistance.</w:t>
      </w:r>
      <w:r>
        <w:t xml:space="preserve"> </w:t>
      </w:r>
      <w:r>
        <w:t xml:space="preserve">At $485 million enterprise value, Stonemill receives approximately $144.3 million — essentially a return of its Original Issue Price ($18.50 × 7,800,000), with no gain. Meanwhile, Northbridge, Ridgeline, and the Common holders capture the upside above the preferences. This is the economic root of Stonemill’s opposition: the Series C liquidation preference is so large relative to the equity value that Stonemill is, in effect, the</w:t>
      </w:r>
      <w:r>
        <w:t xml:space="preserve"> </w:t>
      </w:r>
      <w:r>
        <w:t xml:space="preserve">“</w:t>
      </w:r>
      <w:r>
        <w:t xml:space="preserve">last money in</w:t>
      </w:r>
      <w:r>
        <w:t xml:space="preserve">”</w:t>
      </w:r>
      <w:r>
        <w:t xml:space="preserve"> </w:t>
      </w:r>
      <w:r>
        <w:t xml:space="preserve">bearing the risk with no upside at this price. Stonemill’s likely objective — a higher allocation of consideration or a side arrangement — is economically rational from its perspective and should inform the negotiation strategy.</w:t>
      </w:r>
    </w:p>
    <w:bookmarkEnd w:id="62"/>
    <w:bookmarkStart w:id="63" w:name="d.-impact-on-equity-awards"/>
    <w:p>
      <w:pPr>
        <w:pStyle w:val="Heading3"/>
      </w:pPr>
      <w:r>
        <w:t xml:space="preserve">D. Impact on Equity Awards</w:t>
      </w:r>
    </w:p>
    <w:p>
      <w:pPr>
        <w:pStyle w:val="Compact"/>
        <w:numPr>
          <w:ilvl w:val="0"/>
          <w:numId w:val="1015"/>
        </w:numPr>
      </w:pPr>
      <w:r>
        <w:rPr>
          <w:b/>
          <w:bCs/>
        </w:rPr>
        <w:t xml:space="preserve">Malhotra options (350,000 @ $14.30):</w:t>
      </w:r>
      <w:r>
        <w:t xml:space="preserve"> </w:t>
      </w:r>
      <w:r>
        <w:t xml:space="preserve">The implied Common per-share consideration (~$12.59) is</w:t>
      </w:r>
      <w:r>
        <w:t xml:space="preserve"> </w:t>
      </w:r>
      <w:r>
        <w:rPr>
          <w:b/>
          <w:bCs/>
        </w:rPr>
        <w:t xml:space="preserve">below</w:t>
      </w:r>
      <w:r>
        <w:t xml:space="preserve"> </w:t>
      </w:r>
      <w:r>
        <w:t xml:space="preserve">the $14.30 exercise price, meaning these options are currently</w:t>
      </w:r>
      <w:r>
        <w:t xml:space="preserve"> </w:t>
      </w:r>
      <w:r>
        <w:rPr>
          <w:b/>
          <w:bCs/>
        </w:rPr>
        <w:t xml:space="preserve">underwater</w:t>
      </w:r>
      <w:r>
        <w:t xml:space="preserve">. If the options are cashed out at closing on a single-trigger basis, the net value would be zero (or the options would be cancelled for no consideration). However, this depends on the final per-share consideration (which depends on the final equity value and waterfall) and the Plan’s treatment of underwater options. If the deal value increases, the options could move into the money.</w:t>
      </w:r>
    </w:p>
    <w:p>
      <w:pPr>
        <w:pStyle w:val="Compact"/>
        <w:numPr>
          <w:ilvl w:val="0"/>
          <w:numId w:val="1015"/>
        </w:numPr>
      </w:pPr>
      <w:r>
        <w:rPr>
          <w:b/>
          <w:bCs/>
        </w:rPr>
        <w:t xml:space="preserve">Yeung RSUs (200,000):</w:t>
      </w:r>
      <w:r>
        <w:t xml:space="preserve"> </w:t>
      </w:r>
      <w:r>
        <w:t xml:space="preserve">RSUs have no exercise price. If single-trigger accelerated, 200,000 RSUs × ~$12.59/share ≈ $2.5 million. As of a Q1 2025 closing, only approximately one-third would be vested absent acceleration.</w:t>
      </w:r>
    </w:p>
    <w:p>
      <w:pPr>
        <w:pStyle w:val="Compact"/>
        <w:numPr>
          <w:ilvl w:val="0"/>
          <w:numId w:val="1015"/>
        </w:numPr>
      </w:pPr>
      <w:r>
        <w:rPr>
          <w:b/>
          <w:bCs/>
        </w:rPr>
        <w:t xml:space="preserve">Aggregate impact:</w:t>
      </w:r>
      <w:r>
        <w:t xml:space="preserve"> </w:t>
      </w:r>
      <w:r>
        <w:t xml:space="preserve">The aggregate acceleration cost appears modest based on the identified awards, but the full option pool (a portion of the 10,100,000 shares) is unquantified. The Plan and complete award schedule are required to assess the total impact.</w:t>
      </w:r>
    </w:p>
    <w:bookmarkEnd w:id="63"/>
    <w:bookmarkStart w:id="64" w:name="X3678129bc84463908263c1f436f4a1f2c9bfcc2"/>
    <w:p>
      <w:pPr>
        <w:pStyle w:val="Heading3"/>
      </w:pPr>
      <w:r>
        <w:t xml:space="preserve">E. Equity Plan Share Reserve Increase (July 2023) — Stockholder Approval Question</w:t>
      </w:r>
    </w:p>
    <w:p>
      <w:pPr>
        <w:pStyle w:val="FirstParagraph"/>
      </w:pPr>
      <w:r>
        <w:t xml:space="preserve">At the July 19, 2023 Board meeting, the Board approved an amendment to the Plan increasing the share reserve from 8,000,000 to 9,500,000 shares (a 1,500,000-share increase). The minutes reflect that outside counsel (Mr. Rourke)</w:t>
      </w:r>
      <w:r>
        <w:t xml:space="preserve"> </w:t>
      </w:r>
      <w:r>
        <w:t xml:space="preserve">“</w:t>
      </w:r>
      <w:r>
        <w:t xml:space="preserve">noted that the amendment required Board approval,</w:t>
      </w:r>
      <w:r>
        <w:t xml:space="preserve">”</w:t>
      </w:r>
      <w:r>
        <w:t xml:space="preserve"> </w:t>
      </w:r>
      <w:r>
        <w:t xml:space="preserve">and the Board approved the increase 7-0. The minutes do</w:t>
      </w:r>
      <w:r>
        <w:t xml:space="preserve"> </w:t>
      </w:r>
      <w:r>
        <w:rPr>
          <w:b/>
          <w:bCs/>
        </w:rPr>
        <w:t xml:space="preserve">not</w:t>
      </w:r>
      <w:r>
        <w:t xml:space="preserve"> </w:t>
      </w:r>
      <w:r>
        <w:t xml:space="preserve">reflect any stockholder approval.</w:t>
      </w:r>
    </w:p>
    <w:p>
      <w:pPr>
        <w:pStyle w:val="BodyText"/>
      </w:pPr>
      <w:r>
        <w:t xml:space="preserve">Whether stockholder approval was required depends on the Plan’s terms (which we have not received). Under Delaware law, increasing a plan’s share reserve does not increase the authorized capital stock (and thus does not trigger the Charter’s Section 4.3.6(a)(ii) protective provision, which concerns authorized shares). However, stockholder approval may be required (i) if the Plan so provides, (ii) to maintain incentive stock option (</w:t>
      </w:r>
      <w:r>
        <w:t xml:space="preserve">“</w:t>
      </w:r>
      <w:r>
        <w:t xml:space="preserve">ISO</w:t>
      </w:r>
      <w:r>
        <w:t xml:space="preserve">”</w:t>
      </w:r>
      <w:r>
        <w:t xml:space="preserve">) qualification under Section 422 of the Internal Revenue Code (if the Plan grants ISOs), or (iii) for other tax or securities-law reasons. As a private company, exchange-listing standards (e.g., the 20% rule) do not apply. We must review the Plan to determine whether stockholder approval was required and, if so, whether it was obtained.</w:t>
      </w:r>
      <w:r>
        <w:t xml:space="preserve"> </w:t>
      </w:r>
      <w:r>
        <w:rPr>
          <w:b/>
          <w:bCs/>
        </w:rPr>
        <w:t xml:space="preserve">Severity: Moderate (pending Plan review).</w:t>
      </w:r>
    </w:p>
    <w:p>
      <w:pPr>
        <w:pStyle w:val="BodyText"/>
      </w:pPr>
      <w:r>
        <w:t xml:space="preserve">The anti-dilution provisions of the Charter (Section 4.3.4(b)(i)) exempt shares issued</w:t>
      </w:r>
      <w:r>
        <w:t xml:space="preserve"> </w:t>
      </w:r>
      <w:r>
        <w:t xml:space="preserve">“</w:t>
      </w:r>
      <w:r>
        <w:t xml:space="preserve">pursuant to equity incentive plans or stock purchase plans approved by the Board of Directors, including at least one director elected by the holders of Preferred Stock.</w:t>
      </w:r>
      <w:r>
        <w:t xml:space="preserve">”</w:t>
      </w:r>
      <w:r>
        <w:t xml:space="preserve"> </w:t>
      </w:r>
      <w:r>
        <w:t xml:space="preserve">The Board includes Preferred-designated directors (Messrs. Kleinhans and Trask and Ms. Okafor), so grants under the Plan are exempt from anti-dilution adjustment. No anti-dilution issue is presented by the reserve increase or the grants.</w:t>
      </w:r>
    </w:p>
    <w:p>
      <w:r>
        <w:pict>
          <v:rect style="width:0;height:1.5pt" o:hralign="center" o:hrstd="t" o:hr="t"/>
        </w:pict>
      </w:r>
    </w:p>
    <w:bookmarkEnd w:id="64"/>
    <w:bookmarkEnd w:id="65"/>
    <w:bookmarkStart w:id="71" w:name="X58fac29804cc1cfbdb8bed52a70f6386472f7f0"/>
    <w:p>
      <w:pPr>
        <w:pStyle w:val="Heading2"/>
      </w:pPr>
      <w:r>
        <w:t xml:space="preserve">X. AREA 8 — AUTHORIZATION OF CORPORATE ACTIONS: BOARD MINUTES REVIEW</w:t>
      </w:r>
    </w:p>
    <w:p>
      <w:pPr>
        <w:pStyle w:val="FirstParagraph"/>
      </w:pPr>
      <w:r>
        <w:t xml:space="preserve">We reviewed all eight sets of Board minutes (January 18, 2023 through September 25, 2024). For each significant corporate action, we assessed whether proper Board approval was obtained and whether stockholder or Preferred Stockholder consent was required and, if so, whether it was obtained.</w:t>
      </w:r>
    </w:p>
    <w:bookmarkStart w:id="66" w:name="a.-meeting-by-meeting-summary"/>
    <w:p>
      <w:pPr>
        <w:pStyle w:val="Heading3"/>
      </w:pPr>
      <w:r>
        <w:t xml:space="preserve">A. Meeting-by-Meeting Summary</w:t>
      </w:r>
    </w:p>
    <w:p>
      <w:pPr>
        <w:pStyle w:val="FirstParagraph"/>
      </w:pPr>
      <w:r>
        <w:rPr>
          <w:b/>
          <w:bCs/>
        </w:rPr>
        <w:t xml:space="preserve">Meeting 1 — January 18, 2023 (7/7 present; quorum satisfied).</w:t>
      </w:r>
      <w:r>
        <w:t xml:space="preserve"> </w:t>
      </w:r>
      <w:r>
        <w:t xml:space="preserve">Approved the FY2023 operating budget; authorized the Permian Basin Energy Co. master services agreement (up to $15 million); and authorized the engagement of Meridian Partners LLC as financial advisor to explore strategic alternatives. All actions approved 7-0. No protective provision implicated. Properly authorized.</w:t>
      </w:r>
    </w:p>
    <w:p>
      <w:pPr>
        <w:pStyle w:val="BodyText"/>
      </w:pPr>
      <w:r>
        <w:rPr>
          <w:b/>
          <w:bCs/>
        </w:rPr>
        <w:t xml:space="preserve">Meeting 2 — April 12, 2023 (7/7 present; quorum satisfied).</w:t>
      </w:r>
      <w:r>
        <w:t xml:space="preserve"> </w:t>
      </w:r>
      <w:r>
        <w:t xml:space="preserve">Received Meridian’s strategic-alternatives presentation;</w:t>
      </w:r>
      <w:r>
        <w:t xml:space="preserve"> </w:t>
      </w:r>
      <w:r>
        <w:rPr>
          <w:b/>
          <w:bCs/>
        </w:rPr>
        <w:t xml:space="preserve">formed the Special Committee</w:t>
      </w:r>
      <w:r>
        <w:t xml:space="preserve"> </w:t>
      </w:r>
      <w:r>
        <w:t xml:space="preserve">(Lau, Garrett, Okafor); and approved the Malhotra option grant (350,000 @ $14.30). All approved 7-0. The Special Committee composition is analyzed in Section XI (Area 9). The option grant is exempt from anti-dilution under Charter Section 4.3.4(b)(i). Properly authorized at the Board level.</w:t>
      </w:r>
    </w:p>
    <w:p>
      <w:pPr>
        <w:pStyle w:val="BodyText"/>
      </w:pPr>
      <w:r>
        <w:rPr>
          <w:b/>
          <w:bCs/>
        </w:rPr>
        <w:t xml:space="preserve">Meeting 3 — July 19, 2023 (7/7 present; quorum satisfied).</w:t>
      </w:r>
      <w:r>
        <w:t xml:space="preserve"> </w:t>
      </w:r>
      <w:r>
        <w:t xml:space="preserve">Received Q2 2023 financials; authorized a 45-day exclusivity period with</w:t>
      </w:r>
      <w:r>
        <w:t xml:space="preserve"> </w:t>
      </w:r>
      <w:r>
        <w:t xml:space="preserve">“</w:t>
      </w:r>
      <w:r>
        <w:t xml:space="preserve">Beta</w:t>
      </w:r>
      <w:r>
        <w:t xml:space="preserve">”</w:t>
      </w:r>
      <w:r>
        <w:t xml:space="preserve"> </w:t>
      </w:r>
      <w:r>
        <w:t xml:space="preserve">(approved 6-1, Trask against); and approved the Plan share-reserve increase (8,000,000 → 9,500,000). The share-reserve increase is discussed in Section IX (Area 7). Trask’s dissent on the exclusivity (he advocated a broader auction) is relevant to the sale-process analysis (Section XI, Area 9).</w:t>
      </w:r>
    </w:p>
    <w:p>
      <w:pPr>
        <w:pStyle w:val="BodyText"/>
      </w:pPr>
      <w:r>
        <w:rPr>
          <w:b/>
          <w:bCs/>
        </w:rPr>
        <w:t xml:space="preserve">Meeting 4 — October 11, 2023 (7/7 present; quorum satisfied).</w:t>
      </w:r>
      <w:r>
        <w:t xml:space="preserve"> </w:t>
      </w:r>
      <w:r>
        <w:t xml:space="preserve">Received Q3 2023 financials; reported termination of the</w:t>
      </w:r>
      <w:r>
        <w:t xml:space="preserve"> </w:t>
      </w:r>
      <w:r>
        <w:t xml:space="preserve">“</w:t>
      </w:r>
      <w:r>
        <w:t xml:space="preserve">Beta</w:t>
      </w:r>
      <w:r>
        <w:t xml:space="preserve">”</w:t>
      </w:r>
      <w:r>
        <w:t xml:space="preserve"> </w:t>
      </w:r>
      <w:r>
        <w:t xml:space="preserve">exclusivity and pause of the strategic-alternatives process;</w:t>
      </w:r>
      <w:r>
        <w:t xml:space="preserve"> </w:t>
      </w:r>
      <w:r>
        <w:rPr>
          <w:b/>
          <w:bCs/>
        </w:rPr>
        <w:t xml:space="preserve">approved the $12 million Clearfield National Bank term loan</w:t>
      </w:r>
      <w:r>
        <w:t xml:space="preserve"> </w:t>
      </w:r>
      <w:r>
        <w:t xml:space="preserve">(7-0); and approved continued engagement of outside counsel. The Clearfield loan is analyzed in Section X.B below.</w:t>
      </w:r>
    </w:p>
    <w:p>
      <w:pPr>
        <w:pStyle w:val="BodyText"/>
      </w:pPr>
      <w:r>
        <w:rPr>
          <w:b/>
          <w:bCs/>
        </w:rPr>
        <w:t xml:space="preserve">Meeting 5 — January 24, 2024 (7/7 present; quorum satisfied).</w:t>
      </w:r>
      <w:r>
        <w:t xml:space="preserve"> </w:t>
      </w:r>
      <w:r>
        <w:t xml:space="preserve">Approved the FY2024 budget; received FY2023 audited results (clean opinion); and authorized exploration of the SensorLink Technologies acquisition and execution of a non-binding LOI (up to $22 million). No protective provision implicated by the LOI authorization (an acquisition by the Company is not a Liquidation Event). Properly authorized.</w:t>
      </w:r>
    </w:p>
    <w:p>
      <w:pPr>
        <w:pStyle w:val="BodyText"/>
      </w:pPr>
      <w:r>
        <w:rPr>
          <w:b/>
          <w:bCs/>
        </w:rPr>
        <w:t xml:space="preserve">Meeting 6 — April 17, 2024 (5/7 present; quorum satisfied (4 required)).</w:t>
      </w:r>
      <w:r>
        <w:t xml:space="preserve"> </w:t>
      </w:r>
      <w:r>
        <w:t xml:space="preserve">Trask and Garrett absent (Trask: scheduling conflict, no proxy; Garrett: family medical matter).</w:t>
      </w:r>
      <w:r>
        <w:t xml:space="preserve"> </w:t>
      </w:r>
      <w:r>
        <w:rPr>
          <w:b/>
          <w:bCs/>
        </w:rPr>
        <w:t xml:space="preserve">Authorized the Special Committee to engage with Hargrove</w:t>
      </w:r>
      <w:r>
        <w:t xml:space="preserve"> </w:t>
      </w:r>
      <w:r>
        <w:t xml:space="preserve">and provide data-room access (approved 5-0); approved the Yeung RSU grant (200,000). Trask objected by email on April 19, 2024 (appended to the minutes). The Stonemill observer was not present. Analyzed in Sections X.C and XI (Area 9).</w:t>
      </w:r>
    </w:p>
    <w:p>
      <w:pPr>
        <w:pStyle w:val="BodyText"/>
      </w:pPr>
      <w:r>
        <w:rPr>
          <w:b/>
          <w:bCs/>
        </w:rPr>
        <w:t xml:space="preserve">Meeting 7 — July 10, 2024 (7/7 present; quorum satisfied).</w:t>
      </w:r>
      <w:r>
        <w:t xml:space="preserve"> </w:t>
      </w:r>
      <w:r>
        <w:t xml:space="preserve">Received the Hargrove IOI ($475–500 million EV);</w:t>
      </w:r>
      <w:r>
        <w:t xml:space="preserve"> </w:t>
      </w:r>
      <w:r>
        <w:rPr>
          <w:b/>
          <w:bCs/>
        </w:rPr>
        <w:t xml:space="preserve">authorized a 60-day exclusivity period with Hargrove</w:t>
      </w:r>
      <w:r>
        <w:t xml:space="preserve"> </w:t>
      </w:r>
      <w:r>
        <w:t xml:space="preserve">(approved 6-1, Trask against); and approved the engagement of Thornbury &amp; Associates as valuation advisor (7-0). Trask reserved all rights under the Charter protective provisions and the Stockholders’ Agreement.</w:t>
      </w:r>
    </w:p>
    <w:p>
      <w:pPr>
        <w:pStyle w:val="BodyText"/>
      </w:pPr>
      <w:r>
        <w:rPr>
          <w:b/>
          <w:bCs/>
        </w:rPr>
        <w:t xml:space="preserve">Meeting 8 — September 25, 2024 (7/7 present; quorum satisfied).</w:t>
      </w:r>
      <w:r>
        <w:t xml:space="preserve"> </w:t>
      </w:r>
      <w:r>
        <w:t xml:space="preserve">Received the revised Hargrove IOI ($485 million EV);</w:t>
      </w:r>
      <w:r>
        <w:t xml:space="preserve"> </w:t>
      </w:r>
      <w:r>
        <w:rPr>
          <w:b/>
          <w:bCs/>
        </w:rPr>
        <w:t xml:space="preserve">authorized negotiation of definitive documentation</w:t>
      </w:r>
      <w:r>
        <w:t xml:space="preserve"> </w:t>
      </w:r>
      <w:r>
        <w:t xml:space="preserve">(approved 6-1, Trask against); reviewed stockholder consent requirements (counsel analysis); and addressed the</w:t>
      </w:r>
      <w:r>
        <w:t xml:space="preserve"> </w:t>
      </w:r>
      <w:r>
        <w:rPr>
          <w:b/>
          <w:bCs/>
        </w:rPr>
        <w:t xml:space="preserve">SensorLink LOI status</w:t>
      </w:r>
      <w:r>
        <w:t xml:space="preserve">. Trask again reserved all rights and noted that the Series C separate-class vote cannot be satisfied without Stonemill. Analyzed in Sections X.C and X.D below.</w:t>
      </w:r>
    </w:p>
    <w:bookmarkEnd w:id="66"/>
    <w:bookmarkStart w:id="67" w:name="Xb83c5770cad36420d41216556525c4c2d362a68"/>
    <w:p>
      <w:pPr>
        <w:pStyle w:val="Heading3"/>
      </w:pPr>
      <w:r>
        <w:t xml:space="preserve">B. The Clearfield National Bank Term Loan — Significant Governance Defect</w:t>
      </w:r>
    </w:p>
    <w:p>
      <w:pPr>
        <w:pStyle w:val="FirstParagraph"/>
      </w:pPr>
      <w:r>
        <w:t xml:space="preserve">At the October 11, 2023 meeting, the Board approved a $12 million secured term loan with Clearfield National Bank, N.A., secured by substantially all of the Company’s assets (accounts receivable, inventory, equipment, and intellectual property), with a five-year term at SOFR + 3.50%.</w:t>
      </w:r>
    </w:p>
    <w:p>
      <w:pPr>
        <w:pStyle w:val="BodyText"/>
      </w:pPr>
      <w:r>
        <w:rPr>
          <w:b/>
          <w:bCs/>
        </w:rPr>
        <w:t xml:space="preserve">Charter Section 4.3.6(a)(v)</w:t>
      </w:r>
      <w:r>
        <w:t xml:space="preserve"> </w:t>
      </w:r>
      <w:r>
        <w:t xml:space="preserve">prohibits the Company from incurring indebtedness for borrowed money in excess of $5,000,000 (aggregate outstanding at any time) without the prior consent or affirmative vote of holders of a majority of the Preferred Stock (voting as a single class on an as-converted basis), other than (A) equipment financing or capital leases up to $2,000,000 and (B) trade payables in the ordinary course. The $12 million term loan is indebtedness for borrowed money exceeding $5 million and does not fall within either exception (it is a general-purpose secured term loan, not equipment financing/capital lease or trade payables).</w:t>
      </w:r>
      <w:r>
        <w:t xml:space="preserve"> </w:t>
      </w:r>
      <w:r>
        <w:rPr>
          <w:b/>
          <w:bCs/>
        </w:rPr>
        <w:t xml:space="preserve">The protective provision was triggered, and majority Preferred Stockholder consent was required.</w:t>
      </w:r>
    </w:p>
    <w:p>
      <w:pPr>
        <w:pStyle w:val="BodyText"/>
      </w:pPr>
      <w:r>
        <w:t xml:space="preserve">The Board minutes reflect only director approval (7-0). The Preferred-designated directors (Kleinhans, Okafor, Trask) voted in favor as directors, but</w:t>
      </w:r>
      <w:r>
        <w:t xml:space="preserve"> </w:t>
      </w:r>
      <w:r>
        <w:rPr>
          <w:b/>
          <w:bCs/>
        </w:rPr>
        <w:t xml:space="preserve">director approval is not a substitute for the separate stockholder consent required by Section 4.3.6(a)</w:t>
      </w:r>
      <w:r>
        <w:t xml:space="preserve">. The protective provision requires the consent or affirmative vote of the Preferred holders</w:t>
      </w:r>
      <w:r>
        <w:t xml:space="preserve"> </w:t>
      </w:r>
      <w:r>
        <w:rPr>
          <w:b/>
          <w:bCs/>
        </w:rPr>
        <w:t xml:space="preserve">as stockholders</w:t>
      </w:r>
      <w:r>
        <w:t xml:space="preserve">, not merely the approval of directors designated by the Preferred holders. The minutes do not reflect that any such stockholder consent was obtained.</w:t>
      </w:r>
    </w:p>
    <w:p>
      <w:pPr>
        <w:pStyle w:val="BodyText"/>
      </w:pPr>
      <w:r>
        <w:rPr>
          <w:b/>
          <w:bCs/>
        </w:rPr>
        <w:t xml:space="preserve">Implications:</w:t>
      </w:r>
    </w:p>
    <w:p>
      <w:pPr>
        <w:pStyle w:val="Compact"/>
        <w:numPr>
          <w:ilvl w:val="0"/>
          <w:numId w:val="1016"/>
        </w:numPr>
      </w:pPr>
      <w:r>
        <w:rPr>
          <w:b/>
          <w:bCs/>
        </w:rPr>
        <w:t xml:space="preserve">Potential charter violation.</w:t>
      </w:r>
      <w:r>
        <w:t xml:space="preserve"> </w:t>
      </w:r>
      <w:r>
        <w:t xml:space="preserve">If the required Preferred Stockholder consent was not obtained, the incurrence of the loan may constitute a violation of the Charter’s protective provision. Under Delaware law, a transaction effected in violation of a charter protective provision may be subject to challenge by the protected stockholders.</w:t>
      </w:r>
    </w:p>
    <w:p>
      <w:pPr>
        <w:pStyle w:val="Compact"/>
        <w:numPr>
          <w:ilvl w:val="0"/>
          <w:numId w:val="1016"/>
        </w:numPr>
      </w:pPr>
      <w:r>
        <w:rPr>
          <w:b/>
          <w:bCs/>
        </w:rPr>
        <w:t xml:space="preserve">Stonemill leverage.</w:t>
      </w:r>
      <w:r>
        <w:t xml:space="preserve"> </w:t>
      </w:r>
      <w:r>
        <w:t xml:space="preserve">Stonemill (and other Preferred holders) could assert that the Company violated their protective rights in connection with the loan. This is ammunition that Stonemill may invoke in the context of the Transaction, particularly given its adversarial posture.</w:t>
      </w:r>
    </w:p>
    <w:p>
      <w:pPr>
        <w:pStyle w:val="Compact"/>
        <w:numPr>
          <w:ilvl w:val="0"/>
          <w:numId w:val="1016"/>
        </w:numPr>
      </w:pPr>
      <w:r>
        <w:rPr>
          <w:b/>
          <w:bCs/>
        </w:rPr>
        <w:t xml:space="preserve">Deal impact.</w:t>
      </w:r>
      <w:r>
        <w:t xml:space="preserve"> </w:t>
      </w:r>
      <w:r>
        <w:t xml:space="preserve">The $12 million debt is reflected in the deal economics (EV $485 million less $12 million debt = $473 million equity value) and will be repaid or refinanced at closing. A challenge to the loan’s validity could complicate closing. In addition, the loan agreement (not yet produced) may contain change-of-control covenants requiring lender consent.</w:t>
      </w:r>
    </w:p>
    <w:p>
      <w:pPr>
        <w:pStyle w:val="FirstParagraph"/>
      </w:pPr>
      <w:r>
        <w:rPr>
          <w:b/>
          <w:bCs/>
        </w:rPr>
        <w:t xml:space="preserve">Recommendation.</w:t>
      </w:r>
      <w:r>
        <w:t xml:space="preserve"> </w:t>
      </w:r>
      <w:r>
        <w:t xml:space="preserve">Request the stockholder consent records to confirm whether the Section 4.3.6(a)(v) consent was obtained (it may have been obtained by written consent outside the Board meeting, though the minutes do not reflect it). Request the Clearfield loan agreement and ancillary documents to assess change-of-control covenants. If the consent was not obtained, assess remediation options (e.g., ratification by the Preferred holders) and evaluate the risk that Stonemill raises this issue.</w:t>
      </w:r>
      <w:r>
        <w:t xml:space="preserve"> </w:t>
      </w:r>
      <w:r>
        <w:rPr>
          <w:b/>
          <w:bCs/>
        </w:rPr>
        <w:t xml:space="preserve">Severity: Significant.</w:t>
      </w:r>
    </w:p>
    <w:bookmarkEnd w:id="67"/>
    <w:bookmarkStart w:id="68" w:name="Xfb51f1d8bb347a8d3ad77e083f5c52e397ebd6d"/>
    <w:p>
      <w:pPr>
        <w:pStyle w:val="Heading3"/>
      </w:pPr>
      <w:r>
        <w:t xml:space="preserve">C. Trask’s Absence, Objection, and Consistent Opposition</w:t>
      </w:r>
    </w:p>
    <w:p>
      <w:pPr>
        <w:pStyle w:val="FirstParagraph"/>
      </w:pPr>
      <w:r>
        <w:t xml:space="preserve">Julian Trask (Stonemill’s designee) was absent from the April 17, 2024 meeting at which the Board authorized engagement with Hargrove. He did not provide a proxy. The Stonemill observer was also absent. By email dated April 19, 2024 (appended to the April 17 minutes), Trask objected that the decision was made</w:t>
      </w:r>
      <w:r>
        <w:t xml:space="preserve"> </w:t>
      </w:r>
      <w:r>
        <w:t xml:space="preserve">“</w:t>
      </w:r>
      <w:r>
        <w:t xml:space="preserve">without the full Board’s consideration and without Stonemill’s input,</w:t>
      </w:r>
      <w:r>
        <w:t xml:space="preserve">”</w:t>
      </w:r>
      <w:r>
        <w:t xml:space="preserve"> </w:t>
      </w:r>
      <w:r>
        <w:t xml:space="preserve">asserted Stonemill’s</w:t>
      </w:r>
      <w:r>
        <w:t xml:space="preserve"> </w:t>
      </w:r>
      <w:r>
        <w:t xml:space="preserve">“</w:t>
      </w:r>
      <w:r>
        <w:t xml:space="preserve">significant economic and governance rights in connection with any potential change-of-control transaction,</w:t>
      </w:r>
      <w:r>
        <w:t xml:space="preserve">”</w:t>
      </w:r>
      <w:r>
        <w:t xml:space="preserve"> </w:t>
      </w:r>
      <w:r>
        <w:t xml:space="preserve">and requested that</w:t>
      </w:r>
      <w:r>
        <w:t xml:space="preserve"> </w:t>
      </w:r>
      <w:r>
        <w:t xml:space="preserve">“</w:t>
      </w:r>
      <w:r>
        <w:t xml:space="preserve">no further substantive steps be taken regarding a potential Hargrove transaction without Stonemill’s participation.</w:t>
      </w:r>
      <w:r>
        <w:t xml:space="preserve">”</w:t>
      </w:r>
    </w:p>
    <w:p>
      <w:pPr>
        <w:pStyle w:val="BodyText"/>
      </w:pPr>
      <w:r>
        <w:t xml:space="preserve">Trask subsequently voted against the Hargrove exclusivity (July 10, 2024) and the authorization to negotiate definitive documentation (September 25, 2024), and abstained on the approval of minutes reflecting his objection. At each juncture, he reserved all of Stonemill’s rights under the Charter protective provisions and the Stockholders’ Agreement.</w:t>
      </w:r>
    </w:p>
    <w:p>
      <w:pPr>
        <w:pStyle w:val="BodyText"/>
      </w:pPr>
      <w:r>
        <w:rPr>
          <w:b/>
          <w:bCs/>
        </w:rPr>
        <w:t xml:space="preserve">Assessment.</w:t>
      </w:r>
      <w:r>
        <w:t xml:space="preserve"> </w:t>
      </w:r>
      <w:r>
        <w:t xml:space="preserve">The April 17 vote was procedurally valid (a quorum of five directors was present, and the action was to authorize engagement, not to approve a transaction). However, Trask’s absence and prompt, documented objection create a process vulnerability. Stonemill has built a consistent record of opposition and can argue that the sale process was advanced without adequate consultation of a major stockholder whose designee was absent from a pivotal meeting. This is relevant to the fiduciary-duty and sale-process analysis in Section XI (Area 9).</w:t>
      </w:r>
      <w:r>
        <w:t xml:space="preserve"> </w:t>
      </w:r>
      <w:r>
        <w:rPr>
          <w:b/>
          <w:bCs/>
        </w:rPr>
        <w:t xml:space="preserve">Severity: Significant (process vulnerability).</w:t>
      </w:r>
    </w:p>
    <w:bookmarkEnd w:id="68"/>
    <w:bookmarkStart w:id="69" w:name="X2ae2da37410397ed663301cf15806bea82d220b"/>
    <w:p>
      <w:pPr>
        <w:pStyle w:val="Heading3"/>
      </w:pPr>
      <w:r>
        <w:t xml:space="preserve">D. SensorLink Technologies LOI — Time-Sensitive Exclusivity Issue</w:t>
      </w:r>
    </w:p>
    <w:p>
      <w:pPr>
        <w:pStyle w:val="FirstParagraph"/>
      </w:pPr>
      <w:r>
        <w:t xml:space="preserve">At the January 24, 2024 meeting, the Board authorized the CEO to negotiate and execute a non-binding LOI with SensorLink Technologies, Inc. for a potential acquisition (up to $22 million). The LOI was executed on March 8, 2024 and contained a</w:t>
      </w:r>
      <w:r>
        <w:t xml:space="preserve"> </w:t>
      </w:r>
      <w:r>
        <w:rPr>
          <w:b/>
          <w:bCs/>
        </w:rPr>
        <w:t xml:space="preserve">mutual exclusivity provision</w:t>
      </w:r>
      <w:r>
        <w:t xml:space="preserve"> </w:t>
      </w:r>
      <w:r>
        <w:t xml:space="preserve">with an initial six-month term expiring September 8, 2024.</w:t>
      </w:r>
    </w:p>
    <w:p>
      <w:pPr>
        <w:pStyle w:val="BodyText"/>
      </w:pPr>
      <w:r>
        <w:t xml:space="preserve">At the September 25, 2024 meeting, the CEO reported that the Company had not advanced the SensorLink acquisition and</w:t>
      </w:r>
      <w:r>
        <w:t xml:space="preserve"> </w:t>
      </w:r>
      <w:r>
        <w:t xml:space="preserve">“</w:t>
      </w:r>
      <w:r>
        <w:t xml:space="preserve">believed the matter had concluded,</w:t>
      </w:r>
      <w:r>
        <w:t xml:space="preserve">”</w:t>
      </w:r>
      <w:r>
        <w:t xml:space="preserve"> </w:t>
      </w:r>
      <w:r>
        <w:t xml:space="preserve">stating that the exclusivity period</w:t>
      </w:r>
      <w:r>
        <w:t xml:space="preserve"> </w:t>
      </w:r>
      <w:r>
        <w:t xml:space="preserve">“</w:t>
      </w:r>
      <w:r>
        <w:t xml:space="preserve">had expired by its own terms on September 8, 2024.</w:t>
      </w:r>
      <w:r>
        <w:t xml:space="preserve">”</w:t>
      </w:r>
      <w:r>
        <w:t xml:space="preserve"> </w:t>
      </w:r>
      <w:r>
        <w:t xml:space="preserve">However, outside counsel (Mr. Rourke) observed that the LOI contained an</w:t>
      </w:r>
      <w:r>
        <w:t xml:space="preserve"> </w:t>
      </w:r>
      <w:r>
        <w:rPr>
          <w:b/>
          <w:bCs/>
        </w:rPr>
        <w:t xml:space="preserve">automatic renewal provision</w:t>
      </w:r>
      <w:r>
        <w:t xml:space="preserve">: the exclusivity period</w:t>
      </w:r>
      <w:r>
        <w:t xml:space="preserve"> </w:t>
      </w:r>
      <w:r>
        <w:t xml:space="preserve">“</w:t>
      </w:r>
      <w:r>
        <w:t xml:space="preserve">would be automatically extended for successive ninety (90)-day periods unless either party provided written notice of termination to the other party at least fifteen (15) days prior to the expiration of the then-current exclusivity period.</w:t>
      </w:r>
      <w:r>
        <w:t xml:space="preserve">”</w:t>
      </w:r>
      <w:r>
        <w:t xml:space="preserve"> </w:t>
      </w:r>
      <w:r>
        <w:t xml:space="preserve">Mr. Rourke asked whether a written termination notice had been sent before September 8, 2024. The CEO acknowledged that he was</w:t>
      </w:r>
      <w:r>
        <w:t xml:space="preserve"> </w:t>
      </w:r>
      <w:r>
        <w:t xml:space="preserve">“</w:t>
      </w:r>
      <w:r>
        <w:t xml:space="preserve">not certain whether a formal written termination notice had been delivered.</w:t>
      </w:r>
      <w:r>
        <w:t xml:space="preserve">”</w:t>
      </w:r>
      <w:r>
        <w:t xml:space="preserve"> </w:t>
      </w:r>
      <w:r>
        <w:t xml:space="preserve">The Chairman directed the CFO and outside counsel to investigate and confirm the status and to terminate the exclusivity if necessary.</w:t>
      </w:r>
    </w:p>
    <w:p>
      <w:pPr>
        <w:pStyle w:val="BodyText"/>
      </w:pPr>
      <w:r>
        <w:rPr>
          <w:b/>
          <w:bCs/>
        </w:rPr>
        <w:t xml:space="preserve">Assessment.</w:t>
      </w:r>
      <w:r>
        <w:t xml:space="preserve"> </w:t>
      </w:r>
      <w:r>
        <w:t xml:space="preserve">If no written termination notice was delivered before September 8, 2024, the exclusivity</w:t>
      </w:r>
      <w:r>
        <w:t xml:space="preserve"> </w:t>
      </w:r>
      <w:r>
        <w:rPr>
          <w:b/>
          <w:bCs/>
        </w:rPr>
        <w:t xml:space="preserve">automatically renewed</w:t>
      </w:r>
      <w:r>
        <w:t xml:space="preserve"> </w:t>
      </w:r>
      <w:r>
        <w:t xml:space="preserve">on September 8, 2024 for a successive 90-day period (through approximately December 7, 2024), and will continue to auto-renew in 90-day increments until terminated. A live exclusivity obligation running in favor of SensorLink could (i) conflict with the Company’s ability to sign a definitive agreement with Hargrove, (ii) constitute a breach of the SensorLink LOI, and (iii) give SensorLink a claim against the Company. This is a potentially deal-blocking issue and is time-sensitive: to terminate the next renewal (approximately December 7, 2024), written notice must be delivered at least 15 days prior (approximately November 22, 2024).</w:t>
      </w:r>
    </w:p>
    <w:p>
      <w:pPr>
        <w:pStyle w:val="BodyText"/>
      </w:pPr>
      <w:r>
        <w:rPr>
          <w:b/>
          <w:bCs/>
        </w:rPr>
        <w:t xml:space="preserve">Recommendation.</w:t>
      </w:r>
      <w:r>
        <w:t xml:space="preserve"> </w:t>
      </w:r>
      <w:r>
        <w:t xml:space="preserve">This item should be flagged to Jonathan Hsieh immediately. We must obtain the SensorLink LOI and confirm whether a termination notice was delivered before September 8, 2024. If not, the Company should deliver a termination notice promptly (and we should confirm through Company counsel that this has been done). The merger agreement should include a representation that no exclusivity or similar restriction with SensorLink is in effect.</w:t>
      </w:r>
      <w:r>
        <w:t xml:space="preserve"> </w:t>
      </w:r>
      <w:r>
        <w:rPr>
          <w:b/>
          <w:bCs/>
        </w:rPr>
        <w:t xml:space="preserve">Severity: Critical (time-sensitive).</w:t>
      </w:r>
    </w:p>
    <w:bookmarkEnd w:id="69"/>
    <w:bookmarkStart w:id="70" w:name="e.-other-observations"/>
    <w:p>
      <w:pPr>
        <w:pStyle w:val="Heading3"/>
      </w:pPr>
      <w:r>
        <w:t xml:space="preserve">E. Other Observations</w:t>
      </w:r>
    </w:p>
    <w:p>
      <w:pPr>
        <w:pStyle w:val="Compact"/>
        <w:numPr>
          <w:ilvl w:val="0"/>
          <w:numId w:val="1017"/>
        </w:numPr>
      </w:pPr>
      <w:r>
        <w:rPr>
          <w:b/>
          <w:bCs/>
        </w:rPr>
        <w:t xml:space="preserve">Minutes citation error.</w:t>
      </w:r>
      <w:r>
        <w:t xml:space="preserve"> </w:t>
      </w:r>
      <w:r>
        <w:t xml:space="preserve">The April 12, 2023 minutes state that Ms. Okafor is designated</w:t>
      </w:r>
      <w:r>
        <w:t xml:space="preserve"> </w:t>
      </w:r>
      <w:r>
        <w:t xml:space="preserve">“</w:t>
      </w:r>
      <w:r>
        <w:t xml:space="preserve">pursuant to Section 1.2(c) of the Voting Agreement.</w:t>
      </w:r>
      <w:r>
        <w:t xml:space="preserve">”</w:t>
      </w:r>
      <w:r>
        <w:t xml:space="preserve"> </w:t>
      </w:r>
      <w:r>
        <w:t xml:space="preserve">The Voting Agreement’s designation provisions are in Section 2.2 (Northbridge’s designee is specified in Section 2.2(b)), not Section 1.2(c). This is a minor citation inaccuracy in the minutes, not a substantive defect, but it suggests the minutes were not carefully cross-checked against the Voting Agreement.</w:t>
      </w:r>
      <w:r>
        <w:t xml:space="preserve"> </w:t>
      </w:r>
      <w:r>
        <w:rPr>
          <w:b/>
          <w:bCs/>
        </w:rPr>
        <w:t xml:space="preserve">Severity: Moderate (accuracy).</w:t>
      </w:r>
    </w:p>
    <w:p>
      <w:pPr>
        <w:pStyle w:val="Compact"/>
        <w:numPr>
          <w:ilvl w:val="0"/>
          <w:numId w:val="1017"/>
        </w:numPr>
      </w:pPr>
      <w:r>
        <w:rPr>
          <w:b/>
          <w:bCs/>
        </w:rPr>
        <w:t xml:space="preserve">Yeung RSU grant.</w:t>
      </w:r>
      <w:r>
        <w:t xml:space="preserve"> </w:t>
      </w:r>
      <w:r>
        <w:t xml:space="preserve">The 200,000 RSU grant to Linda Yeung (CFO and recording secretary) was approved by the Board (5-0) at the April 17, 2024 meeting. Ms. Yeung serves as both CFO and recording secretary; her receipt of equity awards approved by the Board she documents is a minor governance optics point but is not unusual. The grant is exempt from anti-dilution under Charter Section 4.3.4(b)(i).</w:t>
      </w:r>
    </w:p>
    <w:p>
      <w:r>
        <w:pict>
          <v:rect style="width:0;height:1.5pt" o:hralign="center" o:hrstd="t" o:hr="t"/>
        </w:pict>
      </w:r>
    </w:p>
    <w:bookmarkEnd w:id="70"/>
    <w:bookmarkEnd w:id="71"/>
    <w:bookmarkStart w:id="76" w:name="X83cfb2087d095c91a8dcb7a826660536cefd8f0"/>
    <w:p>
      <w:pPr>
        <w:pStyle w:val="Heading2"/>
      </w:pPr>
      <w:r>
        <w:t xml:space="preserve">XI. AREA 9 — FIDUCIARY DUTY AND SALE-PROCESS CONCERNS</w:t>
      </w:r>
    </w:p>
    <w:bookmarkStart w:id="72" w:name="X4c3b8c87f00cd2b151f760d8cce738fba0b971f"/>
    <w:p>
      <w:pPr>
        <w:pStyle w:val="Heading3"/>
      </w:pPr>
      <w:r>
        <w:t xml:space="preserve">A. Special Committee Composition — Independence Vulnerability</w:t>
      </w:r>
    </w:p>
    <w:p>
      <w:pPr>
        <w:pStyle w:val="FirstParagraph"/>
      </w:pPr>
      <w:r>
        <w:t xml:space="preserve">The Special Committee, formed on April 12, 2023, consists of Rebecca Lau (Chair), Thomas Garrett, and Sandra Okafor. Ms. Lau and Mr. Garrett are the Independent Directors designated under Voting Agreement Section 2.2(f) — they are not employees of the Company and not affiliates of any Investor Stockholder.</w:t>
      </w:r>
      <w:r>
        <w:t xml:space="preserve"> </w:t>
      </w:r>
      <w:r>
        <w:rPr>
          <w:b/>
          <w:bCs/>
        </w:rPr>
        <w:t xml:space="preserve">Ms. Okafor, however, is Northbridge’s board designee (the Series B Director) and a Principal at Northbridge Growth Equity.</w:t>
      </w:r>
      <w:r>
        <w:t xml:space="preserve"> </w:t>
      </w:r>
      <w:r>
        <w:t xml:space="preserve">She is not independent: she is an investor designee with a direct economic interest in the Transaction.</w:t>
      </w:r>
    </w:p>
    <w:p>
      <w:pPr>
        <w:pStyle w:val="BodyText"/>
      </w:pPr>
      <w:r>
        <w:t xml:space="preserve">Under Delaware law, a special committee formed to evaluate a sale-of-control transaction should be composed of</w:t>
      </w:r>
      <w:r>
        <w:t xml:space="preserve"> </w:t>
      </w:r>
      <w:r>
        <w:rPr>
          <w:b/>
          <w:bCs/>
        </w:rPr>
        <w:t xml:space="preserve">disinterested and independent</w:t>
      </w:r>
      <w:r>
        <w:t xml:space="preserve"> </w:t>
      </w:r>
      <w:r>
        <w:t xml:space="preserve">directors in order to provide cleansing effect and to support the board’s fulfillment of its fiduciary duties. The presence of an interested, non-independent director (Okafor) on the Special Committee undermines the Committee’s independence and its ability to provide the procedural protections that a special committee is designed to afford.</w:t>
      </w:r>
    </w:p>
    <w:p>
      <w:pPr>
        <w:pStyle w:val="BodyText"/>
      </w:pPr>
      <w:r>
        <w:rPr>
          <w:b/>
          <w:bCs/>
        </w:rPr>
        <w:t xml:space="preserve">Specific concerns:</w:t>
      </w:r>
    </w:p>
    <w:p>
      <w:pPr>
        <w:pStyle w:val="Compact"/>
        <w:numPr>
          <w:ilvl w:val="0"/>
          <w:numId w:val="1018"/>
        </w:numPr>
      </w:pPr>
      <w:r>
        <w:rPr>
          <w:b/>
          <w:bCs/>
        </w:rPr>
        <w:t xml:space="preserve">Northbridge’s economic interest.</w:t>
      </w:r>
      <w:r>
        <w:t xml:space="preserve"> </w:t>
      </w:r>
      <w:r>
        <w:t xml:space="preserve">Northbridge (Series B) receives approximately $65.5 million in the waterfall — a gain of approximately $17.4 million over its $48.1 million liquidation preference. Ms. Okafor’s fund directly benefits from the Transaction at the proposed price. Her support of the Transaction at every stage (she seconded or voted in favor of each sale-process resolution) is consistent with Northbridge’s economic interest, which heightens the conflict concern.</w:t>
      </w:r>
    </w:p>
    <w:p>
      <w:pPr>
        <w:pStyle w:val="Compact"/>
        <w:numPr>
          <w:ilvl w:val="0"/>
          <w:numId w:val="1018"/>
        </w:numPr>
      </w:pPr>
      <w:r>
        <w:rPr>
          <w:b/>
          <w:bCs/>
        </w:rPr>
        <w:t xml:space="preserve">Cleansing effect diminished.</w:t>
      </w:r>
      <w:r>
        <w:t xml:space="preserve"> </w:t>
      </w:r>
      <w:r>
        <w:t xml:space="preserve">A special committee with a conflicted member does not provide the same cleansing effect as a fully independent committee. If the Transaction is later challenged (e.g., by Stonemill), the Committee’s composition will be a focal point.</w:t>
      </w:r>
    </w:p>
    <w:p>
      <w:pPr>
        <w:pStyle w:val="Compact"/>
        <w:numPr>
          <w:ilvl w:val="0"/>
          <w:numId w:val="1018"/>
        </w:numPr>
      </w:pPr>
      <w:r>
        <w:rPr>
          <w:b/>
          <w:bCs/>
        </w:rPr>
        <w:t xml:space="preserve">Disclosure does not cure.</w:t>
      </w:r>
      <w:r>
        <w:t xml:space="preserve"> </w:t>
      </w:r>
      <w:r>
        <w:t xml:space="preserve">The April 12, 2023 minutes</w:t>
      </w:r>
      <w:r>
        <w:t xml:space="preserve"> </w:t>
      </w:r>
      <w:r>
        <w:t xml:space="preserve">“</w:t>
      </w:r>
      <w:r>
        <w:t xml:space="preserve">noted</w:t>
      </w:r>
      <w:r>
        <w:t xml:space="preserve">”</w:t>
      </w:r>
      <w:r>
        <w:t xml:space="preserve"> </w:t>
      </w:r>
      <w:r>
        <w:t xml:space="preserve">Ms. Okafor’s service and her designation by Northbridge. Disclosure of the conflict does not cure the lack of independence; it highlights it.</w:t>
      </w:r>
    </w:p>
    <w:p>
      <w:pPr>
        <w:pStyle w:val="FirstParagraph"/>
      </w:pPr>
      <w:r>
        <w:rPr>
          <w:b/>
          <w:bCs/>
        </w:rPr>
        <w:t xml:space="preserve">Recommendation.</w:t>
      </w:r>
      <w:r>
        <w:t xml:space="preserve"> </w:t>
      </w:r>
      <w:r>
        <w:t xml:space="preserve">The ideal composition would have been the two independent directors (Lau and Garrett) plus an additional independent director. At this stage (definitive documentation underway), reconstituting the Committee may be impractical and could delay the Transaction. However, the client should be aware of this vulnerability. Options include: (i) ensuring that the Thornbury fairness opinion is robust and addresses the waterfall and per-class consideration; (ii) documenting the sale process thoroughly to demonstrate a fair process notwithstanding the Committee composition; and (iii) considering whether Ms. Okafor should recuse from any further Special Committee deliberations on the definitive merger agreement.</w:t>
      </w:r>
      <w:r>
        <w:t xml:space="preserve"> </w:t>
      </w:r>
      <w:r>
        <w:rPr>
          <w:b/>
          <w:bCs/>
        </w:rPr>
        <w:t xml:space="preserve">Severity: Significant.</w:t>
      </w:r>
    </w:p>
    <w:bookmarkEnd w:id="72"/>
    <w:bookmarkStart w:id="73" w:name="b.-sale-process-breadth"/>
    <w:p>
      <w:pPr>
        <w:pStyle w:val="Heading3"/>
      </w:pPr>
      <w:r>
        <w:t xml:space="preserve">B. Sale-Process Breadth</w:t>
      </w:r>
    </w:p>
    <w:p>
      <w:pPr>
        <w:pStyle w:val="FirstParagraph"/>
      </w:pPr>
      <w:r>
        <w:t xml:space="preserve">The sale process began in January 2023 with the engagement of Meridian Partners. Meridian contacted a targeted group of potential acquirers and received three preliminary indications of interest (</w:t>
      </w:r>
      <w:r>
        <w:t xml:space="preserve">“</w:t>
      </w:r>
      <w:r>
        <w:t xml:space="preserve">Alpha,</w:t>
      </w:r>
      <w:r>
        <w:t xml:space="preserve">”</w:t>
      </w:r>
      <w:r>
        <w:t xml:space="preserve"> </w:t>
      </w:r>
      <w:r>
        <w:t xml:space="preserve">“</w:t>
      </w:r>
      <w:r>
        <w:t xml:space="preserve">Beta,</w:t>
      </w:r>
      <w:r>
        <w:t xml:space="preserve">”</w:t>
      </w:r>
      <w:r>
        <w:t xml:space="preserve"> </w:t>
      </w:r>
      <w:r>
        <w:t xml:space="preserve">and</w:t>
      </w:r>
      <w:r>
        <w:t xml:space="preserve"> </w:t>
      </w:r>
      <w:r>
        <w:t xml:space="preserve">“</w:t>
      </w:r>
      <w:r>
        <w:t xml:space="preserve">Gamma</w:t>
      </w:r>
      <w:r>
        <w:t xml:space="preserve">”</w:t>
      </w:r>
      <w:r>
        <w:t xml:space="preserve">). After</w:t>
      </w:r>
      <w:r>
        <w:t xml:space="preserve"> </w:t>
      </w:r>
      <w:r>
        <w:t xml:space="preserve">“</w:t>
      </w:r>
      <w:r>
        <w:t xml:space="preserve">Alpha</w:t>
      </w:r>
      <w:r>
        <w:t xml:space="preserve">”</w:t>
      </w:r>
      <w:r>
        <w:t xml:space="preserve"> </w:t>
      </w:r>
      <w:r>
        <w:t xml:space="preserve">and</w:t>
      </w:r>
      <w:r>
        <w:t xml:space="preserve"> </w:t>
      </w:r>
      <w:r>
        <w:t xml:space="preserve">“</w:t>
      </w:r>
      <w:r>
        <w:t xml:space="preserve">Gamma</w:t>
      </w:r>
      <w:r>
        <w:t xml:space="preserve">”</w:t>
      </w:r>
      <w:r>
        <w:t xml:space="preserve"> </w:t>
      </w:r>
      <w:r>
        <w:t xml:space="preserve">withdrew or reduced their valuations, the Company entered a 45-day exclusivity with</w:t>
      </w:r>
      <w:r>
        <w:t xml:space="preserve"> </w:t>
      </w:r>
      <w:r>
        <w:t xml:space="preserve">“</w:t>
      </w:r>
      <w:r>
        <w:t xml:space="preserve">Beta,</w:t>
      </w:r>
      <w:r>
        <w:t xml:space="preserve">”</w:t>
      </w:r>
      <w:r>
        <w:t xml:space="preserve"> </w:t>
      </w:r>
      <w:r>
        <w:t xml:space="preserve">which terminated when</w:t>
      </w:r>
      <w:r>
        <w:t xml:space="preserve"> </w:t>
      </w:r>
      <w:r>
        <w:t xml:space="preserve">“</w:t>
      </w:r>
      <w:r>
        <w:t xml:space="preserve">Beta</w:t>
      </w:r>
      <w:r>
        <w:t xml:space="preserve">”</w:t>
      </w:r>
      <w:r>
        <w:t xml:space="preserve"> </w:t>
      </w:r>
      <w:r>
        <w:t xml:space="preserve">could not secure financing. The process was paused, then reactivated by an inbound IOI from Hargrove in April 2024, leading to a 60-day exclusivity and the current $485 million revised IOI.</w:t>
      </w:r>
    </w:p>
    <w:p>
      <w:pPr>
        <w:pStyle w:val="BodyText"/>
      </w:pPr>
      <w:r>
        <w:t xml:space="preserve">The process was relatively narrow: three initial parties, then a single inbound party (Hargrove). Trask objected at the July 19, 2023 meeting that the</w:t>
      </w:r>
      <w:r>
        <w:t xml:space="preserve"> </w:t>
      </w:r>
      <w:r>
        <w:t xml:space="preserve">“</w:t>
      </w:r>
      <w:r>
        <w:t xml:space="preserve">Beta</w:t>
      </w:r>
      <w:r>
        <w:t xml:space="preserve">”</w:t>
      </w:r>
      <w:r>
        <w:t xml:space="preserve"> </w:t>
      </w:r>
      <w:r>
        <w:t xml:space="preserve">exclusivity was premature and that Stonemill</w:t>
      </w:r>
      <w:r>
        <w:t xml:space="preserve"> </w:t>
      </w:r>
      <w:r>
        <w:t xml:space="preserve">“</w:t>
      </w:r>
      <w:r>
        <w:t xml:space="preserve">would prefer a wider auction involving additional potential acquirers.</w:t>
      </w:r>
      <w:r>
        <w:t xml:space="preserve">”</w:t>
      </w:r>
      <w:r>
        <w:t xml:space="preserve"> </w:t>
      </w:r>
      <w:r>
        <w:t xml:space="preserve">A broader auction might have yielded higher value, particularly for the Series C holders, whose return is capped at the liquidation preference at the current price.</w:t>
      </w:r>
    </w:p>
    <w:p>
      <w:pPr>
        <w:pStyle w:val="BodyText"/>
      </w:pPr>
      <w:r>
        <w:rPr>
          <w:b/>
          <w:bCs/>
        </w:rPr>
        <w:t xml:space="preserve">Assessment.</w:t>
      </w:r>
      <w:r>
        <w:t xml:space="preserve"> </w:t>
      </w:r>
      <w:r>
        <w:t xml:space="preserve">While the Company is not subject to the Revlon line of duties in the same manner as a public company, the board’s fiduciary duties (including the duty to obtain the best value reasonably available in a sale-of-control transaction) apply. The limited process could be challenged as insufficient to maximize value, particularly by Stonemill, which has consistently advocated a broader process. The Thornbury fairness analysis will be relevant but may not fully address the process-breadth concern.</w:t>
      </w:r>
      <w:r>
        <w:t xml:space="preserve"> </w:t>
      </w:r>
      <w:r>
        <w:rPr>
          <w:b/>
          <w:bCs/>
        </w:rPr>
        <w:t xml:space="preserve">Severity: Moderate to Significant.</w:t>
      </w:r>
    </w:p>
    <w:bookmarkEnd w:id="73"/>
    <w:bookmarkStart w:id="74" w:name="Xa025ee3f1b157ef49059104a75ce29defed488e"/>
    <w:p>
      <w:pPr>
        <w:pStyle w:val="Heading3"/>
      </w:pPr>
      <w:r>
        <w:t xml:space="preserve">C. Trask’s Absence and Objection — Process Ammunition</w:t>
      </w:r>
    </w:p>
    <w:p>
      <w:pPr>
        <w:pStyle w:val="FirstParagraph"/>
      </w:pPr>
      <w:r>
        <w:t xml:space="preserve">As detailed in Section X.C, Trask was absent from the April 17, 2024 meeting (and the Stonemill observer was also absent) at which the Board authorized engagement with Hargrove. Trask objected promptly and has maintained a consistent record of opposition. This gives Stonemill a documented basis to argue that the sale process was advanced without adequate consultation of a major stockholder. Combined with the Special Committee composition issue, Stonemill has multiple process-based grounds to challenge the Transaction.</w:t>
      </w:r>
      <w:r>
        <w:t xml:space="preserve"> </w:t>
      </w:r>
      <w:r>
        <w:rPr>
          <w:b/>
          <w:bCs/>
        </w:rPr>
        <w:t xml:space="preserve">Severity: Significant.</w:t>
      </w:r>
    </w:p>
    <w:bookmarkEnd w:id="74"/>
    <w:bookmarkStart w:id="75" w:name="d.-overall-process-assessment"/>
    <w:p>
      <w:pPr>
        <w:pStyle w:val="Heading3"/>
      </w:pPr>
      <w:r>
        <w:t xml:space="preserve">D. Overall Process Assessment</w:t>
      </w:r>
    </w:p>
    <w:p>
      <w:pPr>
        <w:pStyle w:val="FirstParagraph"/>
      </w:pPr>
      <w:r>
        <w:t xml:space="preserve">The sale process has several vulnerabilities that Stonemill may exploit: (i) the Special Committee is not fully independent (Okafor); (ii) a major stockholder’s designee was absent from and objected to a pivotal meeting; (iii) the process was relatively narrow; and (iv) the Board’s characterization of the waterfall in the September 25 minutes was imprecise (Section IX.C). None of these is necessarily fatal — the Board had quorum at all meetings, the actions were properly noticed, and the Company engaged independent advisors (Meridian, Thornbury) — but they collectively create a record that Stonemill can use to support a fiduciary-duty or process challenge, particularly if it seeks to enjoin the closing or to extract concessions. The client should be prepared to defend the process and should consider whether any curative steps (e.g., a refreshed fairness opinion, additional process documentation) are warranted.</w:t>
      </w:r>
    </w:p>
    <w:p>
      <w:r>
        <w:pict>
          <v:rect style="width:0;height:1.5pt" o:hralign="center" o:hrstd="t" o:hr="t"/>
        </w:pict>
      </w:r>
    </w:p>
    <w:bookmarkEnd w:id="75"/>
    <w:bookmarkEnd w:id="76"/>
    <w:bookmarkStart w:id="82" w:name="X8f138a4c7ae3f68e3c028a5e375dfb290a0aff9"/>
    <w:p>
      <w:pPr>
        <w:pStyle w:val="Heading2"/>
      </w:pPr>
      <w:r>
        <w:t xml:space="preserve">XII. AREA 10 — REGISTRATION RIGHTS POST-TRANSACTION</w:t>
      </w:r>
    </w:p>
    <w:bookmarkStart w:id="77" w:name="a.-rra-termination-provisions"/>
    <w:p>
      <w:pPr>
        <w:pStyle w:val="Heading3"/>
      </w:pPr>
      <w:r>
        <w:t xml:space="preserve">A. RRA Termination Provisions</w:t>
      </w:r>
    </w:p>
    <w:p>
      <w:pPr>
        <w:pStyle w:val="FirstParagraph"/>
      </w:pPr>
      <w:r>
        <w:t xml:space="preserve">Section 9 of the RRA provides that the registration rights granted thereunder terminate with respect to any particular Holder upon the earliest of: (a) the date the Holder can sell all of its Registrable Securities in a single three-month period under Rule 144 without volume or manner-of-sale restrictions and without the current-public-information requirement; (b) the fifth anniversary of the closing of the Company’s IPO; or (c)</w:t>
      </w:r>
      <w:r>
        <w:t xml:space="preserve"> </w:t>
      </w:r>
      <w:r>
        <w:rPr>
          <w:b/>
          <w:bCs/>
        </w:rPr>
        <w:t xml:space="preserve">“</w:t>
      </w:r>
      <w:r>
        <w:rPr>
          <w:b/>
          <w:bCs/>
        </w:rPr>
        <w:t xml:space="preserve">a Deemed Liquidation Event.</w:t>
      </w:r>
      <w:r>
        <w:rPr>
          <w:b/>
          <w:bCs/>
        </w:rPr>
        <w:t xml:space="preserve">”</w:t>
      </w:r>
      <w:r>
        <w:t xml:space="preserve"> </w:t>
      </w:r>
      <w:r>
        <w:t xml:space="preserve">The RRA terminates in its entirety upon the earliest of (i) termination as to all Holders pursuant to clauses (a)–(c), or (ii) the written consent of the Company and Holders of a majority of the then-outstanding Registrable Securities.</w:t>
      </w:r>
    </w:p>
    <w:bookmarkEnd w:id="77"/>
    <w:bookmarkStart w:id="78" w:name="X09da076bea79286151d1b496d8d819f6566623d"/>
    <w:p>
      <w:pPr>
        <w:pStyle w:val="Heading3"/>
      </w:pPr>
      <w:r>
        <w:t xml:space="preserve">B. The</w:t>
      </w:r>
      <w:r>
        <w:t xml:space="preserve"> </w:t>
      </w:r>
      <w:r>
        <w:t xml:space="preserve">“</w:t>
      </w:r>
      <w:r>
        <w:t xml:space="preserve">Deemed Liquidation Event</w:t>
      </w:r>
      <w:r>
        <w:t xml:space="preserve">”</w:t>
      </w:r>
      <w:r>
        <w:t xml:space="preserve"> </w:t>
      </w:r>
      <w:r>
        <w:t xml:space="preserve">Definitional Gap</w:t>
      </w:r>
    </w:p>
    <w:p>
      <w:pPr>
        <w:pStyle w:val="FirstParagraph"/>
      </w:pPr>
      <w:r>
        <w:t xml:space="preserve">As detailed in Section VIII (Area 6), the RRA uses the term</w:t>
      </w:r>
      <w:r>
        <w:t xml:space="preserve"> </w:t>
      </w:r>
      <w:r>
        <w:t xml:space="preserve">“</w:t>
      </w:r>
      <w:r>
        <w:t xml:space="preserve">Deemed Liquidation Event</w:t>
      </w:r>
      <w:r>
        <w:t xml:space="preserve">”</w:t>
      </w:r>
      <w:r>
        <w:t xml:space="preserve"> </w:t>
      </w:r>
      <w:r>
        <w:t xml:space="preserve">in Section 9(c) but</w:t>
      </w:r>
      <w:r>
        <w:t xml:space="preserve"> </w:t>
      </w:r>
      <w:r>
        <w:rPr>
          <w:b/>
          <w:bCs/>
        </w:rPr>
        <w:t xml:space="preserve">does not define it</w:t>
      </w:r>
      <w:r>
        <w:t xml:space="preserve">. The Charter defines</w:t>
      </w:r>
      <w:r>
        <w:t xml:space="preserve"> </w:t>
      </w:r>
      <w:r>
        <w:t xml:space="preserve">“</w:t>
      </w:r>
      <w:r>
        <w:t xml:space="preserve">Liquidation Event</w:t>
      </w:r>
      <w:r>
        <w:t xml:space="preserve">”</w:t>
      </w:r>
      <w:r>
        <w:t xml:space="preserve"> </w:t>
      </w:r>
      <w:r>
        <w:t xml:space="preserve">(Section 4.3.2(d)), which captures the reverse triangular merger. The evident intent is that the Transaction (a Liquidation Event under the Charter) constitutes a</w:t>
      </w:r>
      <w:r>
        <w:t xml:space="preserve"> </w:t>
      </w:r>
      <w:r>
        <w:t xml:space="preserve">“</w:t>
      </w:r>
      <w:r>
        <w:t xml:space="preserve">Deemed Liquidation Event</w:t>
      </w:r>
      <w:r>
        <w:t xml:space="preserve">”</w:t>
      </w:r>
      <w:r>
        <w:t xml:space="preserve"> </w:t>
      </w:r>
      <w:r>
        <w:t xml:space="preserve">that terminates the RRA. However, the absence of a definition (or a cross-reference to the Charter) creates ambiguity.</w:t>
      </w:r>
    </w:p>
    <w:bookmarkEnd w:id="78"/>
    <w:bookmarkStart w:id="79" w:name="c.-practical-risk-assessment"/>
    <w:p>
      <w:pPr>
        <w:pStyle w:val="Heading3"/>
      </w:pPr>
      <w:r>
        <w:t xml:space="preserve">C. Practical Risk Assessment</w:t>
      </w:r>
    </w:p>
    <w:p>
      <w:pPr>
        <w:pStyle w:val="FirstParagraph"/>
      </w:pPr>
      <w:r>
        <w:t xml:space="preserve">The practical risk of registration rights surviving the merger is</w:t>
      </w:r>
      <w:r>
        <w:t xml:space="preserve"> </w:t>
      </w:r>
      <w:r>
        <w:rPr>
          <w:b/>
          <w:bCs/>
        </w:rPr>
        <w:t xml:space="preserve">low</w:t>
      </w:r>
      <w:r>
        <w:t xml:space="preserve">, for two reasons:</w:t>
      </w:r>
    </w:p>
    <w:p>
      <w:pPr>
        <w:pStyle w:val="Compact"/>
        <w:numPr>
          <w:ilvl w:val="0"/>
          <w:numId w:val="1019"/>
        </w:numPr>
      </w:pPr>
      <w:r>
        <w:rPr>
          <w:b/>
          <w:bCs/>
        </w:rPr>
        <w:t xml:space="preserve">No Registrable Securities post-closing.</w:t>
      </w:r>
      <w:r>
        <w:t xml:space="preserve"> </w:t>
      </w:r>
      <w:r>
        <w:t xml:space="preserve">“</w:t>
      </w:r>
      <w:r>
        <w:t xml:space="preserve">Registrable Securities</w:t>
      </w:r>
      <w:r>
        <w:t xml:space="preserve">”</w:t>
      </w:r>
      <w:r>
        <w:t xml:space="preserve"> </w:t>
      </w:r>
      <w:r>
        <w:t xml:space="preserve">are defined (RRA Section 1) as shares of Common Stock issued or issuable upon conversion of the Preferred Stock held by the Holders (and related dividend/replacement shares). Upon closing, all Preferred Stock is cancelled and converted into cash. With no Preferred Stock outstanding, no Registrable Securities exist, and the registration obligations become moot.</w:t>
      </w:r>
    </w:p>
    <w:p>
      <w:pPr>
        <w:pStyle w:val="Compact"/>
        <w:numPr>
          <w:ilvl w:val="0"/>
          <w:numId w:val="1019"/>
        </w:numPr>
      </w:pPr>
      <w:r>
        <w:rPr>
          <w:b/>
          <w:bCs/>
        </w:rPr>
        <w:t xml:space="preserve">All-cash consideration.</w:t>
      </w:r>
      <w:r>
        <w:t xml:space="preserve"> </w:t>
      </w:r>
      <w:r>
        <w:t xml:space="preserve">Because the merger consideration is entirely cash, no Holder receives securities of the acquiring entity that could constitute new Registrable Securities.</w:t>
      </w:r>
    </w:p>
    <w:p>
      <w:pPr>
        <w:pStyle w:val="FirstParagraph"/>
      </w:pPr>
      <w:r>
        <w:t xml:space="preserve">Accordingly, even if the RRA does not formally terminate upon the merger (due to the definitional gap), there are no Registrable Securities to register post-closing, and the registration rights are effectively moot.</w:t>
      </w:r>
    </w:p>
    <w:bookmarkEnd w:id="79"/>
    <w:bookmarkStart w:id="80" w:name="d.-recommendation"/>
    <w:p>
      <w:pPr>
        <w:pStyle w:val="Heading3"/>
      </w:pPr>
      <w:r>
        <w:t xml:space="preserve">D. Recommendation</w:t>
      </w:r>
    </w:p>
    <w:p>
      <w:pPr>
        <w:pStyle w:val="FirstParagraph"/>
      </w:pPr>
      <w:r>
        <w:t xml:space="preserve">Notwithstanding the low practical risk, the definitional gap should be eliminated to avoid any post-closing ambiguity or argument.</w:t>
      </w:r>
      <w:r>
        <w:t xml:space="preserve"> </w:t>
      </w:r>
      <w:r>
        <w:rPr>
          <w:b/>
          <w:bCs/>
        </w:rPr>
        <w:t xml:space="preserve">The merger agreement should include an express termination and release of the RRA at closing</w:t>
      </w:r>
      <w:r>
        <w:t xml:space="preserve">, executed by the Company and the Holders (or obtained as a condition to closing). This is consistent with the email instruction to address any post-closing liability arising from a definitional gap through a specific termination or waiver at closing.</w:t>
      </w:r>
      <w:r>
        <w:t xml:space="preserve"> </w:t>
      </w:r>
      <w:r>
        <w:rPr>
          <w:b/>
          <w:bCs/>
        </w:rPr>
        <w:t xml:space="preserve">Severity: Moderate.</w:t>
      </w:r>
    </w:p>
    <w:bookmarkEnd w:id="80"/>
    <w:bookmarkStart w:id="81" w:name="e.-demand-registration-timing-note"/>
    <w:p>
      <w:pPr>
        <w:pStyle w:val="Heading3"/>
      </w:pPr>
      <w:r>
        <w:t xml:space="preserve">E. Demand Registration Timing Note</w:t>
      </w:r>
    </w:p>
    <w:p>
      <w:pPr>
        <w:pStyle w:val="FirstParagraph"/>
      </w:pPr>
      <w:r>
        <w:t xml:space="preserve">Demand registration rights under Section 2.1(a) become available on November 3, 2024 (three years after the date of the RRA) — before the target Q1 2025 closing. In theory, a Holder could request a Demand Registration during the signing-to-closing period as a delaying tactic. In practice, the merger (a Deemed Liquidation Event/Liquidation Event) would terminate the RRA, and the Company’s Deferral Right (Section 2.1(d)) could be invoked. This is a minor timing consideration, not a material risk.</w:t>
      </w:r>
      <w:r>
        <w:t xml:space="preserve"> </w:t>
      </w:r>
      <w:r>
        <w:rPr>
          <w:b/>
          <w:bCs/>
        </w:rPr>
        <w:t xml:space="preserve">Severity: Moderate (minor).</w:t>
      </w:r>
    </w:p>
    <w:p>
      <w:r>
        <w:pict>
          <v:rect style="width:0;height:1.5pt" o:hralign="center" o:hrstd="t" o:hr="t"/>
        </w:pict>
      </w:r>
    </w:p>
    <w:bookmarkEnd w:id="81"/>
    <w:bookmarkEnd w:id="82"/>
    <w:bookmarkStart w:id="83" w:name="Xea8373bae817ec853d42770bbfbfe7134df90a4"/>
    <w:p>
      <w:pPr>
        <w:pStyle w:val="Heading2"/>
      </w:pPr>
      <w:r>
        <w:t xml:space="preserve">XIII. STONEMILL LEVERAGE MAP — CONSOLIDATED ANALYSIS</w:t>
      </w:r>
    </w:p>
    <w:p>
      <w:pPr>
        <w:pStyle w:val="FirstParagraph"/>
      </w:pPr>
      <w:r>
        <w:t xml:space="preserve">At the client’s request, the following consolidates every leverage point Stonemill holds across the governance documents, classifying each as a blocking right, a delaying/nuisance right, or an informational right.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Leverage Point</w:t>
            </w:r>
          </w:p>
        </w:tc>
        <w:tc>
          <w:tcPr/>
          <w:p>
            <w:pPr>
              <w:pStyle w:val="Compact"/>
              <w:jc w:val="left"/>
            </w:pPr>
            <w:r>
              <w:t xml:space="preserve">Source</w:t>
            </w:r>
          </w:p>
        </w:tc>
        <w:tc>
          <w:tcPr/>
          <w:p>
            <w:pPr>
              <w:pStyle w:val="Compact"/>
              <w:jc w:val="left"/>
            </w:pPr>
            <w:r>
              <w:t xml:space="preserve">Type</w:t>
            </w:r>
          </w:p>
        </w:tc>
        <w:tc>
          <w:tcPr/>
          <w:p>
            <w:pPr>
              <w:pStyle w:val="Compact"/>
              <w:jc w:val="left"/>
            </w:pPr>
            <w:r>
              <w:t xml:space="preserve">Can It Block the Transaction?</w:t>
            </w:r>
          </w:p>
        </w:tc>
      </w:tr>
      <w:tr>
        <w:tc>
          <w:tcPr/>
          <w:p>
            <w:pPr>
              <w:pStyle w:val="Compact"/>
              <w:jc w:val="left"/>
            </w:pPr>
            <w:r>
              <w:t xml:space="preserve">1</w:t>
            </w:r>
          </w:p>
        </w:tc>
        <w:tc>
          <w:tcPr/>
          <w:p>
            <w:pPr>
              <w:pStyle w:val="Compact"/>
              <w:jc w:val="left"/>
            </w:pPr>
            <w:r>
              <w:t xml:space="preserve">Series C separate-class consent (66⅔%) for any Liquidation Event</w:t>
            </w:r>
          </w:p>
        </w:tc>
        <w:tc>
          <w:tcPr/>
          <w:p>
            <w:pPr>
              <w:pStyle w:val="Compact"/>
              <w:jc w:val="left"/>
            </w:pPr>
            <w:r>
              <w:t xml:space="preserve">Charter § 4.3.6(b)(i)</w:t>
            </w:r>
          </w:p>
        </w:tc>
        <w:tc>
          <w:tcPr/>
          <w:p>
            <w:pPr>
              <w:pStyle w:val="Compact"/>
              <w:jc w:val="left"/>
            </w:pPr>
            <w:r>
              <w:rPr>
                <w:b/>
                <w:bCs/>
              </w:rPr>
              <w:t xml:space="preserve">Hard blocking right</w:t>
            </w:r>
          </w:p>
        </w:tc>
        <w:tc>
          <w:tcPr/>
          <w:p>
            <w:pPr>
              <w:pStyle w:val="Compact"/>
              <w:jc w:val="left"/>
            </w:pPr>
            <w:r>
              <w:rPr>
                <w:b/>
                <w:bCs/>
              </w:rPr>
              <w:t xml:space="preserve">Yes — decisive.</w:t>
            </w:r>
            <w:r>
              <w:t xml:space="preserve"> </w:t>
            </w:r>
            <w:r>
              <w:t xml:space="preserve">Stonemill holds 100% of Series C. Cannot be satisfied without Stonemill.</w:t>
            </w:r>
          </w:p>
        </w:tc>
      </w:tr>
      <w:tr>
        <w:tc>
          <w:tcPr/>
          <w:p>
            <w:pPr>
              <w:pStyle w:val="Compact"/>
              <w:jc w:val="left"/>
            </w:pPr>
            <w:r>
              <w:t xml:space="preserve">2</w:t>
            </w:r>
          </w:p>
        </w:tc>
        <w:tc>
          <w:tcPr/>
          <w:p>
            <w:pPr>
              <w:pStyle w:val="Compact"/>
              <w:jc w:val="left"/>
            </w:pPr>
            <w:r>
              <w:t xml:space="preserve">All-Preferred consent (majority) for any Liquidation Event</w:t>
            </w:r>
          </w:p>
        </w:tc>
        <w:tc>
          <w:tcPr/>
          <w:p>
            <w:pPr>
              <w:pStyle w:val="Compact"/>
              <w:jc w:val="left"/>
            </w:pPr>
            <w:r>
              <w:t xml:space="preserve">Charter § 4.3.6(a)(vi)</w:t>
            </w:r>
          </w:p>
        </w:tc>
        <w:tc>
          <w:tcPr/>
          <w:p>
            <w:pPr>
              <w:pStyle w:val="Compact"/>
              <w:jc w:val="left"/>
            </w:pPr>
            <w:r>
              <w:t xml:space="preserve">Consent right</w:t>
            </w:r>
          </w:p>
        </w:tc>
        <w:tc>
          <w:tcPr/>
          <w:p>
            <w:pPr>
              <w:pStyle w:val="Compact"/>
              <w:jc w:val="left"/>
            </w:pPr>
            <w:r>
              <w:t xml:space="preserve">No — Northbridge + Ridgeline (8,700,000) exceed the 8,250,000 threshold without Stonemill.</w:t>
            </w:r>
          </w:p>
        </w:tc>
      </w:tr>
      <w:tr>
        <w:tc>
          <w:tcPr/>
          <w:p>
            <w:pPr>
              <w:pStyle w:val="Compact"/>
              <w:jc w:val="left"/>
            </w:pPr>
            <w:r>
              <w:t xml:space="preserve">3</w:t>
            </w:r>
          </w:p>
        </w:tc>
        <w:tc>
          <w:tcPr/>
          <w:p>
            <w:pPr>
              <w:pStyle w:val="Compact"/>
              <w:jc w:val="left"/>
            </w:pPr>
            <w:r>
              <w:t xml:space="preserve">Board seat (Series C Director)</w:t>
            </w:r>
          </w:p>
        </w:tc>
        <w:tc>
          <w:tcPr/>
          <w:p>
            <w:pPr>
              <w:pStyle w:val="Compact"/>
              <w:jc w:val="left"/>
            </w:pPr>
            <w:r>
              <w:t xml:space="preserve">Voting Agreement § 2.2(c)</w:t>
            </w:r>
          </w:p>
        </w:tc>
        <w:tc>
          <w:tcPr/>
          <w:p>
            <w:pPr>
              <w:pStyle w:val="Compact"/>
              <w:jc w:val="left"/>
            </w:pPr>
            <w:r>
              <w:t xml:space="preserve">Voice/visibility</w:t>
            </w:r>
          </w:p>
        </w:tc>
        <w:tc>
          <w:tcPr/>
          <w:p>
            <w:pPr>
              <w:pStyle w:val="Compact"/>
              <w:jc w:val="left"/>
            </w:pPr>
            <w:r>
              <w:t xml:space="preserve">No — Board acts by majority; Trask can dissent and create a record but cannot block.</w:t>
            </w:r>
          </w:p>
        </w:tc>
      </w:tr>
      <w:tr>
        <w:tc>
          <w:tcPr/>
          <w:p>
            <w:pPr>
              <w:pStyle w:val="Compact"/>
              <w:jc w:val="left"/>
            </w:pPr>
            <w:r>
              <w:t xml:space="preserve">4</w:t>
            </w:r>
          </w:p>
        </w:tc>
        <w:tc>
          <w:tcPr/>
          <w:p>
            <w:pPr>
              <w:pStyle w:val="Compact"/>
              <w:jc w:val="left"/>
            </w:pPr>
            <w:r>
              <w:t xml:space="preserve">Board observer right</w:t>
            </w:r>
          </w:p>
        </w:tc>
        <w:tc>
          <w:tcPr/>
          <w:p>
            <w:pPr>
              <w:pStyle w:val="Compact"/>
              <w:jc w:val="left"/>
            </w:pPr>
            <w:r>
              <w:t xml:space="preserve">Voting Agreement § 4</w:t>
            </w:r>
          </w:p>
        </w:tc>
        <w:tc>
          <w:tcPr/>
          <w:p>
            <w:pPr>
              <w:pStyle w:val="Compact"/>
              <w:jc w:val="left"/>
            </w:pPr>
            <w:r>
              <w:t xml:space="preserve">Informational</w:t>
            </w:r>
          </w:p>
        </w:tc>
        <w:tc>
          <w:tcPr/>
          <w:p>
            <w:pPr>
              <w:pStyle w:val="Compact"/>
              <w:jc w:val="left"/>
            </w:pPr>
            <w:r>
              <w:t xml:space="preserve">No — non-voting; excludable for privilege/conflict.</w:t>
            </w:r>
          </w:p>
        </w:tc>
      </w:tr>
      <w:tr>
        <w:tc>
          <w:tcPr/>
          <w:p>
            <w:pPr>
              <w:pStyle w:val="Compact"/>
              <w:jc w:val="left"/>
            </w:pPr>
            <w:r>
              <w:t xml:space="preserve">5</w:t>
            </w:r>
          </w:p>
        </w:tc>
        <w:tc>
          <w:tcPr/>
          <w:p>
            <w:pPr>
              <w:pStyle w:val="Compact"/>
              <w:jc w:val="left"/>
            </w:pPr>
            <w:r>
              <w:t xml:space="preserve">Drag-along (as a party)</w:t>
            </w:r>
          </w:p>
        </w:tc>
        <w:tc>
          <w:tcPr/>
          <w:p>
            <w:pPr>
              <w:pStyle w:val="Compact"/>
              <w:jc w:val="left"/>
            </w:pPr>
            <w:r>
              <w:t xml:space="preserve">Stockholders’ Agreement Art. 3</w:t>
            </w:r>
          </w:p>
        </w:tc>
        <w:tc>
          <w:tcPr/>
          <w:p>
            <w:pPr>
              <w:pStyle w:val="Compact"/>
              <w:jc w:val="left"/>
            </w:pPr>
            <w:r>
              <w:t xml:space="preserve">Potential override</w:t>
            </w:r>
          </w:p>
        </w:tc>
        <w:tc>
          <w:tcPr/>
          <w:p>
            <w:pPr>
              <w:pStyle w:val="Compact"/>
              <w:jc w:val="left"/>
            </w:pPr>
            <w:r>
              <w:t xml:space="preserve">No (likely) — the drag-along most likely cannot override the Series C separate-class protective provision under Delaware law (</w:t>
            </w:r>
            <w:r>
              <w:rPr>
                <w:i/>
                <w:iCs/>
              </w:rPr>
              <w:t xml:space="preserve">ODN v. Knowlton</w:t>
            </w:r>
            <w:r>
              <w:t xml:space="preserve">).</w:t>
            </w:r>
          </w:p>
        </w:tc>
      </w:tr>
      <w:tr>
        <w:tc>
          <w:tcPr/>
          <w:p>
            <w:pPr>
              <w:pStyle w:val="Compact"/>
              <w:jc w:val="left"/>
            </w:pPr>
            <w:r>
              <w:t xml:space="preserve">6</w:t>
            </w:r>
          </w:p>
        </w:tc>
        <w:tc>
          <w:tcPr/>
          <w:p>
            <w:pPr>
              <w:pStyle w:val="Compact"/>
              <w:jc w:val="left"/>
            </w:pPr>
            <w:r>
              <w:t xml:space="preserve">ROFR / co-sale / tag-along</w:t>
            </w:r>
          </w:p>
        </w:tc>
        <w:tc>
          <w:tcPr/>
          <w:p>
            <w:pPr>
              <w:pStyle w:val="Compact"/>
              <w:jc w:val="left"/>
            </w:pPr>
            <w:r>
              <w:t xml:space="preserve">Stockholders’ Agreement §§ 2.2–2.4</w:t>
            </w:r>
          </w:p>
        </w:tc>
        <w:tc>
          <w:tcPr/>
          <w:p>
            <w:pPr>
              <w:pStyle w:val="Compact"/>
              <w:jc w:val="left"/>
            </w:pPr>
            <w:r>
              <w:t xml:space="preserve">Transfer restriction</w:t>
            </w:r>
          </w:p>
        </w:tc>
        <w:tc>
          <w:tcPr/>
          <w:p>
            <w:pPr>
              <w:pStyle w:val="Compact"/>
              <w:jc w:val="left"/>
            </w:pPr>
            <w:r>
              <w:t xml:space="preserve">No — should not apply to a Sale of the Company; agreement terminates on closing.</w:t>
            </w:r>
          </w:p>
        </w:tc>
      </w:tr>
      <w:tr>
        <w:tc>
          <w:tcPr/>
          <w:p>
            <w:pPr>
              <w:pStyle w:val="Compact"/>
              <w:jc w:val="left"/>
            </w:pPr>
            <w:r>
              <w:t xml:space="preserve">7</w:t>
            </w:r>
          </w:p>
        </w:tc>
        <w:tc>
          <w:tcPr/>
          <w:p>
            <w:pPr>
              <w:pStyle w:val="Compact"/>
              <w:jc w:val="left"/>
            </w:pPr>
            <w:r>
              <w:t xml:space="preserve">Information rights (Major Investor)</w:t>
            </w:r>
          </w:p>
        </w:tc>
        <w:tc>
          <w:tcPr/>
          <w:p>
            <w:pPr>
              <w:pStyle w:val="Compact"/>
              <w:jc w:val="left"/>
            </w:pPr>
            <w:r>
              <w:t xml:space="preserve">Stockholders’ Agreement Art. 4</w:t>
            </w:r>
          </w:p>
        </w:tc>
        <w:tc>
          <w:tcPr/>
          <w:p>
            <w:pPr>
              <w:pStyle w:val="Compact"/>
              <w:jc w:val="left"/>
            </w:pPr>
            <w:r>
              <w:t xml:space="preserve">Informational</w:t>
            </w:r>
          </w:p>
        </w:tc>
        <w:tc>
          <w:tcPr/>
          <w:p>
            <w:pPr>
              <w:pStyle w:val="Compact"/>
              <w:jc w:val="left"/>
            </w:pPr>
            <w:r>
              <w:t xml:space="preserve">No — access to financials/inspection; not a blocking right.</w:t>
            </w:r>
          </w:p>
        </w:tc>
      </w:tr>
      <w:tr>
        <w:tc>
          <w:tcPr/>
          <w:p>
            <w:pPr>
              <w:pStyle w:val="Compact"/>
              <w:jc w:val="left"/>
            </w:pPr>
            <w:r>
              <w:t xml:space="preserve">8</w:t>
            </w:r>
          </w:p>
        </w:tc>
        <w:tc>
          <w:tcPr/>
          <w:p>
            <w:pPr>
              <w:pStyle w:val="Compact"/>
              <w:jc w:val="left"/>
            </w:pPr>
            <w:r>
              <w:t xml:space="preserve">Registration rights</w:t>
            </w:r>
          </w:p>
        </w:tc>
        <w:tc>
          <w:tcPr/>
          <w:p>
            <w:pPr>
              <w:pStyle w:val="Compact"/>
              <w:jc w:val="left"/>
            </w:pPr>
            <w:r>
              <w:t xml:space="preserve">RRA</w:t>
            </w:r>
          </w:p>
        </w:tc>
        <w:tc>
          <w:tcPr/>
          <w:p>
            <w:pPr>
              <w:pStyle w:val="Compact"/>
              <w:jc w:val="left"/>
            </w:pPr>
            <w:r>
              <w:t xml:space="preserve">Registration</w:t>
            </w:r>
          </w:p>
        </w:tc>
        <w:tc>
          <w:tcPr/>
          <w:p>
            <w:pPr>
              <w:pStyle w:val="Compact"/>
              <w:jc w:val="left"/>
            </w:pPr>
            <w:r>
              <w:t xml:space="preserve">No — not a blocking right; terminates on Deemed Liquidation Event.</w:t>
            </w:r>
          </w:p>
        </w:tc>
      </w:tr>
      <w:tr>
        <w:tc>
          <w:tcPr/>
          <w:p>
            <w:pPr>
              <w:pStyle w:val="Compact"/>
              <w:jc w:val="left"/>
            </w:pPr>
            <w:r>
              <w:t xml:space="preserve">9</w:t>
            </w:r>
          </w:p>
        </w:tc>
        <w:tc>
          <w:tcPr/>
          <w:p>
            <w:pPr>
              <w:pStyle w:val="Compact"/>
              <w:jc w:val="left"/>
            </w:pPr>
            <w:r>
              <w:t xml:space="preserve">Economic leverage (zero return at $485M EV)</w:t>
            </w:r>
          </w:p>
        </w:tc>
        <w:tc>
          <w:tcPr/>
          <w:p>
            <w:pPr>
              <w:pStyle w:val="Compact"/>
              <w:jc w:val="left"/>
            </w:pPr>
            <w:r>
              <w:t xml:space="preserve">Charter § 4.3.2 (waterfall)</w:t>
            </w:r>
          </w:p>
        </w:tc>
        <w:tc>
          <w:tcPr/>
          <w:p>
            <w:pPr>
              <w:pStyle w:val="Compact"/>
              <w:jc w:val="left"/>
            </w:pPr>
            <w:r>
              <w:t xml:space="preserve">Negotiating leverage</w:t>
            </w:r>
          </w:p>
        </w:tc>
        <w:tc>
          <w:tcPr/>
          <w:p>
            <w:pPr>
              <w:pStyle w:val="Compact"/>
              <w:jc w:val="left"/>
            </w:pPr>
            <w:r>
              <w:t xml:space="preserve">N/A — motivates Stonemill to block or extract concessions.</w:t>
            </w:r>
          </w:p>
        </w:tc>
      </w:tr>
      <w:tr>
        <w:tc>
          <w:tcPr/>
          <w:p>
            <w:pPr>
              <w:pStyle w:val="Compact"/>
              <w:jc w:val="left"/>
            </w:pPr>
            <w:r>
              <w:t xml:space="preserve">10</w:t>
            </w:r>
          </w:p>
        </w:tc>
        <w:tc>
          <w:tcPr/>
          <w:p>
            <w:pPr>
              <w:pStyle w:val="Compact"/>
              <w:jc w:val="left"/>
            </w:pPr>
            <w:r>
              <w:t xml:space="preserve">Process challenges (Trask absence/objection; Committee composition)</w:t>
            </w:r>
          </w:p>
        </w:tc>
        <w:tc>
          <w:tcPr/>
          <w:p>
            <w:pPr>
              <w:pStyle w:val="Compact"/>
              <w:jc w:val="left"/>
            </w:pPr>
            <w:r>
              <w:t xml:space="preserve">Board Minutes; Voting Agreement</w:t>
            </w:r>
          </w:p>
        </w:tc>
        <w:tc>
          <w:tcPr/>
          <w:p>
            <w:pPr>
              <w:pStyle w:val="Compact"/>
              <w:jc w:val="left"/>
            </w:pPr>
            <w:r>
              <w:t xml:space="preserve">Litigation/nuisance</w:t>
            </w:r>
          </w:p>
        </w:tc>
        <w:tc>
          <w:tcPr/>
          <w:p>
            <w:pPr>
              <w:pStyle w:val="Compact"/>
              <w:jc w:val="left"/>
            </w:pPr>
            <w:r>
              <w:t xml:space="preserve">No (not a legal block) — but provides ammunition to challenge the process and pressure the Company.</w:t>
            </w:r>
          </w:p>
        </w:tc>
      </w:tr>
    </w:tbl>
    <w:p>
      <w:pPr>
        <w:pStyle w:val="BodyText"/>
      </w:pPr>
      <w:r>
        <w:rPr>
          <w:b/>
          <w:bCs/>
        </w:rPr>
        <w:t xml:space="preserve">Bottom line.</w:t>
      </w:r>
      <w:r>
        <w:t xml:space="preserve"> </w:t>
      </w:r>
      <w:r>
        <w:t xml:space="preserve">Stonemill’s only true blocking right is the Series C separate-class consent (Charter Section 4.3.6(b)(i)). Every other leverage point is either satisfiable without Stonemill, non-blocking, or informational. The drag-along does not provide a reliable path to override the Series C veto.</w:t>
      </w:r>
      <w:r>
        <w:t xml:space="preserve"> </w:t>
      </w:r>
      <w:r>
        <w:rPr>
          <w:b/>
          <w:bCs/>
        </w:rPr>
        <w:t xml:space="preserve">There is no viable path to closing a 100% acquisition of Terravox without Stonemill’s affirmative consent through the governance documents alone.</w:t>
      </w:r>
      <w:r>
        <w:t xml:space="preserve"> </w:t>
      </w:r>
      <w:r>
        <w:t xml:space="preserve">The negotiation strategy must be built around obtaining Stonemill’s consent — likely through a negotiated allocation of additional consideration or a side arrangement — while being prepared for Stonemill to deploy its process challenges as leverage. The client’s hypothesis that a viable path to closing over Stonemill’s objection exists is, on the current record, not supported by the governance documents.</w:t>
      </w:r>
    </w:p>
    <w:p>
      <w:r>
        <w:pict>
          <v:rect style="width:0;height:1.5pt" o:hralign="center" o:hrstd="t" o:hr="t"/>
        </w:pict>
      </w:r>
    </w:p>
    <w:bookmarkEnd w:id="83"/>
    <w:bookmarkStart w:id="88" w:name="X3f9848a7c8da72b6e795d9bd46afffe9fccd37c"/>
    <w:p>
      <w:pPr>
        <w:pStyle w:val="Heading2"/>
      </w:pPr>
      <w:r>
        <w:t xml:space="preserve">XIV. RECOMMENDED NEXT STEPS AND ACTION ITEMS</w:t>
      </w:r>
    </w:p>
    <w:bookmarkStart w:id="84" w:name="a.-immediate-time-sensitive"/>
    <w:p>
      <w:pPr>
        <w:pStyle w:val="Heading3"/>
      </w:pPr>
      <w:r>
        <w:t xml:space="preserve">A. Immediate / Time-Sensitive</w:t>
      </w:r>
    </w:p>
    <w:p>
      <w:pPr>
        <w:pStyle w:val="Compact"/>
        <w:numPr>
          <w:ilvl w:val="0"/>
          <w:numId w:val="1020"/>
        </w:numPr>
      </w:pPr>
      <w:r>
        <w:rPr>
          <w:b/>
          <w:bCs/>
        </w:rPr>
        <w:t xml:space="preserve">SensorLink LOI exclusivity (Critical).</w:t>
      </w:r>
      <w:r>
        <w:t xml:space="preserve"> </w:t>
      </w:r>
      <w:r>
        <w:t xml:space="preserve">Flag to Jonathan Hsieh immediately. Obtain the SensorLink LOI; confirm whether a termination notice was delivered before September 8, 2024; if not, confirm through Company counsel that a termination notice is delivered promptly (and before the next renewal deadline of approximately December 7, 2024, requiring notice by approximately November 22, 2024). Include a representation in the merger agreement that no exclusivity obligation to SensorLink is in effect.</w:t>
      </w:r>
    </w:p>
    <w:p>
      <w:pPr>
        <w:pStyle w:val="Compact"/>
        <w:numPr>
          <w:ilvl w:val="0"/>
          <w:numId w:val="1020"/>
        </w:numPr>
      </w:pPr>
      <w:r>
        <w:rPr>
          <w:b/>
          <w:bCs/>
        </w:rPr>
        <w:t xml:space="preserve">Stonemill blocking right (Critical).</w:t>
      </w:r>
      <w:r>
        <w:t xml:space="preserve"> </w:t>
      </w:r>
      <w:r>
        <w:t xml:space="preserve">Advise the client that the Series C separate-class consent is a hard block and that the Transaction cannot close without Stonemill’s consent. Develop a negotiation strategy for engaging Stonemill, including potential economic concessions (e.g., a higher allocation of consideration to Series C, a side payment, or post-closing management/consulting rights) and the boundaries of any permissible side arrangement (subject to fiduciary-duty and drag-along</w:t>
      </w:r>
      <w:r>
        <w:t xml:space="preserve"> </w:t>
      </w:r>
      <w:r>
        <w:t xml:space="preserve">“</w:t>
      </w:r>
      <w:r>
        <w:t xml:space="preserve">same consideration</w:t>
      </w:r>
      <w:r>
        <w:t xml:space="preserve">”</w:t>
      </w:r>
      <w:r>
        <w:t xml:space="preserve"> </w:t>
      </w:r>
      <w:r>
        <w:t xml:space="preserve">constraints).</w:t>
      </w:r>
    </w:p>
    <w:bookmarkEnd w:id="84"/>
    <w:bookmarkStart w:id="85" w:name="Xede54880503ec3f908e525a28196801672745c0"/>
    <w:p>
      <w:pPr>
        <w:pStyle w:val="Heading3"/>
      </w:pPr>
      <w:r>
        <w:t xml:space="preserve">B. Document Requests (to be routed through Jonathan Hsieh to Nathaniel Rourke at Avery, Pollard &amp; Glenn)</w:t>
      </w:r>
    </w:p>
    <w:p>
      <w:pPr>
        <w:pStyle w:val="Compact"/>
        <w:numPr>
          <w:ilvl w:val="0"/>
          <w:numId w:val="1021"/>
        </w:numPr>
      </w:pPr>
      <w:r>
        <w:t xml:space="preserve">2021 Equity Incentive Plan, as amended (including the July 2023 amendment increasing the share reserve to 9,500,000 shares), and all prior amendments.</w:t>
      </w:r>
    </w:p>
    <w:p>
      <w:pPr>
        <w:pStyle w:val="Compact"/>
        <w:numPr>
          <w:ilvl w:val="0"/>
          <w:numId w:val="1021"/>
        </w:numPr>
      </w:pPr>
      <w:r>
        <w:t xml:space="preserve">All individual award agreements under the Plan — in particular the option agreement for Raj Malhotra (350,000 options) and the RSU agreement for Linda Yeung (200,000 RSUs), and all other outstanding option and RSU agreements.</w:t>
      </w:r>
    </w:p>
    <w:p>
      <w:pPr>
        <w:pStyle w:val="Compact"/>
        <w:numPr>
          <w:ilvl w:val="0"/>
          <w:numId w:val="1021"/>
        </w:numPr>
      </w:pPr>
      <w:r>
        <w:t xml:space="preserve">Complete capitalization table and fully diluted share analysis, breaking down the 10,100,000</w:t>
      </w:r>
      <w:r>
        <w:t xml:space="preserve"> </w:t>
      </w:r>
      <w:r>
        <w:t xml:space="preserve">“</w:t>
      </w:r>
      <w:r>
        <w:t xml:space="preserve">Various Common Holders / Option Pool</w:t>
      </w:r>
      <w:r>
        <w:t xml:space="preserve">”</w:t>
      </w:r>
      <w:r>
        <w:t xml:space="preserve"> </w:t>
      </w:r>
      <w:r>
        <w:t xml:space="preserve">into issued Common Stock, outstanding options, outstanding RSUs, and available reserve.</w:t>
      </w:r>
    </w:p>
    <w:p>
      <w:pPr>
        <w:pStyle w:val="Compact"/>
        <w:numPr>
          <w:ilvl w:val="0"/>
          <w:numId w:val="1021"/>
        </w:numPr>
      </w:pPr>
      <w:r>
        <w:t xml:space="preserve">Stockholder consent records — specifically: (a) any Preferred Stockholder written consent in connection with the $12 million Clearfield term loan (October 2023); (b) any stockholder consent in connection with the Plan share-reserve increase (July 2023); and (c) all other stockholder written consents since November 3, 2021.</w:t>
      </w:r>
    </w:p>
    <w:p>
      <w:pPr>
        <w:pStyle w:val="Compact"/>
        <w:numPr>
          <w:ilvl w:val="0"/>
          <w:numId w:val="1021"/>
        </w:numPr>
      </w:pPr>
      <w:r>
        <w:t xml:space="preserve">Clearfield National Bank term loan agreement and all ancillary documents (promissory note, security agreement, intellectual property security agreement, guaranties) — to assess change-of-control covenants and the security interest in IP.</w:t>
      </w:r>
    </w:p>
    <w:p>
      <w:pPr>
        <w:pStyle w:val="Compact"/>
        <w:numPr>
          <w:ilvl w:val="0"/>
          <w:numId w:val="1021"/>
        </w:numPr>
      </w:pPr>
      <w:r>
        <w:t xml:space="preserve">SensorLink Technologies LOI (executed March 8, 2024) and all related correspondence, including any termination notices.</w:t>
      </w:r>
    </w:p>
    <w:p>
      <w:pPr>
        <w:pStyle w:val="Compact"/>
        <w:numPr>
          <w:ilvl w:val="0"/>
          <w:numId w:val="1021"/>
        </w:numPr>
      </w:pPr>
      <w:r>
        <w:t xml:space="preserve">Confirmation that the Stockholders’ Agreement, Voting Agreement, and RRA are the complete set of operative governance agreements, and that no separate</w:t>
      </w:r>
      <w:r>
        <w:t xml:space="preserve"> </w:t>
      </w:r>
      <w:r>
        <w:t xml:space="preserve">“</w:t>
      </w:r>
      <w:r>
        <w:t xml:space="preserve">Investors’ Rights Agreement</w:t>
      </w:r>
      <w:r>
        <w:t xml:space="preserve">”</w:t>
      </w:r>
      <w:r>
        <w:t xml:space="preserve"> </w:t>
      </w:r>
      <w:r>
        <w:t xml:space="preserve">or</w:t>
      </w:r>
      <w:r>
        <w:t xml:space="preserve"> </w:t>
      </w:r>
      <w:r>
        <w:t xml:space="preserve">“</w:t>
      </w:r>
      <w:r>
        <w:t xml:space="preserve">Right of First Refusal and Co-Sale Agreement</w:t>
      </w:r>
      <w:r>
        <w:t xml:space="preserve">”</w:t>
      </w:r>
      <w:r>
        <w:t xml:space="preserve"> </w:t>
      </w:r>
      <w:r>
        <w:t xml:space="preserve">exists (the Board Minutes reference four governance agreements).</w:t>
      </w:r>
    </w:p>
    <w:p>
      <w:pPr>
        <w:pStyle w:val="Compact"/>
        <w:numPr>
          <w:ilvl w:val="0"/>
          <w:numId w:val="1021"/>
        </w:numPr>
      </w:pPr>
      <w:r>
        <w:t xml:space="preserve">Indemnification agreements with each director and officer (referenced in Bylaws Section 6.4).</w:t>
      </w:r>
    </w:p>
    <w:p>
      <w:pPr>
        <w:pStyle w:val="Compact"/>
        <w:numPr>
          <w:ilvl w:val="0"/>
          <w:numId w:val="1021"/>
        </w:numPr>
      </w:pPr>
      <w:r>
        <w:t xml:space="preserve">Directors’ and officers’ liability insurance policy (to assess tail-coverage needs post-closing).</w:t>
      </w:r>
    </w:p>
    <w:p>
      <w:pPr>
        <w:pStyle w:val="Compact"/>
        <w:numPr>
          <w:ilvl w:val="0"/>
          <w:numId w:val="1021"/>
        </w:numPr>
      </w:pPr>
      <w:r>
        <w:t xml:space="preserve">Special Committee charter and minutes of all Special Committee meetings (including the April 10, 2024 meeting).</w:t>
      </w:r>
    </w:p>
    <w:p>
      <w:pPr>
        <w:pStyle w:val="Compact"/>
        <w:numPr>
          <w:ilvl w:val="0"/>
          <w:numId w:val="1021"/>
        </w:numPr>
      </w:pPr>
      <w:r>
        <w:t xml:space="preserve">Thornbury &amp; Associates fairness analysis (when available).</w:t>
      </w:r>
    </w:p>
    <w:p>
      <w:pPr>
        <w:pStyle w:val="Compact"/>
        <w:numPr>
          <w:ilvl w:val="0"/>
          <w:numId w:val="1021"/>
        </w:numPr>
      </w:pPr>
      <w:r>
        <w:t xml:space="preserve">Meridian Partners engagement letter and process materials (contact list, indications of interest, exclusivity agreements).</w:t>
      </w:r>
    </w:p>
    <w:p>
      <w:pPr>
        <w:pStyle w:val="Compact"/>
        <w:numPr>
          <w:ilvl w:val="0"/>
          <w:numId w:val="1021"/>
        </w:numPr>
      </w:pPr>
      <w:r>
        <w:t xml:space="preserve">The most recent 409A valuation report(s) supporting the $14.30 fair market value.</w:t>
      </w:r>
    </w:p>
    <w:p>
      <w:pPr>
        <w:pStyle w:val="Compact"/>
        <w:numPr>
          <w:ilvl w:val="0"/>
          <w:numId w:val="1021"/>
        </w:numPr>
      </w:pPr>
      <w:r>
        <w:t xml:space="preserve">Any side letters, most-favored-nation provisions, or additional rights granted to any stockholder (particularly Stonemill).</w:t>
      </w:r>
    </w:p>
    <w:p>
      <w:pPr>
        <w:pStyle w:val="Compact"/>
        <w:numPr>
          <w:ilvl w:val="0"/>
          <w:numId w:val="1021"/>
        </w:numPr>
      </w:pPr>
      <w:r>
        <w:t xml:space="preserve">Material commercial contracts (including the Permian Basin Energy Co. master services agreement) to assess change-of-control and assignment provisions.</w:t>
      </w:r>
    </w:p>
    <w:bookmarkEnd w:id="85"/>
    <w:bookmarkStart w:id="86" w:name="c.-open-questions-for-client-input"/>
    <w:p>
      <w:pPr>
        <w:pStyle w:val="Heading3"/>
      </w:pPr>
      <w:r>
        <w:t xml:space="preserve">C. Open Questions for Client Input</w:t>
      </w:r>
    </w:p>
    <w:p>
      <w:pPr>
        <w:pStyle w:val="Compact"/>
        <w:numPr>
          <w:ilvl w:val="0"/>
          <w:numId w:val="1022"/>
        </w:numPr>
      </w:pPr>
      <w:r>
        <w:rPr>
          <w:b/>
          <w:bCs/>
        </w:rPr>
        <w:t xml:space="preserve">Stonemill engagement strategy.</w:t>
      </w:r>
      <w:r>
        <w:t xml:space="preserve"> </w:t>
      </w:r>
      <w:r>
        <w:t xml:space="preserve">Does the client wish to pursue a negotiated resolution with Stonemill (and if so, what is the acceptable range of economic concessions), or does the client wish to explore a more aggressive posture (e.g., invoking the drag-along and accepting litigation risk)?</w:t>
      </w:r>
    </w:p>
    <w:p>
      <w:pPr>
        <w:pStyle w:val="Compact"/>
        <w:numPr>
          <w:ilvl w:val="0"/>
          <w:numId w:val="1022"/>
        </w:numPr>
      </w:pPr>
      <w:r>
        <w:rPr>
          <w:b/>
          <w:bCs/>
        </w:rPr>
        <w:t xml:space="preserve">Special Committee.</w:t>
      </w:r>
      <w:r>
        <w:t xml:space="preserve"> </w:t>
      </w:r>
      <w:r>
        <w:t xml:space="preserve">Does the client wish to recommend that the Company reconstitute the Special Committee to exclude Ms. Okafor, or to obtain a refreshed/expanded fairness opinion, to strengthen the process record?</w:t>
      </w:r>
    </w:p>
    <w:p>
      <w:pPr>
        <w:pStyle w:val="Compact"/>
        <w:numPr>
          <w:ilvl w:val="0"/>
          <w:numId w:val="1022"/>
        </w:numPr>
      </w:pPr>
      <w:r>
        <w:rPr>
          <w:b/>
          <w:bCs/>
        </w:rPr>
        <w:t xml:space="preserve">Deal-structure flexibility.</w:t>
      </w:r>
      <w:r>
        <w:t xml:space="preserve"> </w:t>
      </w:r>
      <w:r>
        <w:t xml:space="preserve">Is the client open to structural alternatives (e.g., a portion of the consideration to Series C in a different form) that might address Stonemill’s economic concerns without breaching the drag-along</w:t>
      </w:r>
      <w:r>
        <w:t xml:space="preserve"> </w:t>
      </w:r>
      <w:r>
        <w:t xml:space="preserve">“</w:t>
      </w:r>
      <w:r>
        <w:t xml:space="preserve">same consideration</w:t>
      </w:r>
      <w:r>
        <w:t xml:space="preserve">”</w:t>
      </w:r>
      <w:r>
        <w:t xml:space="preserve"> </w:t>
      </w:r>
      <w:r>
        <w:t xml:space="preserve">constraint or fiduciary duties?</w:t>
      </w:r>
    </w:p>
    <w:p>
      <w:pPr>
        <w:pStyle w:val="Compact"/>
        <w:numPr>
          <w:ilvl w:val="0"/>
          <w:numId w:val="1022"/>
        </w:numPr>
      </w:pPr>
      <w:r>
        <w:rPr>
          <w:b/>
          <w:bCs/>
        </w:rPr>
        <w:t xml:space="preserve">Clearfield loan.</w:t>
      </w:r>
      <w:r>
        <w:t xml:space="preserve"> </w:t>
      </w:r>
      <w:r>
        <w:t xml:space="preserve">Does the client wish to make repayment/assumption of the Clearfield loan a condition to closing, and how should potential change-of-control consent requirements be allocated in the merger agreement?</w:t>
      </w:r>
    </w:p>
    <w:bookmarkEnd w:id="86"/>
    <w:bookmarkStart w:id="87" w:name="X5564cd9218d013e3bd697e00e07056873b885c7"/>
    <w:p>
      <w:pPr>
        <w:pStyle w:val="Heading3"/>
      </w:pPr>
      <w:r>
        <w:t xml:space="preserve">D. Merger Agreement Provisions to Address</w:t>
      </w:r>
    </w:p>
    <w:p>
      <w:pPr>
        <w:pStyle w:val="FirstParagraph"/>
      </w:pPr>
      <w:r>
        <w:t xml:space="preserve">Based on the foregoing, the merger agreement should include, at minimum:</w:t>
      </w:r>
    </w:p>
    <w:p>
      <w:pPr>
        <w:pStyle w:val="Compact"/>
        <w:numPr>
          <w:ilvl w:val="0"/>
          <w:numId w:val="1023"/>
        </w:numPr>
      </w:pPr>
      <w:r>
        <w:t xml:space="preserve">A closing condition requiring the Series C separate-class consent (Charter § 4.3.6(b)(i)) and the all-Preferred consent (Charter § 4.3.6(a)(vi));</w:t>
      </w:r>
    </w:p>
    <w:p>
      <w:pPr>
        <w:pStyle w:val="Compact"/>
        <w:numPr>
          <w:ilvl w:val="0"/>
          <w:numId w:val="1023"/>
        </w:numPr>
      </w:pPr>
      <w:r>
        <w:t xml:space="preserve">A closing condition requiring the DGCL Section 251(d) stockholder vote;</w:t>
      </w:r>
    </w:p>
    <w:p>
      <w:pPr>
        <w:pStyle w:val="Compact"/>
        <w:numPr>
          <w:ilvl w:val="0"/>
          <w:numId w:val="1023"/>
        </w:numPr>
      </w:pPr>
      <w:r>
        <w:t xml:space="preserve">An express termination and release of the RRA at closing (to address the</w:t>
      </w:r>
      <w:r>
        <w:t xml:space="preserve"> </w:t>
      </w:r>
      <w:r>
        <w:t xml:space="preserve">“</w:t>
      </w:r>
      <w:r>
        <w:t xml:space="preserve">Deemed Liquidation Event</w:t>
      </w:r>
      <w:r>
        <w:t xml:space="preserve">”</w:t>
      </w:r>
      <w:r>
        <w:t xml:space="preserve"> </w:t>
      </w:r>
      <w:r>
        <w:t xml:space="preserve">definitional gap);</w:t>
      </w:r>
    </w:p>
    <w:p>
      <w:pPr>
        <w:pStyle w:val="Compact"/>
        <w:numPr>
          <w:ilvl w:val="0"/>
          <w:numId w:val="1023"/>
        </w:numPr>
      </w:pPr>
      <w:r>
        <w:t xml:space="preserve">A representation that the Transaction constitutes a Sale of the Company and a Liquidation Event and that the transfer restrictions under the Stockholders’ Agreement and Voting Agreement do not apply;</w:t>
      </w:r>
    </w:p>
    <w:p>
      <w:pPr>
        <w:pStyle w:val="Compact"/>
        <w:numPr>
          <w:ilvl w:val="0"/>
          <w:numId w:val="1023"/>
        </w:numPr>
      </w:pPr>
      <w:r>
        <w:t xml:space="preserve">A representation regarding the SensorLink LOI (no live exclusivity);</w:t>
      </w:r>
    </w:p>
    <w:p>
      <w:pPr>
        <w:pStyle w:val="Compact"/>
        <w:numPr>
          <w:ilvl w:val="0"/>
          <w:numId w:val="1023"/>
        </w:numPr>
      </w:pPr>
      <w:r>
        <w:t xml:space="preserve">Provisions addressing the Clearfield loan (repayment, assumption, or change-of-control consent);</w:t>
      </w:r>
    </w:p>
    <w:p>
      <w:pPr>
        <w:pStyle w:val="Compact"/>
        <w:numPr>
          <w:ilvl w:val="0"/>
          <w:numId w:val="1023"/>
        </w:numPr>
      </w:pPr>
      <w:r>
        <w:t xml:space="preserve">Appropriate treatment of outstanding equity awards (assumption, cash-out, or cancellation) consistent with the Plan (once received);</w:t>
      </w:r>
    </w:p>
    <w:p>
      <w:pPr>
        <w:pStyle w:val="Compact"/>
        <w:numPr>
          <w:ilvl w:val="0"/>
          <w:numId w:val="1023"/>
        </w:numPr>
      </w:pPr>
      <w:r>
        <w:t xml:space="preserve">Indemnification and D&amp;O tail-insurance provisions for former directors and officers.</w:t>
      </w:r>
    </w:p>
    <w:p>
      <w:r>
        <w:pict>
          <v:rect style="width:0;height:1.5pt" o:hralign="center" o:hrstd="t" o:hr="t"/>
        </w:pict>
      </w:r>
    </w:p>
    <w:bookmarkEnd w:id="87"/>
    <w:bookmarkEnd w:id="88"/>
    <w:bookmarkStart w:id="89"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 Whose Consent/Vote Is Needed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Board approval of definitive merger agreement</w:t>
            </w:r>
          </w:p>
        </w:tc>
        <w:tc>
          <w:tcPr/>
          <w:p>
            <w:pPr>
              <w:pStyle w:val="Compact"/>
              <w:jc w:val="left"/>
            </w:pPr>
            <w:r>
              <w:t xml:space="preserve">DGCL § 251(b); Bylaws § 3.7</w:t>
            </w:r>
          </w:p>
        </w:tc>
        <w:tc>
          <w:tcPr/>
          <w:p>
            <w:pPr>
              <w:pStyle w:val="Compact"/>
              <w:jc w:val="left"/>
            </w:pPr>
            <w:r>
              <w:t xml:space="preserve">Majority of directors then in office (4 of 7)</w:t>
            </w:r>
          </w:p>
        </w:tc>
        <w:tc>
          <w:tcPr/>
          <w:p>
            <w:pPr>
              <w:pStyle w:val="Compact"/>
              <w:jc w:val="left"/>
            </w:pPr>
            <w:r>
              <w:t xml:space="preserve">Board of Directors</w:t>
            </w:r>
          </w:p>
        </w:tc>
        <w:tc>
          <w:tcPr/>
          <w:p>
            <w:pPr>
              <w:pStyle w:val="Compact"/>
              <w:jc w:val="left"/>
            </w:pPr>
            <w:r>
              <w:rPr>
                <w:b/>
                <w:bCs/>
              </w:rPr>
              <w:t xml:space="preserve">Not yet obtained.</w:t>
            </w:r>
            <w:r>
              <w:t xml:space="preserve"> </w:t>
            </w:r>
            <w:r>
              <w:t xml:space="preserve">The September 25, 2024 resolution authorized negotiation only; Board approval of the executed agreement is still required.</w:t>
            </w:r>
          </w:p>
        </w:tc>
      </w:tr>
      <w:tr>
        <w:tc>
          <w:tcPr/>
          <w:p>
            <w:pPr>
              <w:pStyle w:val="Compact"/>
              <w:jc w:val="left"/>
            </w:pPr>
            <w:r>
              <w:t xml:space="preserve">2</w:t>
            </w:r>
          </w:p>
        </w:tc>
        <w:tc>
          <w:tcPr/>
          <w:p>
            <w:pPr>
              <w:pStyle w:val="Compact"/>
              <w:jc w:val="left"/>
            </w:pPr>
            <w:r>
              <w:t xml:space="preserve">Stockholder approval of merger</w:t>
            </w:r>
          </w:p>
        </w:tc>
        <w:tc>
          <w:tcPr/>
          <w:p>
            <w:pPr>
              <w:pStyle w:val="Compact"/>
              <w:jc w:val="left"/>
            </w:pPr>
            <w:r>
              <w:t xml:space="preserve">DGCL § 251(d)</w:t>
            </w:r>
          </w:p>
        </w:tc>
        <w:tc>
          <w:tcPr/>
          <w:p>
            <w:pPr>
              <w:pStyle w:val="Compact"/>
              <w:jc w:val="left"/>
            </w:pPr>
            <w:r>
              <w:t xml:space="preserve">Majority of outstanding shares entitled to vote (as-converted, single class)</w:t>
            </w:r>
          </w:p>
        </w:tc>
        <w:tc>
          <w:tcPr/>
          <w:p>
            <w:pPr>
              <w:pStyle w:val="Compact"/>
              <w:jc w:val="left"/>
            </w:pPr>
            <w:r>
              <w:t xml:space="preserve">All stockholders (Common + Preferred as-converted)</w:t>
            </w:r>
          </w:p>
        </w:tc>
        <w:tc>
          <w:tcPr/>
          <w:p>
            <w:pPr>
              <w:pStyle w:val="Compact"/>
              <w:jc w:val="left"/>
            </w:pPr>
            <w:r>
              <w:rPr>
                <w:b/>
                <w:bCs/>
              </w:rPr>
              <w:t xml:space="preserve">Not yet obtained.</w:t>
            </w:r>
          </w:p>
        </w:tc>
      </w:tr>
      <w:tr>
        <w:tc>
          <w:tcPr/>
          <w:p>
            <w:pPr>
              <w:pStyle w:val="Compact"/>
              <w:jc w:val="left"/>
            </w:pPr>
            <w:r>
              <w:t xml:space="preserve">3</w:t>
            </w:r>
          </w:p>
        </w:tc>
        <w:tc>
          <w:tcPr/>
          <w:p>
            <w:pPr>
              <w:pStyle w:val="Compact"/>
              <w:jc w:val="left"/>
            </w:pPr>
            <w:r>
              <w:t xml:space="preserve">All-Preferred consent for Liquidation Event</w:t>
            </w:r>
          </w:p>
        </w:tc>
        <w:tc>
          <w:tcPr/>
          <w:p>
            <w:pPr>
              <w:pStyle w:val="Compact"/>
              <w:jc w:val="left"/>
            </w:pPr>
            <w:r>
              <w:t xml:space="preserve">Charter § 4.3.6(a)(vi)</w:t>
            </w:r>
          </w:p>
        </w:tc>
        <w:tc>
          <w:tcPr/>
          <w:p>
            <w:pPr>
              <w:pStyle w:val="Compact"/>
              <w:jc w:val="left"/>
            </w:pPr>
            <w:r>
              <w:t xml:space="preserve">Majority (&gt;50%) of Preferred, as-converted, single class (&gt;8,250,000 of 16,500,000 shares)</w:t>
            </w:r>
          </w:p>
        </w:tc>
        <w:tc>
          <w:tcPr/>
          <w:p>
            <w:pPr>
              <w:pStyle w:val="Compact"/>
              <w:jc w:val="left"/>
            </w:pPr>
            <w:r>
              <w:t xml:space="preserve">Preferred holders (Ridgeline, Northbridge, Stonemill)</w:t>
            </w:r>
          </w:p>
        </w:tc>
        <w:tc>
          <w:tcPr/>
          <w:p>
            <w:pPr>
              <w:pStyle w:val="Compact"/>
              <w:jc w:val="left"/>
            </w:pPr>
            <w:r>
              <w:rPr>
                <w:b/>
                <w:bCs/>
              </w:rPr>
              <w:t xml:space="preserve">Not yet obtained.</w:t>
            </w:r>
            <w:r>
              <w:t xml:space="preserve"> </w:t>
            </w:r>
            <w:r>
              <w:rPr>
                <w:b/>
                <w:bCs/>
              </w:rPr>
              <w:t xml:space="preserve">Can be satisfied without Stonemill</w:t>
            </w:r>
            <w:r>
              <w:t xml:space="preserve"> </w:t>
            </w:r>
            <w:r>
              <w:t xml:space="preserve">(Northbridge 5,200,000 + Ridgeline 3,500,000 = 8,700,000).</w:t>
            </w:r>
          </w:p>
        </w:tc>
      </w:tr>
      <w:tr>
        <w:tc>
          <w:tcPr/>
          <w:p>
            <w:pPr>
              <w:pStyle w:val="Compact"/>
              <w:jc w:val="left"/>
            </w:pPr>
            <w:r>
              <w:t xml:space="preserve">4</w:t>
            </w:r>
          </w:p>
        </w:tc>
        <w:tc>
          <w:tcPr/>
          <w:p>
            <w:pPr>
              <w:pStyle w:val="Compact"/>
              <w:jc w:val="left"/>
            </w:pPr>
            <w:r>
              <w:t xml:space="preserve">Series C separate-class consent for Liquidation Event</w:t>
            </w:r>
          </w:p>
        </w:tc>
        <w:tc>
          <w:tcPr/>
          <w:p>
            <w:pPr>
              <w:pStyle w:val="Compact"/>
              <w:jc w:val="left"/>
            </w:pPr>
            <w:r>
              <w:t xml:space="preserve">Charter § 4.3.6(b)(i)</w:t>
            </w:r>
          </w:p>
        </w:tc>
        <w:tc>
          <w:tcPr/>
          <w:p>
            <w:pPr>
              <w:pStyle w:val="Compact"/>
              <w:jc w:val="left"/>
            </w:pPr>
            <w:r>
              <w:t xml:space="preserve">66⅔% of Series C, separate class (≥5,200,000 of 7,800,000 shares)</w:t>
            </w:r>
          </w:p>
        </w:tc>
        <w:tc>
          <w:tcPr/>
          <w:p>
            <w:pPr>
              <w:pStyle w:val="Compact"/>
              <w:jc w:val="left"/>
            </w:pPr>
            <w:r>
              <w:t xml:space="preserve">Series C holders (Stonemill = 100%)</w:t>
            </w:r>
          </w:p>
        </w:tc>
        <w:tc>
          <w:tcPr/>
          <w:p>
            <w:pPr>
              <w:pStyle w:val="Compact"/>
              <w:jc w:val="left"/>
            </w:pPr>
            <w:r>
              <w:rPr>
                <w:b/>
                <w:bCs/>
              </w:rPr>
              <w:t xml:space="preserve">Not yet obtained.</w:t>
            </w:r>
            <w:r>
              <w:t xml:space="preserve"> </w:t>
            </w:r>
            <w:r>
              <w:rPr>
                <w:b/>
                <w:bCs/>
              </w:rPr>
              <w:t xml:space="preserve">Cannot be satisfied without Stonemill — HARD BLOCK.</w:t>
            </w:r>
          </w:p>
        </w:tc>
      </w:tr>
      <w:tr>
        <w:tc>
          <w:tcPr/>
          <w:p>
            <w:pPr>
              <w:pStyle w:val="Compact"/>
              <w:jc w:val="left"/>
            </w:pPr>
            <w:r>
              <w:t xml:space="preserve">5</w:t>
            </w:r>
          </w:p>
        </w:tc>
        <w:tc>
          <w:tcPr/>
          <w:p>
            <w:pPr>
              <w:pStyle w:val="Compact"/>
              <w:jc w:val="left"/>
            </w:pPr>
            <w:r>
              <w:t xml:space="preserve">Drag-Along Approval (if invoked)</w:t>
            </w:r>
          </w:p>
        </w:tc>
        <w:tc>
          <w:tcPr/>
          <w:p>
            <w:pPr>
              <w:pStyle w:val="Compact"/>
              <w:jc w:val="left"/>
            </w:pPr>
            <w:r>
              <w:t xml:space="preserve">Stockholders’ Agreement § 3.1(a)</w:t>
            </w:r>
          </w:p>
        </w:tc>
        <w:tc>
          <w:tcPr/>
          <w:p>
            <w:pPr>
              <w:pStyle w:val="Compact"/>
              <w:jc w:val="left"/>
            </w:pPr>
            <w:r>
              <w:t xml:space="preserve">(i) majority of Common (as-converted); (ii) majority of Preferred (as-converted); (iii) 2 of 3 Investor Stockholders</w:t>
            </w:r>
          </w:p>
        </w:tc>
        <w:tc>
          <w:tcPr/>
          <w:p>
            <w:pPr>
              <w:pStyle w:val="Compact"/>
              <w:jc w:val="left"/>
            </w:pPr>
            <w:r>
              <w:t xml:space="preserve">Common holders; Preferred holders; Investor Stockholders</w:t>
            </w:r>
          </w:p>
        </w:tc>
        <w:tc>
          <w:tcPr/>
          <w:p>
            <w:pPr>
              <w:pStyle w:val="Compact"/>
              <w:jc w:val="left"/>
            </w:pPr>
            <w:r>
              <w:rPr>
                <w:b/>
                <w:bCs/>
              </w:rPr>
              <w:t xml:space="preserve">Not yet triggered.</w:t>
            </w:r>
            <w:r>
              <w:t xml:space="preserve"> </w:t>
            </w:r>
            <w:r>
              <w:t xml:space="preserve">(ii) and (iii) satisfiable without Stonemill; (i) uncertain. Even if triggered, likely cannot override #4.</w:t>
            </w:r>
          </w:p>
        </w:tc>
      </w:tr>
      <w:tr>
        <w:tc>
          <w:tcPr/>
          <w:p>
            <w:pPr>
              <w:pStyle w:val="Compact"/>
              <w:jc w:val="left"/>
            </w:pPr>
            <w:r>
              <w:t xml:space="preserve">6</w:t>
            </w:r>
          </w:p>
        </w:tc>
        <w:tc>
          <w:tcPr/>
          <w:p>
            <w:pPr>
              <w:pStyle w:val="Compact"/>
              <w:jc w:val="left"/>
            </w:pPr>
            <w:r>
              <w:t xml:space="preserve">Clearfield loan change-of-control consent (if required)</w:t>
            </w:r>
          </w:p>
        </w:tc>
        <w:tc>
          <w:tcPr/>
          <w:p>
            <w:pPr>
              <w:pStyle w:val="Compact"/>
              <w:jc w:val="left"/>
            </w:pPr>
            <w:r>
              <w:t xml:space="preserve">Clearfield loan agreement (not yet produced)</w:t>
            </w:r>
          </w:p>
        </w:tc>
        <w:tc>
          <w:tcPr/>
          <w:p>
            <w:pPr>
              <w:pStyle w:val="Compact"/>
              <w:jc w:val="left"/>
            </w:pPr>
            <w:r>
              <w:t xml:space="preserve">Per loan agreement</w:t>
            </w:r>
          </w:p>
        </w:tc>
        <w:tc>
          <w:tcPr/>
          <w:p>
            <w:pPr>
              <w:pStyle w:val="Compact"/>
              <w:jc w:val="left"/>
            </w:pPr>
            <w:r>
              <w:t xml:space="preserve">Clearfield National Bank</w:t>
            </w:r>
          </w:p>
        </w:tc>
        <w:tc>
          <w:tcPr/>
          <w:p>
            <w:pPr>
              <w:pStyle w:val="Compact"/>
              <w:jc w:val="left"/>
            </w:pPr>
            <w:r>
              <w:rPr>
                <w:b/>
                <w:bCs/>
              </w:rPr>
              <w:t xml:space="preserve">Unknown</w:t>
            </w:r>
            <w:r>
              <w:t xml:space="preserve"> </w:t>
            </w:r>
            <w:r>
              <w:t xml:space="preserve">— loan agreement not yet produced.</w:t>
            </w:r>
          </w:p>
        </w:tc>
      </w:tr>
      <w:tr>
        <w:tc>
          <w:tcPr/>
          <w:p>
            <w:pPr>
              <w:pStyle w:val="Compact"/>
              <w:jc w:val="left"/>
            </w:pPr>
            <w:r>
              <w:t xml:space="preserve">7</w:t>
            </w:r>
          </w:p>
        </w:tc>
        <w:tc>
          <w:tcPr/>
          <w:p>
            <w:pPr>
              <w:pStyle w:val="Compact"/>
              <w:jc w:val="left"/>
            </w:pPr>
            <w:r>
              <w:t xml:space="preserve">SensorLink LOI exclusivity termination</w:t>
            </w:r>
          </w:p>
        </w:tc>
        <w:tc>
          <w:tcPr/>
          <w:p>
            <w:pPr>
              <w:pStyle w:val="Compact"/>
              <w:jc w:val="left"/>
            </w:pPr>
            <w:r>
              <w:t xml:space="preserve">SensorLink LOI (not yet produced)</w:t>
            </w:r>
          </w:p>
        </w:tc>
        <w:tc>
          <w:tcPr/>
          <w:p>
            <w:pPr>
              <w:pStyle w:val="Compact"/>
              <w:jc w:val="left"/>
            </w:pPr>
            <w:r>
              <w:t xml:space="preserve">Written notice ≥15 days before expiration</w:t>
            </w:r>
          </w:p>
        </w:tc>
        <w:tc>
          <w:tcPr/>
          <w:p>
            <w:pPr>
              <w:pStyle w:val="Compact"/>
              <w:jc w:val="left"/>
            </w:pPr>
            <w:r>
              <w:t xml:space="preserve">SensorLink Technologies</w:t>
            </w:r>
          </w:p>
        </w:tc>
        <w:tc>
          <w:tcPr/>
          <w:p>
            <w:pPr>
              <w:pStyle w:val="Compact"/>
              <w:jc w:val="left"/>
            </w:pPr>
            <w:r>
              <w:rPr>
                <w:b/>
                <w:bCs/>
              </w:rPr>
              <w:t xml:space="preserve">Unknown / time-sensitive</w:t>
            </w:r>
            <w:r>
              <w:t xml:space="preserve"> </w:t>
            </w:r>
            <w:r>
              <w:t xml:space="preserve">— termination-notice status unconfirmed; auto-renewal may be live.</w:t>
            </w:r>
          </w:p>
        </w:tc>
      </w:tr>
    </w:tbl>
    <w:p>
      <w:r>
        <w:pict>
          <v:rect style="width:0;height:1.5pt" o:hralign="center" o:hrstd="t" o:hr="t"/>
        </w:pict>
      </w:r>
    </w:p>
    <w:bookmarkEnd w:id="89"/>
    <w:bookmarkStart w:id="90" w:name="appendix-b-document-request-list"/>
    <w:p>
      <w:pPr>
        <w:pStyle w:val="Heading2"/>
      </w:pPr>
      <w:r>
        <w:t xml:space="preserve">APPENDIX B — DOCUMENT REQUEST LIST</w:t>
      </w:r>
    </w:p>
    <w:p>
      <w:pPr>
        <w:pStyle w:val="Compact"/>
        <w:numPr>
          <w:ilvl w:val="0"/>
          <w:numId w:val="1024"/>
        </w:numPr>
      </w:pPr>
      <w:r>
        <w:t xml:space="preserve">2021 Equity Incentive Plan (as amended through July 2023) and all amendments.</w:t>
      </w:r>
    </w:p>
    <w:p>
      <w:pPr>
        <w:pStyle w:val="Compact"/>
        <w:numPr>
          <w:ilvl w:val="0"/>
          <w:numId w:val="1024"/>
        </w:numPr>
      </w:pPr>
      <w:r>
        <w:t xml:space="preserve">All individual award agreements (options, RSUs) — especially Malhotra and Yeung, and all others.</w:t>
      </w:r>
    </w:p>
    <w:p>
      <w:pPr>
        <w:pStyle w:val="Compact"/>
        <w:numPr>
          <w:ilvl w:val="0"/>
          <w:numId w:val="1024"/>
        </w:numPr>
      </w:pPr>
      <w:r>
        <w:t xml:space="preserve">Complete capitalization table (issued Common, options, RSUs, available reserve).</w:t>
      </w:r>
    </w:p>
    <w:p>
      <w:pPr>
        <w:pStyle w:val="Compact"/>
        <w:numPr>
          <w:ilvl w:val="0"/>
          <w:numId w:val="1024"/>
        </w:numPr>
      </w:pPr>
      <w:r>
        <w:t xml:space="preserve">Stockholder consent records (Clearfield loan; Plan reserve increase; all consents since Nov. 3, 2021).</w:t>
      </w:r>
    </w:p>
    <w:p>
      <w:pPr>
        <w:pStyle w:val="Compact"/>
        <w:numPr>
          <w:ilvl w:val="0"/>
          <w:numId w:val="1024"/>
        </w:numPr>
      </w:pPr>
      <w:r>
        <w:t xml:space="preserve">Clearfield National Bank loan agreement and ancillary documents (note, security agreement, IP security agreement).</w:t>
      </w:r>
    </w:p>
    <w:p>
      <w:pPr>
        <w:pStyle w:val="Compact"/>
        <w:numPr>
          <w:ilvl w:val="0"/>
          <w:numId w:val="1024"/>
        </w:numPr>
      </w:pPr>
      <w:r>
        <w:t xml:space="preserve">SensorLink Technologies LOI (executed March 8, 2024) and related correspondence/termination notices.</w:t>
      </w:r>
    </w:p>
    <w:p>
      <w:pPr>
        <w:pStyle w:val="Compact"/>
        <w:numPr>
          <w:ilvl w:val="0"/>
          <w:numId w:val="1024"/>
        </w:numPr>
      </w:pPr>
      <w:r>
        <w:t xml:space="preserve">Confirmation of complete set of governance agreements (no separate IRA or ROFR/Co-Sale Agreement).</w:t>
      </w:r>
    </w:p>
    <w:p>
      <w:pPr>
        <w:pStyle w:val="Compact"/>
        <w:numPr>
          <w:ilvl w:val="0"/>
          <w:numId w:val="1024"/>
        </w:numPr>
      </w:pPr>
      <w:r>
        <w:t xml:space="preserve">Indemnification agreements with directors and officers.</w:t>
      </w:r>
    </w:p>
    <w:p>
      <w:pPr>
        <w:pStyle w:val="Compact"/>
        <w:numPr>
          <w:ilvl w:val="0"/>
          <w:numId w:val="1024"/>
        </w:numPr>
      </w:pPr>
      <w:r>
        <w:t xml:space="preserve">D&amp;O liability insurance policy.</w:t>
      </w:r>
    </w:p>
    <w:p>
      <w:pPr>
        <w:pStyle w:val="Compact"/>
        <w:numPr>
          <w:ilvl w:val="0"/>
          <w:numId w:val="1024"/>
        </w:numPr>
      </w:pPr>
      <w:r>
        <w:t xml:space="preserve">Special Committee charter and minutes (including April 10, 2024).</w:t>
      </w:r>
    </w:p>
    <w:p>
      <w:pPr>
        <w:pStyle w:val="Compact"/>
        <w:numPr>
          <w:ilvl w:val="0"/>
          <w:numId w:val="1024"/>
        </w:numPr>
      </w:pPr>
      <w:r>
        <w:t xml:space="preserve">Thornbury &amp; Associates fairness analysis (when available).</w:t>
      </w:r>
    </w:p>
    <w:p>
      <w:pPr>
        <w:pStyle w:val="Compact"/>
        <w:numPr>
          <w:ilvl w:val="0"/>
          <w:numId w:val="1024"/>
        </w:numPr>
      </w:pPr>
      <w:r>
        <w:t xml:space="preserve">Meridian Partners engagement letter and process materials.</w:t>
      </w:r>
    </w:p>
    <w:p>
      <w:pPr>
        <w:pStyle w:val="Compact"/>
        <w:numPr>
          <w:ilvl w:val="0"/>
          <w:numId w:val="1024"/>
        </w:numPr>
      </w:pPr>
      <w:r>
        <w:t xml:space="preserve">409A valuation report(s) supporting $14.30 FMV.</w:t>
      </w:r>
    </w:p>
    <w:p>
      <w:pPr>
        <w:pStyle w:val="Compact"/>
        <w:numPr>
          <w:ilvl w:val="0"/>
          <w:numId w:val="1024"/>
        </w:numPr>
      </w:pPr>
      <w:r>
        <w:t xml:space="preserve">Any side letters or additional rights granted to any stockholder (especially Stonemill).</w:t>
      </w:r>
    </w:p>
    <w:p>
      <w:pPr>
        <w:pStyle w:val="Compact"/>
        <w:numPr>
          <w:ilvl w:val="0"/>
          <w:numId w:val="1024"/>
        </w:numPr>
      </w:pPr>
      <w:r>
        <w:t xml:space="preserve">Material commercial contracts (including Permian Basin Energy Co. MSA) for change-of-control/assignment review.</w:t>
      </w:r>
    </w:p>
    <w:p>
      <w:r>
        <w:pict>
          <v:rect style="width:0;height:1.5pt" o:hralign="center" o:hrstd="t" o:hr="t"/>
        </w:pict>
      </w:r>
    </w:p>
    <w:bookmarkEnd w:id="90"/>
    <w:bookmarkStart w:id="94" w:name="Xf1d1cdfd0992bcfca08db6b095c3db8e9351abc"/>
    <w:p>
      <w:pPr>
        <w:pStyle w:val="Heading2"/>
      </w:pPr>
      <w:r>
        <w:t xml:space="preserve">APPENDIX C — SEVERITY CLASSIFICATION SUMMARY</w:t>
      </w:r>
    </w:p>
    <w:bookmarkStart w:id="91" w:name="critical"/>
    <w:p>
      <w:pPr>
        <w:pStyle w:val="Heading3"/>
      </w:pPr>
      <w:r>
        <w:t xml:space="preserve">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Area</w:t>
            </w:r>
          </w:p>
        </w:tc>
        <w:tc>
          <w:tcPr/>
          <w:p>
            <w:pPr>
              <w:pStyle w:val="Compact"/>
              <w:jc w:val="left"/>
            </w:pPr>
            <w:r>
              <w:t xml:space="preserve">Source</w:t>
            </w:r>
          </w:p>
        </w:tc>
      </w:tr>
      <w:tr>
        <w:tc>
          <w:tcPr/>
          <w:p>
            <w:pPr>
              <w:pStyle w:val="Compact"/>
              <w:jc w:val="left"/>
            </w:pPr>
            <w:r>
              <w:t xml:space="preserve">Series C separate-class consent is a hard blocking right; no path to closing without Stonemill’s consent</w:t>
            </w:r>
          </w:p>
        </w:tc>
        <w:tc>
          <w:tcPr/>
          <w:p>
            <w:pPr>
              <w:pStyle w:val="Compact"/>
              <w:jc w:val="left"/>
            </w:pPr>
            <w:r>
              <w:t xml:space="preserve">1, 2, 13</w:t>
            </w:r>
          </w:p>
        </w:tc>
        <w:tc>
          <w:tcPr/>
          <w:p>
            <w:pPr>
              <w:pStyle w:val="Compact"/>
              <w:jc w:val="left"/>
            </w:pPr>
            <w:r>
              <w:t xml:space="preserve">Charter § 4.3.6(b)(i)</w:t>
            </w:r>
          </w:p>
        </w:tc>
      </w:tr>
      <w:tr>
        <w:tc>
          <w:tcPr/>
          <w:p>
            <w:pPr>
              <w:pStyle w:val="Compact"/>
              <w:jc w:val="left"/>
            </w:pPr>
            <w:r>
              <w:t xml:space="preserve">SensorLink LOI exclusivity auto-renewal; termination-notice status unconfirmed; potential conflict with signing</w:t>
            </w:r>
          </w:p>
        </w:tc>
        <w:tc>
          <w:tcPr/>
          <w:p>
            <w:pPr>
              <w:pStyle w:val="Compact"/>
              <w:jc w:val="left"/>
            </w:pPr>
            <w:r>
              <w:t xml:space="preserve">8</w:t>
            </w:r>
          </w:p>
        </w:tc>
        <w:tc>
          <w:tcPr/>
          <w:p>
            <w:pPr>
              <w:pStyle w:val="Compact"/>
              <w:jc w:val="left"/>
            </w:pPr>
            <w:r>
              <w:t xml:space="preserve">Board Minutes (Sept. 25, 2024); SensorLink LOI</w:t>
            </w:r>
          </w:p>
        </w:tc>
      </w:tr>
      <w:tr>
        <w:tc>
          <w:tcPr/>
          <w:p>
            <w:pPr>
              <w:pStyle w:val="Compact"/>
              <w:jc w:val="left"/>
            </w:pPr>
            <w:r>
              <w:t xml:space="preserve">2021 Equity Incentive Plan and award agreements not received; cannot assess change-of-control acceleration</w:t>
            </w:r>
          </w:p>
        </w:tc>
        <w:tc>
          <w:tcPr/>
          <w:p>
            <w:pPr>
              <w:pStyle w:val="Compact"/>
              <w:jc w:val="left"/>
            </w:pPr>
            <w:r>
              <w:t xml:space="preserve">7</w:t>
            </w:r>
          </w:p>
        </w:tc>
        <w:tc>
          <w:tcPr/>
          <w:p>
            <w:pPr>
              <w:pStyle w:val="Compact"/>
              <w:jc w:val="left"/>
            </w:pPr>
            <w:r>
              <w:t xml:space="preserve">Document gap</w:t>
            </w:r>
          </w:p>
        </w:tc>
      </w:tr>
    </w:tbl>
    <w:bookmarkEnd w:id="91"/>
    <w:bookmarkStart w:id="92" w:name="significant"/>
    <w:p>
      <w:pPr>
        <w:pStyle w:val="Heading3"/>
      </w:pPr>
      <w:r>
        <w:t xml:space="preserve">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Area</w:t>
            </w:r>
          </w:p>
        </w:tc>
        <w:tc>
          <w:tcPr/>
          <w:p>
            <w:pPr>
              <w:pStyle w:val="Compact"/>
              <w:jc w:val="left"/>
            </w:pPr>
            <w:r>
              <w:t xml:space="preserve">Source</w:t>
            </w:r>
          </w:p>
        </w:tc>
      </w:tr>
      <w:tr>
        <w:tc>
          <w:tcPr/>
          <w:p>
            <w:pPr>
              <w:pStyle w:val="Compact"/>
              <w:jc w:val="left"/>
            </w:pPr>
            <w:r>
              <w:t xml:space="preserve">Drag-along most likely cannot override Series C separate-class protective provision under Delaware law</w:t>
            </w:r>
          </w:p>
        </w:tc>
        <w:tc>
          <w:tcPr/>
          <w:p>
            <w:pPr>
              <w:pStyle w:val="Compact"/>
              <w:jc w:val="left"/>
            </w:pPr>
            <w:r>
              <w:t xml:space="preserve">2</w:t>
            </w:r>
          </w:p>
        </w:tc>
        <w:tc>
          <w:tcPr/>
          <w:p>
            <w:pPr>
              <w:pStyle w:val="Compact"/>
              <w:jc w:val="left"/>
            </w:pPr>
            <w:r>
              <w:t xml:space="preserve">Stockholders’ Agreement Art. 3; Charter § 4.3.6(b);</w:t>
            </w:r>
            <w:r>
              <w:t xml:space="preserve"> </w:t>
            </w:r>
            <w:r>
              <w:rPr>
                <w:i/>
                <w:iCs/>
              </w:rPr>
              <w:t xml:space="preserve">ODN v. Knowlton</w:t>
            </w:r>
          </w:p>
        </w:tc>
      </w:tr>
      <w:tr>
        <w:tc>
          <w:tcPr/>
          <w:p>
            <w:pPr>
              <w:pStyle w:val="Compact"/>
              <w:jc w:val="left"/>
            </w:pPr>
            <w:r>
              <w:t xml:space="preserve">$12M Clearfield term loan incurred without apparent Preferred Stockholder consent (Charter § 4.3.6(a)(v))</w:t>
            </w:r>
          </w:p>
        </w:tc>
        <w:tc>
          <w:tcPr/>
          <w:p>
            <w:pPr>
              <w:pStyle w:val="Compact"/>
              <w:jc w:val="left"/>
            </w:pPr>
            <w:r>
              <w:t xml:space="preserve">8</w:t>
            </w:r>
          </w:p>
        </w:tc>
        <w:tc>
          <w:tcPr/>
          <w:p>
            <w:pPr>
              <w:pStyle w:val="Compact"/>
              <w:jc w:val="left"/>
            </w:pPr>
            <w:r>
              <w:t xml:space="preserve">Board Minutes (Oct. 11, 2023); Charter § 4.3.6(a)(v)</w:t>
            </w:r>
          </w:p>
        </w:tc>
      </w:tr>
      <w:tr>
        <w:tc>
          <w:tcPr/>
          <w:p>
            <w:pPr>
              <w:pStyle w:val="Compact"/>
              <w:jc w:val="left"/>
            </w:pPr>
            <w:r>
              <w:t xml:space="preserve">Special Committee includes non-independent director (Okafor / Northbridge designee)</w:t>
            </w:r>
          </w:p>
        </w:tc>
        <w:tc>
          <w:tcPr/>
          <w:p>
            <w:pPr>
              <w:pStyle w:val="Compact"/>
              <w:jc w:val="left"/>
            </w:pPr>
            <w:r>
              <w:t xml:space="preserve">9</w:t>
            </w:r>
          </w:p>
        </w:tc>
        <w:tc>
          <w:tcPr/>
          <w:p>
            <w:pPr>
              <w:pStyle w:val="Compact"/>
              <w:jc w:val="left"/>
            </w:pPr>
            <w:r>
              <w:t xml:space="preserve">Board Minutes (Apr. 12, 2023); Voting Agreement § 2.2(b)</w:t>
            </w:r>
          </w:p>
        </w:tc>
      </w:tr>
      <w:tr>
        <w:tc>
          <w:tcPr/>
          <w:p>
            <w:pPr>
              <w:pStyle w:val="Compact"/>
              <w:jc w:val="left"/>
            </w:pPr>
            <w:r>
              <w:t xml:space="preserve">Trask’s absence/objection and consistent opposition create process vulnerability</w:t>
            </w:r>
          </w:p>
        </w:tc>
        <w:tc>
          <w:tcPr/>
          <w:p>
            <w:pPr>
              <w:pStyle w:val="Compact"/>
              <w:jc w:val="left"/>
            </w:pPr>
            <w:r>
              <w:t xml:space="preserve">8, 9</w:t>
            </w:r>
          </w:p>
        </w:tc>
        <w:tc>
          <w:tcPr/>
          <w:p>
            <w:pPr>
              <w:pStyle w:val="Compact"/>
              <w:jc w:val="left"/>
            </w:pPr>
            <w:r>
              <w:t xml:space="preserve">Board Minutes (Apr. 17, 2024 and subsequent)</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undefined; ambiguity re RRA termination</w:t>
            </w:r>
          </w:p>
        </w:tc>
        <w:tc>
          <w:tcPr/>
          <w:p>
            <w:pPr>
              <w:pStyle w:val="Compact"/>
              <w:jc w:val="left"/>
            </w:pPr>
            <w:r>
              <w:t xml:space="preserve">6, 10</w:t>
            </w:r>
          </w:p>
        </w:tc>
        <w:tc>
          <w:tcPr/>
          <w:p>
            <w:pPr>
              <w:pStyle w:val="Compact"/>
              <w:jc w:val="left"/>
            </w:pPr>
            <w:r>
              <w:t xml:space="preserve">RRA § 9(c)</w:t>
            </w:r>
          </w:p>
        </w:tc>
      </w:tr>
      <w:tr>
        <w:tc>
          <w:tcPr/>
          <w:p>
            <w:pPr>
              <w:pStyle w:val="Compact"/>
              <w:jc w:val="left"/>
            </w:pPr>
            <w:r>
              <w:t xml:space="preserve">Stonemill receives zero return at $485M EV; economic root of opposition</w:t>
            </w:r>
          </w:p>
        </w:tc>
        <w:tc>
          <w:tcPr/>
          <w:p>
            <w:pPr>
              <w:pStyle w:val="Compact"/>
              <w:jc w:val="left"/>
            </w:pPr>
            <w:r>
              <w:t xml:space="preserve">2, 7, 9</w:t>
            </w:r>
          </w:p>
        </w:tc>
        <w:tc>
          <w:tcPr/>
          <w:p>
            <w:pPr>
              <w:pStyle w:val="Compact"/>
              <w:jc w:val="left"/>
            </w:pPr>
            <w:r>
              <w:t xml:space="preserve">Charter § 4.3.2 (waterfall)</w:t>
            </w:r>
          </w:p>
        </w:tc>
      </w:tr>
      <w:tr>
        <w:tc>
          <w:tcPr/>
          <w:p>
            <w:pPr>
              <w:pStyle w:val="Compact"/>
              <w:jc w:val="left"/>
            </w:pPr>
            <w:r>
              <w:t xml:space="preserve">Sale-process breadth relatively narrow; value-maximization concern</w:t>
            </w:r>
          </w:p>
        </w:tc>
        <w:tc>
          <w:tcPr/>
          <w:p>
            <w:pPr>
              <w:pStyle w:val="Compact"/>
              <w:jc w:val="left"/>
            </w:pPr>
            <w:r>
              <w:t xml:space="preserve">9</w:t>
            </w:r>
          </w:p>
        </w:tc>
        <w:tc>
          <w:tcPr/>
          <w:p>
            <w:pPr>
              <w:pStyle w:val="Compact"/>
              <w:jc w:val="left"/>
            </w:pPr>
            <w:r>
              <w:t xml:space="preserve">Board Minutes (2023–2024)</w:t>
            </w:r>
          </w:p>
        </w:tc>
      </w:tr>
    </w:tbl>
    <w:bookmarkEnd w:id="92"/>
    <w:bookmarkStart w:id="93" w:name="moderate"/>
    <w:p>
      <w:pPr>
        <w:pStyle w:val="Heading3"/>
      </w:pPr>
      <w: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Area</w:t>
            </w:r>
          </w:p>
        </w:tc>
        <w:tc>
          <w:tcPr/>
          <w:p>
            <w:pPr>
              <w:pStyle w:val="Compact"/>
              <w:jc w:val="left"/>
            </w:pPr>
            <w:r>
              <w:t xml:space="preserve">Source</w:t>
            </w:r>
          </w:p>
        </w:tc>
      </w:tr>
      <w:tr>
        <w:tc>
          <w:tcPr/>
          <w:p>
            <w:pPr>
              <w:pStyle w:val="Compact"/>
              <w:jc w:val="left"/>
            </w:pPr>
            <w:r>
              <w:t xml:space="preserve">Drag-along trigger condition (i) (Common as-converted majority) uncertain without non-party Common holders</w:t>
            </w:r>
          </w:p>
        </w:tc>
        <w:tc>
          <w:tcPr/>
          <w:p>
            <w:pPr>
              <w:pStyle w:val="Compact"/>
              <w:jc w:val="left"/>
            </w:pPr>
            <w:r>
              <w:t xml:space="preserve">2</w:t>
            </w:r>
          </w:p>
        </w:tc>
        <w:tc>
          <w:tcPr/>
          <w:p>
            <w:pPr>
              <w:pStyle w:val="Compact"/>
              <w:jc w:val="left"/>
            </w:pPr>
            <w:r>
              <w:t xml:space="preserve">Stockholders’ Agreement § 3.1(a)(i)</w:t>
            </w:r>
          </w:p>
        </w:tc>
      </w:tr>
      <w:tr>
        <w:tc>
          <w:tcPr/>
          <w:p>
            <w:pPr>
              <w:pStyle w:val="Compact"/>
              <w:jc w:val="left"/>
            </w:pPr>
            <w:r>
              <w:t xml:space="preserve">Definitional threshold mismatch:</w:t>
            </w:r>
            <w:r>
              <w:t xml:space="preserve"> </w:t>
            </w:r>
            <w:r>
              <w:t xml:space="preserve">“</w:t>
            </w:r>
            <w:r>
              <w:t xml:space="preserve">at least 50%</w:t>
            </w:r>
            <w:r>
              <w:t xml:space="preserve">”</w:t>
            </w:r>
            <w:r>
              <w:t xml:space="preserve"> </w:t>
            </w:r>
            <w:r>
              <w:t xml:space="preserve">(Charter) vs. </w:t>
            </w:r>
            <w:r>
              <w:t xml:space="preserve">“</w:t>
            </w:r>
            <w:r>
              <w:t xml:space="preserve">majority</w:t>
            </w:r>
            <w:r>
              <w:t xml:space="preserve">”</w:t>
            </w:r>
            <w:r>
              <w:t xml:space="preserve"> </w:t>
            </w:r>
            <w:r>
              <w:t xml:space="preserve">(Stockholders’/Voting Agmt.)</w:t>
            </w:r>
          </w:p>
        </w:tc>
        <w:tc>
          <w:tcPr/>
          <w:p>
            <w:pPr>
              <w:pStyle w:val="Compact"/>
              <w:jc w:val="left"/>
            </w:pPr>
            <w:r>
              <w:t xml:space="preserve">6</w:t>
            </w:r>
          </w:p>
        </w:tc>
        <w:tc>
          <w:tcPr/>
          <w:p>
            <w:pPr>
              <w:pStyle w:val="Compact"/>
              <w:jc w:val="left"/>
            </w:pPr>
            <w:r>
              <w:t xml:space="preserve">Charter § 4.3.2(d)(i); Stockholders’ Agmt. § 1.1; Voting Agmt. § 1</w:t>
            </w:r>
          </w:p>
        </w:tc>
      </w:tr>
      <w:tr>
        <w:tc>
          <w:tcPr/>
          <w:p>
            <w:pPr>
              <w:pStyle w:val="Compact"/>
              <w:jc w:val="left"/>
            </w:pPr>
            <w:r>
              <w:t xml:space="preserve">Equity-financing carve-out in Charter’s Liquidation Event but absent from Sale of the Company definitions</w:t>
            </w:r>
          </w:p>
        </w:tc>
        <w:tc>
          <w:tcPr/>
          <w:p>
            <w:pPr>
              <w:pStyle w:val="Compact"/>
              <w:jc w:val="left"/>
            </w:pPr>
            <w:r>
              <w:t xml:space="preserve">6</w:t>
            </w:r>
          </w:p>
        </w:tc>
        <w:tc>
          <w:tcPr/>
          <w:p>
            <w:pPr>
              <w:pStyle w:val="Compact"/>
              <w:jc w:val="left"/>
            </w:pPr>
            <w:r>
              <w:t xml:space="preserve">Charter § 4.3.2(d)(iii)</w:t>
            </w:r>
          </w:p>
        </w:tc>
      </w:tr>
      <w:tr>
        <w:tc>
          <w:tcPr/>
          <w:p>
            <w:pPr>
              <w:pStyle w:val="Compact"/>
              <w:jc w:val="left"/>
            </w:pPr>
            <w:r>
              <w:t xml:space="preserve">IPO per-share price threshold in Charter but not in other agreements</w:t>
            </w:r>
          </w:p>
        </w:tc>
        <w:tc>
          <w:tcPr/>
          <w:p>
            <w:pPr>
              <w:pStyle w:val="Compact"/>
              <w:jc w:val="left"/>
            </w:pPr>
            <w:r>
              <w:t xml:space="preserve">6</w:t>
            </w:r>
          </w:p>
        </w:tc>
        <w:tc>
          <w:tcPr/>
          <w:p>
            <w:pPr>
              <w:pStyle w:val="Compact"/>
              <w:jc w:val="left"/>
            </w:pPr>
            <w:r>
              <w:t xml:space="preserve">Charter § 4.3.3(b)(i)</w:t>
            </w:r>
          </w:p>
        </w:tc>
      </w:tr>
      <w:tr>
        <w:tc>
          <w:tcPr/>
          <w:p>
            <w:pPr>
              <w:pStyle w:val="Compact"/>
              <w:jc w:val="left"/>
            </w:pPr>
            <w:r>
              <w:t xml:space="preserve">ROFR/co-sale conditional carve-out (</w:t>
            </w:r>
            <w:r>
              <w:t xml:space="preserve">“</w:t>
            </w:r>
            <w:r>
              <w:t xml:space="preserve">consummated in accordance with Article 3</w:t>
            </w:r>
            <w:r>
              <w:t xml:space="preserve">”</w:t>
            </w:r>
            <w:r>
              <w:t xml:space="preserve">) ambiguous if drag-along not invoked</w:t>
            </w:r>
          </w:p>
        </w:tc>
        <w:tc>
          <w:tcPr/>
          <w:p>
            <w:pPr>
              <w:pStyle w:val="Compact"/>
              <w:jc w:val="left"/>
            </w:pPr>
            <w:r>
              <w:t xml:space="preserve">4</w:t>
            </w:r>
          </w:p>
        </w:tc>
        <w:tc>
          <w:tcPr/>
          <w:p>
            <w:pPr>
              <w:pStyle w:val="Compact"/>
              <w:jc w:val="left"/>
            </w:pPr>
            <w:r>
              <w:t xml:space="preserve">Stockholders’ Agreement §§ 2.1(c), 2.7(e)</w:t>
            </w:r>
          </w:p>
        </w:tc>
      </w:tr>
      <w:tr>
        <w:tc>
          <w:tcPr/>
          <w:p>
            <w:pPr>
              <w:pStyle w:val="Compact"/>
              <w:jc w:val="left"/>
            </w:pPr>
            <w:r>
              <w:t xml:space="preserve">Plan share-reserve increase (July 2023) — stockholder approval question pending Plan review</w:t>
            </w:r>
          </w:p>
        </w:tc>
        <w:tc>
          <w:tcPr/>
          <w:p>
            <w:pPr>
              <w:pStyle w:val="Compact"/>
              <w:jc w:val="left"/>
            </w:pPr>
            <w:r>
              <w:t xml:space="preserve">7</w:t>
            </w:r>
          </w:p>
        </w:tc>
        <w:tc>
          <w:tcPr/>
          <w:p>
            <w:pPr>
              <w:pStyle w:val="Compact"/>
              <w:jc w:val="left"/>
            </w:pPr>
            <w:r>
              <w:t xml:space="preserve">Board Minutes (July 19, 2023)</w:t>
            </w:r>
          </w:p>
        </w:tc>
      </w:tr>
      <w:tr>
        <w:tc>
          <w:tcPr/>
          <w:p>
            <w:pPr>
              <w:pStyle w:val="Compact"/>
              <w:jc w:val="left"/>
            </w:pPr>
            <w:r>
              <w:t xml:space="preserve">Demand registration rights available Nov. 3, 2024 (pre-closing) — theoretical delaying tactic</w:t>
            </w:r>
          </w:p>
        </w:tc>
        <w:tc>
          <w:tcPr/>
          <w:p>
            <w:pPr>
              <w:pStyle w:val="Compact"/>
              <w:jc w:val="left"/>
            </w:pPr>
            <w:r>
              <w:t xml:space="preserve">10</w:t>
            </w:r>
          </w:p>
        </w:tc>
        <w:tc>
          <w:tcPr/>
          <w:p>
            <w:pPr>
              <w:pStyle w:val="Compact"/>
              <w:jc w:val="left"/>
            </w:pPr>
            <w:r>
              <w:t xml:space="preserve">RRA § 2.1(a)</w:t>
            </w:r>
          </w:p>
        </w:tc>
      </w:tr>
      <w:tr>
        <w:tc>
          <w:tcPr/>
          <w:p>
            <w:pPr>
              <w:pStyle w:val="Compact"/>
              <w:jc w:val="left"/>
            </w:pPr>
            <w:r>
              <w:t xml:space="preserve">Document completeness — minutes reference four governance agreements; confirm all received</w:t>
            </w:r>
          </w:p>
        </w:tc>
        <w:tc>
          <w:tcPr/>
          <w:p>
            <w:pPr>
              <w:pStyle w:val="Compact"/>
              <w:jc w:val="left"/>
            </w:pPr>
            <w:r>
              <w:t xml:space="preserve">6</w:t>
            </w:r>
          </w:p>
        </w:tc>
        <w:tc>
          <w:tcPr/>
          <w:p>
            <w:pPr>
              <w:pStyle w:val="Compact"/>
              <w:jc w:val="left"/>
            </w:pPr>
            <w:r>
              <w:t xml:space="preserve">Board Minutes (preamble)</w:t>
            </w:r>
          </w:p>
        </w:tc>
      </w:tr>
      <w:tr>
        <w:tc>
          <w:tcPr/>
          <w:p>
            <w:pPr>
              <w:pStyle w:val="Compact"/>
              <w:jc w:val="left"/>
            </w:pPr>
            <w:r>
              <w:t xml:space="preserve">Clearfield loan change-of-control covenants — loan agreement not yet produced</w:t>
            </w:r>
          </w:p>
        </w:tc>
        <w:tc>
          <w:tcPr/>
          <w:p>
            <w:pPr>
              <w:pStyle w:val="Compact"/>
              <w:jc w:val="left"/>
            </w:pPr>
            <w:r>
              <w:t xml:space="preserve">8</w:t>
            </w:r>
          </w:p>
        </w:tc>
        <w:tc>
          <w:tcPr/>
          <w:p>
            <w:pPr>
              <w:pStyle w:val="Compact"/>
              <w:jc w:val="left"/>
            </w:pPr>
            <w:r>
              <w:t xml:space="preserve">Clearfield loan agreement (not produced)</w:t>
            </w:r>
          </w:p>
        </w:tc>
      </w:tr>
      <w:tr>
        <w:tc>
          <w:tcPr/>
          <w:p>
            <w:pPr>
              <w:pStyle w:val="Compact"/>
              <w:jc w:val="left"/>
            </w:pPr>
            <w:r>
              <w:t xml:space="preserve">Minutes citation error (Section 1.2(c) vs. Section 2.2(b))</w:t>
            </w:r>
          </w:p>
        </w:tc>
        <w:tc>
          <w:tcPr/>
          <w:p>
            <w:pPr>
              <w:pStyle w:val="Compact"/>
              <w:jc w:val="left"/>
            </w:pPr>
            <w:r>
              <w:t xml:space="preserve">8</w:t>
            </w:r>
          </w:p>
        </w:tc>
        <w:tc>
          <w:tcPr/>
          <w:p>
            <w:pPr>
              <w:pStyle w:val="Compact"/>
              <w:jc w:val="left"/>
            </w:pPr>
            <w:r>
              <w:t xml:space="preserve">Board Minutes (Apr. 12, 2023)</w:t>
            </w:r>
          </w:p>
        </w:tc>
      </w:tr>
    </w:tbl>
    <w:p>
      <w:r>
        <w:pict>
          <v:rect style="width:0;height:1.5pt" o:hralign="center" o:hrstd="t" o:hr="t"/>
        </w:pict>
      </w:r>
    </w:p>
    <w:p>
      <w:pPr>
        <w:pStyle w:val="FirstParagraph"/>
      </w:pPr>
      <w:r>
        <w:rPr>
          <w:i/>
          <w:iCs/>
        </w:rPr>
        <w:t xml:space="preserve">Prepared by Whitfield &amp; Crane LLP. This memorandum is privileged and confidential attorney work product and is intended solely for the internal use of Whitfield &amp; Crane LLP and its client. It may not be disclosed to any third party without the prior consent of Jonathan Hsieh or Elena Marchetti.</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2026-06-27T20:43:40Z</dcterms:created>
  <dcterms:modified xsi:type="dcterms:W3CDTF">2026-06-27T20:43:40Z</dcterms:modified>
</cp:coreProperties>
</file>

<file path=docProps/custom.xml><?xml version="1.0" encoding="utf-8"?>
<Properties xmlns="http://schemas.openxmlformats.org/officeDocument/2006/custom-properties" xmlns:vt="http://schemas.openxmlformats.org/officeDocument/2006/docPropsVTypes"/>
</file>