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39" w:name="privacy-issue-identification-memorandum"/>
    <w:p>
      <w:pPr>
        <w:pStyle w:val="Heading1"/>
      </w:pPr>
      <w:r>
        <w:t xml:space="preserve">Privacy Issue Identification Memorandum</w:t>
      </w:r>
    </w:p>
    <w:p>
      <w:pPr>
        <w:pStyle w:val="FirstParagraph"/>
      </w:pPr>
      <w:r>
        <w:rPr>
          <w:b/>
          <w:bCs/>
        </w:rPr>
        <w:t xml:space="preserve">To:</w:t>
      </w:r>
      <w:r>
        <w:t xml:space="preserve"> </w:t>
      </w:r>
      <w:r>
        <w:t xml:space="preserve">Priya Venkatesh, General Counsel, Vaultline Technologies, Inc.; Catherine Aldridge, Partner, Thornbury &amp; Locke LLP</w:t>
      </w:r>
      <w:r>
        <w:t xml:space="preserve"> </w:t>
      </w:r>
      <w:r>
        <w:rPr>
          <w:b/>
          <w:bCs/>
        </w:rPr>
        <w:t xml:space="preserve">From:</w:t>
      </w:r>
      <w:r>
        <w:t xml:space="preserve"> </w:t>
      </w:r>
      <w:r>
        <w:t xml:space="preserve">Privacy Compliance Review Team</w:t>
      </w:r>
      <w:r>
        <w:t xml:space="preserve"> </w:t>
      </w:r>
      <w:r>
        <w:rPr>
          <w:b/>
          <w:bCs/>
        </w:rPr>
        <w:t xml:space="preserve">Date:</w:t>
      </w:r>
      <w:r>
        <w:t xml:space="preserve"> </w:t>
      </w:r>
      <w:r>
        <w:t xml:space="preserve">March 12, 2025</w:t>
      </w:r>
      <w:r>
        <w:t xml:space="preserve"> </w:t>
      </w:r>
      <w:r>
        <w:rPr>
          <w:b/>
          <w:bCs/>
        </w:rPr>
        <w:t xml:space="preserve">Re:</w:t>
      </w:r>
      <w:r>
        <w:t xml:space="preserve"> </w:t>
      </w:r>
      <w:r>
        <w:t xml:space="preserve">Cross-Document Privacy and Data Protection Compliance Gap Analysis — Vaultline Technologies, Inc. (Series C Due Diligence)</w:t>
      </w:r>
      <w:r>
        <w:t xml:space="preserve"> </w:t>
      </w:r>
      <w:r>
        <w:rPr>
          <w:b/>
          <w:bCs/>
        </w:rPr>
        <w:t xml:space="preserve">Matter:</w:t>
      </w:r>
      <w:r>
        <w:t xml:space="preserve"> </w:t>
      </w:r>
      <w:r>
        <w:t xml:space="preserve">Vaultline Technologies, Inc. — Series C Financing / Planned Q3 2025 EU Market Launch</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cross-document privacy and data protection compliance gaps arising from a review of five Vaultline Technologies, Inc. (</w:t>
      </w:r>
      <w:r>
        <w:t xml:space="preserve">“</w:t>
      </w:r>
      <w:r>
        <w:t xml:space="preserve">Vaultline</w:t>
      </w:r>
      <w:r>
        <w:t xml:space="preserve">”</w:t>
      </w:r>
      <w:r>
        <w:t xml:space="preserve">) records: (1) the consumer-facing</w:t>
      </w:r>
      <w:r>
        <w:t xml:space="preserve"> </w:t>
      </w:r>
      <w:r>
        <w:rPr>
          <w:b/>
          <w:bCs/>
        </w:rPr>
        <w:t xml:space="preserve">Privacy Policy</w:t>
      </w:r>
      <w:r>
        <w:t xml:space="preserve"> </w:t>
      </w:r>
      <w:r>
        <w:t xml:space="preserve">(last updated January 15, 2023); (2) the</w:t>
      </w:r>
      <w:r>
        <w:t xml:space="preserve"> </w:t>
      </w:r>
      <w:r>
        <w:rPr>
          <w:b/>
          <w:bCs/>
        </w:rPr>
        <w:t xml:space="preserve">Internal Data Inventory</w:t>
      </w:r>
      <w:r>
        <w:t xml:space="preserve"> </w:t>
      </w:r>
      <w:r>
        <w:t xml:space="preserve">(v. 3.4, dated February 18, 2025); (3) the</w:t>
      </w:r>
      <w:r>
        <w:t xml:space="preserve"> </w:t>
      </w:r>
      <w:r>
        <w:rPr>
          <w:b/>
          <w:bCs/>
        </w:rPr>
        <w:t xml:space="preserve">Data Sharing Agreement</w:t>
      </w:r>
      <w:r>
        <w:t xml:space="preserve"> </w:t>
      </w:r>
      <w:r>
        <w:t xml:space="preserve">with Brightly Analytics, Inc. (effective September 1, 2022, as amended June 15, 2024); (4) the</w:t>
      </w:r>
      <w:r>
        <w:t xml:space="preserve"> </w:t>
      </w:r>
      <w:r>
        <w:rPr>
          <w:b/>
          <w:bCs/>
        </w:rPr>
        <w:t xml:space="preserve">August 2024 Incident Response Log</w:t>
      </w:r>
      <w:r>
        <w:t xml:space="preserve"> </w:t>
      </w:r>
      <w:r>
        <w:t xml:space="preserve">(VT-IRL-2024-003); and (5) the</w:t>
      </w:r>
      <w:r>
        <w:t xml:space="preserve"> </w:t>
      </w:r>
      <w:r>
        <w:rPr>
          <w:b/>
          <w:bCs/>
        </w:rPr>
        <w:t xml:space="preserve">March 3, 2025 due-diligence email</w:t>
      </w:r>
      <w:r>
        <w:t xml:space="preserve"> </w:t>
      </w:r>
      <w:r>
        <w:t xml:space="preserve">from Ashford Barnes LLP (investor counsel) to Thornbury &amp; Locke LLP (Vaultline’s outside privacy counsel).</w:t>
      </w:r>
    </w:p>
    <w:p>
      <w:pPr>
        <w:pStyle w:val="BodyText"/>
      </w:pPr>
      <w:r>
        <w:t xml:space="preserve">Cross-referencing the internal Data Inventory and the Brightly Data Sharing Agreement against the consumer Privacy Policy reveals systemic disclosure gaps. The Privacy Policy does not mention the</w:t>
      </w:r>
      <w:r>
        <w:t xml:space="preserve"> </w:t>
      </w:r>
      <w:r>
        <w:rPr>
          <w:b/>
          <w:bCs/>
        </w:rPr>
        <w:t xml:space="preserve">Selfie Verify</w:t>
      </w:r>
      <w:r>
        <w:t xml:space="preserve"> </w:t>
      </w:r>
      <w:r>
        <w:t xml:space="preserve">biometric data collection, the</w:t>
      </w:r>
      <w:r>
        <w:t xml:space="preserve"> </w:t>
      </w:r>
      <w:r>
        <w:rPr>
          <w:b/>
          <w:bCs/>
        </w:rPr>
        <w:t xml:space="preserve">Smart Insights</w:t>
      </w:r>
      <w:r>
        <w:t xml:space="preserve"> </w:t>
      </w:r>
      <w:r>
        <w:t xml:space="preserve">automated decision-making feature, the specific data elements shared with Brightly Analytics, any data retention periods, or any valid international data-transfer mechanism. The Data Inventory independently documents that each of these activities is occurring at scale, that no Data Protection Impact Assessments (</w:t>
      </w:r>
      <w:r>
        <w:t xml:space="preserve">“</w:t>
      </w:r>
      <w:r>
        <w:t xml:space="preserve">DPIAs</w:t>
      </w:r>
      <w:r>
        <w:t xml:space="preserve">”</w:t>
      </w:r>
      <w:r>
        <w:t xml:space="preserve">) have been conducted, that no Data Protection Officer (</w:t>
      </w:r>
      <w:r>
        <w:t xml:space="preserve">“</w:t>
      </w:r>
      <w:r>
        <w:t xml:space="preserve">DPO</w:t>
      </w:r>
      <w:r>
        <w:t xml:space="preserve">”</w:t>
      </w:r>
      <w:r>
        <w:t xml:space="preserve">) or EU representative has been appointed, and that the Brightly relationship is structured as an</w:t>
      </w:r>
      <w:r>
        <w:t xml:space="preserve"> </w:t>
      </w:r>
      <w:r>
        <w:t xml:space="preserve">“</w:t>
      </w:r>
      <w:r>
        <w:t xml:space="preserve">independent controller</w:t>
      </w:r>
      <w:r>
        <w:t xml:space="preserve">”</w:t>
      </w:r>
      <w:r>
        <w:t xml:space="preserve"> </w:t>
      </w:r>
      <w:r>
        <w:t xml:space="preserve">revenue-share arrangement that is very likely a</w:t>
      </w:r>
      <w: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t xml:space="preserve"> </w:t>
      </w:r>
      <w:r>
        <w:t xml:space="preserve">of personal information under the California Consumer Privacy Act, as amended by the CPRA (</w:t>
      </w:r>
      <w:r>
        <w:t xml:space="preserve">“</w:t>
      </w:r>
      <w:r>
        <w:t xml:space="preserve">CCPA/CPRA</w:t>
      </w:r>
      <w:r>
        <w:t xml:space="preserve">”</w:t>
      </w:r>
      <w:r>
        <w:t xml:space="preserve">) — for which no consumer opt-out exists.</w:t>
      </w:r>
    </w:p>
    <w:p>
      <w:pPr>
        <w:pStyle w:val="BodyText"/>
      </w:pPr>
      <w:r>
        <w:t xml:space="preserve">The August 2024 breach log reveals additional gaps: consumer notification occurred</w:t>
      </w:r>
      <w:r>
        <w:t xml:space="preserve"> </w:t>
      </w:r>
      <w:r>
        <w:rPr>
          <w:b/>
          <w:bCs/>
        </w:rPr>
        <w:t xml:space="preserve">47 days</w:t>
      </w:r>
      <w:r>
        <w:t xml:space="preserve"> </w:t>
      </w:r>
      <w:r>
        <w:t xml:space="preserve">after discovery, and the notification log reflects no notifications to the California Attorney General, any other state attorney general, or any EU supervisory authority, notwithstanding approximately 3,100 affected California residents and approximately 510 affected EU-resident users.</w:t>
      </w:r>
    </w:p>
    <w:p>
      <w:pPr>
        <w:pStyle w:val="BodyText"/>
      </w:pPr>
      <w:r>
        <w:t xml:space="preserve">We identify</w:t>
      </w:r>
      <w:r>
        <w:t xml:space="preserve"> </w:t>
      </w:r>
      <w:r>
        <w:rPr>
          <w:b/>
          <w:bCs/>
        </w:rPr>
        <w:t xml:space="preserve">32 distinct issues</w:t>
      </w:r>
      <w:r>
        <w:t xml:space="preserve"> </w:t>
      </w:r>
      <w:r>
        <w:t xml:space="preserve">below, classified by severity. The most acute exposures are: (a) Illinois Biometric Information Privacy Act (</w:t>
      </w:r>
      <w:r>
        <w:t xml:space="preserve">“</w:t>
      </w:r>
      <w:r>
        <w:t xml:space="preserve">BIPA</w:t>
      </w:r>
      <w:r>
        <w:t xml:space="preserve">”</w:t>
      </w:r>
      <w:r>
        <w:t xml:space="preserve">) liability for undisclosed biometric data collection (estimated</w:t>
      </w:r>
      <w:r>
        <w:t xml:space="preserve"> </w:t>
      </w:r>
      <w:r>
        <w:rPr>
          <w:b/>
          <w:bCs/>
        </w:rPr>
        <w:t xml:space="preserve">$87 million to $435 million</w:t>
      </w:r>
      <w:r>
        <w:t xml:space="preserve"> </w:t>
      </w:r>
      <w:r>
        <w:t xml:space="preserve">in statutory damages); (b) unlawful EU-to-U.S. data transfers resting on an invalidated transfer mechanism; and (c) CCPA/CPRA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of personal information to Brightly Analytics without disclosure or opt-out. These issues are material to the Series C diligence (deadline</w:t>
      </w:r>
      <w:r>
        <w:t xml:space="preserve"> </w:t>
      </w:r>
      <w:r>
        <w:rPr>
          <w:b/>
          <w:bCs/>
        </w:rPr>
        <w:t xml:space="preserve">April 15, 2025</w:t>
      </w:r>
      <w:r>
        <w:t xml:space="preserve">) and to the planned Q3 2025 EU market launch. The lead investor, Kessler Whitman Ventures, has indicated it may condition its investment on satisfactory remediation or require binding post-closing remediation commitments with holdback or escrow provisions.</w:t>
      </w:r>
    </w:p>
    <w:p>
      <w:r>
        <w:pict>
          <v:rect style="width:0;height:1.5pt" o:hralign="center" o:hrstd="t" o:hr="t"/>
        </w:pict>
      </w:r>
    </w:p>
    <w:bookmarkEnd w:id="21"/>
    <w:bookmarkStart w:id="22"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Key Characteristics</w:t>
            </w:r>
          </w:p>
        </w:tc>
      </w:tr>
      <w:tr>
        <w:tc>
          <w:tcPr/>
          <w:p>
            <w:pPr>
              <w:pStyle w:val="Compact"/>
              <w:jc w:val="left"/>
            </w:pPr>
            <w:r>
              <w:t xml:space="preserve">A</w:t>
            </w:r>
          </w:p>
        </w:tc>
        <w:tc>
          <w:tcPr/>
          <w:p>
            <w:pPr>
              <w:pStyle w:val="Compact"/>
              <w:jc w:val="left"/>
            </w:pPr>
            <w:r>
              <w:t xml:space="preserve">Vaultline Privacy Policy</w:t>
            </w:r>
          </w:p>
        </w:tc>
        <w:tc>
          <w:tcPr/>
          <w:p>
            <w:pPr>
              <w:pStyle w:val="Compact"/>
              <w:jc w:val="left"/>
            </w:pPr>
            <w:r>
              <w:t xml:space="preserve">Last Updated Jan. 15, 2023</w:t>
            </w:r>
          </w:p>
        </w:tc>
        <w:tc>
          <w:tcPr/>
          <w:p>
            <w:pPr>
              <w:pStyle w:val="Compact"/>
              <w:jc w:val="left"/>
            </w:pPr>
            <w:r>
              <w:t xml:space="preserve">Consumer-facing; ~9,200 words; dense unformatted prose; no biometric, Smart Insights, retention-period, or valid transfer disclosures</w:t>
            </w:r>
          </w:p>
        </w:tc>
      </w:tr>
      <w:tr>
        <w:tc>
          <w:tcPr/>
          <w:p>
            <w:pPr>
              <w:pStyle w:val="Compact"/>
              <w:jc w:val="left"/>
            </w:pPr>
            <w:r>
              <w:t xml:space="preserve">B</w:t>
            </w:r>
          </w:p>
        </w:tc>
        <w:tc>
          <w:tcPr/>
          <w:p>
            <w:pPr>
              <w:pStyle w:val="Compact"/>
              <w:jc w:val="left"/>
            </w:pPr>
            <w:r>
              <w:t xml:space="preserve">Internal Data Inventory</w:t>
            </w:r>
          </w:p>
        </w:tc>
        <w:tc>
          <w:tcPr/>
          <w:p>
            <w:pPr>
              <w:pStyle w:val="Compact"/>
              <w:jc w:val="left"/>
            </w:pPr>
            <w:r>
              <w:t xml:space="preserve">v. 3.4, Feb. 18, 2025</w:t>
            </w:r>
          </w:p>
        </w:tc>
        <w:tc>
          <w:tcPr/>
          <w:p>
            <w:pPr>
              <w:pStyle w:val="Compact"/>
              <w:jc w:val="left"/>
            </w:pPr>
            <w:r>
              <w:t xml:space="preserve">10 tabs; 3.8M users (142K CA, 23K EU, 87K IL); FY2024 revenue $47.3M; documents all processing activities, sharing, retention, DPIA status, cookies, EU summary</w:t>
            </w:r>
          </w:p>
        </w:tc>
      </w:tr>
      <w:tr>
        <w:tc>
          <w:tcPr/>
          <w:p>
            <w:pPr>
              <w:pStyle w:val="Compact"/>
              <w:jc w:val="left"/>
            </w:pPr>
            <w:r>
              <w:t xml:space="preserve">C</w:t>
            </w:r>
          </w:p>
        </w:tc>
        <w:tc>
          <w:tcPr/>
          <w:p>
            <w:pPr>
              <w:pStyle w:val="Compact"/>
              <w:jc w:val="left"/>
            </w:pPr>
            <w:r>
              <w:t xml:space="preserve">Brightly Data Sharing Agreement</w:t>
            </w:r>
          </w:p>
        </w:tc>
        <w:tc>
          <w:tcPr/>
          <w:p>
            <w:pPr>
              <w:pStyle w:val="Compact"/>
              <w:jc w:val="left"/>
            </w:pPr>
            <w:r>
              <w:t xml:space="preserve">Eff. Sept. 1, 2022; amended June 15, 2024</w:t>
            </w:r>
          </w:p>
        </w:tc>
        <w:tc>
          <w:tcPr/>
          <w:p>
            <w:pPr>
              <w:pStyle w:val="Compact"/>
              <w:jc w:val="left"/>
            </w:pPr>
            <w:r>
              <w:t xml:space="preserve">Brightly =</w:t>
            </w:r>
            <w:r>
              <w:t xml:space="preserve"> </w:t>
            </w:r>
            <w:r>
              <w:t xml:space="preserve">“</w:t>
            </w:r>
            <w:r>
              <w:t xml:space="preserve">independent controller</w:t>
            </w:r>
            <w:r>
              <w:t xml:space="preserve">”</w:t>
            </w:r>
            <w:r>
              <w:t xml:space="preserve">; $0.87/MAU/month revenue share (~$2.64M/yr); audience-segment sale permitted; no DPA</w:t>
            </w:r>
          </w:p>
        </w:tc>
      </w:tr>
      <w:tr>
        <w:tc>
          <w:tcPr/>
          <w:p>
            <w:pPr>
              <w:pStyle w:val="Compact"/>
              <w:jc w:val="left"/>
            </w:pPr>
            <w:r>
              <w:t xml:space="preserve">D</w:t>
            </w:r>
          </w:p>
        </w:tc>
        <w:tc>
          <w:tcPr/>
          <w:p>
            <w:pPr>
              <w:pStyle w:val="Compact"/>
              <w:jc w:val="left"/>
            </w:pPr>
            <w:r>
              <w:t xml:space="preserve">Incident Response Log (VT-IRL-2024-003)</w:t>
            </w:r>
          </w:p>
        </w:tc>
        <w:tc>
          <w:tcPr/>
          <w:p>
            <w:pPr>
              <w:pStyle w:val="Compact"/>
              <w:jc w:val="left"/>
            </w:pPr>
            <w:r>
              <w:t xml:space="preserve">Aug.–Oct. 2024</w:t>
            </w:r>
          </w:p>
        </w:tc>
        <w:tc>
          <w:tcPr/>
          <w:p>
            <w:pPr>
              <w:pStyle w:val="Compact"/>
              <w:jc w:val="left"/>
            </w:pPr>
            <w:r>
              <w:t xml:space="preserve">Privileged; 84,000 records breached; 47-day consumer notice; no AG/SA notifications logged</w:t>
            </w:r>
          </w:p>
        </w:tc>
      </w:tr>
      <w:tr>
        <w:tc>
          <w:tcPr/>
          <w:p>
            <w:pPr>
              <w:pStyle w:val="Compact"/>
              <w:jc w:val="left"/>
            </w:pPr>
            <w:r>
              <w:t xml:space="preserve">E</w:t>
            </w:r>
          </w:p>
        </w:tc>
        <w:tc>
          <w:tcPr/>
          <w:p>
            <w:pPr>
              <w:pStyle w:val="Compact"/>
              <w:jc w:val="left"/>
            </w:pPr>
            <w:r>
              <w:t xml:space="preserve">Investor Counsel Email (Ashford Barnes → Thornbury &amp; Locke)</w:t>
            </w:r>
          </w:p>
        </w:tc>
        <w:tc>
          <w:tcPr/>
          <w:p>
            <w:pPr>
              <w:pStyle w:val="Compact"/>
              <w:jc w:val="left"/>
            </w:pPr>
            <w:r>
              <w:t xml:space="preserve">Mar. 3, 2025</w:t>
            </w:r>
          </w:p>
        </w:tc>
        <w:tc>
          <w:tcPr/>
          <w:p>
            <w:pPr>
              <w:pStyle w:val="Compact"/>
              <w:jc w:val="left"/>
            </w:pPr>
            <w:r>
              <w:t xml:space="preserve">Preliminary diligence; flags Privacy Shield, GDPR transparency, GLBA, CCPA rights, Brightly, retention, biometric, breach, Smart Insights</w:t>
            </w:r>
          </w:p>
        </w:tc>
      </w:tr>
    </w:tbl>
    <w:p>
      <w:r>
        <w:pict>
          <v:rect style="width:0;height:1.5pt" o:hralign="center" o:hrstd="t" o:hr="t"/>
        </w:pict>
      </w:r>
    </w:p>
    <w:bookmarkEnd w:id="22"/>
    <w:bookmarkStart w:id="23" w:name="iii.-scope-and-methodology"/>
    <w:p>
      <w:pPr>
        <w:pStyle w:val="Heading2"/>
      </w:pPr>
      <w:r>
        <w:t xml:space="preserve">III. Scope and Methodology</w:t>
      </w:r>
    </w:p>
    <w:p>
      <w:pPr>
        <w:pStyle w:val="FirstParagraph"/>
      </w:pPr>
      <w:r>
        <w:t xml:space="preserve">This review was conducted to support the comprehensive privacy compliance assessment requested by Ashford Barnes LLP on behalf of Kessler Whitman Ventures. We read each document in full and cross-referenced every document against every other relevant document, with particular attention to gaps that are invisible when any single document is read in isolation — e.g., a processing activity documented in the Data Inventory but absent from the Privacy Policy, a contractual term in the Data Sharing Agreement that contradicts a consumer-facing representation, or a breach-response action that omits a notification required by statute or contract.</w:t>
      </w:r>
    </w:p>
    <w:p>
      <w:pPr>
        <w:pStyle w:val="BodyText"/>
      </w:pPr>
      <w:r>
        <w:t xml:space="preserve">Severity classifications reflect a combination of (i) magnitude of potential legal/financial exposure, (ii) strength of the underlying legal requirement, and (iii) immediacy given the April 15, 2025 diligence deadline and Q3 2025 EU launch. Classifications:</w:t>
      </w:r>
      <w:r>
        <w:t xml:space="preserve"> </w:t>
      </w:r>
      <w:r>
        <w:rPr>
          <w:b/>
          <w:bCs/>
        </w:rPr>
        <w:t xml:space="preserve">Critical</w:t>
      </w:r>
      <w:r>
        <w:t xml:space="preserve"> </w:t>
      </w:r>
      <w:r>
        <w:t xml:space="preserve">(material liability and/or likely ongoing unlawful processing requiring immediate action);</w:t>
      </w:r>
      <w:r>
        <w:t xml:space="preserve"> </w:t>
      </w:r>
      <w:r>
        <w:rPr>
          <w:b/>
          <w:bCs/>
        </w:rPr>
        <w:t xml:space="preserve">High</w:t>
      </w:r>
      <w:r>
        <w:t xml:space="preserve"> </w:t>
      </w:r>
      <w:r>
        <w:t xml:space="preserve">(substantial compliance failure with significant exposure);</w:t>
      </w:r>
      <w:r>
        <w:t xml:space="preserve"> </w:t>
      </w:r>
      <w:r>
        <w:rPr>
          <w:b/>
          <w:bCs/>
        </w:rPr>
        <w:t xml:space="preserve">Medium</w:t>
      </w:r>
      <w:r>
        <w:t xml:space="preserve"> </w:t>
      </w:r>
      <w:r>
        <w:t xml:space="preserve">(real gap warranting remediation on a defined timeline);</w:t>
      </w:r>
      <w:r>
        <w:t xml:space="preserve"> </w:t>
      </w:r>
      <w:r>
        <w:rPr>
          <w:b/>
          <w:bCs/>
        </w:rPr>
        <w:t xml:space="preserve">Low</w:t>
      </w:r>
      <w:r>
        <w:t xml:space="preserve"> </w:t>
      </w:r>
      <w:r>
        <w:t xml:space="preserve">(minor or potential issue for further analysis).</w:t>
      </w:r>
    </w:p>
    <w:p>
      <w:r>
        <w:pict>
          <v:rect style="width:0;height:1.5pt" o:hralign="center" o:hrstd="t" o:hr="t"/>
        </w:pict>
      </w:r>
    </w:p>
    <w:bookmarkEnd w:id="23"/>
    <w:bookmarkStart w:id="35" w:name="iv.-issues"/>
    <w:p>
      <w:pPr>
        <w:pStyle w:val="Heading2"/>
      </w:pPr>
      <w:r>
        <w:t xml:space="preserve">IV. Issues</w:t>
      </w:r>
    </w:p>
    <w:bookmarkStart w:id="24" w:name="a.-biometric-data-selfie-verify-feature"/>
    <w:p>
      <w:pPr>
        <w:pStyle w:val="Heading3"/>
      </w:pPr>
      <w:r>
        <w:t xml:space="preserve">A. Biometric Data — Selfie Verify Feature</w:t>
      </w:r>
    </w:p>
    <w:p>
      <w:pPr>
        <w:pStyle w:val="FirstParagraph"/>
      </w:pPr>
      <w:r>
        <w:rPr>
          <w:b/>
          <w:bCs/>
        </w:rPr>
        <w:t xml:space="preserve">Issue 1 — Biometric data collection is wholly undisclosed in the Privacy Policy.</w:t>
      </w:r>
      <w:r>
        <w:t xml:space="preserve"> </w:t>
      </w:r>
      <w:r>
        <w:rPr>
          <w:i/>
          <w:iCs/>
        </w:rPr>
        <w:t xml:space="preserve">Severity: Critical</w:t>
      </w:r>
    </w:p>
    <w:p>
      <w:pPr>
        <w:pStyle w:val="BodyText"/>
      </w:pPr>
      <w:r>
        <w:rPr>
          <w:i/>
          <w:iCs/>
        </w:rPr>
        <w:t xml:space="preserve">Identification:</w:t>
      </w:r>
      <w:r>
        <w:t xml:space="preserve"> </w:t>
      </w:r>
      <w:r>
        <w:t xml:space="preserve">The Data Inventory (Data Categories DC-011; Selfie Verify Details tab) documents that Vaultline’s</w:t>
      </w:r>
      <w:r>
        <w:t xml:space="preserve"> </w:t>
      </w:r>
      <w:r>
        <w:t xml:space="preserve">“</w:t>
      </w:r>
      <w:r>
        <w:t xml:space="preserve">Selfie Verify</w:t>
      </w:r>
      <w:r>
        <w:t xml:space="preserve">”</w:t>
      </w:r>
      <w:r>
        <w:t xml:space="preserve"> </w:t>
      </w:r>
      <w:r>
        <w:t xml:space="preserve">feature captures a facial geometry template (</w:t>
      </w:r>
      <w:r>
        <w:t xml:space="preserve">“</w:t>
      </w:r>
      <w:r>
        <w:t xml:space="preserve">faceprint</w:t>
      </w:r>
      <w:r>
        <w:t xml:space="preserve">”</w:t>
      </w:r>
      <w:r>
        <w:t xml:space="preserve">) during account creation, launched</w:t>
      </w:r>
      <w:r>
        <w:t xml:space="preserve"> </w:t>
      </w:r>
      <w:r>
        <w:rPr>
          <w:b/>
          <w:bCs/>
        </w:rPr>
        <w:t xml:space="preserve">March 8, 2023</w:t>
      </w:r>
      <w:r>
        <w:t xml:space="preserve">, and used by approximately</w:t>
      </w:r>
      <w:r>
        <w:t xml:space="preserve"> </w:t>
      </w:r>
      <w:r>
        <w:rPr>
          <w:b/>
          <w:bCs/>
        </w:rPr>
        <w:t xml:space="preserve">1,900,000 users</w:t>
      </w:r>
      <w:r>
        <w:t xml:space="preserve">. The Privacy Policy (last updated</w:t>
      </w:r>
      <w:r>
        <w:t xml:space="preserve"> </w:t>
      </w:r>
      <w:r>
        <w:rPr>
          <w:b/>
          <w:bCs/>
        </w:rPr>
        <w:t xml:space="preserve">January 15, 2023</w:t>
      </w:r>
      <w:r>
        <w:t xml:space="preserve">) contains zero mention of biometric data, facial geometry, Selfie Verify, or faceprints. The feature launched two months after the last policy update, and the policy was never updated to reflect the new collection. The Data Inventory expressly states:</w:t>
      </w:r>
      <w:r>
        <w:t xml:space="preserve"> </w:t>
      </w:r>
      <w:r>
        <w:t xml:space="preserve">“</w:t>
      </w:r>
      <w:r>
        <w:t xml:space="preserve">Privacy policy contains ZERO mention of biometric data collection.</w:t>
      </w:r>
      <w:r>
        <w:t xml:space="preserve">”</w:t>
      </w:r>
    </w:p>
    <w:p>
      <w:pPr>
        <w:pStyle w:val="BodyText"/>
      </w:pPr>
      <w:r>
        <w:rPr>
          <w:i/>
          <w:iCs/>
        </w:rPr>
        <w:t xml:space="preserve">Why it matters / Risk:</w:t>
      </w:r>
      <w:r>
        <w:t xml:space="preserve"> </w:t>
      </w:r>
      <w:r>
        <w:t xml:space="preserve">Collection of biometric identifiers without disclosure violates BIPA’s written-consent and public-policy requirements, the CCPA/CPRA sensitive-PI disclosure and limitation regime, and GDPR Article 9 (special category data). The Privacy Policy’s</w:t>
      </w:r>
      <w:r>
        <w:t xml:space="preserve"> </w:t>
      </w:r>
      <w:r>
        <w:t xml:space="preserve">“</w:t>
      </w:r>
      <w:r>
        <w:t xml:space="preserve">Information We Collect</w:t>
      </w:r>
      <w:r>
        <w:t xml:space="preserve">”</w:t>
      </w:r>
      <w:r>
        <w:t xml:space="preserve"> </w:t>
      </w:r>
      <w:r>
        <w:t xml:space="preserve">section is materially incomplete and misleading. The investor email (§5) flags this for review under BIPA and other state biometric statutes.</w:t>
      </w:r>
    </w:p>
    <w:p>
      <w:pPr>
        <w:pStyle w:val="BodyText"/>
      </w:pPr>
      <w:r>
        <w:rPr>
          <w:i/>
          <w:iCs/>
        </w:rPr>
        <w:t xml:space="preserve">Recommendation:</w:t>
      </w:r>
      <w:r>
        <w:t xml:space="preserve"> </w:t>
      </w:r>
      <w:r>
        <w:t xml:space="preserve">Immediately update the Privacy Policy to disclose the Selfie Verify feature, the biometric data collected, the purpose, the retention period, and the destruction practices. Do not rely on this disclosure alone to cure the consent and policy-publication defects (see Issues 2–3).</w:t>
      </w:r>
    </w:p>
    <w:p>
      <w:r>
        <w:pict>
          <v:rect style="width:0;height:1.5pt" o:hralign="center" o:hrstd="t" o:hr="t"/>
        </w:pict>
      </w:r>
    </w:p>
    <w:p>
      <w:pPr>
        <w:pStyle w:val="FirstParagraph"/>
      </w:pPr>
      <w:r>
        <w:rPr>
          <w:b/>
          <w:bCs/>
        </w:rPr>
        <w:t xml:space="preserve">Issue 2 — No valid consent was obtained for biometric data (BIPA § 15(b) written consent and GDPR Art. 9 explicit consent both absent).</w:t>
      </w:r>
      <w:r>
        <w:t xml:space="preserve"> </w:t>
      </w:r>
      <w:r>
        <w:rPr>
          <w:i/>
          <w:iCs/>
        </w:rPr>
        <w:t xml:space="preserve">Severity: Critical</w:t>
      </w:r>
    </w:p>
    <w:p>
      <w:pPr>
        <w:pStyle w:val="BodyText"/>
      </w:pPr>
      <w:r>
        <w:rPr>
          <w:i/>
          <w:iCs/>
        </w:rPr>
        <w:t xml:space="preserve">Identification:</w:t>
      </w:r>
      <w:r>
        <w:t xml:space="preserve"> </w:t>
      </w:r>
      <w:r>
        <w:t xml:space="preserve">The Selfie Verify Details tab states:</w:t>
      </w:r>
      <w:r>
        <w:t xml:space="preserve"> </w:t>
      </w:r>
      <w:r>
        <w:t xml:space="preserve">“</w:t>
      </w:r>
      <w:r>
        <w:t xml:space="preserve">Written Informed Consent Obtained Before Collection?</w:t>
      </w:r>
      <w:r>
        <w:t xml:space="preserve"> </w:t>
      </w:r>
      <w:r>
        <w:rPr>
          <w:b/>
          <w:bCs/>
        </w:rPr>
        <w:t xml:space="preserve">NO</w:t>
      </w:r>
      <w:r>
        <w:t xml:space="preserve">.</w:t>
      </w:r>
      <w:r>
        <w:t xml:space="preserve">”</w:t>
      </w:r>
      <w:r>
        <w:t xml:space="preserve"> </w:t>
      </w:r>
      <w:r>
        <w:t xml:space="preserve">The consent mechanism is</w:t>
      </w:r>
      <w:r>
        <w:t xml:space="preserve"> </w:t>
      </w:r>
      <w:r>
        <w:t xml:space="preserve">“</w:t>
      </w:r>
      <w:r>
        <w:t xml:space="preserve">Browsewrap only — user taps</w:t>
      </w:r>
      <w:r>
        <w:t xml:space="preserve"> </w:t>
      </w:r>
      <w:r>
        <w:t xml:space="preserve">‘</w:t>
      </w:r>
      <w:r>
        <w:t xml:space="preserve">Continue</w:t>
      </w:r>
      <w:r>
        <w:t xml:space="preserve">’</w:t>
      </w:r>
      <w:r>
        <w:t xml:space="preserve"> </w:t>
      </w:r>
      <w:r>
        <w:t xml:space="preserve">to proceed with selfie capture. No separate biometric consent form,</w:t>
      </w:r>
      <w:r>
        <w:t xml:space="preserve">”</w:t>
      </w:r>
      <w:r>
        <w:t xml:space="preserve"> </w:t>
      </w:r>
      <w:r>
        <w:t xml:space="preserve">with</w:t>
      </w:r>
      <w:r>
        <w:t xml:space="preserve"> </w:t>
      </w:r>
      <w:r>
        <w:t xml:space="preserve">“</w:t>
      </w:r>
      <w:r>
        <w:t xml:space="preserve">no disclosure of purpose/duration/destruction, no signature/affirmative written consent mechanism.</w:t>
      </w:r>
      <w:r>
        <w:t xml:space="preserve">”</w:t>
      </w:r>
      <w:r>
        <w:t xml:space="preserve"> </w:t>
      </w:r>
      <w:r>
        <w:t xml:space="preserve">The Data Inventory classifies the data as CPRA Sensitive PI and GDPR Article 9 special category data (biometric data for identification). Approximately</w:t>
      </w:r>
      <w:r>
        <w:t xml:space="preserve"> </w:t>
      </w:r>
      <w:r>
        <w:rPr>
          <w:b/>
          <w:bCs/>
        </w:rPr>
        <w:t xml:space="preserve">87,000 Illinois users</w:t>
      </w:r>
      <w:r>
        <w:t xml:space="preserve"> </w:t>
      </w:r>
      <w:r>
        <w:t xml:space="preserve">and</w:t>
      </w:r>
      <w:r>
        <w:t xml:space="preserve"> </w:t>
      </w:r>
      <w:r>
        <w:rPr>
          <w:b/>
          <w:bCs/>
        </w:rPr>
        <w:t xml:space="preserve">11,500 EU-resident users</w:t>
      </w:r>
      <w:r>
        <w:t xml:space="preserve"> </w:t>
      </w:r>
      <w:r>
        <w:t xml:space="preserve">are affected.</w:t>
      </w:r>
    </w:p>
    <w:p>
      <w:pPr>
        <w:pStyle w:val="BodyText"/>
      </w:pPr>
      <w:r>
        <w:rPr>
          <w:i/>
          <w:iCs/>
        </w:rPr>
        <w:t xml:space="preserve">Why it matters / Risk:</w:t>
      </w:r>
      <w:r>
        <w:t xml:space="preserve"> </w:t>
      </w:r>
      <w:r>
        <w:t xml:space="preserve">BIPA § 15(b) (740 ILCS 14/15(b)) requires written informed consent executed by the subject before collection, including disclosure of the specific purpose and length of term. Browsewrap</w:t>
      </w:r>
      <w:r>
        <w:t xml:space="preserve"> </w:t>
      </w:r>
      <w:r>
        <w:t xml:space="preserve">“</w:t>
      </w:r>
      <w:r>
        <w:t xml:space="preserve">Continue</w:t>
      </w:r>
      <w:r>
        <w:t xml:space="preserve">”</w:t>
      </w:r>
      <w:r>
        <w:t xml:space="preserve"> </w:t>
      </w:r>
      <w:r>
        <w:t xml:space="preserve">taps do not satisfy this. GDPR Article 9(2)(a) requires</w:t>
      </w:r>
      <w:r>
        <w:t xml:space="preserve"> </w:t>
      </w:r>
      <w:r>
        <w:rPr>
          <w:b/>
          <w:bCs/>
        </w:rPr>
        <w:t xml:space="preserve">explicit</w:t>
      </w:r>
      <w:r>
        <w:t xml:space="preserve"> </w:t>
      </w:r>
      <w:r>
        <w:t xml:space="preserve">consent for biometric data used for identification; browsewrap is insufficient. The Selfie Verify Details tab estimates BIPA statutory damages of</w:t>
      </w:r>
      <w:r>
        <w:t xml:space="preserve"> </w:t>
      </w:r>
      <w:r>
        <w:rPr>
          <w:b/>
          <w:bCs/>
        </w:rPr>
        <w:t xml:space="preserve">$87,000,000</w:t>
      </w:r>
      <w:r>
        <w:t xml:space="preserve"> </w:t>
      </w:r>
      <w:r>
        <w:t xml:space="preserve">(87,000 × $1,000 negligent) to</w:t>
      </w:r>
      <w:r>
        <w:t xml:space="preserve"> </w:t>
      </w:r>
      <w:r>
        <w:rPr>
          <w:b/>
          <w:bCs/>
        </w:rPr>
        <w:t xml:space="preserve">$435,000,000</w:t>
      </w:r>
      <w:r>
        <w:t xml:space="preserve"> </w:t>
      </w:r>
      <w:r>
        <w:t xml:space="preserve">(87,000 × $5,000 intentional/reckless). BIPA carries a private right of action and has produced numerous nine-figure class settlements. The Data Inventory labels BIPA compliance status</w:t>
      </w:r>
      <w:r>
        <w:t xml:space="preserve"> </w:t>
      </w:r>
      <w:r>
        <w:t xml:space="preserve">“</w:t>
      </w:r>
      <w:r>
        <w:t xml:space="preserve">NON-COMPLIANT.</w:t>
      </w:r>
      <w:r>
        <w:t xml:space="preserve">”</w:t>
      </w:r>
    </w:p>
    <w:p>
      <w:pPr>
        <w:pStyle w:val="BodyText"/>
      </w:pPr>
      <w:r>
        <w:rPr>
          <w:i/>
          <w:iCs/>
        </w:rPr>
        <w:t xml:space="preserve">Recommendation:</w:t>
      </w:r>
      <w:r>
        <w:t xml:space="preserve"> </w:t>
      </w:r>
      <w:r>
        <w:t xml:space="preserve">Suspend or gate the Selfie Verify feature pending implementation of a compliant BIPA written-consent flow (standalone, signed/electronically affirmed, with purpose/retention/destruction disclosures) and a GDPR explicit-consent mechanism with a withdrawal path. Conduct a state-by-state biometric-law analysis (BIPA, Texas CUBI, Washington biometric law, and others). Evaluate whether to offer a non-biometric verification alternative. Reserve for potential retrospective exposure.</w:t>
      </w:r>
    </w:p>
    <w:p>
      <w:r>
        <w:pict>
          <v:rect style="width:0;height:1.5pt" o:hralign="center" o:hrstd="t" o:hr="t"/>
        </w:pict>
      </w:r>
    </w:p>
    <w:p>
      <w:pPr>
        <w:pStyle w:val="FirstParagraph"/>
      </w:pPr>
      <w:r>
        <w:rPr>
          <w:b/>
          <w:bCs/>
        </w:rPr>
        <w:t xml:space="preserve">Issue 3 — No publicly available biometric retention/destruction policy (BIPA § 15(a)).</w:t>
      </w:r>
      <w:r>
        <w:t xml:space="preserve"> </w:t>
      </w:r>
      <w:r>
        <w:rPr>
          <w:i/>
          <w:iCs/>
        </w:rPr>
        <w:t xml:space="preserve">Severity: Critical</w:t>
      </w:r>
    </w:p>
    <w:p>
      <w:pPr>
        <w:pStyle w:val="BodyText"/>
      </w:pPr>
      <w:r>
        <w:rPr>
          <w:i/>
          <w:iCs/>
        </w:rPr>
        <w:t xml:space="preserve">Identification:</w:t>
      </w:r>
      <w:r>
        <w:t xml:space="preserve"> </w:t>
      </w:r>
      <w:r>
        <w:t xml:space="preserve">The Selfie Verify Details tab and Data Retention tab (DC-011) state that facial geometry templates are retained for</w:t>
      </w:r>
      <w:r>
        <w:t xml:space="preserve"> </w:t>
      </w:r>
      <w:r>
        <w:rPr>
          <w:b/>
          <w:bCs/>
        </w:rPr>
        <w:t xml:space="preserve">5 years after account creation</w:t>
      </w:r>
      <w:r>
        <w:t xml:space="preserve">, that the retention-period justification is</w:t>
      </w:r>
      <w:r>
        <w:t xml:space="preserve"> </w:t>
      </w:r>
      <w:r>
        <w:t xml:space="preserve">“</w:t>
      </w:r>
      <w:r>
        <w:t xml:space="preserve">Not documented,</w:t>
      </w:r>
      <w:r>
        <w:t xml:space="preserve">”</w:t>
      </w:r>
      <w:r>
        <w:t xml:space="preserve"> </w:t>
      </w:r>
      <w:r>
        <w:t xml:space="preserve">that the destruction method is</w:t>
      </w:r>
      <w:r>
        <w:t xml:space="preserve"> </w:t>
      </w:r>
      <w:r>
        <w:t xml:space="preserve">“</w:t>
      </w:r>
      <w:r>
        <w:t xml:space="preserve">Not defined — no destruction process or guidelines established,</w:t>
      </w:r>
      <w:r>
        <w:t xml:space="preserve">”</w:t>
      </w:r>
      <w:r>
        <w:t xml:space="preserve"> </w:t>
      </w:r>
      <w:r>
        <w:t xml:space="preserve">and that a</w:t>
      </w:r>
      <w:r>
        <w:t xml:space="preserve"> </w:t>
      </w:r>
      <w:r>
        <w:t xml:space="preserve">“</w:t>
      </w:r>
      <w:r>
        <w:t xml:space="preserve">Publicly Available Written Biometric Retention/Destruction Policy</w:t>
      </w:r>
      <w:r>
        <w:t xml:space="preserve">”</w:t>
      </w:r>
      <w:r>
        <w:t xml:space="preserve"> </w:t>
      </w:r>
      <w:r>
        <w:t xml:space="preserve">“</w:t>
      </w:r>
      <w:r>
        <w:t xml:space="preserve">Does not exist.</w:t>
      </w:r>
      <w:r>
        <w:t xml:space="preserve">”</w:t>
      </w:r>
      <w:r>
        <w:t xml:space="preserve"> </w:t>
      </w:r>
      <w:r>
        <w:t xml:space="preserve">Templates are retained</w:t>
      </w:r>
      <w:r>
        <w:t xml:space="preserve"> </w:t>
      </w:r>
      <w:r>
        <w:t xml:space="preserve">“</w:t>
      </w:r>
      <w:r>
        <w:t xml:space="preserve">regardless of account status.</w:t>
      </w:r>
      <w:r>
        <w:t xml:space="preserve">”</w:t>
      </w:r>
    </w:p>
    <w:p>
      <w:pPr>
        <w:pStyle w:val="BodyText"/>
      </w:pPr>
      <w:r>
        <w:rPr>
          <w:i/>
          <w:iCs/>
        </w:rPr>
        <w:t xml:space="preserve">Why it matters / Risk:</w:t>
      </w:r>
      <w:r>
        <w:t xml:space="preserve"> </w:t>
      </w:r>
      <w:r>
        <w:t xml:space="preserve">BIPA § 15(a) (740 ILCS 14/15(a)) requires a publicly available written policy establishing a retention schedule and destruction guidelines. Neither exists. The 5-year retention has no documented justification, and indefinite retention of templates of deleted users compounds the exposure. This is an independent BIPA violation separate from the consent defect (Issue 2) and a CPRA/GDPR storage-limitation failure (see Issue 21).</w:t>
      </w:r>
    </w:p>
    <w:p>
      <w:pPr>
        <w:pStyle w:val="BodyText"/>
      </w:pPr>
      <w:r>
        <w:rPr>
          <w:i/>
          <w:iCs/>
        </w:rPr>
        <w:t xml:space="preserve">Recommendation:</w:t>
      </w:r>
      <w:r>
        <w:t xml:space="preserve"> </w:t>
      </w:r>
      <w:r>
        <w:t xml:space="preserve">Author and publish a biometric data retention and destruction policy; document the business/legal justification for the 5-year period (or shorten it); implement an enforceable destruction process; and destroy templates for closed accounts that exceed the justified retention period.</w:t>
      </w:r>
    </w:p>
    <w:p>
      <w:r>
        <w:pict>
          <v:rect style="width:0;height:1.5pt" o:hralign="center" o:hrstd="t" o:hr="t"/>
        </w:pict>
      </w:r>
    </w:p>
    <w:bookmarkEnd w:id="24"/>
    <w:bookmarkStart w:id="25" w:name="b.-international-data-transfers"/>
    <w:p>
      <w:pPr>
        <w:pStyle w:val="Heading3"/>
      </w:pPr>
      <w:r>
        <w:t xml:space="preserve">B. International Data Transfers</w:t>
      </w:r>
    </w:p>
    <w:p>
      <w:pPr>
        <w:pStyle w:val="FirstParagraph"/>
      </w:pPr>
      <w:r>
        <w:rPr>
          <w:b/>
          <w:bCs/>
        </w:rPr>
        <w:t xml:space="preserve">Issue 4 — EU-to-U.S. transfers rely on the invalidated EU-U.S. Privacy Shield; no valid transfer mechanism exists.</w:t>
      </w:r>
      <w:r>
        <w:t xml:space="preserve"> </w:t>
      </w:r>
      <w:r>
        <w:rPr>
          <w:i/>
          <w:iCs/>
        </w:rPr>
        <w:t xml:space="preserve">Severity: Critical</w:t>
      </w:r>
    </w:p>
    <w:p>
      <w:pPr>
        <w:pStyle w:val="BodyText"/>
      </w:pPr>
      <w:r>
        <w:rPr>
          <w:i/>
          <w:iCs/>
        </w:rPr>
        <w:t xml:space="preserve">Identification:</w:t>
      </w:r>
      <w:r>
        <w:t xml:space="preserve"> </w:t>
      </w:r>
      <w:r>
        <w:t xml:space="preserve">The Privacy Policy (</w:t>
      </w:r>
      <w:r>
        <w:t xml:space="preserve">“</w:t>
      </w:r>
      <w:r>
        <w:t xml:space="preserve">International Data Transfers</w:t>
      </w:r>
      <w:r>
        <w:t xml:space="preserve">”</w:t>
      </w:r>
      <w:r>
        <w:t xml:space="preserve">) states that for EU/EEA/UK users,</w:t>
      </w:r>
      <w:r>
        <w:t xml:space="preserve"> </w:t>
      </w:r>
      <w:r>
        <w:t xml:space="preserve">“</w:t>
      </w:r>
      <w:r>
        <w:t xml:space="preserve">we transfer personal data to the United States in reliance on the</w:t>
      </w:r>
      <w:r>
        <w:t xml:space="preserve"> </w:t>
      </w:r>
      <w:r>
        <w:rPr>
          <w:b/>
          <w:bCs/>
        </w:rPr>
        <w:t xml:space="preserve">EU-US Privacy Shield Framework</w:t>
      </w:r>
      <w:r>
        <w:t xml:space="preserve">”</w:t>
      </w:r>
      <w:r>
        <w:t xml:space="preserve"> </w:t>
      </w:r>
      <w:r>
        <w:t xml:space="preserve">and that Vaultline</w:t>
      </w:r>
      <w:r>
        <w:t xml:space="preserve"> </w:t>
      </w:r>
      <w:r>
        <w:t xml:space="preserve">“</w:t>
      </w:r>
      <w:r>
        <w:t xml:space="preserve">has certified its compliance with the EU-US Privacy Shield Principles.</w:t>
      </w:r>
      <w:r>
        <w:t xml:space="preserve">”</w:t>
      </w:r>
      <w:r>
        <w:t xml:space="preserve"> </w:t>
      </w:r>
      <w:r>
        <w:t xml:space="preserve">The Data Inventory (International Transfers IT-001; Processing Activities PA-007; EU Processing Summary) states the Privacy Shield was</w:t>
      </w:r>
      <w:r>
        <w:t xml:space="preserve"> </w:t>
      </w:r>
      <w:r>
        <w:rPr>
          <w:b/>
          <w:bCs/>
        </w:rPr>
        <w:t xml:space="preserve">invalidated by the CJEU in Schrems II (Case C-311/18, July 16, 2020)</w:t>
      </w:r>
      <w:r>
        <w:t xml:space="preserve">, that</w:t>
      </w:r>
      <w:r>
        <w:t xml:space="preserve"> </w:t>
      </w:r>
      <w:r>
        <w:rPr>
          <w:b/>
          <w:bCs/>
        </w:rPr>
        <w:t xml:space="preserve">no Standard Contractual Clauses (</w:t>
      </w:r>
      <w:r>
        <w:rPr>
          <w:b/>
          <w:bCs/>
        </w:rPr>
        <w:t xml:space="preserve">“</w:t>
      </w:r>
      <w:r>
        <w:rPr>
          <w:b/>
          <w:bCs/>
        </w:rPr>
        <w:t xml:space="preserve">SCCs</w:t>
      </w:r>
      <w:r>
        <w:rPr>
          <w:b/>
          <w:bCs/>
        </w:rPr>
        <w:t xml:space="preserve">”</w:t>
      </w:r>
      <w:r>
        <w:rPr>
          <w:b/>
          <w:bCs/>
        </w:rPr>
        <w:t xml:space="preserve">)</w:t>
      </w:r>
      <w:r>
        <w:t xml:space="preserve"> </w:t>
      </w:r>
      <w:r>
        <w:t xml:space="preserve">are in place, that Vaultline is</w:t>
      </w:r>
      <w:r>
        <w:t xml:space="preserve"> </w:t>
      </w:r>
      <w:r>
        <w:rPr>
          <w:b/>
          <w:bCs/>
        </w:rPr>
        <w:t xml:space="preserve">not DPF-certified</w:t>
      </w:r>
      <w:r>
        <w:t xml:space="preserve"> </w:t>
      </w:r>
      <w:r>
        <w:t xml:space="preserve">(the EU-U.S. Data Privacy Framework adequacy decision of July 10, 2023 is available but unused), and that no Binding Corporate Rules exist. Approximately</w:t>
      </w:r>
      <w:r>
        <w:t xml:space="preserve"> </w:t>
      </w:r>
      <w:r>
        <w:rPr>
          <w:b/>
          <w:bCs/>
        </w:rPr>
        <w:t xml:space="preserve">23,000 EU-resident users’</w:t>
      </w:r>
      <w:r>
        <w:t xml:space="preserve"> </w:t>
      </w:r>
      <w:r>
        <w:t xml:space="preserve">data is processed on CloudFort’s Ashburn, Virginia servers. The investor email (§2) flags this as a</w:t>
      </w:r>
      <w:r>
        <w:t xml:space="preserve"> </w:t>
      </w:r>
      <w:r>
        <w:t xml:space="preserve">“</w:t>
      </w:r>
      <w:r>
        <w:t xml:space="preserve">critical risk.</w:t>
      </w:r>
      <w:r>
        <w:t xml:space="preserve">”</w:t>
      </w:r>
    </w:p>
    <w:p>
      <w:pPr>
        <w:pStyle w:val="BodyText"/>
      </w:pPr>
      <w:r>
        <w:rPr>
          <w:i/>
          <w:iCs/>
        </w:rPr>
        <w:t xml:space="preserve">Why it matters / Risk:</w:t>
      </w:r>
      <w:r>
        <w:t xml:space="preserve"> </w:t>
      </w:r>
      <w:r>
        <w:t xml:space="preserve">Without a valid Chapter V transfer mechanism, all processing of EU-resident personal data in the United States is potentially unlawful under the GDPR, exposing Vaultline to supervisory-authority enforcement and data-subject claims. The Privacy Policy’s continued reliance on Privacy Shield — nearly five years after invalidation — is also a false/misleading consumer representation. The exposure grows materially with the Q3 2025 EU launch. The same gap extends to EU data shared with Brightly (IT-002, ~870 EU users) and FinLink (IT-003, ~19,000 EU users), for which no transfer mechanism exists either.</w:t>
      </w:r>
    </w:p>
    <w:p>
      <w:pPr>
        <w:pStyle w:val="BodyText"/>
      </w:pPr>
      <w:r>
        <w:rPr>
          <w:i/>
          <w:iCs/>
        </w:rPr>
        <w:t xml:space="preserve">Recommendation:</w:t>
      </w:r>
      <w:r>
        <w:t xml:space="preserve"> </w:t>
      </w:r>
      <w:r>
        <w:t xml:space="preserve">Remove all Privacy Shield references from the Privacy Policy. Implement a valid transfer mechanism immediately — obtain DPF certification, or execute EU Commission-approved SCCs (with a transfer impact assessment and supplementary measures) with CloudFort, Brightly, and FinLink for EU data. Consider migrating EU-resident data to CloudFort’s Dublin, Ireland facility (see Issue 26) to reduce transfer volume. Complete before the EU launch.</w:t>
      </w:r>
    </w:p>
    <w:p>
      <w:r>
        <w:pict>
          <v:rect style="width:0;height:1.5pt" o:hralign="center" o:hrstd="t" o:hr="t"/>
        </w:pict>
      </w:r>
    </w:p>
    <w:bookmarkEnd w:id="25"/>
    <w:bookmarkStart w:id="26" w:name="c.-gdpr-compliance"/>
    <w:p>
      <w:pPr>
        <w:pStyle w:val="Heading3"/>
      </w:pPr>
      <w:r>
        <w:t xml:space="preserve">C. GDPR Compliance</w:t>
      </w:r>
    </w:p>
    <w:p>
      <w:pPr>
        <w:pStyle w:val="FirstParagraph"/>
      </w:pPr>
      <w:r>
        <w:rPr>
          <w:b/>
          <w:bCs/>
        </w:rPr>
        <w:t xml:space="preserve">Issue 5 — GDPR Articles 13/14 transparency disclosures are materially deficient.</w:t>
      </w:r>
      <w:r>
        <w:t xml:space="preserve"> </w:t>
      </w:r>
      <w:r>
        <w:rPr>
          <w:i/>
          <w:iCs/>
        </w:rPr>
        <w:t xml:space="preserve">Severity: Critical</w:t>
      </w:r>
    </w:p>
    <w:p>
      <w:pPr>
        <w:pStyle w:val="BodyText"/>
      </w:pPr>
      <w:r>
        <w:rPr>
          <w:i/>
          <w:iCs/>
        </w:rPr>
        <w:t xml:space="preserve">Identification:</w:t>
      </w:r>
      <w:r>
        <w:t xml:space="preserve"> </w:t>
      </w:r>
      <w:r>
        <w:t xml:space="preserve">The entirety of the Privacy Policy’s GDPR disclosure is a single sentence:</w:t>
      </w:r>
      <w:r>
        <w:t xml:space="preserve"> </w:t>
      </w:r>
      <w:r>
        <w:t xml:space="preserve">“</w:t>
      </w:r>
      <w:r>
        <w:t xml:space="preserve">If you are located in the European Union, you may have additional rights under applicable law.</w:t>
      </w:r>
      <w:r>
        <w:t xml:space="preserve">”</w:t>
      </w:r>
      <w:r>
        <w:t xml:space="preserve"> </w:t>
      </w:r>
      <w:r>
        <w:t xml:space="preserve">The Data Inventory (EU Processing Summary) states:</w:t>
      </w:r>
      <w:r>
        <w:t xml:space="preserve"> </w:t>
      </w:r>
      <w:r>
        <w:t xml:space="preserve">“</w:t>
      </w:r>
      <w:r>
        <w:t xml:space="preserve">MINIMAL — single sentence … Virtually all Art. 13/14 requirements unmet.</w:t>
      </w:r>
      <w:r>
        <w:t xml:space="preserve">”</w:t>
      </w:r>
      <w:r>
        <w:t xml:space="preserve"> </w:t>
      </w:r>
      <w:r>
        <w:t xml:space="preserve">The investor email (§3) details the specific omissions.</w:t>
      </w:r>
    </w:p>
    <w:p>
      <w:pPr>
        <w:pStyle w:val="BodyText"/>
      </w:pPr>
      <w:r>
        <w:rPr>
          <w:i/>
          <w:iCs/>
        </w:rPr>
        <w:t xml:space="preserve">Why it matters / Risk:</w:t>
      </w:r>
      <w:r>
        <w:t xml:space="preserve"> </w:t>
      </w:r>
      <w:r>
        <w:t xml:space="preserve">GDPR Articles 13/14 require disclosure of: the controller’s identity and contact; the DPO’s contact details; the purposes and</w:t>
      </w:r>
      <w:r>
        <w:t xml:space="preserve"> </w:t>
      </w:r>
      <w:r>
        <w:rPr>
          <w:b/>
          <w:bCs/>
        </w:rPr>
        <w:t xml:space="preserve">lawful basis</w:t>
      </w:r>
      <w:r>
        <w:t xml:space="preserve"> </w:t>
      </w:r>
      <w:r>
        <w:t xml:space="preserve">for each processing activity (Art. 6); the categories of recipients; transfer details and safeguards;</w:t>
      </w:r>
      <w:r>
        <w:t xml:space="preserve"> </w:t>
      </w:r>
      <w:r>
        <w:rPr>
          <w:b/>
          <w:bCs/>
        </w:rPr>
        <w:t xml:space="preserve">retention periods</w:t>
      </w:r>
      <w:r>
        <w:t xml:space="preserve">; data-subject rights (Arts. 15–22); the right to withdraw consent; the right to lodge a complaint with a supervisory authority; and the existence of</w:t>
      </w:r>
      <w:r>
        <w:t xml:space="preserve"> </w:t>
      </w:r>
      <w:r>
        <w:rPr>
          <w:b/>
          <w:bCs/>
        </w:rPr>
        <w:t xml:space="preserve">automated decision-making</w:t>
      </w:r>
      <w:r>
        <w:t xml:space="preserve"> </w:t>
      </w:r>
      <w:r>
        <w:t xml:space="preserve">(Art. 13(2)(f)). None is provided. Administrative fines for transparency and data-subject-rights infringements can reach</w:t>
      </w:r>
      <w:r>
        <w:t xml:space="preserve"> </w:t>
      </w:r>
      <w:r>
        <w:rPr>
          <w:b/>
          <w:bCs/>
        </w:rPr>
        <w:t xml:space="preserve">4% of annual global turnover</w:t>
      </w:r>
      <w:r>
        <w:t xml:space="preserve"> </w:t>
      </w:r>
      <w:r>
        <w:t xml:space="preserve">(Art. 83(5)) — approximately</w:t>
      </w:r>
      <w:r>
        <w:t xml:space="preserve"> </w:t>
      </w:r>
      <w:r>
        <w:rPr>
          <w:b/>
          <w:bCs/>
        </w:rPr>
        <w:t xml:space="preserve">$1.89 million</w:t>
      </w:r>
      <w:r>
        <w:t xml:space="preserve"> </w:t>
      </w:r>
      <w:r>
        <w:t xml:space="preserve">based on FY2024 revenue of $47.3M (per the investor email) — plus injunctive relief and reputational harm.</w:t>
      </w:r>
    </w:p>
    <w:p>
      <w:pPr>
        <w:pStyle w:val="BodyText"/>
      </w:pPr>
      <w:r>
        <w:rPr>
          <w:i/>
          <w:iCs/>
        </w:rPr>
        <w:t xml:space="preserve">Recommendation:</w:t>
      </w:r>
      <w:r>
        <w:t xml:space="preserve"> </w:t>
      </w:r>
      <w:r>
        <w:t xml:space="preserve">Draft a dedicated, GDPR-compliant EU/UK transparency notice addressing each Article 13/14 element, including lawful bases, recipient categories, transfer mechanisms, retention periods, the full suite of data-subject rights, the complaint right, and automated decision-making disclosures (see Issue 10).</w:t>
      </w:r>
    </w:p>
    <w:p>
      <w:r>
        <w:pict>
          <v:rect style="width:0;height:1.5pt" o:hralign="center" o:hrstd="t" o:hr="t"/>
        </w:pict>
      </w:r>
    </w:p>
    <w:p>
      <w:pPr>
        <w:pStyle w:val="FirstParagraph"/>
      </w:pPr>
      <w:r>
        <w:rPr>
          <w:b/>
          <w:bCs/>
        </w:rPr>
        <w:t xml:space="preserve">Issue 6 — No Data Protection Officer has been appointed (GDPR Art. 37).</w:t>
      </w:r>
      <w:r>
        <w:t xml:space="preserve"> </w:t>
      </w:r>
      <w:r>
        <w:rPr>
          <w:i/>
          <w:iCs/>
        </w:rPr>
        <w:t xml:space="preserve">Severity: High</w:t>
      </w:r>
    </w:p>
    <w:p>
      <w:pPr>
        <w:pStyle w:val="BodyText"/>
      </w:pPr>
      <w:r>
        <w:rPr>
          <w:i/>
          <w:iCs/>
        </w:rPr>
        <w:t xml:space="preserve">Identification:</w:t>
      </w:r>
      <w:r>
        <w:t xml:space="preserve"> </w:t>
      </w:r>
      <w:r>
        <w:t xml:space="preserve">The EU Processing Summary states</w:t>
      </w:r>
      <w:r>
        <w:t xml:space="preserve"> </w:t>
      </w:r>
      <w:r>
        <w:t xml:space="preserve">“</w:t>
      </w:r>
      <w:r>
        <w:t xml:space="preserve">DPO — NOT APPOINTED</w:t>
      </w:r>
      <w:r>
        <w:t xml:space="preserve">”</w:t>
      </w:r>
      <w:r>
        <w:t xml:space="preserve"> </w:t>
      </w:r>
      <w:r>
        <w:t xml:space="preserve">and that the Privacy Policy</w:t>
      </w:r>
      <w:r>
        <w:t xml:space="preserve"> </w:t>
      </w:r>
      <w:r>
        <w:t xml:space="preserve">“</w:t>
      </w:r>
      <w:r>
        <w:t xml:space="preserve">contains no DPO contact information.</w:t>
      </w:r>
      <w:r>
        <w:t xml:space="preserve">”</w:t>
      </w:r>
      <w:r>
        <w:t xml:space="preserve"> </w:t>
      </w:r>
      <w:r>
        <w:t xml:space="preserve">Vaultline engages in large-scale processing of Article 9 special category data (biometric facial geometry of ~1.9M users) and large-scale systematic monitoring.</w:t>
      </w:r>
    </w:p>
    <w:p>
      <w:pPr>
        <w:pStyle w:val="BodyText"/>
      </w:pPr>
      <w:r>
        <w:rPr>
          <w:i/>
          <w:iCs/>
        </w:rPr>
        <w:t xml:space="preserve">Why it matters / Risk:</w:t>
      </w:r>
      <w:r>
        <w:t xml:space="preserve"> </w:t>
      </w:r>
      <w:r>
        <w:t xml:space="preserve">GDPR Article 37(1)(b)–(c) requires designation of a DPO where the controller carries out large-scale processing of special category data or large-scale, regular, and systematic monitoring. The biometric processing alone triggers this. The investor email (§3) flags the absence as</w:t>
      </w:r>
      <w:r>
        <w:t xml:space="preserve"> </w:t>
      </w:r>
      <w:r>
        <w:t xml:space="preserve">“</w:t>
      </w:r>
      <w:r>
        <w:t xml:space="preserve">particularly concerning.</w:t>
      </w:r>
      <w:r>
        <w:t xml:space="preserve">”</w:t>
      </w:r>
      <w:r>
        <w:t xml:space="preserve"> </w:t>
      </w:r>
      <w:r>
        <w:t xml:space="preserve">Non-designation is an independent infringement (Art. 83(4), up to 2% of global turnover).</w:t>
      </w:r>
    </w:p>
    <w:p>
      <w:pPr>
        <w:pStyle w:val="BodyText"/>
      </w:pPr>
      <w:r>
        <w:rPr>
          <w:i/>
          <w:iCs/>
        </w:rPr>
        <w:t xml:space="preserve">Recommendation:</w:t>
      </w:r>
      <w:r>
        <w:t xml:space="preserve"> </w:t>
      </w:r>
      <w:r>
        <w:t xml:space="preserve">Designate a DPO (internal or external), publish the DPO’s contact details in the Privacy Policy and EU notice, and ensure the DPO reports to the highest management level and operates independently.</w:t>
      </w:r>
    </w:p>
    <w:p>
      <w:r>
        <w:pict>
          <v:rect style="width:0;height:1.5pt" o:hralign="center" o:hrstd="t" o:hr="t"/>
        </w:pict>
      </w:r>
    </w:p>
    <w:p>
      <w:pPr>
        <w:pStyle w:val="FirstParagraph"/>
      </w:pPr>
      <w:r>
        <w:rPr>
          <w:b/>
          <w:bCs/>
        </w:rPr>
        <w:t xml:space="preserve">Issue 7 — No EU Article 27 representative has been designated.</w:t>
      </w:r>
      <w:r>
        <w:t xml:space="preserve"> </w:t>
      </w:r>
      <w:r>
        <w:rPr>
          <w:i/>
          <w:iCs/>
        </w:rPr>
        <w:t xml:space="preserve">Severity: High</w:t>
      </w:r>
    </w:p>
    <w:p>
      <w:pPr>
        <w:pStyle w:val="BodyText"/>
      </w:pPr>
      <w:r>
        <w:rPr>
          <w:i/>
          <w:iCs/>
        </w:rPr>
        <w:t xml:space="preserve">Identification:</w:t>
      </w:r>
      <w:r>
        <w:t xml:space="preserve"> </w:t>
      </w:r>
      <w:r>
        <w:t xml:space="preserve">The EU Processing Summary states</w:t>
      </w:r>
      <w:r>
        <w:t xml:space="preserve"> </w:t>
      </w:r>
      <w:r>
        <w:t xml:space="preserve">“</w:t>
      </w:r>
      <w:r>
        <w:t xml:space="preserve">EU Representative (Art. 27) — NOT APPOINTED,</w:t>
      </w:r>
      <w:r>
        <w:t xml:space="preserve">”</w:t>
      </w:r>
      <w:r>
        <w:t xml:space="preserve"> </w:t>
      </w:r>
      <w:r>
        <w:t xml:space="preserve">noting Vaultline is a Delaware corporation with no EU establishment.</w:t>
      </w:r>
    </w:p>
    <w:p>
      <w:pPr>
        <w:pStyle w:val="BodyText"/>
      </w:pPr>
      <w:r>
        <w:rPr>
          <w:i/>
          <w:iCs/>
        </w:rPr>
        <w:t xml:space="preserve">Why it matters / Risk:</w:t>
      </w:r>
      <w:r>
        <w:t xml:space="preserve"> </w:t>
      </w:r>
      <w:r>
        <w:t xml:space="preserve">GDPR Article 27 requires a controller not established in the EU that processes EU residents’ data in connection with offering goods/services or monitoring their behavior to designate an EU representative, subject to limited exceptions. With 23,000 EU users and an imminent EU launch, this requirement applies. Non-compliance is an Article 83(4) infringement.</w:t>
      </w:r>
    </w:p>
    <w:p>
      <w:pPr>
        <w:pStyle w:val="BodyText"/>
      </w:pPr>
      <w:r>
        <w:rPr>
          <w:i/>
          <w:iCs/>
        </w:rPr>
        <w:t xml:space="preserve">Recommendation:</w:t>
      </w:r>
      <w:r>
        <w:t xml:space="preserve"> </w:t>
      </w:r>
      <w:r>
        <w:t xml:space="preserve">Designate an EU Article 27 representative (e.g., a EU-based law firm or professional representative firm) before the EU launch, and publish the representative’s contact details in the EU transparency notice.</w:t>
      </w:r>
    </w:p>
    <w:p>
      <w:r>
        <w:pict>
          <v:rect style="width:0;height:1.5pt" o:hralign="center" o:hrstd="t" o:hr="t"/>
        </w:pict>
      </w:r>
    </w:p>
    <w:p>
      <w:pPr>
        <w:pStyle w:val="FirstParagraph"/>
      </w:pPr>
      <w:r>
        <w:rPr>
          <w:b/>
          <w:bCs/>
        </w:rPr>
        <w:t xml:space="preserve">Issue 8 — No Data Protection Impact Assessments have been conducted for any high-risk processing (GDPR Art. 35).</w:t>
      </w:r>
      <w:r>
        <w:t xml:space="preserve"> </w:t>
      </w:r>
      <w:r>
        <w:rPr>
          <w:i/>
          <w:iCs/>
        </w:rPr>
        <w:t xml:space="preserve">Severity: High</w:t>
      </w:r>
    </w:p>
    <w:p>
      <w:pPr>
        <w:pStyle w:val="BodyText"/>
      </w:pPr>
      <w:r>
        <w:rPr>
          <w:i/>
          <w:iCs/>
        </w:rPr>
        <w:t xml:space="preserve">Identification:</w:t>
      </w:r>
      <w:r>
        <w:t xml:space="preserve"> </w:t>
      </w:r>
      <w:r>
        <w:t xml:space="preserve">The DPIA Status tab shows</w:t>
      </w:r>
      <w:r>
        <w:t xml:space="preserve"> </w:t>
      </w:r>
      <w:r>
        <w:rPr>
          <w:b/>
          <w:bCs/>
        </w:rPr>
        <w:t xml:space="preserve">all eight</w:t>
      </w:r>
      <w:r>
        <w:t xml:space="preserve"> </w:t>
      </w:r>
      <w:r>
        <w:t xml:space="preserve">processing activities (PA-001 through PA-008) as</w:t>
      </w:r>
      <w:r>
        <w:t xml:space="preserve"> </w:t>
      </w:r>
      <w:r>
        <w:t xml:space="preserve">“</w:t>
      </w:r>
      <w:r>
        <w:t xml:space="preserve">Not Conducted,</w:t>
      </w:r>
      <w:r>
        <w:t xml:space="preserve">”</w:t>
      </w:r>
      <w:r>
        <w:t xml:space="preserve"> </w:t>
      </w:r>
      <w:r>
        <w:t xml:space="preserve">with pre-mitigation risk levels ranging from Medium to</w:t>
      </w:r>
      <w:r>
        <w:t xml:space="preserve"> </w:t>
      </w:r>
      <w:r>
        <w:rPr>
          <w:b/>
          <w:bCs/>
        </w:rPr>
        <w:t xml:space="preserve">Critical</w:t>
      </w:r>
      <w:r>
        <w:t xml:space="preserve">. Mandatory triggers are identified for: PA-001 (biometric data, Art. 35(3)(b), High); PA-003 (automated decision-making producing significant effects, Art. 35(3)(a), Critical); PA-007 (international transfers without adequate safeguards, Critical); and PA-002 and PA-004 (High).</w:t>
      </w:r>
    </w:p>
    <w:p>
      <w:pPr>
        <w:pStyle w:val="BodyText"/>
      </w:pPr>
      <w:r>
        <w:rPr>
          <w:i/>
          <w:iCs/>
        </w:rPr>
        <w:t xml:space="preserve">Why it matters / Risk:</w:t>
      </w:r>
      <w:r>
        <w:t xml:space="preserve"> </w:t>
      </w:r>
      <w:r>
        <w:t xml:space="preserve">GDPR Article 35 mandates a DPIA for high-risk processing, including large-scale special-category processing and systematic, extensive automated evaluation producing legal/significant effects. The failure to conduct any DPIA is an independent infringement and deprives Vaultline of the documented risk assessment needed to justify and mitigate the very activities that generate its largest exposures. The investor email (§5) flags the Smart Insights automated decision-making concern.</w:t>
      </w:r>
    </w:p>
    <w:p>
      <w:pPr>
        <w:pStyle w:val="BodyText"/>
      </w:pPr>
      <w:r>
        <w:rPr>
          <w:i/>
          <w:iCs/>
        </w:rPr>
        <w:t xml:space="preserve">Recommendation:</w:t>
      </w:r>
      <w:r>
        <w:t xml:space="preserve"> </w:t>
      </w:r>
      <w:r>
        <w:t xml:space="preserve">Commission DPIAs immediately for PA-001 (Selfie Verify), PA-003 (Smart Insights), and PA-007 (international transfers), followed by PA-002 and PA-004. Document mitigation measures and residual risk. The DPIA for PA-003 is especially urgent given the Article 22 implications (Issue 10).</w:t>
      </w:r>
    </w:p>
    <w:p>
      <w:r>
        <w:pict>
          <v:rect style="width:0;height:1.5pt" o:hralign="center" o:hrstd="t" o:hr="t"/>
        </w:pict>
      </w:r>
    </w:p>
    <w:p>
      <w:pPr>
        <w:pStyle w:val="FirstParagraph"/>
      </w:pPr>
      <w:r>
        <w:rPr>
          <w:b/>
          <w:bCs/>
        </w:rPr>
        <w:t xml:space="preserve">Issue 9 — Browsewrap/continued-use consent is insufficient as a GDPR lawful basis (Arts. 6, 7).</w:t>
      </w:r>
      <w:r>
        <w:t xml:space="preserve"> </w:t>
      </w:r>
      <w:r>
        <w:rPr>
          <w:i/>
          <w:iCs/>
        </w:rPr>
        <w:t xml:space="preserve">Severity: High</w:t>
      </w:r>
    </w:p>
    <w:p>
      <w:pPr>
        <w:pStyle w:val="BodyText"/>
      </w:pPr>
      <w:r>
        <w:rPr>
          <w:i/>
          <w:iCs/>
        </w:rPr>
        <w:t xml:space="preserve">Identification:</w:t>
      </w:r>
      <w:r>
        <w:t xml:space="preserve"> </w:t>
      </w:r>
      <w:r>
        <w:t xml:space="preserve">The Processing Activities tab lists the legal basis for every activity as</w:t>
      </w:r>
      <w:r>
        <w:t xml:space="preserve"> </w:t>
      </w:r>
      <w:r>
        <w:t xml:space="preserve">“</w:t>
      </w:r>
      <w:r>
        <w:t xml:space="preserve">Consent (browsewrap — app usage).</w:t>
      </w:r>
      <w:r>
        <w:t xml:space="preserve">”</w:t>
      </w:r>
      <w:r>
        <w:t xml:space="preserve"> </w:t>
      </w:r>
      <w:r>
        <w:t xml:space="preserve">The Privacy Policy states:</w:t>
      </w:r>
      <w:r>
        <w:t xml:space="preserve"> </w:t>
      </w:r>
      <w:r>
        <w:t xml:space="preserve">“</w:t>
      </w:r>
      <w:r>
        <w:t xml:space="preserve">Your continued use of our services constitutes your consent to all data collection, use, processing, and sharing practices described herein.</w:t>
      </w:r>
      <w:r>
        <w:t xml:space="preserve">”</w:t>
      </w:r>
      <w:r>
        <w:t xml:space="preserve"> </w:t>
      </w:r>
      <w:r>
        <w:t xml:space="preserve">The EU Processing Summary states:</w:t>
      </w:r>
      <w:r>
        <w:t xml:space="preserve"> </w:t>
      </w:r>
      <w:r>
        <w:t xml:space="preserve">“</w:t>
      </w:r>
      <w:r>
        <w:t xml:space="preserve">Browsewrap likely insufficient for GDPR consent standard (Art. 7). No legitimate interest assessment conducted.</w:t>
      </w:r>
      <w:r>
        <w:t xml:space="preserve">”</w:t>
      </w:r>
    </w:p>
    <w:p>
      <w:pPr>
        <w:pStyle w:val="BodyText"/>
      </w:pPr>
      <w:r>
        <w:rPr>
          <w:i/>
          <w:iCs/>
        </w:rPr>
        <w:t xml:space="preserve">Why it matters / Risk:</w:t>
      </w:r>
      <w:r>
        <w:t xml:space="preserve"> </w:t>
      </w:r>
      <w:r>
        <w:t xml:space="preserve">GDPR Article 7 requires consent to be freely given, specific, informed, and unambiguous, evidenced by a clear affirmative act; continued-use/browsewrap consent generally fails this standard. No Article 6 lawful basis has been properly analyzed or documented for any activity, and no legitimate-interest assessment exists. For special category data, browsewrap cannot supply the Article 9 explicit consent required (Issue 2).</w:t>
      </w:r>
    </w:p>
    <w:p>
      <w:pPr>
        <w:pStyle w:val="BodyText"/>
      </w:pPr>
      <w:r>
        <w:rPr>
          <w:i/>
          <w:iCs/>
        </w:rPr>
        <w:t xml:space="preserve">Recommendation:</w:t>
      </w:r>
      <w:r>
        <w:t xml:space="preserve"> </w:t>
      </w:r>
      <w:r>
        <w:t xml:space="preserve">Conduct a lawful-basis analysis for each processing activity. Where consent is the basis, implement a genuine opt-in mechanism (granular, withdrawable). Where legitimate interests is claimed, conduct and document a legitimate-interest assessment. Replace browsewrap reliance for EU processing before launch.</w:t>
      </w:r>
    </w:p>
    <w:p>
      <w:r>
        <w:pict>
          <v:rect style="width:0;height:1.5pt" o:hralign="center" o:hrstd="t" o:hr="t"/>
        </w:pict>
      </w:r>
    </w:p>
    <w:p>
      <w:pPr>
        <w:pStyle w:val="FirstParagraph"/>
      </w:pPr>
      <w:r>
        <w:rPr>
          <w:b/>
          <w:bCs/>
        </w:rPr>
        <w:t xml:space="preserve">Issue 10 — Automated decision-making (Smart Insights) is undisclosed — GDPR Art. 22 / Art. 13(2)(f).</w:t>
      </w:r>
      <w:r>
        <w:t xml:space="preserve"> </w:t>
      </w:r>
      <w:r>
        <w:rPr>
          <w:i/>
          <w:iCs/>
        </w:rPr>
        <w:t xml:space="preserve">Severity: Critical</w:t>
      </w:r>
    </w:p>
    <w:p>
      <w:pPr>
        <w:pStyle w:val="BodyText"/>
      </w:pPr>
      <w:r>
        <w:rPr>
          <w:i/>
          <w:iCs/>
        </w:rPr>
        <w:t xml:space="preserve">Identification:</w:t>
      </w:r>
      <w:r>
        <w:t xml:space="preserve"> </w:t>
      </w:r>
      <w:r>
        <w:t xml:space="preserve">The Processing Activities tab (PA-003) describes</w:t>
      </w:r>
      <w:r>
        <w:t xml:space="preserve"> </w:t>
      </w:r>
      <w:r>
        <w:t xml:space="preserve">“</w:t>
      </w:r>
      <w:r>
        <w:t xml:space="preserve">Smart Insights — AI-Powered Financial Analysis &amp; Recommendations,</w:t>
      </w:r>
      <w:r>
        <w:t xml:space="preserve">”</w:t>
      </w:r>
      <w:r>
        <w:t xml:space="preserve"> </w:t>
      </w:r>
      <w:r>
        <w:t xml:space="preserve">which is</w:t>
      </w:r>
      <w:r>
        <w:t xml:space="preserve"> </w:t>
      </w:r>
      <w:r>
        <w:t xml:space="preserve">“</w:t>
      </w:r>
      <w:r>
        <w:t xml:space="preserve">Fully Automated</w:t>
      </w:r>
      <w:r>
        <w:t xml:space="preserve">”</w:t>
      </w:r>
      <w:r>
        <w:t xml:space="preserve"> </w:t>
      </w:r>
      <w:r>
        <w:t xml:space="preserve">and</w:t>
      </w:r>
      <w:r>
        <w:t xml:space="preserve"> </w:t>
      </w:r>
      <w:r>
        <w:t xml:space="preserve">“</w:t>
      </w:r>
      <w:r>
        <w:t xml:space="preserve">Recommends or withholds credit product offers; determines eligibility visibility for partner financial products based on AI assessment of financial profile,</w:t>
      </w:r>
      <w:r>
        <w:t xml:space="preserve">”</w:t>
      </w:r>
      <w:r>
        <w:t xml:space="preserve"> </w:t>
      </w:r>
      <w:r>
        <w:t xml:space="preserve">producing</w:t>
      </w:r>
      <w:r>
        <w:t xml:space="preserve"> </w:t>
      </w:r>
      <w:r>
        <w:t xml:space="preserve">“</w:t>
      </w:r>
      <w:r>
        <w:t xml:space="preserve">legal or similarly significant effects on users.</w:t>
      </w:r>
      <w:r>
        <w:t xml:space="preserve">”</w:t>
      </w:r>
      <w:r>
        <w:t xml:space="preserve"> </w:t>
      </w:r>
      <w:r>
        <w:t xml:space="preserve">Approximately</w:t>
      </w:r>
      <w:r>
        <w:t xml:space="preserve"> </w:t>
      </w:r>
      <w:r>
        <w:rPr>
          <w:b/>
          <w:bCs/>
        </w:rPr>
        <w:t xml:space="preserve">2,800,000 active users</w:t>
      </w:r>
      <w:r>
        <w:t xml:space="preserve"> </w:t>
      </w:r>
      <w:r>
        <w:t xml:space="preserve">are exposed. The tab states:</w:t>
      </w:r>
      <w:r>
        <w:t xml:space="preserve"> </w:t>
      </w:r>
      <w:r>
        <w:t xml:space="preserve">“</w:t>
      </w:r>
      <w:r>
        <w:t xml:space="preserve">No disclosure of automated decision-making in privacy policy. No opt-out mechanism provided. No human review option offered.</w:t>
      </w:r>
      <w:r>
        <w:t xml:space="preserve">”</w:t>
      </w:r>
      <w:r>
        <w:t xml:space="preserve"> </w:t>
      </w:r>
      <w:r>
        <w:t xml:space="preserve">The Privacy Policy contains no mention of Smart Insights or automated decision-making. The investor email (§5) flags this under GDPR Article 22 and emerging U.S. state AI governance requirements.</w:t>
      </w:r>
    </w:p>
    <w:p>
      <w:pPr>
        <w:pStyle w:val="BodyText"/>
      </w:pPr>
      <w:r>
        <w:rPr>
          <w:i/>
          <w:iCs/>
        </w:rPr>
        <w:t xml:space="preserve">Why it matters / Risk:</w:t>
      </w:r>
      <w:r>
        <w:t xml:space="preserve"> </w:t>
      </w:r>
      <w:r>
        <w:t xml:space="preserve">GDPR Article 22 grants data subjects the right not to be subject to solely automated decisions producing legal or similarly significant effects, with safeguards including human intervention and the right to contest. Article 13(2)(f) requires disclosure of the existence of such processing and</w:t>
      </w:r>
      <w:r>
        <w:t xml:space="preserve"> </w:t>
      </w:r>
      <w:r>
        <w:t xml:space="preserve">“</w:t>
      </w:r>
      <w:r>
        <w:t xml:space="preserve">meaningful information about the logic involved, as well as the significance and the envisaged consequences.</w:t>
      </w:r>
      <w:r>
        <w:t xml:space="preserve">”</w:t>
      </w:r>
      <w:r>
        <w:t xml:space="preserve"> </w:t>
      </w:r>
      <w:r>
        <w:t xml:space="preserve">None is provided. The DPIA Status tab rates PA-003 as</w:t>
      </w:r>
      <w:r>
        <w:t xml:space="preserve"> </w:t>
      </w:r>
      <w:r>
        <w:rPr>
          <w:b/>
          <w:bCs/>
        </w:rPr>
        <w:t xml:space="preserve">Critical</w:t>
      </w:r>
      <w:r>
        <w:t xml:space="preserve">. Withholding or surfacing credit-product offers based on AI financial profiling is a textbook</w:t>
      </w:r>
      <w:r>
        <w:t xml:space="preserve"> </w:t>
      </w:r>
      <w:r>
        <w:t xml:space="preserve">“</w:t>
      </w:r>
      <w:r>
        <w:t xml:space="preserve">significant effects</w:t>
      </w:r>
      <w:r>
        <w:t xml:space="preserve">”</w:t>
      </w:r>
      <w:r>
        <w:t xml:space="preserve"> </w:t>
      </w:r>
      <w:r>
        <w:t xml:space="preserve">use case. U.S. state AI/automated-decision laws (e.g., Colorado Privacy Act profiling provisions) add further exposure.</w:t>
      </w:r>
    </w:p>
    <w:p>
      <w:pPr>
        <w:pStyle w:val="BodyText"/>
      </w:pPr>
      <w:r>
        <w:rPr>
          <w:i/>
          <w:iCs/>
        </w:rPr>
        <w:t xml:space="preserve">Recommendation:</w:t>
      </w:r>
      <w:r>
        <w:t xml:space="preserve"> </w:t>
      </w:r>
      <w:r>
        <w:t xml:space="preserve">Disclose Smart Insights automated decision-making in the Privacy Policy and EU notice, including the logic, significance, and consequences. Implement a human-review option and a contest/opt-out mechanism. Complete the mandatory DPIA (Issue 8). Evaluate whether the credit-product eligibility gating also implicates the FCRA (Issue 31).</w:t>
      </w:r>
    </w:p>
    <w:p>
      <w:r>
        <w:pict>
          <v:rect style="width:0;height:1.5pt" o:hralign="center" o:hrstd="t" o:hr="t"/>
        </w:pict>
      </w:r>
    </w:p>
    <w:bookmarkEnd w:id="26"/>
    <w:bookmarkStart w:id="27" w:name="d.-ccpacpra-compliance"/>
    <w:p>
      <w:pPr>
        <w:pStyle w:val="Heading3"/>
      </w:pPr>
      <w:r>
        <w:t xml:space="preserve">D. CCPA/CPRA Compliance</w:t>
      </w:r>
    </w:p>
    <w:p>
      <w:pPr>
        <w:pStyle w:val="FirstParagraph"/>
      </w:pPr>
      <w:r>
        <w:rPr>
          <w:b/>
          <w:bCs/>
        </w:rPr>
        <w:t xml:space="preserve">Issue 11 — CCPA/CPRA consumer rights disclosures are incomplete (only the right to know is addressed).</w:t>
      </w:r>
      <w:r>
        <w:t xml:space="preserve"> </w:t>
      </w:r>
      <w:r>
        <w:rPr>
          <w:i/>
          <w:iCs/>
        </w:rPr>
        <w:t xml:space="preserve">Severity: High</w:t>
      </w:r>
    </w:p>
    <w:p>
      <w:pPr>
        <w:pStyle w:val="BodyText"/>
      </w:pPr>
      <w:r>
        <w:rPr>
          <w:i/>
          <w:iCs/>
        </w:rPr>
        <w:t xml:space="preserve">Identification:</w:t>
      </w:r>
      <w:r>
        <w:t xml:space="preserve"> </w:t>
      </w:r>
      <w:r>
        <w:t xml:space="preserve">The Privacy Policy’s</w:t>
      </w:r>
      <w:r>
        <w:t xml:space="preserve"> </w:t>
      </w:r>
      <w:r>
        <w:t xml:space="preserve">“</w:t>
      </w:r>
      <w:r>
        <w:t xml:space="preserve">Your Rights — California Residents</w:t>
      </w:r>
      <w:r>
        <w:t xml:space="preserve">”</w:t>
      </w:r>
      <w:r>
        <w:t xml:space="preserve"> </w:t>
      </w:r>
      <w:r>
        <w:t xml:space="preserve">section addresses only the right to request to know what personal information has been collected. It does not mention the rights to deletion, correction, opt-out of sale or sharing, limitation of the use and disclosure of sensitive personal information, or non-discrimination. The investor email (§5) flags this and requests verification of the</w:t>
      </w:r>
      <w:r>
        <w:t xml:space="preserve"> </w:t>
      </w:r>
      <w:r>
        <w:t xml:space="preserve">“</w:t>
      </w:r>
      <w:r>
        <w:t xml:space="preserve">full suite of CPRA consumer rights requirements.</w:t>
      </w:r>
      <w:r>
        <w:t xml:space="preserve">”</w:t>
      </w:r>
    </w:p>
    <w:p>
      <w:pPr>
        <w:pStyle w:val="BodyText"/>
      </w:pPr>
      <w:r>
        <w:rPr>
          <w:i/>
          <w:iCs/>
        </w:rPr>
        <w:t xml:space="preserve">Why it matters / Risk:</w:t>
      </w:r>
      <w:r>
        <w:t xml:space="preserve"> </w:t>
      </w:r>
      <w:r>
        <w:t xml:space="preserve">The CCPA/CPRA (Cal. Civ. Code §§ 1798.100 et seq.) requires businesses to disclose and provide mechanisms for the rights to know, delete, correct, opt out of sale/sharing, limit sensitive PI, and non-discrimination. Omitting these is a transparency and operational violation enforceable by the California Attorney General (up to $2,500 per violation; $7,500 per intentional or minor-related violation) and via the private right of action for certain breaches.</w:t>
      </w:r>
    </w:p>
    <w:p>
      <w:pPr>
        <w:pStyle w:val="BodyText"/>
      </w:pPr>
      <w:r>
        <w:rPr>
          <w:i/>
          <w:iCs/>
        </w:rPr>
        <w:t xml:space="preserve">Recommendation:</w:t>
      </w:r>
      <w:r>
        <w:t xml:space="preserve"> </w:t>
      </w:r>
      <w:r>
        <w:t xml:space="preserve">Rewrite the California rights section to enumerate all CPRA rights, the methods to exercise them (including an authorized-agent process), the response timelines, and the non-discrimination commitment. Implement operational processes to fulfill each right.</w:t>
      </w:r>
    </w:p>
    <w:p>
      <w:r>
        <w:pict>
          <v:rect style="width:0;height:1.5pt" o:hralign="center" o:hrstd="t" o:hr="t"/>
        </w:pict>
      </w:r>
    </w:p>
    <w:p>
      <w:pPr>
        <w:pStyle w:val="FirstParagraph"/>
      </w:pPr>
      <w:r>
        <w:rPr>
          <w:b/>
          <w:bCs/>
        </w:rPr>
        <w:t xml:space="preserve">Issue 12 — Sensitive personal information is not classified or disclosed, and no right to limit sensitive PI is provided (CPRA).</w:t>
      </w:r>
      <w:r>
        <w:t xml:space="preserve"> </w:t>
      </w:r>
      <w:r>
        <w:rPr>
          <w:i/>
          <w:iCs/>
        </w:rPr>
        <w:t xml:space="preserve">Severity: High</w:t>
      </w:r>
    </w:p>
    <w:p>
      <w:pPr>
        <w:pStyle w:val="BodyText"/>
      </w:pPr>
      <w:r>
        <w:rPr>
          <w:i/>
          <w:iCs/>
        </w:rPr>
        <w:t xml:space="preserve">Identification:</w:t>
      </w:r>
      <w:r>
        <w:t xml:space="preserve"> </w:t>
      </w:r>
      <w:r>
        <w:t xml:space="preserve">The Data Categories tab flags six categories as CPRA Sensitive PI (</w:t>
      </w:r>
      <w:r>
        <w:t xml:space="preserve">“</w:t>
      </w:r>
      <w:r>
        <w:t xml:space="preserve">Yes</w:t>
      </w:r>
      <w:r>
        <w:t xml:space="preserve">”</w:t>
      </w:r>
      <w:r>
        <w:t xml:space="preserve">): DC-003 (SSN last 4), DC-004 (financial account information), DC-005 (transaction history), DC-007 (credit score), DC-010 (precise geolocation), and DC-011 (biometric facial geometry). The</w:t>
      </w:r>
      <w:r>
        <w:t xml:space="preserve"> </w:t>
      </w:r>
      <w:r>
        <w:t xml:space="preserve">“</w:t>
      </w:r>
      <w:r>
        <w:t xml:space="preserve">Disclosed in Privacy Policy?</w:t>
      </w:r>
      <w:r>
        <w:t xml:space="preserve">”</w:t>
      </w:r>
      <w:r>
        <w:t xml:space="preserve"> </w:t>
      </w:r>
      <w:r>
        <w:t xml:space="preserve">column notes these are disclosed only</w:t>
      </w:r>
      <w:r>
        <w:t xml:space="preserve"> </w:t>
      </w:r>
      <w:r>
        <w:t xml:space="preserve">“</w:t>
      </w:r>
      <w:r>
        <w:t xml:space="preserve">in general reference</w:t>
      </w:r>
      <w:r>
        <w:t xml:space="preserve">”</w:t>
      </w:r>
      <w:r>
        <w:t xml:space="preserve"> </w:t>
      </w:r>
      <w:r>
        <w:t xml:space="preserve">or</w:t>
      </w:r>
      <w:r>
        <w:t xml:space="preserve"> </w:t>
      </w:r>
      <w:r>
        <w:t xml:space="preserve">“</w:t>
      </w:r>
      <w:r>
        <w:t xml:space="preserve">partial disclosure only,</w:t>
      </w:r>
      <w:r>
        <w:t xml:space="preserve">”</w:t>
      </w:r>
      <w:r>
        <w:t xml:space="preserve"> </w:t>
      </w:r>
      <w:r>
        <w:t xml:space="preserve">and that the Privacy Policy</w:t>
      </w:r>
      <w:r>
        <w:t xml:space="preserve"> </w:t>
      </w:r>
      <w:r>
        <w:t xml:space="preserve">“</w:t>
      </w:r>
      <w:r>
        <w:t xml:space="preserve">does not classify as sensitive PI</w:t>
      </w:r>
      <w:r>
        <w:t xml:space="preserve">”</w:t>
      </w:r>
      <w:r>
        <w:t xml:space="preserve"> </w:t>
      </w:r>
      <w:r>
        <w:t xml:space="preserve">(DC-003) and is</w:t>
      </w:r>
      <w:r>
        <w:t xml:space="preserve"> </w:t>
      </w:r>
      <w:r>
        <w:t xml:space="preserve">“</w:t>
      </w:r>
      <w:r>
        <w:t xml:space="preserve">not flagged as sensitive in privacy policy</w:t>
      </w:r>
      <w:r>
        <w:t xml:space="preserve">”</w:t>
      </w:r>
      <w:r>
        <w:t xml:space="preserve"> </w:t>
      </w:r>
      <w:r>
        <w:t xml:space="preserve">(DC-010). The Privacy Policy provides no right to limit the use and disclosure of sensitive PI.</w:t>
      </w:r>
    </w:p>
    <w:p>
      <w:pPr>
        <w:pStyle w:val="BodyText"/>
      </w:pPr>
      <w:r>
        <w:rPr>
          <w:i/>
          <w:iCs/>
        </w:rPr>
        <w:t xml:space="preserve">Why it matters / Risk:</w:t>
      </w:r>
      <w:r>
        <w:t xml:space="preserve"> </w:t>
      </w:r>
      <w:r>
        <w:t xml:space="preserve">The CPRA (Cal. Civ. Code § 1798.121) grants consumers the right to limit the use and disclosure of their sensitive personal information, and requires businesses to disclose the categories of sensitive PI collected. The Privacy Policy collects sensitive PI at scale but neither labels it as such nor provides the limitation right. This compounds the biometric (Issues 1–3) and sale/sharing (Issues 13–15) exposures.</w:t>
      </w:r>
    </w:p>
    <w:p>
      <w:pPr>
        <w:pStyle w:val="BodyText"/>
      </w:pPr>
      <w:r>
        <w:rPr>
          <w:i/>
          <w:iCs/>
        </w:rPr>
        <w:t xml:space="preserve">Recommendation:</w:t>
      </w:r>
      <w:r>
        <w:t xml:space="preserve"> </w:t>
      </w:r>
      <w:r>
        <w:t xml:space="preserve">Identify and disclose all categories of sensitive PI collected; implement the right to limit use and disclosure of sensitive PI (with the permitted exceptions); and add the required</w:t>
      </w:r>
      <w:r>
        <w:t xml:space="preserve"> </w:t>
      </w:r>
      <w:r>
        <w:t xml:space="preserve">“</w:t>
      </w:r>
      <w:r>
        <w:t xml:space="preserve">Your Privacy Choices</w:t>
      </w:r>
      <w:r>
        <w:t xml:space="preserve">”</w:t>
      </w:r>
      <w:r>
        <w:t xml:space="preserve"> </w:t>
      </w:r>
      <w:r>
        <w:t xml:space="preserve">or equivalent disclosure.</w:t>
      </w:r>
    </w:p>
    <w:p>
      <w:r>
        <w:pict>
          <v:rect style="width:0;height:1.5pt" o:hralign="center" o:hrstd="t" o:hr="t"/>
        </w:pict>
      </w:r>
    </w:p>
    <w:p>
      <w:pPr>
        <w:pStyle w:val="FirstParagraph"/>
      </w:pPr>
      <w:r>
        <w:rPr>
          <w:b/>
          <w:bCs/>
        </w:rPr>
        <w:t xml:space="preserve">Issue 13 — No</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opt-out mechanism exists.</w:t>
      </w:r>
      <w:r>
        <w:t xml:space="preserve"> </w:t>
      </w:r>
      <w:r>
        <w:rPr>
          <w:i/>
          <w:iCs/>
        </w:rPr>
        <w:t xml:space="preserve">Severity: High</w:t>
      </w:r>
    </w:p>
    <w:p>
      <w:pPr>
        <w:pStyle w:val="BodyText"/>
      </w:pPr>
      <w:r>
        <w:rPr>
          <w:i/>
          <w:iCs/>
        </w:rPr>
        <w:t xml:space="preserve">Identification:</w:t>
      </w:r>
      <w:r>
        <w:t xml:space="preserve"> </w:t>
      </w:r>
      <w:r>
        <w:t xml:space="preserve">The Privacy Policy contains no</w:t>
      </w:r>
      <w:r>
        <w:t xml:space="preserve"> </w:t>
      </w:r>
      <w:r>
        <w:t xml:space="preserve">“</w:t>
      </w:r>
      <w:r>
        <w:t xml:space="preserve">Do Not Sell or Share My Personal Information</w:t>
      </w:r>
      <w:r>
        <w:t xml:space="preserve">”</w:t>
      </w:r>
      <w:r>
        <w:t xml:space="preserve"> </w:t>
      </w:r>
      <w:r>
        <w:t xml:space="preserve">link or opt-out mechanism. The Data Inventory (Third-Party Sharing TS-002, TS-003) states</w:t>
      </w:r>
      <w:r>
        <w:t xml:space="preserve"> </w:t>
      </w:r>
      <w:r>
        <w:t xml:space="preserve">“</w:t>
      </w:r>
      <w:r>
        <w:t xml:space="preserve">Opt-Out Mechanism Provided?</w:t>
      </w:r>
      <w:r>
        <w:t xml:space="preserve"> </w:t>
      </w:r>
      <w:r>
        <w:rPr>
          <w:b/>
          <w:bCs/>
        </w:rPr>
        <w:t xml:space="preserve">No</w:t>
      </w:r>
      <w:r>
        <w:t xml:space="preserve">”</w:t>
      </w:r>
      <w:r>
        <w:t xml:space="preserve"> </w:t>
      </w:r>
      <w:r>
        <w:t xml:space="preserve">for both the Brightly relationship and the 14 partner financial product referrals. The Privacy Policy provides only an email contact (privacy@vaultline.com) for rights requests.</w:t>
      </w:r>
    </w:p>
    <w:p>
      <w:pPr>
        <w:pStyle w:val="BodyText"/>
      </w:pPr>
      <w:r>
        <w:rPr>
          <w:i/>
          <w:iCs/>
        </w:rPr>
        <w:t xml:space="preserve">Why it matters / Risk:</w:t>
      </w:r>
      <w:r>
        <w:t xml:space="preserve"> </w:t>
      </w:r>
      <w:r>
        <w:t xml:space="preserve">The CCPA/CPRA requires businesses that sell or share personal information to provide a clear and conspicuous</w:t>
      </w:r>
      <w:r>
        <w:t xml:space="preserve"> </w:t>
      </w:r>
      <w:r>
        <w:t xml:space="preserve">“</w:t>
      </w:r>
      <w:r>
        <w:t xml:space="preserve">Do Not Sell or Share My Personal Information</w:t>
      </w:r>
      <w:r>
        <w:t xml:space="preserve">”</w:t>
      </w:r>
      <w:r>
        <w:t xml:space="preserve"> </w:t>
      </w:r>
      <w:r>
        <w:t xml:space="preserve">link on their homepage and a mechanism to submit opt-out requests, plus recognition of opt-out preference signals. Given the Brightly revenue-share (Issue 15) and referral-fee arrangements (Issue 14), Vaultline very likely</w:t>
      </w:r>
      <w:r>
        <w:t xml:space="preserve"> </w:t>
      </w:r>
      <w:r>
        <w:t xml:space="preserve">“</w:t>
      </w:r>
      <w:r>
        <w:t xml:space="preserve">sells</w:t>
      </w:r>
      <w:r>
        <w:t xml:space="preserve">”</w:t>
      </w:r>
      <w:r>
        <w:t xml:space="preserve"> </w:t>
      </w:r>
      <w:r>
        <w:t xml:space="preserve">and</w:t>
      </w:r>
      <w:r>
        <w:t xml:space="preserve"> </w:t>
      </w:r>
      <w:r>
        <w:t xml:space="preserve">“</w:t>
      </w:r>
      <w:r>
        <w:t xml:space="preserve">shares</w:t>
      </w:r>
      <w:r>
        <w:t xml:space="preserve">”</w:t>
      </w:r>
      <w:r>
        <w:t xml:space="preserve"> </w:t>
      </w:r>
      <w:r>
        <w:t xml:space="preserve">personal information and must provide this mechanism. Its absence is a standalone violation.</w:t>
      </w:r>
    </w:p>
    <w:p>
      <w:pPr>
        <w:pStyle w:val="BodyText"/>
      </w:pPr>
      <w:r>
        <w:rPr>
          <w:i/>
          <w:iCs/>
        </w:rPr>
        <w:t xml:space="preserve">Recommendation:</w:t>
      </w:r>
      <w:r>
        <w:t xml:space="preserve"> </w:t>
      </w:r>
      <w:r>
        <w:t xml:space="preserve">Determine whether Vaultline</w:t>
      </w:r>
      <w:r>
        <w:t xml:space="preserve"> </w:t>
      </w:r>
      <w:r>
        <w:t xml:space="preserve">“</w:t>
      </w:r>
      <w:r>
        <w:t xml:space="preserve">sells</w:t>
      </w:r>
      <w:r>
        <w:t xml:space="preserve">”</w:t>
      </w:r>
      <w:r>
        <w:t xml:space="preserve"> </w:t>
      </w:r>
      <w:r>
        <w:t xml:space="preserve">or</w:t>
      </w:r>
      <w:r>
        <w:t xml:space="preserve"> </w:t>
      </w:r>
      <w:r>
        <w:t xml:space="preserve">“</w:t>
      </w:r>
      <w:r>
        <w:t xml:space="preserve">shares</w:t>
      </w:r>
      <w:r>
        <w:t xml:space="preserve">”</w:t>
      </w:r>
      <w:r>
        <w:t xml:space="preserve"> </w:t>
      </w:r>
      <w:r>
        <w:t xml:space="preserve">(it very likely does — see Issues 14–15); if so, deploy the</w:t>
      </w:r>
      <w:r>
        <w:t xml:space="preserve"> </w:t>
      </w:r>
      <w:r>
        <w:t xml:space="preserve">“</w:t>
      </w:r>
      <w:r>
        <w:t xml:space="preserve">Do Not Sell or Share</w:t>
      </w:r>
      <w:r>
        <w:t xml:space="preserve">”</w:t>
      </w:r>
      <w:r>
        <w:t xml:space="preserve"> </w:t>
      </w:r>
      <w:r>
        <w:t xml:space="preserve">link and opt-out flow, honor Global Privacy Control/opt-out preference signals, and update the Privacy Policy accordingly.</w:t>
      </w:r>
    </w:p>
    <w:p>
      <w:r>
        <w:pict>
          <v:rect style="width:0;height:1.5pt" o:hralign="center" o:hrstd="t" o:hr="t"/>
        </w:pict>
      </w:r>
    </w:p>
    <w:p>
      <w:pPr>
        <w:pStyle w:val="FirstParagraph"/>
      </w:pPr>
      <w:r>
        <w:rPr>
          <w:b/>
          <w:bCs/>
        </w:rPr>
        <w:t xml:space="preserve">Issue 14 — The Privacy Policy’s</w:t>
      </w:r>
      <w:r>
        <w:rPr>
          <w:b/>
          <w:bCs/>
        </w:rPr>
        <w:t xml:space="preserve"> </w:t>
      </w:r>
      <w:r>
        <w:rPr>
          <w:b/>
          <w:bCs/>
        </w:rPr>
        <w:t xml:space="preserve">“</w:t>
      </w:r>
      <w:r>
        <w:rPr>
          <w:b/>
          <w:bCs/>
        </w:rPr>
        <w:t xml:space="preserve">does not sell</w:t>
      </w:r>
      <w:r>
        <w:rPr>
          <w:b/>
          <w:bCs/>
        </w:rPr>
        <w:t xml:space="preserve">”</w:t>
      </w:r>
      <w:r>
        <w:rPr>
          <w:b/>
          <w:bCs/>
        </w:rPr>
        <w:t xml:space="preserve"> </w:t>
      </w:r>
      <w:r>
        <w:rPr>
          <w:b/>
          <w:bCs/>
        </w:rPr>
        <w:t xml:space="preserve">representation is contradicted by the Brightly revenue share and referral fees.</w:t>
      </w:r>
      <w:r>
        <w:t xml:space="preserve"> </w:t>
      </w:r>
      <w:r>
        <w:rPr>
          <w:i/>
          <w:iCs/>
        </w:rPr>
        <w:t xml:space="preserve">Severity: High</w:t>
      </w:r>
    </w:p>
    <w:p>
      <w:pPr>
        <w:pStyle w:val="BodyText"/>
      </w:pPr>
      <w:r>
        <w:rPr>
          <w:i/>
          <w:iCs/>
        </w:rPr>
        <w:t xml:space="preserve">Identification:</w:t>
      </w:r>
      <w:r>
        <w:t xml:space="preserve"> </w:t>
      </w:r>
      <w:r>
        <w:t xml:space="preserve">The Privacy Policy’s</w:t>
      </w:r>
      <w:r>
        <w:t xml:space="preserve"> </w:t>
      </w:r>
      <w:r>
        <w:t xml:space="preserve">“</w:t>
      </w:r>
      <w:r>
        <w:t xml:space="preserve">Supplemental Disclosures</w:t>
      </w:r>
      <w:r>
        <w:t xml:space="preserve">”</w:t>
      </w:r>
      <w:r>
        <w:t xml:space="preserve"> </w:t>
      </w:r>
      <w:r>
        <w:t xml:space="preserve">section states that</w:t>
      </w:r>
      <w:r>
        <w:t xml:space="preserve"> </w:t>
      </w:r>
      <w:r>
        <w:t xml:space="preserve">“</w:t>
      </w:r>
      <w:r>
        <w:t xml:space="preserve">Vaultline does not currently engage in the sale of covered information as defined by Nevada law.</w:t>
      </w:r>
      <w:r>
        <w:t xml:space="preserve">”</w:t>
      </w:r>
      <w:r>
        <w:t xml:space="preserve"> </w:t>
      </w:r>
      <w:r>
        <w:t xml:space="preserve">The Data Inventory (TS-002) states the Brightly revenue share of $0.87/MAU/month (~$2,641,320 annually) constitutes</w:t>
      </w:r>
      <w:r>
        <w:t xml:space="preserve"> </w:t>
      </w:r>
      <w:r>
        <w:t xml:space="preserve">“</w:t>
      </w:r>
      <w:r>
        <w:t xml:space="preserve">monetary consideration — likely</w:t>
      </w:r>
      <w:r>
        <w:t xml:space="preserve"> </w:t>
      </w:r>
      <w:r>
        <w:t xml:space="preserve">‘</w:t>
      </w:r>
      <w:r>
        <w:t xml:space="preserve">sale</w:t>
      </w:r>
      <w:r>
        <w:t xml:space="preserve">’</w:t>
      </w:r>
      <w:r>
        <w:t xml:space="preserve"> </w:t>
      </w:r>
      <w:r>
        <w:t xml:space="preserve">under CPRA,</w:t>
      </w:r>
      <w:r>
        <w:t xml:space="preserve">”</w:t>
      </w:r>
      <w:r>
        <w:t xml:space="preserve"> </w:t>
      </w:r>
      <w:r>
        <w:t xml:space="preserve">and that cross-app behavioral advertising is</w:t>
      </w:r>
      <w:r>
        <w:t xml:space="preserve"> </w:t>
      </w:r>
      <w:r>
        <w:t xml:space="preserve">“</w:t>
      </w:r>
      <w:r>
        <w:t xml:space="preserve">likely</w:t>
      </w:r>
      <w:r>
        <w:t xml:space="preserve"> </w:t>
      </w:r>
      <w:r>
        <w:t xml:space="preserve">‘</w:t>
      </w:r>
      <w:r>
        <w:t xml:space="preserve">sharing</w:t>
      </w:r>
      <w:r>
        <w:t xml:space="preserve">’</w:t>
      </w:r>
      <w:r>
        <w:t xml:space="preserve"> </w:t>
      </w:r>
      <w:r>
        <w:t xml:space="preserve">under CPRA.</w:t>
      </w:r>
      <w:r>
        <w:t xml:space="preserve">”</w:t>
      </w:r>
      <w:r>
        <w:t xml:space="preserve"> </w:t>
      </w:r>
      <w:r>
        <w:t xml:space="preserve">TS-003 states the 14 partner referrals involve a</w:t>
      </w:r>
      <w:r>
        <w:t xml:space="preserve"> </w:t>
      </w:r>
      <w:r>
        <w:t xml:space="preserve">“</w:t>
      </w:r>
      <w:r>
        <w:t xml:space="preserve">referral fee per click-through/application</w:t>
      </w:r>
      <w:r>
        <w:t xml:space="preserve">”</w:t>
      </w:r>
      <w:r>
        <w:t xml:space="preserve"> </w:t>
      </w:r>
      <w:r>
        <w:t xml:space="preserve">and are</w:t>
      </w:r>
      <w:r>
        <w:t xml:space="preserve"> </w:t>
      </w:r>
      <w:r>
        <w:t xml:space="preserve">“</w:t>
      </w:r>
      <w:r>
        <w:t xml:space="preserve">potentially Sale (referral fee received).</w:t>
      </w:r>
      <w:r>
        <w:t xml:space="preserve">”</w:t>
      </w:r>
    </w:p>
    <w:p>
      <w:pPr>
        <w:pStyle w:val="BodyText"/>
      </w:pPr>
      <w:r>
        <w:rPr>
          <w:i/>
          <w:iCs/>
        </w:rPr>
        <w:t xml:space="preserve">Why it matters / Risk:</w:t>
      </w:r>
      <w:r>
        <w:t xml:space="preserve"> </w:t>
      </w:r>
      <w:r>
        <w:t xml:space="preserve">Under the CCPA/CPRA,</w:t>
      </w:r>
      <w:r>
        <w:t xml:space="preserve"> </w:t>
      </w:r>
      <w:r>
        <w:t xml:space="preserve">“</w:t>
      </w:r>
      <w:r>
        <w:t xml:space="preserve">sale</w:t>
      </w:r>
      <w:r>
        <w:t xml:space="preserve">”</w:t>
      </w:r>
      <w:r>
        <w:t xml:space="preserve"> </w:t>
      </w:r>
      <w:r>
        <w:t xml:space="preserve">includes exchanging personal information for monetary or other valuable consideration, and</w:t>
      </w:r>
      <w:r>
        <w:t xml:space="preserve"> </w:t>
      </w:r>
      <w:r>
        <w:t xml:space="preserve">“</w:t>
      </w:r>
      <w:r>
        <w:t xml:space="preserve">sharing</w:t>
      </w:r>
      <w:r>
        <w:t xml:space="preserve">”</w:t>
      </w:r>
      <w:r>
        <w:t xml:space="preserve"> </w:t>
      </w:r>
      <w:r>
        <w:t xml:space="preserve">includes cross-context behavioral advertising. The Brightly revenue share and the referral fees are monetary consideration. The Privacy Policy’s representation that Vaultline does not sell covered information is therefore likely</w:t>
      </w:r>
      <w:r>
        <w:t xml:space="preserve"> </w:t>
      </w:r>
      <w:r>
        <w:rPr>
          <w:b/>
          <w:bCs/>
        </w:rPr>
        <w:t xml:space="preserve">false and misleading</w:t>
      </w:r>
      <w:r>
        <w:t xml:space="preserve">, exposing Vaultline to claims under the CCPA/CPRA, Nevada Revised Statutes Ch. 603A, and FTC Section 5 (deceptive practices). The investor email (§5) requests analysis of whether the Brightly arrangement is a sale/sharing.</w:t>
      </w:r>
    </w:p>
    <w:p>
      <w:pPr>
        <w:pStyle w:val="BodyText"/>
      </w:pPr>
      <w:r>
        <w:rPr>
          <w:i/>
          <w:iCs/>
        </w:rPr>
        <w:t xml:space="preserve">Recommendation:</w:t>
      </w:r>
      <w:r>
        <w:t xml:space="preserve"> </w:t>
      </w:r>
      <w:r>
        <w:t xml:space="preserve">Withdraw the</w:t>
      </w:r>
      <w:r>
        <w:t xml:space="preserve"> </w:t>
      </w:r>
      <w:r>
        <w:t xml:space="preserve">“</w:t>
      </w:r>
      <w:r>
        <w:t xml:space="preserve">does not sell</w:t>
      </w:r>
      <w:r>
        <w:t xml:space="preserve">”</w:t>
      </w:r>
      <w:r>
        <w:t xml:space="preserve"> </w:t>
      </w:r>
      <w:r>
        <w:t xml:space="preserve">representation. Conduct and document a formal CCPA/CPRA sale/sharing analysis for each recipient. Disclose sales/sharing and provide the opt-out (Issue 13).</w:t>
      </w:r>
    </w:p>
    <w:p>
      <w:r>
        <w:pict>
          <v:rect style="width:0;height:1.5pt" o:hralign="center" o:hrstd="t" o:hr="t"/>
        </w:pict>
      </w:r>
    </w:p>
    <w:p>
      <w:pPr>
        <w:pStyle w:val="FirstParagraph"/>
      </w:pPr>
      <w:r>
        <w:rPr>
          <w:b/>
          <w:bCs/>
        </w:rPr>
        <w:t xml:space="preserve">Issue 15 — The Brightly Analytics relationship is very likely a CCPA/CPRA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with no disclosure or opt-out.</w:t>
      </w:r>
      <w:r>
        <w:t xml:space="preserve"> </w:t>
      </w:r>
      <w:r>
        <w:rPr>
          <w:i/>
          <w:iCs/>
        </w:rPr>
        <w:t xml:space="preserve">Severity: Critical</w:t>
      </w:r>
    </w:p>
    <w:p>
      <w:pPr>
        <w:pStyle w:val="BodyText"/>
      </w:pPr>
      <w:r>
        <w:rPr>
          <w:i/>
          <w:iCs/>
        </w:rPr>
        <w:t xml:space="preserve">Identification:</w:t>
      </w:r>
      <w:r>
        <w:t xml:space="preserve"> </w:t>
      </w:r>
      <w:r>
        <w:t xml:space="preserve">The Data Sharing Agreement (§ 4.1, § 4.2) classifies Brightly as an</w:t>
      </w:r>
      <w:r>
        <w:t xml:space="preserve"> </w:t>
      </w:r>
      <w:r>
        <w:t xml:space="preserve">“</w:t>
      </w:r>
      <w:r>
        <w:t xml:space="preserve">independent data controller</w:t>
      </w:r>
      <w:r>
        <w:t xml:space="preserve">”</w:t>
      </w:r>
      <w:r>
        <w:t xml:space="preserve"> </w:t>
      </w:r>
      <w:r>
        <w:t xml:space="preserve">and expressly states Brightly is</w:t>
      </w:r>
      <w:r>
        <w:t xml:space="preserve"> </w:t>
      </w:r>
      <w:r>
        <w:rPr>
          <w:b/>
          <w:bCs/>
        </w:rPr>
        <w:t xml:space="preserve">not</w:t>
      </w:r>
      <w:r>
        <w:t xml:space="preserve"> </w:t>
      </w:r>
      <w:r>
        <w:t xml:space="preserve">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Brightly pays Vaultline $0.87/MAU/month (§ 5.1; ~$2.64M/year). Permitted uses (§ 3.1) include cross-application behavioral advertising, audience-segment creation, and</w:t>
      </w:r>
      <w:r>
        <w:t xml:space="preserve"> </w:t>
      </w:r>
      <w:r>
        <w:rPr>
          <w:b/>
          <w:bCs/>
        </w:rPr>
        <w:t xml:space="preserve">audience-segment licensing and sale to Third-Party Advertisers</w:t>
      </w:r>
      <w:r>
        <w:t xml:space="preserve">. The Data Inventory (TS-002) states:</w:t>
      </w:r>
      <w:r>
        <w:t xml:space="preserve"> </w:t>
      </w:r>
      <w:r>
        <w:t xml:space="preserve">“</w:t>
      </w:r>
      <w:r>
        <w:t xml:space="preserve">NOT CLASSIFIED — No internal CCPA sale/sharing analysis performed,</w:t>
      </w:r>
      <w:r>
        <w:t xml:space="preserve">”</w:t>
      </w:r>
      <w:r>
        <w:t xml:space="preserve"> </w:t>
      </w:r>
      <w:r>
        <w:t xml:space="preserve">“</w:t>
      </w:r>
      <w:r>
        <w:t xml:space="preserve">No CCPA-specific provisions in agreement. No data processing addendum. No opt-out flow mechanism.</w:t>
      </w:r>
      <w:r>
        <w:t xml:space="preserve">”</w:t>
      </w:r>
    </w:p>
    <w:p>
      <w:pPr>
        <w:pStyle w:val="BodyText"/>
      </w:pPr>
      <w:r>
        <w:rPr>
          <w:i/>
          <w:iCs/>
        </w:rPr>
        <w:t xml:space="preserve">Why it matters / Risk:</w:t>
      </w:r>
      <w:r>
        <w:t xml:space="preserve"> </w:t>
      </w:r>
      <w:r>
        <w:t xml:space="preserve">Because Brightly is not a service provider/contractor and receives data for its own commercial purposes in exchange for monetary consideration, the transfer is a</w:t>
      </w:r>
      <w:r>
        <w:t xml:space="preserve"> </w:t>
      </w:r>
      <w:r>
        <w:t xml:space="preserve">“</w:t>
      </w:r>
      <w:r>
        <w:t xml:space="preserve">sale,</w:t>
      </w:r>
      <w:r>
        <w:t xml:space="preserve">”</w:t>
      </w:r>
      <w:r>
        <w:t xml:space="preserve"> </w:t>
      </w:r>
      <w:r>
        <w:t xml:space="preserve">and the cross-context behavioral advertising is</w:t>
      </w:r>
      <w:r>
        <w:t xml:space="preserve"> </w:t>
      </w:r>
      <w:r>
        <w:t xml:space="preserve">“</w:t>
      </w:r>
      <w:r>
        <w:t xml:space="preserve">sharing,</w:t>
      </w:r>
      <w:r>
        <w:t xml:space="preserve">”</w:t>
      </w:r>
      <w:r>
        <w:t xml:space="preserve"> </w:t>
      </w:r>
      <w:r>
        <w:t xml:space="preserve">under the CCPA/CPRA. The absence of (a) Privacy Policy disclosure, (b) a</w:t>
      </w:r>
      <w:r>
        <w:t xml:space="preserve"> </w:t>
      </w:r>
      <w:r>
        <w:t xml:space="preserve">“</w:t>
      </w:r>
      <w:r>
        <w:t xml:space="preserve">Do Not Sell or Share</w:t>
      </w:r>
      <w:r>
        <w:t xml:space="preserve">”</w:t>
      </w:r>
      <w:r>
        <w:t xml:space="preserve"> </w:t>
      </w:r>
      <w:r>
        <w:t xml:space="preserve">opt-out, and (c) any CCPA-specific contractual terms is a critical compliance failure. The investor email (§5) specifically requests this analysis.</w:t>
      </w:r>
    </w:p>
    <w:p>
      <w:pPr>
        <w:pStyle w:val="BodyText"/>
      </w:pPr>
      <w:r>
        <w:rPr>
          <w:i/>
          <w:iCs/>
        </w:rPr>
        <w:t xml:space="preserve">Recommendation:</w:t>
      </w:r>
      <w:r>
        <w:t xml:space="preserve"> </w:t>
      </w:r>
      <w:r>
        <w:t xml:space="preserve">Treat the Brightly data flow as a sale/sharing. Disclose it in the Privacy Policy, provide the opt-out (Issue 13), and either (i) restructure the relationship so Brightly qualifies as a service provider/contractor under a CCPA-compliant contract with use limitations and certification, or (ii) continue as a sale/sharing with full disclosure and opt-out. Either way, add CCPA-specific provisions to the agreement.</w:t>
      </w:r>
    </w:p>
    <w:p>
      <w:r>
        <w:pict>
          <v:rect style="width:0;height:1.5pt" o:hralign="center" o:hrstd="t" o:hr="t"/>
        </w:pict>
      </w:r>
    </w:p>
    <w:bookmarkEnd w:id="27"/>
    <w:bookmarkStart w:id="28" w:name="X356d85b4cd8e6e3d1bae68a9f3b4718af784088"/>
    <w:p>
      <w:pPr>
        <w:pStyle w:val="Heading3"/>
      </w:pPr>
      <w:r>
        <w:t xml:space="preserve">E. Brightly Analytics Data Sharing Agreement — Contractual Gaps</w:t>
      </w:r>
    </w:p>
    <w:p>
      <w:pPr>
        <w:pStyle w:val="FirstParagraph"/>
      </w:pPr>
      <w:r>
        <w:rPr>
          <w:b/>
          <w:bCs/>
        </w:rPr>
        <w:t xml:space="preserve">Issue 16 — Specific data elements shared with Brightly are not disclosed, and Brightly is not named in the Privacy Policy.</w:t>
      </w:r>
      <w:r>
        <w:t xml:space="preserve"> </w:t>
      </w:r>
      <w:r>
        <w:rPr>
          <w:i/>
          <w:iCs/>
        </w:rPr>
        <w:t xml:space="preserve">Severity: High</w:t>
      </w:r>
    </w:p>
    <w:p>
      <w:pPr>
        <w:pStyle w:val="BodyText"/>
      </w:pPr>
      <w:r>
        <w:rPr>
          <w:i/>
          <w:iCs/>
        </w:rPr>
        <w:t xml:space="preserve">Identification:</w:t>
      </w:r>
      <w:r>
        <w:t xml:space="preserve"> </w:t>
      </w:r>
      <w:r>
        <w:t xml:space="preserve">The Data Sharing Agreement (§ 2.1) requires Vaultline to transmit to Brightly daily: (a) SHA-256 hashed email addresses; (b) age range; (c) income bracket; and (d) spending category summaries. The Data Inventory (DC-014, DC-015) marks these as</w:t>
      </w:r>
      <w:r>
        <w:t xml:space="preserve"> </w:t>
      </w:r>
      <w:r>
        <w:t xml:space="preserve">“</w:t>
      </w:r>
      <w:r>
        <w:t xml:space="preserve">No — not specifically disclosed as shared</w:t>
      </w:r>
      <w:r>
        <w:t xml:space="preserve">”</w:t>
      </w:r>
      <w:r>
        <w:t xml:space="preserve"> </w:t>
      </w:r>
      <w:r>
        <w:t xml:space="preserve">and</w:t>
      </w:r>
      <w:r>
        <w:t xml:space="preserve"> </w:t>
      </w:r>
      <w:r>
        <w:t xml:space="preserve">“</w:t>
      </w:r>
      <w:r>
        <w:t xml:space="preserve">No — not specifically disclosed as shared.</w:t>
      </w:r>
      <w:r>
        <w:t xml:space="preserve">”</w:t>
      </w:r>
      <w:r>
        <w:t xml:space="preserve"> </w:t>
      </w:r>
      <w:r>
        <w:t xml:space="preserve">The Privacy Policy names FinLink Data Services and CloudFort Systems by name but does</w:t>
      </w:r>
      <w:r>
        <w:t xml:space="preserve"> </w:t>
      </w:r>
      <w:r>
        <w:rPr>
          <w:b/>
          <w:bCs/>
        </w:rPr>
        <w:t xml:space="preserve">not</w:t>
      </w:r>
      <w:r>
        <w:t xml:space="preserve"> </w:t>
      </w:r>
      <w:r>
        <w:t xml:space="preserve">name Brightly Analytics, despite Brightly being a major recipient engaged in the most sensitive sharing (sale/sharing for advertising).</w:t>
      </w:r>
    </w:p>
    <w:p>
      <w:pPr>
        <w:pStyle w:val="BodyText"/>
      </w:pPr>
      <w:r>
        <w:rPr>
          <w:i/>
          <w:iCs/>
        </w:rPr>
        <w:t xml:space="preserve">Why it matters / Risk:</w:t>
      </w:r>
      <w:r>
        <w:t xml:space="preserve"> </w:t>
      </w:r>
      <w:r>
        <w:t xml:space="preserve">CCPA/CPRA and GDPR Article 13(2)(a) require disclosure of the categories of personal information shared and the categories of recipients. The Privacy Policy’s generic</w:t>
      </w:r>
      <w:r>
        <w:t xml:space="preserve"> </w:t>
      </w:r>
      <w:r>
        <w:t xml:space="preserve">“</w:t>
      </w:r>
      <w:r>
        <w:t xml:space="preserve">analytics and advertising partners</w:t>
      </w:r>
      <w:r>
        <w:t xml:space="preserve">”</w:t>
      </w:r>
      <w:r>
        <w:t xml:space="preserve"> </w:t>
      </w:r>
      <w:r>
        <w:t xml:space="preserve">language does not disclose the specific elements (hashed emails, income brackets, spending summaries) or identify Brightly. The selective naming of FinLink/CloudFort but not Brightly is internally inconsistent and undermines transparency. The hashed-email transmission for</w:t>
      </w:r>
      <w:r>
        <w:t xml:space="preserve"> </w:t>
      </w:r>
      <w:r>
        <w:t xml:space="preserve">“</w:t>
      </w:r>
      <w:r>
        <w:t xml:space="preserve">cross-app matching</w:t>
      </w:r>
      <w:r>
        <w:t xml:space="preserve">”</w:t>
      </w:r>
      <w:r>
        <w:t xml:space="preserve"> </w:t>
      </w:r>
      <w:r>
        <w:t xml:space="preserve">(DC-014) is particularly sensitive.</w:t>
      </w:r>
    </w:p>
    <w:p>
      <w:pPr>
        <w:pStyle w:val="BodyText"/>
      </w:pPr>
      <w:r>
        <w:rPr>
          <w:i/>
          <w:iCs/>
        </w:rPr>
        <w:t xml:space="preserve">Recommendation:</w:t>
      </w:r>
      <w:r>
        <w:t xml:space="preserve"> </w:t>
      </w:r>
      <w:r>
        <w:t xml:space="preserve">Name Brightly Analytics in the Privacy Policy and disclose the specific data categories shared, the purposes, and the sale/sharing characterization. Reconcile the naming inconsistency across all named partners.</w:t>
      </w:r>
    </w:p>
    <w:p>
      <w:r>
        <w:pict>
          <v:rect style="width:0;height:1.5pt" o:hralign="center" o:hrstd="t" o:hr="t"/>
        </w:pict>
      </w:r>
    </w:p>
    <w:p>
      <w:pPr>
        <w:pStyle w:val="FirstParagraph"/>
      </w:pPr>
      <w:r>
        <w:rPr>
          <w:b/>
          <w:bCs/>
        </w:rPr>
        <w:t xml:space="preserve">Issue 17 — Brightly is an independent controller with no DPA, and the EU transfer to Brightly lacks any transfer mechanism.</w:t>
      </w:r>
      <w:r>
        <w:t xml:space="preserve"> </w:t>
      </w:r>
      <w:r>
        <w:rPr>
          <w:i/>
          <w:iCs/>
        </w:rPr>
        <w:t xml:space="preserve">Severity: High</w:t>
      </w:r>
    </w:p>
    <w:p>
      <w:pPr>
        <w:pStyle w:val="BodyText"/>
      </w:pPr>
      <w:r>
        <w:rPr>
          <w:i/>
          <w:iCs/>
        </w:rPr>
        <w:t xml:space="preserve">Identification:</w:t>
      </w:r>
      <w:r>
        <w:t xml:space="preserve"> </w:t>
      </w:r>
      <w:r>
        <w:t xml:space="preserve">The Data Sharing Agreement (§ 14.3) states:</w:t>
      </w:r>
      <w:r>
        <w:t xml:space="preserve"> </w:t>
      </w:r>
      <w:r>
        <w:t xml:space="preserve">“</w:t>
      </w:r>
      <w:r>
        <w:t xml:space="preserve">There are no data processing addenda, supplemental privacy agreements, or other side agreements between the Parties.</w:t>
      </w:r>
      <w:r>
        <w:t xml:space="preserve">”</w:t>
      </w:r>
      <w:r>
        <w:t xml:space="preserve"> </w:t>
      </w:r>
      <w:r>
        <w:t xml:space="preserve">Section 4.1 classifies Brightly as an independent controller. The Data Inventory (TS-002; International Transfers IT-002) states</w:t>
      </w:r>
      <w:r>
        <w:t xml:space="preserve"> </w:t>
      </w:r>
      <w:r>
        <w:t xml:space="preserve">“</w:t>
      </w:r>
      <w:r>
        <w:t xml:space="preserve">No data processing addendum</w:t>
      </w:r>
      <w:r>
        <w:t xml:space="preserve">”</w:t>
      </w:r>
      <w:r>
        <w:t xml:space="preserve"> </w:t>
      </w:r>
      <w:r>
        <w:t xml:space="preserve">and that EU user data (~870 EU users) is shared with Brightly with</w:t>
      </w:r>
      <w:r>
        <w:t xml:space="preserve"> </w:t>
      </w:r>
      <w:r>
        <w:t xml:space="preserve">“</w:t>
      </w:r>
      <w:r>
        <w:t xml:space="preserve">No transfer mechanism</w:t>
      </w:r>
      <w:r>
        <w:t xml:space="preserve">”</w:t>
      </w:r>
      <w:r>
        <w:t xml:space="preserve"> </w:t>
      </w:r>
      <w:r>
        <w:t xml:space="preserve">and</w:t>
      </w:r>
      <w:r>
        <w:t xml:space="preserve"> </w:t>
      </w:r>
      <w:r>
        <w:t xml:space="preserve">“</w:t>
      </w:r>
      <w:r>
        <w:t xml:space="preserve">Brightly classified as independent controller — no DPA in place.</w:t>
      </w:r>
      <w:r>
        <w:t xml:space="preserve">”</w:t>
      </w:r>
    </w:p>
    <w:p>
      <w:pPr>
        <w:pStyle w:val="BodyText"/>
      </w:pPr>
      <w:r>
        <w:rPr>
          <w:i/>
          <w:iCs/>
        </w:rPr>
        <w:t xml:space="preserve">Why it matters / Risk:</w:t>
      </w:r>
      <w:r>
        <w:t xml:space="preserve"> </w:t>
      </w:r>
      <w:r>
        <w:t xml:space="preserve">Even though Brightly is an independent controller (so GDPR Article 28 processor terms may not strictly apply), the</w:t>
      </w:r>
      <w:r>
        <w:t xml:space="preserve"> </w:t>
      </w:r>
      <w:r>
        <w:rPr>
          <w:b/>
          <w:bCs/>
        </w:rPr>
        <w:t xml:space="preserve">transfer</w:t>
      </w:r>
      <w:r>
        <w:t xml:space="preserve"> </w:t>
      </w:r>
      <w:r>
        <w:t xml:space="preserve">of EU personal data to a U.S. independent controller requires a valid Article 46 transfer mechanism, which is absent (compounding Issue 4). The lack of any DPA or CCPA-specific terms also means Vaultline has no contractual lever to limit Brightly’s use or to flow down data-subject rights, and Vaultline’s Section 7.1 representations (consents, law compliance) are not back-stopped by Brightly obligations.</w:t>
      </w:r>
    </w:p>
    <w:p>
      <w:pPr>
        <w:pStyle w:val="BodyText"/>
      </w:pPr>
      <w:r>
        <w:rPr>
          <w:i/>
          <w:iCs/>
        </w:rPr>
        <w:t xml:space="preserve">Recommendation:</w:t>
      </w:r>
      <w:r>
        <w:t xml:space="preserve"> </w:t>
      </w:r>
      <w:r>
        <w:t xml:space="preserve">Execute a controller-to-controller transfer agreement incorporating EU SCCs (or rely on DPF certification if Brightly is certified) for EU data, add CCPA-specific provisions, and address data-subject-rights cooperation. If Brightly is to be treated as a service provider instead, restructure accordingly (see Issue 15).</w:t>
      </w:r>
    </w:p>
    <w:p>
      <w:r>
        <w:pict>
          <v:rect style="width:0;height:1.5pt" o:hralign="center" o:hrstd="t" o:hr="t"/>
        </w:pict>
      </w:r>
    </w:p>
    <w:p>
      <w:pPr>
        <w:pStyle w:val="FirstParagraph"/>
      </w:pPr>
      <w:r>
        <w:rPr>
          <w:b/>
          <w:bCs/>
        </w:rPr>
        <w:t xml:space="preserve">Issue 18 — The DSA’s</w:t>
      </w:r>
      <w:r>
        <w:rPr>
          <w:b/>
          <w:bCs/>
        </w:rPr>
        <w:t xml:space="preserve"> </w:t>
      </w:r>
      <w:r>
        <w:rPr>
          <w:b/>
          <w:bCs/>
        </w:rPr>
        <w:t xml:space="preserve">“</w:t>
      </w:r>
      <w:r>
        <w:rPr>
          <w:b/>
          <w:bCs/>
        </w:rPr>
        <w:t xml:space="preserve">Aggregate Data</w:t>
      </w:r>
      <w:r>
        <w:rPr>
          <w:b/>
          <w:bCs/>
        </w:rPr>
        <w:t xml:space="preserve">”</w:t>
      </w:r>
      <w:r>
        <w:rPr>
          <w:b/>
          <w:bCs/>
        </w:rPr>
        <w:t xml:space="preserve"> </w:t>
      </w:r>
      <w:r>
        <w:rPr>
          <w:b/>
          <w:bCs/>
        </w:rPr>
        <w:t xml:space="preserve">standard is weaker than CCPA de-identification; audience-segment sale is likely a</w:t>
      </w:r>
      <w:r>
        <w:rPr>
          <w:b/>
          <w:bCs/>
        </w:rPr>
        <w:t xml:space="preserve"> </w:t>
      </w:r>
      <w:r>
        <w:rPr>
          <w:b/>
          <w:bCs/>
        </w:rPr>
        <w:t xml:space="preserve">“</w:t>
      </w:r>
      <w:r>
        <w:rPr>
          <w:b/>
          <w:bCs/>
        </w:rPr>
        <w:t xml:space="preserve">sale.</w:t>
      </w:r>
      <w:r>
        <w:rPr>
          <w:b/>
          <w:bCs/>
        </w:rPr>
        <w:t xml:space="preserve">”</w:t>
      </w:r>
      <w:r>
        <w:t xml:space="preserve"> </w:t>
      </w:r>
      <w:r>
        <w:rPr>
          <w:i/>
          <w:iCs/>
        </w:rPr>
        <w:t xml:space="preserve">Severity: High</w:t>
      </w:r>
    </w:p>
    <w:p>
      <w:pPr>
        <w:pStyle w:val="BodyText"/>
      </w:pPr>
      <w:r>
        <w:rPr>
          <w:i/>
          <w:iCs/>
        </w:rPr>
        <w:t xml:space="preserve">Identification:</w:t>
      </w:r>
      <w:r>
        <w:t xml:space="preserve"> </w:t>
      </w:r>
      <w:r>
        <w:t xml:space="preserve">The Data Sharing Agreement (§ 3.3) permits Brightly to use, disclose, license, or sell</w:t>
      </w:r>
      <w:r>
        <w:t xml:space="preserve"> </w:t>
      </w:r>
      <w:r>
        <w:t xml:space="preserve">“</w:t>
      </w:r>
      <w:r>
        <w:t xml:space="preserve">Aggregate Data</w:t>
      </w:r>
      <w:r>
        <w:t xml:space="preserve">”</w:t>
      </w:r>
      <w:r>
        <w:t xml:space="preserve"> </w:t>
      </w:r>
      <w:r>
        <w:t xml:space="preserve">without restriction, defined (§ 1) as data that</w:t>
      </w:r>
      <w:r>
        <w:t xml:space="preserve"> </w:t>
      </w:r>
      <w:r>
        <w:t xml:space="preserve">“</w:t>
      </w:r>
      <w:r>
        <w:t xml:space="preserve">does not identify individual consumers by name,</w:t>
      </w:r>
      <w:r>
        <w:t xml:space="preserve">”</w:t>
      </w:r>
      <w:r>
        <w:t xml:space="preserve"> </w:t>
      </w:r>
      <w:r>
        <w:t xml:space="preserve">and § 3.3 states Aggregate Data</w:t>
      </w:r>
      <w:r>
        <w:t xml:space="preserve"> </w:t>
      </w:r>
      <w:r>
        <w:t xml:space="preserve">“</w:t>
      </w:r>
      <w:r>
        <w:t xml:space="preserve">shall not be deemed to identify individual Company Users so long as such data is presented at a group level and does not include the name of any individual Company User.</w:t>
      </w:r>
      <w:r>
        <w:t xml:space="preserve">”</w:t>
      </w:r>
      <w:r>
        <w:t xml:space="preserve"> </w:t>
      </w:r>
      <w:r>
        <w:t xml:space="preserve">The Data Inventory (TS-002) states Brightly</w:t>
      </w:r>
      <w:r>
        <w:t xml:space="preserve"> </w:t>
      </w:r>
      <w:r>
        <w:t xml:space="preserve">“</w:t>
      </w:r>
      <w:r>
        <w:t xml:space="preserve">sells aggregated (but not de-identified per CCPA standards) audience segments to third-party advertisers.</w:t>
      </w:r>
      <w:r>
        <w:t xml:space="preserve">”</w:t>
      </w:r>
    </w:p>
    <w:p>
      <w:pPr>
        <w:pStyle w:val="BodyText"/>
      </w:pPr>
      <w:r>
        <w:rPr>
          <w:i/>
          <w:iCs/>
        </w:rPr>
        <w:t xml:space="preserve">Why it matters / Risk:</w:t>
      </w:r>
      <w:r>
        <w:t xml:space="preserve"> </w:t>
      </w:r>
      <w:r>
        <w:t xml:space="preserve">CCPA/CPRA de-identification requires reasonable measures to ensure the information</w:t>
      </w:r>
      <w:r>
        <w:t xml:space="preserve"> </w:t>
      </w:r>
      <w:r>
        <w:t xml:space="preserve">“</w:t>
      </w:r>
      <w:r>
        <w:t xml:space="preserve">cannot be associated with</w:t>
      </w:r>
      <w:r>
        <w:t xml:space="preserve">”</w:t>
      </w:r>
      <w:r>
        <w:t xml:space="preserve"> </w:t>
      </w:r>
      <w:r>
        <w:t xml:space="preserve">a consumer, not merely the absence of a name. The DSA’s</w:t>
      </w:r>
      <w:r>
        <w:t xml:space="preserve"> </w:t>
      </w:r>
      <w:r>
        <w:t xml:space="preserve">“</w:t>
      </w:r>
      <w:r>
        <w:t xml:space="preserve">no name</w:t>
      </w:r>
      <w:r>
        <w:t xml:space="preserve">”</w:t>
      </w:r>
      <w:r>
        <w:t xml:space="preserve"> </w:t>
      </w:r>
      <w:r>
        <w:t xml:space="preserve">standard is materially weaker and does not satisfy CCPA de-identification. Accordingly, Brightly’s sale of audience segments derived from Vaultline data may constitute a sale of personal information, and Vaultline’s Privacy Policy representation that it shares only</w:t>
      </w:r>
      <w:r>
        <w:t xml:space="preserve"> </w:t>
      </w:r>
      <w:r>
        <w:t xml:space="preserve">“</w:t>
      </w:r>
      <w:r>
        <w:t xml:space="preserve">de-identified and aggregated information … without restriction</w:t>
      </w:r>
      <w:r>
        <w:t xml:space="preserve">”</w:t>
      </w:r>
      <w:r>
        <w:t xml:space="preserve"> </w:t>
      </w:r>
      <w:r>
        <w:t xml:space="preserve">is potentially false.</w:t>
      </w:r>
    </w:p>
    <w:p>
      <w:pPr>
        <w:pStyle w:val="BodyText"/>
      </w:pPr>
      <w:r>
        <w:rPr>
          <w:i/>
          <w:iCs/>
        </w:rPr>
        <w:t xml:space="preserve">Recommendation:</w:t>
      </w:r>
      <w:r>
        <w:t xml:space="preserve"> </w:t>
      </w:r>
      <w:r>
        <w:t xml:space="preserve">Renegotiate the Aggregate Data definition to align with CCPA/CPRA de-identification standards (and GDPR anonymization standards for EU data). Until then, treat audience-segment monetization as a sale requiring disclosure and opt-out.</w:t>
      </w:r>
    </w:p>
    <w:p>
      <w:r>
        <w:pict>
          <v:rect style="width:0;height:1.5pt" o:hralign="center" o:hrstd="t" o:hr="t"/>
        </w:pict>
      </w:r>
    </w:p>
    <w:p>
      <w:pPr>
        <w:pStyle w:val="FirstParagraph"/>
      </w:pPr>
      <w:r>
        <w:rPr>
          <w:b/>
          <w:bCs/>
        </w:rPr>
        <w:t xml:space="preserve">Issue 19 — The DSA’s representations and warranties are likely breached.</w:t>
      </w:r>
      <w:r>
        <w:t xml:space="preserve"> </w:t>
      </w:r>
      <w:r>
        <w:rPr>
          <w:i/>
          <w:iCs/>
        </w:rPr>
        <w:t xml:space="preserve">Severity: High</w:t>
      </w:r>
    </w:p>
    <w:p>
      <w:pPr>
        <w:pStyle w:val="BodyText"/>
      </w:pPr>
      <w:r>
        <w:rPr>
          <w:i/>
          <w:iCs/>
        </w:rPr>
        <w:t xml:space="preserve">Identification:</w:t>
      </w:r>
      <w:r>
        <w:t xml:space="preserve"> </w:t>
      </w:r>
      <w:r>
        <w:t xml:space="preserve">Section 7.1 of the Data Sharing Agreement provides that Vaultline represents and warrants that: (b)</w:t>
      </w:r>
      <w:r>
        <w:t xml:space="preserve"> </w:t>
      </w:r>
      <w:r>
        <w:t xml:space="preserve">“</w:t>
      </w:r>
      <w:r>
        <w:t xml:space="preserve">The sharing of Shared Data with Brightly is consistent with Vaultline’s privacy policy</w:t>
      </w:r>
      <w:r>
        <w:t xml:space="preserve">”</w:t>
      </w:r>
      <w:r>
        <w:t xml:space="preserve">; (c) Vaultline</w:t>
      </w:r>
      <w:r>
        <w:t xml:space="preserve"> </w:t>
      </w:r>
      <w:r>
        <w:t xml:space="preserve">“</w:t>
      </w:r>
      <w:r>
        <w:t xml:space="preserve">has obtained all necessary consents, authorizations, and approvals from Company Users required for the sharing of Shared Data with Brightly for the Permitted Uses</w:t>
      </w:r>
      <w:r>
        <w:t xml:space="preserve">”</w:t>
      </w:r>
      <w:r>
        <w:t xml:space="preserve">; and (d) Vaultline’s</w:t>
      </w:r>
      <w:r>
        <w:t xml:space="preserve"> </w:t>
      </w:r>
      <w:r>
        <w:t xml:space="preserve">“</w:t>
      </w:r>
      <w:r>
        <w:t xml:space="preserve">collection and sharing of Shared Data complies with all applicable federal, state, and local laws.</w:t>
      </w:r>
      <w:r>
        <w:t xml:space="preserve">”</w:t>
      </w:r>
    </w:p>
    <w:p>
      <w:pPr>
        <w:pStyle w:val="BodyText"/>
      </w:pPr>
      <w:r>
        <w:rPr>
          <w:i/>
          <w:iCs/>
        </w:rPr>
        <w:t xml:space="preserve">Why it matters / Risk:</w:t>
      </w:r>
      <w:r>
        <w:t xml:space="preserve"> </w:t>
      </w:r>
      <w:r>
        <w:t xml:space="preserve">Given the Privacy Policy’s failure to disclose the specific Shared Data elements or Brightly by name (Issue 16), the absence of valid consent and opt-out for a sale/sharing (Issues 13–15), and the CCPA/CPRA and GDPR non-compliance documented throughout, each of these representations is likely</w:t>
      </w:r>
      <w:r>
        <w:t xml:space="preserve"> </w:t>
      </w:r>
      <w:r>
        <w:rPr>
          <w:b/>
          <w:bCs/>
        </w:rPr>
        <w:t xml:space="preserve">false</w:t>
      </w:r>
      <w:r>
        <w:t xml:space="preserve">. A false representation exposes Vaultline to Brightly’s breach and indemnity claims (§ 11.1) and undermines Vaultline’s own indemnity position. This is a live liability in the context of a diligence review where these gaps are being documented.</w:t>
      </w:r>
    </w:p>
    <w:p>
      <w:pPr>
        <w:pStyle w:val="BodyText"/>
      </w:pPr>
      <w:r>
        <w:rPr>
          <w:i/>
          <w:iCs/>
        </w:rPr>
        <w:t xml:space="preserve">Recommendation:</w:t>
      </w:r>
      <w:r>
        <w:t xml:space="preserve"> </w:t>
      </w:r>
      <w:r>
        <w:t xml:space="preserve">Assess breach exposure under the DSA. Cure the underlying privacy defects (disclosure, consent, opt-out, lawful basis) to bring the representations into compliance, and consider whether a disclosure to Brightly is required. Document the analysis under privilege.</w:t>
      </w:r>
    </w:p>
    <w:p>
      <w:r>
        <w:pict>
          <v:rect style="width:0;height:1.5pt" o:hralign="center" o:hrstd="t" o:hr="t"/>
        </w:pict>
      </w:r>
    </w:p>
    <w:p>
      <w:pPr>
        <w:pStyle w:val="FirstParagraph"/>
      </w:pPr>
      <w:r>
        <w:rPr>
          <w:b/>
          <w:bCs/>
        </w:rPr>
        <w:t xml:space="preserve">Issue 20 — The DSA’s indemnity asymmetry and liability cap are inadequate versus the exposure.</w:t>
      </w:r>
      <w:r>
        <w:t xml:space="preserve"> </w:t>
      </w:r>
      <w:r>
        <w:rPr>
          <w:i/>
          <w:iCs/>
        </w:rPr>
        <w:t xml:space="preserve">Severity: Medium</w:t>
      </w:r>
    </w:p>
    <w:p>
      <w:pPr>
        <w:pStyle w:val="BodyText"/>
      </w:pPr>
      <w:r>
        <w:rPr>
          <w:i/>
          <w:iCs/>
        </w:rPr>
        <w:t xml:space="preserve">Identification:</w:t>
      </w:r>
      <w:r>
        <w:t xml:space="preserve"> </w:t>
      </w:r>
      <w:r>
        <w:t xml:space="preserve">Section 11.1 requires Vaultline to indemnify Brightly broadly for any claim that Vaultline’s collection/sharing violates law or third-party privacy rights, or that Vaultline failed to obtain consents. Section 11.2(b) carves back Brightly’s indemnity to Vaultline: Brightly has no indemnity obligation</w:t>
      </w:r>
      <w:r>
        <w:t xml:space="preserve"> </w:t>
      </w:r>
      <w:r>
        <w:t xml:space="preserve">“</w:t>
      </w:r>
      <w:r>
        <w:t xml:space="preserve">to the extent such claim arises from Vaultline’s failure to obtain required consents, Vaultline’s breach of its representations and warranties under Section 7.1, or Vaultline’s failure to comply with applicable law.</w:t>
      </w:r>
      <w:r>
        <w:t xml:space="preserve">”</w:t>
      </w:r>
      <w:r>
        <w:t xml:space="preserve"> </w:t>
      </w:r>
      <w:r>
        <w:t xml:space="preserve">Section 12.1 caps each party’s liability at the total Revenue Share Payments paid to Vaultline in the preceding 12 months (~$2.64M), and § 12.2 excludes consequential and punitive damages.</w:t>
      </w:r>
    </w:p>
    <w:p>
      <w:pPr>
        <w:pStyle w:val="BodyText"/>
      </w:pPr>
      <w:r>
        <w:rPr>
          <w:i/>
          <w:iCs/>
        </w:rPr>
        <w:t xml:space="preserve">Why it matters / Risk:</w:t>
      </w:r>
      <w:r>
        <w:t xml:space="preserve"> </w:t>
      </w:r>
      <w:r>
        <w:t xml:space="preserve">The indemnity structure pushes privacy-law liability onto Vaultline while Brightly’s reciprocal indemnity is hollowed out by carve-backs that track the very defects Vaultline exhibits. The ~$2.64M liability cap is dwarfed by the potential BIPA exposure ($87M–$435M, Issue 2) and GDPR fine exposure (~$1.89M, Issue 5), and the consequential-damages exclusion may be unenforceable or inadequate for privacy claims. Vaultline is also the signatory on the Data Sharing Agreement (signed by Sandra Linh, Head of Data &amp; Analytics — see Issue 30 note on authority).</w:t>
      </w:r>
    </w:p>
    <w:p>
      <w:pPr>
        <w:pStyle w:val="BodyText"/>
      </w:pPr>
      <w:r>
        <w:rPr>
          <w:i/>
          <w:iCs/>
        </w:rPr>
        <w:t xml:space="preserve">Recommendation:</w:t>
      </w:r>
      <w:r>
        <w:t xml:space="preserve"> </w:t>
      </w:r>
      <w:r>
        <w:t xml:space="preserve">On renewal/renegotiation, seek mutual, balanced indemnities, a higher or carve-out liability cap for privacy/data claims and indemnity, and reconsider the consequential-damages exclusion. Confirm the signatory had authority to bind Vaultline.</w:t>
      </w:r>
    </w:p>
    <w:p>
      <w:r>
        <w:pict>
          <v:rect style="width:0;height:1.5pt" o:hralign="center" o:hrstd="t" o:hr="t"/>
        </w:pict>
      </w:r>
    </w:p>
    <w:bookmarkEnd w:id="28"/>
    <w:bookmarkStart w:id="29" w:name="f.-data-retention"/>
    <w:p>
      <w:pPr>
        <w:pStyle w:val="Heading3"/>
      </w:pPr>
      <w:r>
        <w:t xml:space="preserve">F. Data Retention</w:t>
      </w:r>
    </w:p>
    <w:p>
      <w:pPr>
        <w:pStyle w:val="FirstParagraph"/>
      </w:pPr>
      <w:r>
        <w:rPr>
          <w:b/>
          <w:bCs/>
        </w:rPr>
        <w:t xml:space="preserve">Issue 21 — No data retention periods are disclosed; all categories are retained indefinitely with no formal schedule.</w:t>
      </w:r>
      <w:r>
        <w:t xml:space="preserve"> </w:t>
      </w:r>
      <w:r>
        <w:rPr>
          <w:i/>
          <w:iCs/>
        </w:rPr>
        <w:t xml:space="preserve">Severity: High</w:t>
      </w:r>
    </w:p>
    <w:p>
      <w:pPr>
        <w:pStyle w:val="BodyText"/>
      </w:pPr>
      <w:r>
        <w:rPr>
          <w:i/>
          <w:iCs/>
        </w:rPr>
        <w:t xml:space="preserve">Identification:</w:t>
      </w:r>
      <w:r>
        <w:t xml:space="preserve"> </w:t>
      </w:r>
      <w:r>
        <w:t xml:space="preserve">The Privacy Policy’s</w:t>
      </w:r>
      <w:r>
        <w:t xml:space="preserve"> </w:t>
      </w:r>
      <w:r>
        <w:t xml:space="preserve">“</w:t>
      </w:r>
      <w:r>
        <w:t xml:space="preserve">Data Retention</w:t>
      </w:r>
      <w:r>
        <w:t xml:space="preserve">”</w:t>
      </w:r>
      <w:r>
        <w:t xml:space="preserve"> </w:t>
      </w:r>
      <w:r>
        <w:t xml:space="preserve">section states only that information is retained</w:t>
      </w:r>
      <w:r>
        <w:t xml:space="preserve"> </w:t>
      </w:r>
      <w:r>
        <w:t xml:space="preserve">“</w:t>
      </w:r>
      <w:r>
        <w:t xml:space="preserve">for as long as necessary</w:t>
      </w:r>
      <w:r>
        <w:t xml:space="preserve">”</w:t>
      </w:r>
      <w:r>
        <w:t xml:space="preserve"> </w:t>
      </w:r>
      <w:r>
        <w:t xml:space="preserve">and</w:t>
      </w:r>
      <w:r>
        <w:t xml:space="preserve"> </w:t>
      </w:r>
      <w:r>
        <w:t xml:space="preserve">“</w:t>
      </w:r>
      <w:r>
        <w:t xml:space="preserve">for no longer than is reasonably necessary,</w:t>
      </w:r>
      <w:r>
        <w:t xml:space="preserve">”</w:t>
      </w:r>
      <w:r>
        <w:t xml:space="preserve"> </w:t>
      </w:r>
      <w:r>
        <w:t xml:space="preserve">with no specific periods. The Data Inventory’s Data Retention tab shows</w:t>
      </w:r>
      <w:r>
        <w:t xml:space="preserve"> </w:t>
      </w:r>
      <w:r>
        <w:rPr>
          <w:b/>
          <w:bCs/>
        </w:rPr>
        <w:t xml:space="preserve">every</w:t>
      </w:r>
      <w:r>
        <w:t xml:space="preserve"> </w:t>
      </w:r>
      <w:r>
        <w:t xml:space="preserve">category (DC-001 through DC-015) retained</w:t>
      </w:r>
      <w:r>
        <w:t xml:space="preserve"> </w:t>
      </w:r>
      <w:r>
        <w:t xml:space="preserve">“</w:t>
      </w:r>
      <w:r>
        <w:t xml:space="preserve">Indefinite,</w:t>
      </w:r>
      <w:r>
        <w:t xml:space="preserve">”</w:t>
      </w:r>
      <w:r>
        <w:t xml:space="preserve"> </w:t>
      </w:r>
      <w:r>
        <w:t xml:space="preserve">with</w:t>
      </w:r>
      <w:r>
        <w:t xml:space="preserve"> </w:t>
      </w:r>
      <w:r>
        <w:t xml:space="preserve">“</w:t>
      </w:r>
      <w:r>
        <w:t xml:space="preserve">Formal Retention Schedule Documented?</w:t>
      </w:r>
      <w:r>
        <w:t xml:space="preserve"> </w:t>
      </w:r>
      <w:r>
        <w:rPr>
          <w:b/>
          <w:bCs/>
        </w:rPr>
        <w:t xml:space="preserve">No</w:t>
      </w:r>
      <w:r>
        <w:t xml:space="preserve">,</w:t>
      </w:r>
      <w:r>
        <w:t xml:space="preserve">”</w:t>
      </w:r>
      <w:r>
        <w:t xml:space="preserve"> </w:t>
      </w:r>
      <w:r>
        <w:t xml:space="preserve">“</w:t>
      </w:r>
      <w:r>
        <w:t xml:space="preserve">Deletion Upon Account Closure?</w:t>
      </w:r>
      <w:r>
        <w:t xml:space="preserve"> </w:t>
      </w:r>
      <w:r>
        <w:rPr>
          <w:b/>
          <w:bCs/>
        </w:rPr>
        <w:t xml:space="preserve">No</w:t>
      </w:r>
      <w:r>
        <w:t xml:space="preserve"> </w:t>
      </w:r>
      <w:r>
        <w:t xml:space="preserve">— retained indefinitely after account deletion,</w:t>
      </w:r>
      <w:r>
        <w:t xml:space="preserve">”</w:t>
      </w:r>
      <w:r>
        <w:t xml:space="preserve"> </w:t>
      </w:r>
      <w:r>
        <w:t xml:space="preserve">and</w:t>
      </w:r>
      <w:r>
        <w:t xml:space="preserve"> </w:t>
      </w:r>
      <w:r>
        <w:t xml:space="preserve">“</w:t>
      </w:r>
      <w:r>
        <w:t xml:space="preserve">Destruction Method — Not defined</w:t>
      </w:r>
      <w:r>
        <w:t xml:space="preserve">”</w:t>
      </w:r>
      <w:r>
        <w:t xml:space="preserve"> </w:t>
      </w:r>
      <w:r>
        <w:t xml:space="preserve">for all. This includes sensitive PI (SSN last 4, financial account information, transaction history, credit score, precise geolocation) and biometric templates (5 years, Issue 3). The investor email (§5) flags the absence of retention periods as both a CPRA disclosure requirement and a GDPR Article 5(1)(e) storage-limitation issue.</w:t>
      </w:r>
    </w:p>
    <w:p>
      <w:pPr>
        <w:pStyle w:val="BodyText"/>
      </w:pPr>
      <w:r>
        <w:rPr>
          <w:i/>
          <w:iCs/>
        </w:rPr>
        <w:t xml:space="preserve">Why it matters / Risk:</w:t>
      </w:r>
      <w:r>
        <w:t xml:space="preserve"> </w:t>
      </w:r>
      <w:r>
        <w:t xml:space="preserve">The CCPA/CPRA requires disclosure of retention periods for each category of personal information. GDPR Article 5(1)(e) requires storage limitation. Indefinite retention of sensitive PI and financial data, including after account closure, increases breach impact (as realized in the August 2024 incident) and is difficult to justify. The absence of any formal retention schedule or deletion-on-closure process is an operational and compliance failure.</w:t>
      </w:r>
    </w:p>
    <w:p>
      <w:pPr>
        <w:pStyle w:val="BodyText"/>
      </w:pPr>
      <w:r>
        <w:rPr>
          <w:i/>
          <w:iCs/>
        </w:rPr>
        <w:t xml:space="preserve">Recommendation:</w:t>
      </w:r>
      <w:r>
        <w:t xml:space="preserve"> </w:t>
      </w:r>
      <w:r>
        <w:t xml:space="preserve">Establish and document a formal data retention schedule with defined periods and justifications for each category; implement deletion/anonymization on account closure (subject to legal-hold exceptions); disclose the periods in the Privacy Policy and EU notice; and prioritize sensitive PI and biometric data for the shortest defensible periods.</w:t>
      </w:r>
    </w:p>
    <w:p>
      <w:r>
        <w:pict>
          <v:rect style="width:0;height:1.5pt" o:hralign="center" o:hrstd="t" o:hr="t"/>
        </w:pict>
      </w:r>
    </w:p>
    <w:bookmarkEnd w:id="29"/>
    <w:bookmarkStart w:id="30" w:name="g.-glba-financial-privacy"/>
    <w:p>
      <w:pPr>
        <w:pStyle w:val="Heading3"/>
      </w:pPr>
      <w:r>
        <w:t xml:space="preserve">G. GLBA / Financial Privacy</w:t>
      </w:r>
    </w:p>
    <w:p>
      <w:pPr>
        <w:pStyle w:val="FirstParagraph"/>
      </w:pPr>
      <w:r>
        <w:rPr>
          <w:b/>
          <w:bCs/>
        </w:rPr>
        <w:t xml:space="preserve">Issue 22 — Vaultline may qualify as a GLBA</w:t>
      </w:r>
      <w:r>
        <w:rPr>
          <w:b/>
          <w:bCs/>
        </w:rPr>
        <w:t xml:space="preserve"> </w:t>
      </w:r>
      <w:r>
        <w:rPr>
          <w:b/>
          <w:bCs/>
        </w:rPr>
        <w:t xml:space="preserve">“</w:t>
      </w:r>
      <w:r>
        <w:rPr>
          <w:b/>
          <w:bCs/>
        </w:rPr>
        <w:t xml:space="preserve">financial institution</w:t>
      </w:r>
      <w:r>
        <w:rPr>
          <w:b/>
          <w:bCs/>
        </w:rPr>
        <w:t xml:space="preserve">”</w:t>
      </w:r>
      <w:r>
        <w:rPr>
          <w:b/>
          <w:bCs/>
        </w:rPr>
        <w:t xml:space="preserve">; no GLBA privacy notices or opt-out exist.</w:t>
      </w:r>
      <w:r>
        <w:t xml:space="preserve"> </w:t>
      </w:r>
      <w:r>
        <w:rPr>
          <w:i/>
          <w:iCs/>
        </w:rPr>
        <w:t xml:space="preserve">Severity: High</w:t>
      </w:r>
    </w:p>
    <w:p>
      <w:pPr>
        <w:pStyle w:val="BodyText"/>
      </w:pPr>
      <w:r>
        <w:rPr>
          <w:i/>
          <w:iCs/>
        </w:rPr>
        <w:t xml:space="preserve">Identification:</w:t>
      </w:r>
      <w:r>
        <w:t xml:space="preserve"> </w:t>
      </w:r>
      <w:r>
        <w:t xml:space="preserve">The investor email (§4) flags the threshold question of whether Vaultline is a</w:t>
      </w:r>
      <w:r>
        <w:t xml:space="preserve"> </w:t>
      </w:r>
      <w:r>
        <w:t xml:space="preserve">“</w:t>
      </w:r>
      <w:r>
        <w:t xml:space="preserve">financial institution</w:t>
      </w:r>
      <w:r>
        <w:t xml:space="preserve">”</w:t>
      </w:r>
      <w:r>
        <w:t xml:space="preserve"> </w:t>
      </w:r>
      <w:r>
        <w:t xml:space="preserve">under the Gramm-Leach-Bliley Act (15 U.S.C. § 6809(3)), which encompasses entities</w:t>
      </w:r>
      <w:r>
        <w:t xml:space="preserve"> </w:t>
      </w:r>
      <w:r>
        <w:t xml:space="preserve">“</w:t>
      </w:r>
      <w:r>
        <w:t xml:space="preserve">significantly engaged</w:t>
      </w:r>
      <w:r>
        <w:t xml:space="preserve">”</w:t>
      </w:r>
      <w:r>
        <w:t xml:space="preserve"> </w:t>
      </w:r>
      <w:r>
        <w:t xml:space="preserve">in financial activities including financial data processing. The Data Inventory lists GLBA as an applicable regulation for DC-003, DC-004, DC-005, DC-006, and DC-007. Vaultline aggregates financial data from 4,200+ institutions via FinLink, shares data with 14 partner financial product companies for referral fees, and monetizes financial data with Brightly. The Privacy Policy contains no GLBA-related disclosures, no financial-privacy obligations, and no opt-out for sharing nonpublic personal information with non-affiliated third parties.</w:t>
      </w:r>
    </w:p>
    <w:p>
      <w:pPr>
        <w:pStyle w:val="BodyText"/>
      </w:pPr>
      <w:r>
        <w:rPr>
          <w:i/>
          <w:iCs/>
        </w:rPr>
        <w:t xml:space="preserve">Why it matters / Risk:</w:t>
      </w:r>
      <w:r>
        <w:t xml:space="preserve"> </w:t>
      </w:r>
      <w:r>
        <w:t xml:space="preserve">If the GLBA applies, Vaultline must provide a clear and conspicuous initial privacy notice, annual privacy notices, and an opt-out of sharing nonpublic personal information with non-affiliated third parties, and comply with the FTC’s Financial Privacy Rule (Regulation P, 16 C.F.R. Part 313) and Safeguards Rule. None is in place. Non-compliance risks FTC enforcement and state AG action. The investor email notes the characterization is nuanced but warrants thorough analysis.</w:t>
      </w:r>
    </w:p>
    <w:p>
      <w:pPr>
        <w:pStyle w:val="BodyText"/>
      </w:pPr>
      <w:r>
        <w:rPr>
          <w:i/>
          <w:iCs/>
        </w:rPr>
        <w:t xml:space="preserve">Recommendation:</w:t>
      </w:r>
      <w:r>
        <w:t xml:space="preserve"> </w:t>
      </w:r>
      <w:r>
        <w:t xml:space="preserve">Obtain a definitive GLBA characterization analysis. If the GLBA applies, implement initial and annual privacy notices, the nonpublic-personal-information opt-out, and a Safeguards Rule-compliant information security program. Coordinate with the FCRA analysis (Issue 31).</w:t>
      </w:r>
    </w:p>
    <w:p>
      <w:r>
        <w:pict>
          <v:rect style="width:0;height:1.5pt" o:hralign="center" o:hrstd="t" o:hr="t"/>
        </w:pict>
      </w:r>
    </w:p>
    <w:bookmarkEnd w:id="30"/>
    <w:bookmarkStart w:id="31" w:name="h.-august-2024-data-breach"/>
    <w:p>
      <w:pPr>
        <w:pStyle w:val="Heading3"/>
      </w:pPr>
      <w:r>
        <w:t xml:space="preserve">H. August 2024 Data Breach</w:t>
      </w:r>
    </w:p>
    <w:p>
      <w:pPr>
        <w:pStyle w:val="FirstParagraph"/>
      </w:pPr>
      <w:r>
        <w:rPr>
          <w:b/>
          <w:bCs/>
        </w:rPr>
        <w:t xml:space="preserve">Issue 23 — Consumer breach notification occurred 47 days after discovery, raising</w:t>
      </w:r>
      <w:r>
        <w:rPr>
          <w:b/>
          <w:bCs/>
        </w:rPr>
        <w:t xml:space="preserve"> </w:t>
      </w:r>
      <w:r>
        <w:rPr>
          <w:b/>
          <w:bCs/>
        </w:rPr>
        <w:t xml:space="preserve">“</w:t>
      </w:r>
      <w:r>
        <w:rPr>
          <w:b/>
          <w:bCs/>
        </w:rPr>
        <w:t xml:space="preserve">unreasonable delay</w:t>
      </w:r>
      <w:r>
        <w:rPr>
          <w:b/>
          <w:bCs/>
        </w:rPr>
        <w:t xml:space="preserve">”</w:t>
      </w:r>
      <w:r>
        <w:rPr>
          <w:b/>
          <w:bCs/>
        </w:rPr>
        <w:t xml:space="preserve"> </w:t>
      </w:r>
      <w:r>
        <w:rPr>
          <w:b/>
          <w:bCs/>
        </w:rPr>
        <w:t xml:space="preserve">concerns.</w:t>
      </w:r>
      <w:r>
        <w:t xml:space="preserve"> </w:t>
      </w:r>
      <w:r>
        <w:rPr>
          <w:i/>
          <w:iCs/>
        </w:rPr>
        <w:t xml:space="preserve">Severity: High</w:t>
      </w:r>
    </w:p>
    <w:p>
      <w:pPr>
        <w:pStyle w:val="BodyText"/>
      </w:pPr>
      <w:r>
        <w:rPr>
          <w:i/>
          <w:iCs/>
        </w:rPr>
        <w:t xml:space="preserve">Identification:</w:t>
      </w:r>
      <w:r>
        <w:t xml:space="preserve"> </w:t>
      </w:r>
      <w:r>
        <w:t xml:space="preserve">The Incident Response Log (Section 1; Entry 12) states the incident was discovered</w:t>
      </w:r>
      <w:r>
        <w:t xml:space="preserve"> </w:t>
      </w:r>
      <w:r>
        <w:rPr>
          <w:b/>
          <w:bCs/>
        </w:rPr>
        <w:t xml:space="preserve">August 12, 2024</w:t>
      </w:r>
      <w:r>
        <w:t xml:space="preserve">, and consumer breach notification was distributed to all 84,000 affected users on</w:t>
      </w:r>
      <w:r>
        <w:t xml:space="preserve"> </w:t>
      </w:r>
      <w:r>
        <w:rPr>
          <w:b/>
          <w:bCs/>
        </w:rPr>
        <w:t xml:space="preserve">September 28, 2024</w:t>
      </w:r>
      <w:r>
        <w:t xml:space="preserve"> </w:t>
      </w:r>
      <w:r>
        <w:t xml:space="preserve">—</w:t>
      </w:r>
      <w:r>
        <w:t xml:space="preserve"> </w:t>
      </w:r>
      <w:r>
        <w:rPr>
          <w:b/>
          <w:bCs/>
        </w:rPr>
        <w:t xml:space="preserve">47 days</w:t>
      </w:r>
      <w:r>
        <w:t xml:space="preserve"> </w:t>
      </w:r>
      <w:r>
        <w:t xml:space="preserve">later. The compromised data included full legal names, email addresses, last-four SSN digits, and transaction histories (Section 3). Entry 6 notes 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The investor email (§5) requests confirmation of compliance with all applicable state breach notification laws.</w:t>
      </w:r>
    </w:p>
    <w:p>
      <w:pPr>
        <w:pStyle w:val="BodyText"/>
      </w:pPr>
      <w:r>
        <w:rPr>
          <w:i/>
          <w:iCs/>
        </w:rPr>
        <w:t xml:space="preserve">Why it matters / Risk:</w:t>
      </w:r>
      <w:r>
        <w:t xml:space="preserve"> </w:t>
      </w:r>
      <w:r>
        <w:t xml:space="preserve">Many state breach-notification statutes require notice</w:t>
      </w:r>
      <w:r>
        <w:t xml:space="preserve"> </w:t>
      </w:r>
      <w:r>
        <w:t xml:space="preserve">“</w:t>
      </w:r>
      <w:r>
        <w:t xml:space="preserve">without unreasonable delay</w:t>
      </w:r>
      <w:r>
        <w:t xml:space="preserve">”</w:t>
      </w:r>
      <w:r>
        <w:t xml:space="preserve"> </w:t>
      </w:r>
      <w:r>
        <w:t xml:space="preserve">and several impose outer limits (commonly 30–60 days). A 47-day delay may exceed specific state deadlines or be deemed unreasonable, particularly where SSN elements and transaction histories were exposed. The delay also exceeds the spirit of California’s standard for the ~3,100 affected California residents. Regulatory inquiries or civil claims could follow.</w:t>
      </w:r>
    </w:p>
    <w:p>
      <w:pPr>
        <w:pStyle w:val="BodyText"/>
      </w:pPr>
      <w:r>
        <w:rPr>
          <w:i/>
          <w:iCs/>
        </w:rPr>
        <w:t xml:space="preserve">Recommendation:</w:t>
      </w:r>
      <w:r>
        <w:t xml:space="preserve"> </w:t>
      </w:r>
      <w:r>
        <w:t xml:space="preserve">Conduct a state-by-state notification-timeline compliance analysis for the August 2024 incident; document the justification for the 47-day period; and revise the Incident Response Plan to ensure future notifications meet the most stringent applicable deadline. The post-incident review (Entry 13) already recommends reviewing notification timelines — prioritize this.</w:t>
      </w:r>
    </w:p>
    <w:p>
      <w:r>
        <w:pict>
          <v:rect style="width:0;height:1.5pt" o:hralign="center" o:hrstd="t" o:hr="t"/>
        </w:pict>
      </w:r>
    </w:p>
    <w:p>
      <w:pPr>
        <w:pStyle w:val="FirstParagraph"/>
      </w:pPr>
      <w:r>
        <w:rPr>
          <w:b/>
          <w:bCs/>
        </w:rPr>
        <w:t xml:space="preserve">Issue 24 — No notifications to the California AG, other state AGs, or an EU supervisory authority are documented.</w:t>
      </w:r>
      <w:r>
        <w:t xml:space="preserve"> </w:t>
      </w:r>
      <w:r>
        <w:rPr>
          <w:i/>
          <w:iCs/>
        </w:rPr>
        <w:t xml:space="preserve">Severity: High</w:t>
      </w:r>
    </w:p>
    <w:p>
      <w:pPr>
        <w:pStyle w:val="BodyText"/>
      </w:pPr>
      <w:r>
        <w:rPr>
          <w:i/>
          <w:iCs/>
        </w:rPr>
        <w:t xml:space="preserve">Identification:</w:t>
      </w:r>
      <w:r>
        <w:t xml:space="preserve"> </w:t>
      </w:r>
      <w:r>
        <w:t xml:space="preserve">The Notification Log (Section 6) lists notifications to: Affected Users (Sept. 28, 2024); CloudFort Systems (Aug. 13); the cyber insurance carrier (Aug. 19); Thornbury &amp; Locke LLP (Aug. 14); and the CEO (Aug. 12). It does</w:t>
      </w:r>
      <w:r>
        <w:t xml:space="preserve"> </w:t>
      </w:r>
      <w:r>
        <w:rPr>
          <w:b/>
          <w:bCs/>
        </w:rPr>
        <w:t xml:space="preserve">not</w:t>
      </w:r>
      <w:r>
        <w:t xml:space="preserve"> </w:t>
      </w:r>
      <w:r>
        <w:t xml:space="preserve">list any notification to the California Attorney General, any other state attorney general, or any EU supervisory authority. Entry 6 notes that Cal. Civ. Code § 1798.82(f) requires AG notification when a breach affects more than 500 California residents (~3,100 affected, well above the threshold) and states this was</w:t>
      </w:r>
      <w:r>
        <w:t xml:space="preserve"> </w:t>
      </w:r>
      <w:r>
        <w:t xml:space="preserve">“</w:t>
      </w:r>
      <w:r>
        <w:t xml:space="preserve">under review.</w:t>
      </w:r>
      <w:r>
        <w:t xml:space="preserve">”</w:t>
      </w:r>
      <w:r>
        <w:t xml:space="preserve"> </w:t>
      </w:r>
      <w:r>
        <w:t xml:space="preserve">Entry 7 flags that approximately</w:t>
      </w:r>
      <w:r>
        <w:t xml:space="preserve"> </w:t>
      </w:r>
      <w:r>
        <w:rPr>
          <w:b/>
          <w:bCs/>
        </w:rPr>
        <w:t xml:space="preserve">510 affected users self-identified as EU residents</w:t>
      </w:r>
      <w:r>
        <w:t xml:space="preserve"> </w:t>
      </w:r>
      <w:r>
        <w:t xml:space="preserve">and that</w:t>
      </w:r>
      <w:r>
        <w:t xml:space="preserve"> </w:t>
      </w:r>
      <w:r>
        <w:t xml:space="preserve">“</w:t>
      </w:r>
      <w:r>
        <w:t xml:space="preserve">EU breach notification obligations under GDPR Article 33 (72-hour supervisory authority notification requirement) have been flagged for Priya Venkatesh’s review.</w:t>
      </w:r>
      <w:r>
        <w:t xml:space="preserve">”</w:t>
      </w:r>
      <w:r>
        <w:t xml:space="preserve"> </w:t>
      </w:r>
      <w:r>
        <w:t xml:space="preserve">Entry 14 (Oct. 11) states</w:t>
      </w:r>
      <w:r>
        <w:t xml:space="preserve"> </w:t>
      </w:r>
      <w:r>
        <w:t xml:space="preserve">“</w:t>
      </w:r>
      <w:r>
        <w:t xml:space="preserve">No regulatory inquiries have been received as of this date.</w:t>
      </w:r>
      <w:r>
        <w:t xml:space="preserve">”</w:t>
      </w:r>
    </w:p>
    <w:p>
      <w:pPr>
        <w:pStyle w:val="BodyText"/>
      </w:pPr>
      <w:r>
        <w:rPr>
          <w:i/>
          <w:iCs/>
        </w:rPr>
        <w:t xml:space="preserve">Why it matters / Risk:</w:t>
      </w:r>
      <w:r>
        <w:t xml:space="preserve"> </w:t>
      </w:r>
      <w:r>
        <w:t xml:space="preserve">California AG notification was required (the 500-resident threshold was exceeded) and does not appear to have been made. GDPR Article 33 requires notification to the competent supervisory authority</w:t>
      </w:r>
      <w:r>
        <w:t xml:space="preserve"> </w:t>
      </w:r>
      <w:r>
        <w:rPr>
          <w:b/>
          <w:bCs/>
        </w:rPr>
        <w:t xml:space="preserve">within 72 hours</w:t>
      </w:r>
      <w:r>
        <w:t xml:space="preserve"> </w:t>
      </w:r>
      <w:r>
        <w:t xml:space="preserve">of becoming aware of a breach — the 47-day elapsed period vastly exceeds this, and no SA notification is logged. GDPR Article 34 requires data-subject notification</w:t>
      </w:r>
      <w:r>
        <w:t xml:space="preserve"> </w:t>
      </w:r>
      <w:r>
        <w:t xml:space="preserve">“</w:t>
      </w:r>
      <w:r>
        <w:t xml:space="preserve">without undue delay</w:t>
      </w:r>
      <w:r>
        <w:t xml:space="preserve">”</w:t>
      </w:r>
      <w:r>
        <w:t xml:space="preserve"> </w:t>
      </w:r>
      <w:r>
        <w:t xml:space="preserve">for high-risk breaches. Other state AG notification requirements (e.g., New York SHIELD Act, which has a 500-resident AG notification threshold and a</w:t>
      </w:r>
      <w:r>
        <w:t xml:space="preserve"> </w:t>
      </w:r>
      <w:r>
        <w:t xml:space="preserve">“</w:t>
      </w:r>
      <w:r>
        <w:t xml:space="preserve">most expedient</w:t>
      </w:r>
      <w:r>
        <w:t xml:space="preserve">”</w:t>
      </w:r>
      <w:r>
        <w:t xml:space="preserve"> </w:t>
      </w:r>
      <w:r>
        <w:t xml:space="preserve">standard) may also apply given the multi-state affected population (~5,800 NY, ~4,500 FL, ~2,800 IL, etc.). The absence of documented regulatory notifications is a significant compliance gap and a potential aggravating factor in any enforcement action.</w:t>
      </w:r>
    </w:p>
    <w:p>
      <w:pPr>
        <w:pStyle w:val="BodyText"/>
      </w:pPr>
      <w:r>
        <w:rPr>
          <w:i/>
          <w:iCs/>
        </w:rPr>
        <w:t xml:space="preserve">Recommendation:</w:t>
      </w:r>
      <w:r>
        <w:t xml:space="preserve"> </w:t>
      </w:r>
      <w:r>
        <w:t xml:space="preserve">Immediately assess whether required AG/SA notifications were made; if not, evaluate belated notification and document the rationale. Confirm the Article 33/34 analysis for the ~510 EU users. Implement a regulatory-notification checklist in the Incident Response Plan keyed to each affected jurisdiction’s thresholds and deadlines.</w:t>
      </w:r>
    </w:p>
    <w:p>
      <w:r>
        <w:pict>
          <v:rect style="width:0;height:1.5pt" o:hralign="center" o:hrstd="t" o:hr="t"/>
        </w:pict>
      </w:r>
    </w:p>
    <w:p>
      <w:pPr>
        <w:pStyle w:val="FirstParagraph"/>
      </w:pPr>
      <w:r>
        <w:rPr>
          <w:b/>
          <w:bCs/>
        </w:rPr>
        <w:t xml:space="preserve">Issue 25 — No Brightly breach notification is documented under DSA § 9.2 (72-hour requirement).</w:t>
      </w:r>
      <w:r>
        <w:t xml:space="preserve"> </w:t>
      </w:r>
      <w:r>
        <w:rPr>
          <w:i/>
          <w:iCs/>
        </w:rPr>
        <w:t xml:space="preserve">Severity: Medium</w:t>
      </w:r>
    </w:p>
    <w:p>
      <w:pPr>
        <w:pStyle w:val="BodyText"/>
      </w:pPr>
      <w:r>
        <w:rPr>
          <w:i/>
          <w:iCs/>
        </w:rPr>
        <w:t xml:space="preserve">Identification:</w:t>
      </w:r>
      <w:r>
        <w:t xml:space="preserve"> </w:t>
      </w:r>
      <w:r>
        <w:t xml:space="preserve">The Data Sharing Agreement (§ 9.2) requires each party to notify the other in writing within</w:t>
      </w:r>
      <w:r>
        <w:t xml:space="preserve"> </w:t>
      </w:r>
      <w:r>
        <w:rPr>
          <w:b/>
          <w:bCs/>
        </w:rPr>
        <w:t xml:space="preserve">72 hours</w:t>
      </w:r>
      <w:r>
        <w:t xml:space="preserve"> </w:t>
      </w:r>
      <w:r>
        <w:t xml:space="preserve">of discovering a security breach involving</w:t>
      </w:r>
      <w:r>
        <w:t xml:space="preserve"> </w:t>
      </w:r>
      <w:r>
        <w:t xml:space="preserve">“</w:t>
      </w:r>
      <w:r>
        <w:t xml:space="preserve">Shared Data or SDK Data.</w:t>
      </w:r>
      <w:r>
        <w:t xml:space="preserve">”</w:t>
      </w:r>
      <w:r>
        <w:t xml:space="preserve"> </w:t>
      </w:r>
      <w:r>
        <w:t xml:space="preserve">The August 2024 breach accessed the</w:t>
      </w:r>
      <w:r>
        <w:t xml:space="preserve"> </w:t>
      </w:r>
      <w:r>
        <w:rPr>
          <w:rStyle w:val="VerbatimChar"/>
        </w:rPr>
        <w:t xml:space="preserve">users</w:t>
      </w:r>
      <w:r>
        <w:t xml:space="preserve"> </w:t>
      </w:r>
      <w:r>
        <w:t xml:space="preserve">and</w:t>
      </w:r>
      <w:r>
        <w:t xml:space="preserve"> </w:t>
      </w:r>
      <w:r>
        <w:rPr>
          <w:rStyle w:val="VerbatimChar"/>
        </w:rPr>
        <w:t xml:space="preserve">transactions</w:t>
      </w:r>
      <w:r>
        <w:t xml:space="preserve"> </w:t>
      </w:r>
      <w:r>
        <w:t xml:space="preserve">tables (Entry 3), which are the source data from which the Shared Data elements (hashed emails, age range, income bracket, spending category summaries) are derived. The Notification Log (Section 6) does not list Brightly as a recipient.</w:t>
      </w:r>
    </w:p>
    <w:p>
      <w:pPr>
        <w:pStyle w:val="BodyText"/>
      </w:pPr>
      <w:r>
        <w:rPr>
          <w:i/>
          <w:iCs/>
        </w:rPr>
        <w:t xml:space="preserve">Why it matters / Risk:</w:t>
      </w:r>
      <w:r>
        <w:t xml:space="preserve"> </w:t>
      </w:r>
      <w:r>
        <w:t xml:space="preserve">Because the breached tables feed the Shared Data categories, a colorable argument exists that the breach</w:t>
      </w:r>
      <w:r>
        <w:t xml:space="preserve"> </w:t>
      </w:r>
      <w:r>
        <w:t xml:space="preserve">“</w:t>
      </w:r>
      <w:r>
        <w:t xml:space="preserve">involved</w:t>
      </w:r>
      <w:r>
        <w:t xml:space="preserve">”</w:t>
      </w:r>
      <w:r>
        <w:t xml:space="preserve"> </w:t>
      </w:r>
      <w:r>
        <w:t xml:space="preserve">Shared Data, triggering the 72-hour Brightly notification. The absence of a documented Brightly notification is a potential contractual breach and, if Brightly was not informed, may affect Brightly’s own obligations and Vaultline’s indemnity posture. The scope is ambiguous (the derived Shared Data categories themselves may not have been directly exfiltrated), which itself warrants documentation.</w:t>
      </w:r>
    </w:p>
    <w:p>
      <w:pPr>
        <w:pStyle w:val="BodyText"/>
      </w:pPr>
      <w:r>
        <w:rPr>
          <w:i/>
          <w:iCs/>
        </w:rPr>
        <w:t xml:space="preserve">Recommendation:</w:t>
      </w:r>
      <w:r>
        <w:t xml:space="preserve"> </w:t>
      </w:r>
      <w:r>
        <w:t xml:space="preserve">Confirm whether Brightly was notified; if not, assess whether § 9.2 was triggered and document the conclusion. Clarify the § 9.2 trigger in future incident responses and consider narrowing/clarifying the contractual definition to reduce ambiguity.</w:t>
      </w:r>
    </w:p>
    <w:p>
      <w:r>
        <w:pict>
          <v:rect style="width:0;height:1.5pt" o:hralign="center" o:hrstd="t" o:hr="t"/>
        </w:pict>
      </w:r>
    </w:p>
    <w:p>
      <w:pPr>
        <w:pStyle w:val="FirstParagraph"/>
      </w:pPr>
      <w:r>
        <w:rPr>
          <w:b/>
          <w:bCs/>
        </w:rPr>
        <w:t xml:space="preserve">Issue 26 — Inconsistency in EU data storage location between the Data Inventory and the breach log.</w:t>
      </w:r>
      <w:r>
        <w:t xml:space="preserve"> </w:t>
      </w:r>
      <w:r>
        <w:rPr>
          <w:i/>
          <w:iCs/>
        </w:rPr>
        <w:t xml:space="preserve">Severity: Medium</w:t>
      </w:r>
    </w:p>
    <w:p>
      <w:pPr>
        <w:pStyle w:val="BodyText"/>
      </w:pPr>
      <w:r>
        <w:rPr>
          <w:i/>
          <w:iCs/>
        </w:rPr>
        <w:t xml:space="preserve">Identification:</w:t>
      </w:r>
      <w:r>
        <w:t xml:space="preserve"> </w:t>
      </w:r>
      <w:r>
        <w:t xml:space="preserve">The Data Inventory (PA-007; IT-001) states that</w:t>
      </w:r>
      <w:r>
        <w:t xml:space="preserve"> </w:t>
      </w:r>
      <w:r>
        <w:t xml:space="preserve">“</w:t>
      </w:r>
      <w:r>
        <w:t xml:space="preserve">All EU-resident user data is processed and stored on CloudFort Virginia servers</w:t>
      </w:r>
      <w:r>
        <w:t xml:space="preserve">”</w:t>
      </w:r>
      <w:r>
        <w:t xml:space="preserve"> </w:t>
      </w:r>
      <w:r>
        <w:t xml:space="preserve">and that EU data is on U.S. servers with no transfer mechanism. The Incident Response Log (Entry 5) states CloudFort</w:t>
      </w:r>
      <w:r>
        <w:t xml:space="preserve"> </w:t>
      </w:r>
      <w:r>
        <w:t xml:space="preserve">“</w:t>
      </w:r>
      <w:r>
        <w:t xml:space="preserve">confirmed that all unauthorized data access occurred within its Ashburn, Virginia data center and that no access anomalies were detected on its Dublin, Ireland infrastructure,</w:t>
      </w:r>
      <w:r>
        <w:t xml:space="preserve"> </w:t>
      </w:r>
      <w:r>
        <w:rPr>
          <w:b/>
          <w:bCs/>
        </w:rPr>
        <w:t xml:space="preserve">where EU-resident user data is partially replicated</w:t>
      </w:r>
      <w:r>
        <w:t xml:space="preserve">.</w:t>
      </w:r>
      <w:r>
        <w:t xml:space="preserve">”</w:t>
      </w:r>
    </w:p>
    <w:p>
      <w:pPr>
        <w:pStyle w:val="BodyText"/>
      </w:pPr>
      <w:r>
        <w:rPr>
          <w:i/>
          <w:iCs/>
        </w:rPr>
        <w:t xml:space="preserve">Why it matters / Risk:</w:t>
      </w:r>
      <w:r>
        <w:t xml:space="preserve"> </w:t>
      </w:r>
      <w:r>
        <w:t xml:space="preserve">These statements conflict: the Data Inventory asserts all EU data is on Virginia servers, while the breach log asserts EU data is</w:t>
      </w:r>
      <w:r>
        <w:t xml:space="preserve"> </w:t>
      </w:r>
      <w:r>
        <w:t xml:space="preserve">“</w:t>
      </w:r>
      <w:r>
        <w:t xml:space="preserve">partially replicated</w:t>
      </w:r>
      <w:r>
        <w:t xml:space="preserve">”</w:t>
      </w:r>
      <w:r>
        <w:t xml:space="preserve"> </w:t>
      </w:r>
      <w:r>
        <w:t xml:space="preserve">in Dublin. The discrepancy matters for (a) the accuracy of the transfer-mechanism analysis (if EU data resides in Dublin, the transfer analysis differs), (b) breach scope (whether EU data in Dublin was implicated), and (c) diligence accuracy. It also suggests the internal records are not reconciled, which is itself a diligence red flag.</w:t>
      </w:r>
    </w:p>
    <w:p>
      <w:pPr>
        <w:pStyle w:val="BodyText"/>
      </w:pPr>
      <w:r>
        <w:rPr>
          <w:i/>
          <w:iCs/>
        </w:rPr>
        <w:t xml:space="preserve">Recommendation:</w:t>
      </w:r>
      <w:r>
        <w:t xml:space="preserve"> </w:t>
      </w:r>
      <w:r>
        <w:t xml:space="preserve">Reconcile the actual storage/replication topology of EU-resident data and correct the Data Inventory. If EU data is (or can be) resident in Dublin, update the transfer analysis and consider EU-data-residency-by-default to reduce Chapter V exposure (Issue 4).</w:t>
      </w:r>
    </w:p>
    <w:p>
      <w:r>
        <w:pict>
          <v:rect style="width:0;height:1.5pt" o:hralign="center" o:hrstd="t" o:hr="t"/>
        </w:pict>
      </w:r>
    </w:p>
    <w:p>
      <w:pPr>
        <w:pStyle w:val="FirstParagraph"/>
      </w:pPr>
      <w:r>
        <w:rPr>
          <w:b/>
          <w:bCs/>
        </w:rPr>
        <w:t xml:space="preserve">Issue 27 — Pre-breach security posture contradicts the</w:t>
      </w:r>
      <w:r>
        <w:rPr>
          <w:b/>
          <w:bCs/>
        </w:rPr>
        <w:t xml:space="preserve"> </w:t>
      </w:r>
      <w:r>
        <w:rPr>
          <w:b/>
          <w:bCs/>
        </w:rPr>
        <w:t xml:space="preserve">“</w:t>
      </w:r>
      <w:r>
        <w:rPr>
          <w:b/>
          <w:bCs/>
        </w:rPr>
        <w:t xml:space="preserve">commercially reasonable security</w:t>
      </w:r>
      <w:r>
        <w:rPr>
          <w:b/>
          <w:bCs/>
        </w:rPr>
        <w:t xml:space="preserve">”</w:t>
      </w:r>
      <w:r>
        <w:rPr>
          <w:b/>
          <w:bCs/>
        </w:rPr>
        <w:t xml:space="preserve"> </w:t>
      </w:r>
      <w:r>
        <w:rPr>
          <w:b/>
          <w:bCs/>
        </w:rPr>
        <w:t xml:space="preserve">representation.</w:t>
      </w:r>
      <w:r>
        <w:t xml:space="preserve"> </w:t>
      </w:r>
      <w:r>
        <w:rPr>
          <w:i/>
          <w:iCs/>
        </w:rPr>
        <w:t xml:space="preserve">Severity: Medium</w:t>
      </w:r>
    </w:p>
    <w:p>
      <w:pPr>
        <w:pStyle w:val="BodyText"/>
      </w:pPr>
      <w:r>
        <w:rPr>
          <w:i/>
          <w:iCs/>
        </w:rPr>
        <w:t xml:space="preserve">Identification:</w:t>
      </w:r>
      <w:r>
        <w:t xml:space="preserve"> </w:t>
      </w:r>
      <w:r>
        <w:t xml:space="preserve">The Privacy Policy (</w:t>
      </w:r>
      <w:r>
        <w:t xml:space="preserve">“</w:t>
      </w:r>
      <w:r>
        <w:t xml:space="preserve">Data Security</w:t>
      </w:r>
      <w:r>
        <w:t xml:space="preserve">”</w:t>
      </w:r>
      <w:r>
        <w:t xml:space="preserve">) represents that Vaultline</w:t>
      </w:r>
      <w:r>
        <w:t xml:space="preserve"> </w:t>
      </w:r>
      <w:r>
        <w:t xml:space="preserve">“</w:t>
      </w:r>
      <w:r>
        <w:t xml:space="preserve">implement[s] commercially reasonable security measures.</w:t>
      </w:r>
      <w:r>
        <w:t xml:space="preserve">”</w:t>
      </w:r>
      <w:r>
        <w:t xml:space="preserve"> </w:t>
      </w:r>
      <w:r>
        <w:t xml:space="preserve">The Incident Response Log (Entry 9; Section 5) states that, prior to the breach,</w:t>
      </w:r>
      <w:r>
        <w:t xml:space="preserve"> </w:t>
      </w:r>
      <w:r>
        <w:rPr>
          <w:b/>
          <w:bCs/>
        </w:rPr>
        <w:t xml:space="preserve">MFA was optional for VPN access</w:t>
      </w:r>
      <w:r>
        <w:t xml:space="preserve"> </w:t>
      </w:r>
      <w:r>
        <w:t xml:space="preserve">(made mandatory only after the incident) and that DevOps service accounts had</w:t>
      </w:r>
      <w:r>
        <w:t xml:space="preserve"> </w:t>
      </w:r>
      <w:r>
        <w:rPr>
          <w:b/>
          <w:bCs/>
        </w:rPr>
        <w:t xml:space="preserve">overly permissive broad read-access</w:t>
      </w:r>
      <w:r>
        <w:t xml:space="preserve"> </w:t>
      </w:r>
      <w:r>
        <w:t xml:space="preserve">to the production database (tightened to least-privilege only after the incident). The breach was achieved via a phishing-compromised credential.</w:t>
      </w:r>
    </w:p>
    <w:p>
      <w:pPr>
        <w:pStyle w:val="BodyText"/>
      </w:pPr>
      <w:r>
        <w:rPr>
          <w:i/>
          <w:iCs/>
        </w:rPr>
        <w:t xml:space="preserve">Why it matters / Risk:</w:t>
      </w:r>
      <w:r>
        <w:t xml:space="preserve"> </w:t>
      </w:r>
      <w:r>
        <w:t xml:space="preserve">Optional MFA on VPN and over-permissive database access for service accounts are difficult to defend as</w:t>
      </w:r>
      <w:r>
        <w:t xml:space="preserve"> </w:t>
      </w:r>
      <w:r>
        <w:t xml:space="preserve">“</w:t>
      </w:r>
      <w:r>
        <w:t xml:space="preserve">commercially reasonable</w:t>
      </w:r>
      <w:r>
        <w:t xml:space="preserve">”</w:t>
      </w:r>
      <w:r>
        <w:t xml:space="preserve"> </w:t>
      </w:r>
      <w:r>
        <w:t xml:space="preserve">given current standards (and align with GLBA Safeguards Rule and FTC expectations). This gap between the Privacy Policy’s security representation and the actual pre-breach posture supports claims that the representation was inaccurate and that the breach was preventable. It also intersects with the GLBA Safeguards Rule analysis (Issue 22).</w:t>
      </w:r>
    </w:p>
    <w:p>
      <w:pPr>
        <w:pStyle w:val="BodyText"/>
      </w:pPr>
      <w:r>
        <w:rPr>
          <w:i/>
          <w:iCs/>
        </w:rPr>
        <w:t xml:space="preserve">Recommendation:</w:t>
      </w:r>
      <w:r>
        <w:t xml:space="preserve"> </w:t>
      </w:r>
      <w:r>
        <w:t xml:space="preserve">Document the remediated controls; update the Privacy Policy’s security description to be accurate and not overstate the posture; and ensure the information security program meets the GLBA Safeguards Rule (if applicable) and a recognized framework (e.g., NIST CSF, SOC 2). Maintain evidence of continuous improvement.</w:t>
      </w:r>
    </w:p>
    <w:p>
      <w:r>
        <w:pict>
          <v:rect style="width:0;height:1.5pt" o:hralign="center" o:hrstd="t" o:hr="t"/>
        </w:pict>
      </w:r>
    </w:p>
    <w:bookmarkEnd w:id="31"/>
    <w:bookmarkStart w:id="32" w:name="i.-cookies-and-tracking-technologies"/>
    <w:p>
      <w:pPr>
        <w:pStyle w:val="Heading3"/>
      </w:pPr>
      <w:r>
        <w:t xml:space="preserve">I. Cookies and Tracking Technologies</w:t>
      </w:r>
    </w:p>
    <w:p>
      <w:pPr>
        <w:pStyle w:val="FirstParagraph"/>
      </w:pPr>
      <w:r>
        <w:rPr>
          <w:b/>
          <w:bCs/>
        </w:rPr>
        <w:t xml:space="preserve">Issue 28 — The cookie consent banner is non-compliant (ePrivacy/GDPR); cookies fire before consent.</w:t>
      </w:r>
      <w:r>
        <w:t xml:space="preserve"> </w:t>
      </w:r>
      <w:r>
        <w:rPr>
          <w:i/>
          <w:iCs/>
        </w:rPr>
        <w:t xml:space="preserve">Severity: High</w:t>
      </w:r>
    </w:p>
    <w:p>
      <w:pPr>
        <w:pStyle w:val="BodyText"/>
      </w:pPr>
      <w:r>
        <w:rPr>
          <w:i/>
          <w:iCs/>
        </w:rPr>
        <w:t xml:space="preserve">Identification:</w:t>
      </w:r>
      <w:r>
        <w:t xml:space="preserve"> </w:t>
      </w:r>
      <w:r>
        <w:t xml:space="preserve">The Data Inventory’s Cookie Inventory tab identifies</w:t>
      </w:r>
      <w:r>
        <w:t xml:space="preserve"> </w:t>
      </w:r>
      <w:r>
        <w:rPr>
          <w:b/>
          <w:bCs/>
        </w:rPr>
        <w:t xml:space="preserve">34 cookies</w:t>
      </w:r>
      <w:r>
        <w:t xml:space="preserve">, of which</w:t>
      </w:r>
      <w:r>
        <w:t xml:space="preserve"> </w:t>
      </w:r>
      <w:r>
        <w:rPr>
          <w:b/>
          <w:bCs/>
        </w:rPr>
        <w:t xml:space="preserve">29 are third-party advertising/tracking cookies</w:t>
      </w:r>
      <w:r>
        <w:t xml:space="preserve"> </w:t>
      </w:r>
      <w:r>
        <w:t xml:space="preserve">(4 Brightly + 25 other third-party networks) and 32 require consent. The banner is</w:t>
      </w:r>
      <w:r>
        <w:t xml:space="preserve"> </w:t>
      </w:r>
      <w:r>
        <w:t xml:space="preserve">“</w:t>
      </w:r>
      <w:r>
        <w:t xml:space="preserve">Accept All Button Only,</w:t>
      </w:r>
      <w:r>
        <w:t xml:space="preserve">”</w:t>
      </w:r>
      <w:r>
        <w:t xml:space="preserve"> </w:t>
      </w:r>
      <w:r>
        <w:t xml:space="preserve">with</w:t>
      </w:r>
      <w:r>
        <w:t xml:space="preserve"> </w:t>
      </w:r>
      <w:r>
        <w:t xml:space="preserve">“</w:t>
      </w:r>
      <w:r>
        <w:t xml:space="preserve">Reject Option Available?</w:t>
      </w:r>
      <w:r>
        <w:t xml:space="preserve"> </w:t>
      </w:r>
      <w:r>
        <w:rPr>
          <w:b/>
          <w:bCs/>
        </w:rPr>
        <w:t xml:space="preserve">NO</w:t>
      </w:r>
      <w:r>
        <w:t xml:space="preserve">,</w:t>
      </w:r>
      <w:r>
        <w:t xml:space="preserve">”</w:t>
      </w:r>
      <w:r>
        <w:t xml:space="preserve"> </w:t>
      </w:r>
      <w:r>
        <w:t xml:space="preserve">“</w:t>
      </w:r>
      <w:r>
        <w:t xml:space="preserve">Customize/Manage Preferences Option?</w:t>
      </w:r>
      <w:r>
        <w:t xml:space="preserve"> </w:t>
      </w:r>
      <w:r>
        <w:rPr>
          <w:b/>
          <w:bCs/>
        </w:rPr>
        <w:t xml:space="preserve">NO</w:t>
      </w:r>
      <w:r>
        <w:t xml:space="preserve">,</w:t>
      </w:r>
      <w:r>
        <w:t xml:space="preserve">”</w:t>
      </w:r>
      <w:r>
        <w:t xml:space="preserve"> </w:t>
      </w:r>
      <w:r>
        <w:t xml:space="preserve">“</w:t>
      </w:r>
      <w:r>
        <w:t xml:space="preserve">Granular Category Consent?</w:t>
      </w:r>
      <w:r>
        <w:t xml:space="preserve"> </w:t>
      </w:r>
      <w:r>
        <w:rPr>
          <w:b/>
          <w:bCs/>
        </w:rPr>
        <w:t xml:space="preserve">NO</w:t>
      </w:r>
      <w:r>
        <w:t xml:space="preserve">,</w:t>
      </w:r>
      <w:r>
        <w:t xml:space="preserve">”</w:t>
      </w:r>
      <w:r>
        <w:t xml:space="preserve"> </w:t>
      </w:r>
      <w:r>
        <w:t xml:space="preserve">and “Banner Blocks Cookies Before Consent? **NO — all cookies fire on page load regardless of banner interaction.” The banner was implemented October 2021. The tab concludes this violates the ePrivacy Directive’s requirement for freely given, specific, informed consent for non-essential cookies and does not meet the GDPR Article 4(11) consent standard. The Privacy Policy’s</w:t>
      </w:r>
      <w:r>
        <w:t xml:space="preserve"> </w:t>
      </w:r>
      <w:r>
        <w:t xml:space="preserve">“</w:t>
      </w:r>
      <w:r>
        <w:t xml:space="preserve">Cookies and Tracking Technologies</w:t>
      </w:r>
      <w:r>
        <w:t xml:space="preserve">”</w:t>
      </w:r>
      <w:r>
        <w:t xml:space="preserve"> </w:t>
      </w:r>
      <w:r>
        <w:t xml:space="preserve">section does not describe a compliant consent mechanism.</w:t>
      </w:r>
    </w:p>
    <w:p>
      <w:pPr>
        <w:pStyle w:val="BodyText"/>
      </w:pPr>
      <w:r>
        <w:rPr>
          <w:i/>
          <w:iCs/>
        </w:rPr>
        <w:t xml:space="preserve">Why it matters / Risk:</w:t>
      </w:r>
      <w:r>
        <w:t xml:space="preserve"> </w:t>
      </w:r>
      <w:r>
        <w:t xml:space="preserve">For EU users (~23,000 registered, plus unknown website visitors), loading non-essential cookies before consent and offering no reject/customize option violates the ePrivacy Directive and GDPR consent standards. The 29 third-party advertising cookies (including cross-device identity resolution, lookalike audiences, and</w:t>
      </w:r>
      <w:r>
        <w:t xml:space="preserve"> </w:t>
      </w:r>
      <w:r>
        <w:t xml:space="preserve">“</w:t>
      </w:r>
      <w:r>
        <w:t xml:space="preserve">consent-bypass.com</w:t>
      </w:r>
      <w:r>
        <w:t xml:space="preserve">”</w:t>
      </w:r>
      <w:r>
        <w:t xml:space="preserve"> </w:t>
      </w:r>
      <w:r>
        <w:t xml:space="preserve">frequency capping) substantially expand the tracking surface. This is acute ahead of the EU launch. U.S. state laws (e.g., Colorado, Connecticut) also require consent/opt-out for targeted advertising cookies.</w:t>
      </w:r>
    </w:p>
    <w:p>
      <w:pPr>
        <w:pStyle w:val="BodyText"/>
      </w:pPr>
      <w:r>
        <w:rPr>
          <w:i/>
          <w:iCs/>
        </w:rPr>
        <w:t xml:space="preserve">Recommendation:</w:t>
      </w:r>
      <w:r>
        <w:t xml:space="preserve"> </w:t>
      </w:r>
      <w:r>
        <w:t xml:space="preserve">Replace the banner with a compliant consent management platform that blocks non-essential cookies until consent, offers a reject-all option equal in prominence to accept-all, and provides granular category controls. Conduct a cookie audit and tag management review. Update the Privacy Policy’s cookies section.</w:t>
      </w:r>
    </w:p>
    <w:p>
      <w:r>
        <w:pict>
          <v:rect style="width:0;height:1.5pt" o:hralign="center" o:hrstd="t" o:hr="t"/>
        </w:pict>
      </w:r>
    </w:p>
    <w:p>
      <w:pPr>
        <w:pStyle w:val="FirstParagraph"/>
      </w:pPr>
      <w:r>
        <w:rPr>
          <w:b/>
          <w:bCs/>
        </w:rPr>
        <w:t xml:space="preserve">Issue 29 — No CalOPPA Do-Not-Track disclosure; no DNT signal detection.</w:t>
      </w:r>
      <w:r>
        <w:t xml:space="preserve"> </w:t>
      </w:r>
      <w:r>
        <w:rPr>
          <w:i/>
          <w:iCs/>
        </w:rPr>
        <w:t xml:space="preserve">Severity: Medium</w:t>
      </w:r>
    </w:p>
    <w:p>
      <w:pPr>
        <w:pStyle w:val="BodyText"/>
      </w:pPr>
      <w:r>
        <w:rPr>
          <w:i/>
          <w:iCs/>
        </w:rPr>
        <w:t xml:space="preserve">Identification:</w:t>
      </w:r>
      <w:r>
        <w:t xml:space="preserve"> </w:t>
      </w:r>
      <w:r>
        <w:t xml:space="preserve">The Cookie Inventory tab states:</w:t>
      </w:r>
      <w:r>
        <w:t xml:space="preserve"> </w:t>
      </w:r>
      <w:r>
        <w:t xml:space="preserve">“</w:t>
      </w:r>
      <w:r>
        <w:t xml:space="preserve">No Do Not Track signal detection implemented. CalOPPA DNT disclosure not included in privacy policy.</w:t>
      </w:r>
      <w:r>
        <w:t xml:space="preserve">”</w:t>
      </w:r>
      <w:r>
        <w:t xml:space="preserve"> </w:t>
      </w:r>
      <w:r>
        <w:t xml:space="preserve">The Privacy Policy’s</w:t>
      </w:r>
      <w:r>
        <w:t xml:space="preserve"> </w:t>
      </w:r>
      <w:r>
        <w:t xml:space="preserve">“</w:t>
      </w:r>
      <w:r>
        <w:t xml:space="preserve">Cookies and Tracking Technologies</w:t>
      </w:r>
      <w:r>
        <w:t xml:space="preserve">”</w:t>
      </w:r>
      <w:r>
        <w:t xml:space="preserve"> </w:t>
      </w:r>
      <w:r>
        <w:t xml:space="preserve">section does not address Do-Not-Track signals.</w:t>
      </w:r>
    </w:p>
    <w:p>
      <w:pPr>
        <w:pStyle w:val="BodyText"/>
      </w:pPr>
      <w:r>
        <w:rPr>
          <w:i/>
          <w:iCs/>
        </w:rPr>
        <w:t xml:space="preserve">Why it matters / Risk:</w:t>
      </w:r>
      <w:r>
        <w:t xml:space="preserve"> </w:t>
      </w:r>
      <w:r>
        <w:t xml:space="preserve">California Online Privacy Protection Act (</w:t>
      </w:r>
      <w:r>
        <w:t xml:space="preserve">“</w:t>
      </w:r>
      <w:r>
        <w:t xml:space="preserve">CalOPPA</w:t>
      </w:r>
      <w:r>
        <w:t xml:space="preserve">”</w:t>
      </w:r>
      <w:r>
        <w:t xml:space="preserve">) requires operators of websites/apps that collect PII to disclose how they respond to Do-Not-Track signals. The omission is a CalOPPA violation and a CCPA/CPRA transparency gap (the CPRA requires honoring opt-out preference signals, a related but distinct obligation).</w:t>
      </w:r>
    </w:p>
    <w:p>
      <w:pPr>
        <w:pStyle w:val="BodyText"/>
      </w:pPr>
      <w:r>
        <w:rPr>
          <w:i/>
          <w:iCs/>
        </w:rPr>
        <w:t xml:space="preserve">Recommendation:</w:t>
      </w:r>
      <w:r>
        <w:t xml:space="preserve"> </w:t>
      </w:r>
      <w:r>
        <w:t xml:space="preserve">Add a CalOPPA-compliant DNT disclosure to the Privacy Policy and implement detection/handling of Global Privacy Control and opt-out preference signals (which also supports Issue 13).</w:t>
      </w:r>
    </w:p>
    <w:p>
      <w:r>
        <w:pict>
          <v:rect style="width:0;height:1.5pt" o:hralign="center" o:hrstd="t" o:hr="t"/>
        </w:pict>
      </w:r>
    </w:p>
    <w:bookmarkEnd w:id="32"/>
    <w:bookmarkStart w:id="33" w:name="j.-privacy-policy-form-and-currency"/>
    <w:p>
      <w:pPr>
        <w:pStyle w:val="Heading3"/>
      </w:pPr>
      <w:r>
        <w:t xml:space="preserve">J. Privacy Policy Form and Currency</w:t>
      </w:r>
    </w:p>
    <w:p>
      <w:pPr>
        <w:pStyle w:val="FirstParagraph"/>
      </w:pPr>
      <w:r>
        <w:rPr>
          <w:b/>
          <w:bCs/>
        </w:rPr>
        <w:t xml:space="preserve">Issue 30 — The Privacy Policy is stale, dense, and not</w:t>
      </w:r>
      <w:r>
        <w:rPr>
          <w:b/>
          <w:bCs/>
        </w:rPr>
        <w:t xml:space="preserve"> </w:t>
      </w:r>
      <w:r>
        <w:rPr>
          <w:b/>
          <w:bCs/>
        </w:rPr>
        <w:t xml:space="preserve">“</w:t>
      </w:r>
      <w:r>
        <w:rPr>
          <w:b/>
          <w:bCs/>
        </w:rPr>
        <w:t xml:space="preserve">clear and conspicuous</w:t>
      </w:r>
      <w:r>
        <w:rPr>
          <w:b/>
          <w:bCs/>
        </w:rPr>
        <w:t xml:space="preserve">”</w:t>
      </w:r>
      <w:r>
        <w:rPr>
          <w:b/>
          <w:bCs/>
        </w:rPr>
        <w:t xml:space="preserve">; it has not been updated since January 15, 2023.</w:t>
      </w:r>
      <w:r>
        <w:t xml:space="preserve"> </w:t>
      </w:r>
      <w:r>
        <w:rPr>
          <w:i/>
          <w:iCs/>
        </w:rPr>
        <w:t xml:space="preserve">Severity: High</w:t>
      </w:r>
    </w:p>
    <w:p>
      <w:pPr>
        <w:pStyle w:val="BodyText"/>
      </w:pPr>
      <w:r>
        <w:rPr>
          <w:i/>
          <w:iCs/>
        </w:rPr>
        <w:t xml:space="preserve">Identification:</w:t>
      </w:r>
      <w:r>
        <w:t xml:space="preserve"> </w:t>
      </w:r>
      <w:r>
        <w:t xml:space="preserve">The Privacy Policy’s</w:t>
      </w:r>
      <w:r>
        <w:t xml:space="preserve"> </w:t>
      </w:r>
      <w:r>
        <w:t xml:space="preserve">“</w:t>
      </w:r>
      <w:r>
        <w:t xml:space="preserve">Last Updated</w:t>
      </w:r>
      <w:r>
        <w:t xml:space="preserve">”</w:t>
      </w:r>
      <w:r>
        <w:t xml:space="preserve"> </w:t>
      </w:r>
      <w:r>
        <w:t xml:space="preserve">date is</w:t>
      </w:r>
      <w:r>
        <w:t xml:space="preserve"> </w:t>
      </w:r>
      <w:r>
        <w:rPr>
          <w:b/>
          <w:bCs/>
        </w:rPr>
        <w:t xml:space="preserve">January 15, 2023</w:t>
      </w:r>
      <w:r>
        <w:t xml:space="preserve"> </w:t>
      </w:r>
      <w:r>
        <w:t xml:space="preserve">— over two years old. The investor email (§1) reports the policy is ~9,200 words of</w:t>
      </w:r>
      <w:r>
        <w:t xml:space="preserve"> </w:t>
      </w:r>
      <w:r>
        <w:t xml:space="preserve">“</w:t>
      </w:r>
      <w:r>
        <w:t xml:space="preserve">dense, unformatted legal prose with no section headers, table of contents, or layered disclosure structure,</w:t>
      </w:r>
      <w:r>
        <w:t xml:space="preserve">”</w:t>
      </w:r>
      <w:r>
        <w:t xml:space="preserve"> </w:t>
      </w:r>
      <w:r>
        <w:t xml:space="preserve">with an estimated Flesch-Kincaid grade level of ~18.2 (post-graduate), raising FTC</w:t>
      </w:r>
      <w:r>
        <w:t xml:space="preserve"> </w:t>
      </w:r>
      <w:r>
        <w:t xml:space="preserve">“</w:t>
      </w:r>
      <w:r>
        <w:t xml:space="preserve">clear and conspicuous</w:t>
      </w:r>
      <w:r>
        <w:t xml:space="preserve">”</w:t>
      </w:r>
      <w:r>
        <w:t xml:space="preserve"> </w:t>
      </w:r>
      <w:r>
        <w:t xml:space="preserve">concerns. The Data Inventory documents multiple post-January-2023 developments not reflected in the policy: Selfie Verify (launched March 8, 2023), the Brightly First Amendment (June 15, 2024), the August 2024 breach, and the EU launch plans. Separately, the Data Sharing Agreement was signed by Sandra Linh, Head of Data &amp; Analytics (not an officer), which warrants an authority check.</w:t>
      </w:r>
    </w:p>
    <w:p>
      <w:pPr>
        <w:pStyle w:val="BodyText"/>
      </w:pPr>
      <w:r>
        <w:rPr>
          <w:i/>
          <w:iCs/>
        </w:rPr>
        <w:t xml:space="preserve">Why it matters / Risk:</w:t>
      </w:r>
      <w:r>
        <w:t xml:space="preserve"> </w:t>
      </w:r>
      <w:r>
        <w:t xml:space="preserve">A stale policy that omits material current practices (biometric data, Smart Insights, Brightly sharing details, retention, transfer mechanism) is both a transparency violation across multiple regimes and a source of false/misleading representations. The readability and structure deficiencies undermine the policy’s effectiveness as a transparency instrument under the FTC Act, CCPA/CPRA, and GDPR. The investor email treats the staleness and readability as standalone concerns.</w:t>
      </w:r>
    </w:p>
    <w:p>
      <w:pPr>
        <w:pStyle w:val="BodyText"/>
      </w:pPr>
      <w:r>
        <w:rPr>
          <w:i/>
          <w:iCs/>
        </w:rPr>
        <w:t xml:space="preserve">Recommendation:</w:t>
      </w:r>
      <w:r>
        <w:t xml:space="preserve"> </w:t>
      </w:r>
      <w:r>
        <w:t xml:space="preserve">Undertake a comprehensive Privacy Policy rewrite: update the</w:t>
      </w:r>
      <w:r>
        <w:t xml:space="preserve"> </w:t>
      </w:r>
      <w:r>
        <w:t xml:space="preserve">“</w:t>
      </w:r>
      <w:r>
        <w:t xml:space="preserve">Last Updated</w:t>
      </w:r>
      <w:r>
        <w:t xml:space="preserve">”</w:t>
      </w:r>
      <w:r>
        <w:t xml:space="preserve"> </w:t>
      </w:r>
      <w:r>
        <w:t xml:space="preserve">date; add a layered, navigable structure with a summary and section headers; lower the reading level; and incorporate all current practices. Implement a change-management process with material-change notice (the current policy disclaims any obligation to provide individual notice of changes, which is itself problematic for consent-based regimes). Confirm signatory authority for the DSA.</w:t>
      </w:r>
    </w:p>
    <w:p>
      <w:r>
        <w:pict>
          <v:rect style="width:0;height:1.5pt" o:hralign="center" o:hrstd="t" o:hr="t"/>
        </w:pict>
      </w:r>
    </w:p>
    <w:bookmarkEnd w:id="33"/>
    <w:bookmarkStart w:id="34" w:name="X726da6265c59a5e5f34ae7aaeb162ded5e9cfab"/>
    <w:p>
      <w:pPr>
        <w:pStyle w:val="Heading3"/>
      </w:pPr>
      <w:r>
        <w:t xml:space="preserve">K. Additional Issues for Further Analysis</w:t>
      </w:r>
    </w:p>
    <w:p>
      <w:pPr>
        <w:pStyle w:val="FirstParagraph"/>
      </w:pPr>
      <w:r>
        <w:rPr>
          <w:b/>
          <w:bCs/>
        </w:rPr>
        <w:t xml:space="preserve">Issue 31 — FCRA implications: credit score used in Smart Insights for credit-product eligibility targeting.</w:t>
      </w:r>
      <w:r>
        <w:t xml:space="preserve"> </w:t>
      </w:r>
      <w:r>
        <w:rPr>
          <w:i/>
          <w:iCs/>
        </w:rPr>
        <w:t xml:space="preserve">Severity: Medium</w:t>
      </w:r>
    </w:p>
    <w:p>
      <w:pPr>
        <w:pStyle w:val="BodyText"/>
      </w:pPr>
      <w:r>
        <w:rPr>
          <w:i/>
          <w:iCs/>
        </w:rPr>
        <w:t xml:space="preserve">Identification:</w:t>
      </w:r>
      <w:r>
        <w:t xml:space="preserve"> </w:t>
      </w:r>
      <w:r>
        <w:t xml:space="preserve">The Data Inventory (DC-007; PA-006) documents that Vaultline retrieves consumer credit scores via soft inquiry (listed under FCRA as an applicable regulation). PA-003 (Smart Insights) uses DC-007 (credit score) together with financial data so that the AI</w:t>
      </w:r>
      <w:r>
        <w:t xml:space="preserve"> </w:t>
      </w:r>
      <w:r>
        <w:t xml:space="preserve">“</w:t>
      </w:r>
      <w:r>
        <w:t xml:space="preserve">determines which credit product partner offers to show or hide based on assessment of the user’s financial profile,</w:t>
      </w:r>
      <w:r>
        <w:t xml:space="preserve">”</w:t>
      </w:r>
      <w:r>
        <w:t xml:space="preserve"> </w:t>
      </w:r>
      <w:r>
        <w:t xml:space="preserve">affecting offers from 14 partner financial product companies. The Privacy Policy mentions credit-score retrieval via soft inquiry but does not address the use of credit scores in automated eligibility gating for credit products.</w:t>
      </w:r>
    </w:p>
    <w:p>
      <w:pPr>
        <w:pStyle w:val="BodyText"/>
      </w:pPr>
      <w:r>
        <w:rPr>
          <w:i/>
          <w:iCs/>
        </w:rPr>
        <w:t xml:space="preserve">Why it matters / Risk:</w:t>
      </w:r>
      <w:r>
        <w:t xml:space="preserve"> </w:t>
      </w:r>
      <w:r>
        <w:t xml:space="preserve">If credit scores (a consumer report element under the FCRA) are used to screen or determine eligibility for credit-product offers, FCRA requirements may be implicated — including permissible purpose, adverse-action notice obligations (where users are denied or steered away from credit offers based on consumer report information), and restrictions on using consumer report information. The interaction between Vaultline (as a potential furnisher/user) and the 14 credit-product partners (who may rely on Vaultline’s screening) warrants analysis. This is a potential, not yet confirmed, exposure.</w:t>
      </w:r>
    </w:p>
    <w:p>
      <w:pPr>
        <w:pStyle w:val="BodyText"/>
      </w:pPr>
      <w:r>
        <w:rPr>
          <w:i/>
          <w:iCs/>
        </w:rPr>
        <w:t xml:space="preserve">Recommendation:</w:t>
      </w:r>
      <w:r>
        <w:t xml:space="preserve"> </w:t>
      </w:r>
      <w:r>
        <w:t xml:space="preserve">Obtain an FCRA analysis of the Smart Insights credit-product gating; if consumer report information is used for credit eligibility decisions, implement permissible-purpose controls and adverse-action processes, and disclose the practice. Coordinate with the GLBA analysis (Issue 22).</w:t>
      </w:r>
    </w:p>
    <w:p>
      <w:r>
        <w:pict>
          <v:rect style="width:0;height:1.5pt" o:hralign="center" o:hrstd="t" o:hr="t"/>
        </w:pict>
      </w:r>
    </w:p>
    <w:p>
      <w:pPr>
        <w:pStyle w:val="FirstParagraph"/>
      </w:pPr>
      <w:r>
        <w:rPr>
          <w:b/>
          <w:bCs/>
        </w:rPr>
        <w:t xml:space="preserve">Issue 32 — Children’s privacy / age-gating weakness (COPPA).</w:t>
      </w:r>
      <w:r>
        <w:t xml:space="preserve"> </w:t>
      </w:r>
      <w:r>
        <w:rPr>
          <w:i/>
          <w:iCs/>
        </w:rPr>
        <w:t xml:space="preserve">Severity: Low</w:t>
      </w:r>
    </w:p>
    <w:p>
      <w:pPr>
        <w:pStyle w:val="BodyText"/>
      </w:pPr>
      <w:r>
        <w:rPr>
          <w:i/>
          <w:iCs/>
        </w:rPr>
        <w:t xml:space="preserve">Identification:</w:t>
      </w:r>
      <w:r>
        <w:t xml:space="preserve"> </w:t>
      </w:r>
      <w:r>
        <w:t xml:space="preserve">The Privacy Policy’s</w:t>
      </w:r>
      <w:r>
        <w:t xml:space="preserve"> </w:t>
      </w:r>
      <w:r>
        <w:t xml:space="preserve">“</w:t>
      </w:r>
      <w:r>
        <w:t xml:space="preserve">Children’s Privacy</w:t>
      </w:r>
      <w:r>
        <w:t xml:space="preserve">”</w:t>
      </w:r>
      <w:r>
        <w:t xml:space="preserve"> </w:t>
      </w:r>
      <w:r>
        <w:t xml:space="preserve">section states the Services are</w:t>
      </w:r>
      <w:r>
        <w:t xml:space="preserve"> </w:t>
      </w:r>
      <w:r>
        <w:t xml:space="preserve">“</w:t>
      </w:r>
      <w:r>
        <w:t xml:space="preserve">not intended for children under 13</w:t>
      </w:r>
      <w:r>
        <w:t xml:space="preserve">”</w:t>
      </w:r>
      <w:r>
        <w:t xml:space="preserve"> </w:t>
      </w:r>
      <w:r>
        <w:t xml:space="preserve">and that Vaultline</w:t>
      </w:r>
      <w:r>
        <w:t xml:space="preserve"> </w:t>
      </w:r>
      <w:r>
        <w:t xml:space="preserve">“</w:t>
      </w:r>
      <w:r>
        <w:t xml:space="preserve">does not knowingly collect personal information from children under 13.</w:t>
      </w:r>
      <w:r>
        <w:t xml:space="preserve">”</w:t>
      </w:r>
      <w:r>
        <w:t xml:space="preserve"> </w:t>
      </w:r>
      <w:r>
        <w:t xml:space="preserve">The Data Inventory (DC-002) shows date of birth is collected for</w:t>
      </w:r>
      <w:r>
        <w:t xml:space="preserve"> </w:t>
      </w:r>
      <w:r>
        <w:t xml:space="preserve">“</w:t>
      </w:r>
      <w:r>
        <w:t xml:space="preserve">age verification and financial product eligibility,</w:t>
      </w:r>
      <w:r>
        <w:t xml:space="preserve">”</w:t>
      </w:r>
      <w:r>
        <w:t xml:space="preserve"> </w:t>
      </w:r>
      <w:r>
        <w:t xml:space="preserve">and the Selfie Verify feature (DC-011) captures biometric data during account creation. The Privacy Policy does not describe any technical age-gating mechanism that prevents under-13 registration, nor how a self-reported date of birth indicating an age under 13 is handled.</w:t>
      </w:r>
    </w:p>
    <w:p>
      <w:pPr>
        <w:pStyle w:val="BodyText"/>
      </w:pPr>
      <w:r>
        <w:rPr>
          <w:i/>
          <w:iCs/>
        </w:rPr>
        <w:t xml:space="preserve">Why it matters / Risk:</w:t>
      </w:r>
      <w:r>
        <w:t xml:space="preserve"> </w:t>
      </w:r>
      <w:r>
        <w:t xml:space="preserve">COPPA (and analogous state laws) impose obligations on operators with actual knowledge of collecting personal information from children under 13. The collection of date of birth and biometric data at account creation, without a described age-gating or under-13 handling process, creates a risk that under-13 data (including biometric data) is collected. The biometric dimension compounds the sensitivity (Issue 2).</w:t>
      </w:r>
    </w:p>
    <w:p>
      <w:pPr>
        <w:pStyle w:val="BodyText"/>
      </w:pPr>
      <w:r>
        <w:rPr>
          <w:i/>
          <w:iCs/>
        </w:rPr>
        <w:t xml:space="preserve">Recommendation:</w:t>
      </w:r>
      <w:r>
        <w:t xml:space="preserve"> </w:t>
      </w:r>
      <w:r>
        <w:t xml:space="preserve">Implement and document a technical age-gate at registration (block under-13 self-reported dates of birth) and an under-13 data-deletion process; describe the mechanism in the Privacy Policy; and confirm that Selfie Verify cannot be invoked for under-13 users.</w:t>
      </w:r>
    </w:p>
    <w:p>
      <w:r>
        <w:pict>
          <v:rect style="width:0;height:1.5pt" o:hralign="center" o:hrstd="t" o:hr="t"/>
        </w:pict>
      </w:r>
    </w:p>
    <w:bookmarkEnd w:id="34"/>
    <w:bookmarkEnd w:id="35"/>
    <w:bookmarkStart w:id="36"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Source Documents</w:t>
            </w:r>
          </w:p>
        </w:tc>
      </w:tr>
      <w:tr>
        <w:tc>
          <w:tcPr/>
          <w:p>
            <w:pPr>
              <w:pStyle w:val="Compact"/>
              <w:jc w:val="left"/>
            </w:pPr>
            <w:r>
              <w:t xml:space="preserve">1</w:t>
            </w:r>
          </w:p>
        </w:tc>
        <w:tc>
          <w:tcPr/>
          <w:p>
            <w:pPr>
              <w:pStyle w:val="Compact"/>
              <w:jc w:val="left"/>
            </w:pPr>
            <w:r>
              <w:t xml:space="preserve">Biometric data (Selfie Verify) undisclosed in Privacy Policy</w:t>
            </w:r>
          </w:p>
        </w:tc>
        <w:tc>
          <w:tcPr/>
          <w:p>
            <w:pPr>
              <w:pStyle w:val="Compact"/>
              <w:jc w:val="left"/>
            </w:pPr>
            <w:r>
              <w:t xml:space="preserve">Critical</w:t>
            </w:r>
          </w:p>
        </w:tc>
        <w:tc>
          <w:tcPr/>
          <w:p>
            <w:pPr>
              <w:pStyle w:val="Compact"/>
              <w:jc w:val="left"/>
            </w:pPr>
            <w:r>
              <w:t xml:space="preserve">B (DC-011, Selfie Verify), A, E (§5)</w:t>
            </w:r>
          </w:p>
        </w:tc>
      </w:tr>
      <w:tr>
        <w:tc>
          <w:tcPr/>
          <w:p>
            <w:pPr>
              <w:pStyle w:val="Compact"/>
              <w:jc w:val="left"/>
            </w:pPr>
            <w:r>
              <w:t xml:space="preserve">2</w:t>
            </w:r>
          </w:p>
        </w:tc>
        <w:tc>
          <w:tcPr/>
          <w:p>
            <w:pPr>
              <w:pStyle w:val="Compact"/>
              <w:jc w:val="left"/>
            </w:pPr>
            <w:r>
              <w:t xml:space="preserve">No valid consent for biometric data (BIPA § 15(b); GDPR Art. 9)</w:t>
            </w:r>
          </w:p>
        </w:tc>
        <w:tc>
          <w:tcPr/>
          <w:p>
            <w:pPr>
              <w:pStyle w:val="Compact"/>
              <w:jc w:val="left"/>
            </w:pPr>
            <w:r>
              <w:t xml:space="preserve">Critical</w:t>
            </w:r>
          </w:p>
        </w:tc>
        <w:tc>
          <w:tcPr/>
          <w:p>
            <w:pPr>
              <w:pStyle w:val="Compact"/>
              <w:jc w:val="left"/>
            </w:pPr>
            <w:r>
              <w:t xml:space="preserve">B (Selfie Verify), A, E (§5)</w:t>
            </w:r>
          </w:p>
        </w:tc>
      </w:tr>
      <w:tr>
        <w:tc>
          <w:tcPr/>
          <w:p>
            <w:pPr>
              <w:pStyle w:val="Compact"/>
              <w:jc w:val="left"/>
            </w:pPr>
            <w:r>
              <w:t xml:space="preserve">3</w:t>
            </w:r>
          </w:p>
        </w:tc>
        <w:tc>
          <w:tcPr/>
          <w:p>
            <w:pPr>
              <w:pStyle w:val="Compact"/>
              <w:jc w:val="left"/>
            </w:pPr>
            <w:r>
              <w:t xml:space="preserve">No public biometric retention/destruction policy (BIPA § 15(a))</w:t>
            </w:r>
          </w:p>
        </w:tc>
        <w:tc>
          <w:tcPr/>
          <w:p>
            <w:pPr>
              <w:pStyle w:val="Compact"/>
              <w:jc w:val="left"/>
            </w:pPr>
            <w:r>
              <w:t xml:space="preserve">Critical</w:t>
            </w:r>
          </w:p>
        </w:tc>
        <w:tc>
          <w:tcPr/>
          <w:p>
            <w:pPr>
              <w:pStyle w:val="Compact"/>
              <w:jc w:val="left"/>
            </w:pPr>
            <w:r>
              <w:t xml:space="preserve">B (Selfie Verify, Data Retention), A</w:t>
            </w:r>
          </w:p>
        </w:tc>
      </w:tr>
      <w:tr>
        <w:tc>
          <w:tcPr/>
          <w:p>
            <w:pPr>
              <w:pStyle w:val="Compact"/>
              <w:jc w:val="left"/>
            </w:pPr>
            <w:r>
              <w:t xml:space="preserve">4</w:t>
            </w:r>
          </w:p>
        </w:tc>
        <w:tc>
          <w:tcPr/>
          <w:p>
            <w:pPr>
              <w:pStyle w:val="Compact"/>
              <w:jc w:val="left"/>
            </w:pPr>
            <w:r>
              <w:t xml:space="preserve">Invalidated Privacy Shield; no valid EU transfer mechanism</w:t>
            </w:r>
          </w:p>
        </w:tc>
        <w:tc>
          <w:tcPr/>
          <w:p>
            <w:pPr>
              <w:pStyle w:val="Compact"/>
              <w:jc w:val="left"/>
            </w:pPr>
            <w:r>
              <w:t xml:space="preserve">Critical</w:t>
            </w:r>
          </w:p>
        </w:tc>
        <w:tc>
          <w:tcPr/>
          <w:p>
            <w:pPr>
              <w:pStyle w:val="Compact"/>
              <w:jc w:val="left"/>
            </w:pPr>
            <w:r>
              <w:t xml:space="preserve">A (Intl. Transfers), B (IT-001, PA-007), E (§2)</w:t>
            </w:r>
          </w:p>
        </w:tc>
      </w:tr>
      <w:tr>
        <w:tc>
          <w:tcPr/>
          <w:p>
            <w:pPr>
              <w:pStyle w:val="Compact"/>
              <w:jc w:val="left"/>
            </w:pPr>
            <w:r>
              <w:t xml:space="preserve">5</w:t>
            </w:r>
          </w:p>
        </w:tc>
        <w:tc>
          <w:tcPr/>
          <w:p>
            <w:pPr>
              <w:pStyle w:val="Compact"/>
              <w:jc w:val="left"/>
            </w:pPr>
            <w:r>
              <w:t xml:space="preserve">GDPR Art. 13/14 transparency disclosures deficient</w:t>
            </w:r>
          </w:p>
        </w:tc>
        <w:tc>
          <w:tcPr/>
          <w:p>
            <w:pPr>
              <w:pStyle w:val="Compact"/>
              <w:jc w:val="left"/>
            </w:pPr>
            <w:r>
              <w:t xml:space="preserve">Critical</w:t>
            </w:r>
          </w:p>
        </w:tc>
        <w:tc>
          <w:tcPr/>
          <w:p>
            <w:pPr>
              <w:pStyle w:val="Compact"/>
              <w:jc w:val="left"/>
            </w:pPr>
            <w:r>
              <w:t xml:space="preserve">A (EU Rights), B (EU Summary), E (§3)</w:t>
            </w:r>
          </w:p>
        </w:tc>
      </w:tr>
      <w:tr>
        <w:tc>
          <w:tcPr/>
          <w:p>
            <w:pPr>
              <w:pStyle w:val="Compact"/>
              <w:jc w:val="left"/>
            </w:pPr>
            <w:r>
              <w:t xml:space="preserve">6</w:t>
            </w:r>
          </w:p>
        </w:tc>
        <w:tc>
          <w:tcPr/>
          <w:p>
            <w:pPr>
              <w:pStyle w:val="Compact"/>
              <w:jc w:val="left"/>
            </w:pPr>
            <w:r>
              <w:t xml:space="preserve">No DPO appointed (GDPR Art. 37)</w:t>
            </w:r>
          </w:p>
        </w:tc>
        <w:tc>
          <w:tcPr/>
          <w:p>
            <w:pPr>
              <w:pStyle w:val="Compact"/>
              <w:jc w:val="left"/>
            </w:pPr>
            <w:r>
              <w:t xml:space="preserve">High</w:t>
            </w:r>
          </w:p>
        </w:tc>
        <w:tc>
          <w:tcPr/>
          <w:p>
            <w:pPr>
              <w:pStyle w:val="Compact"/>
              <w:jc w:val="left"/>
            </w:pPr>
            <w:r>
              <w:t xml:space="preserve">B (EU Summary), A, E (§3)</w:t>
            </w:r>
          </w:p>
        </w:tc>
      </w:tr>
      <w:tr>
        <w:tc>
          <w:tcPr/>
          <w:p>
            <w:pPr>
              <w:pStyle w:val="Compact"/>
              <w:jc w:val="left"/>
            </w:pPr>
            <w:r>
              <w:t xml:space="preserve">7</w:t>
            </w:r>
          </w:p>
        </w:tc>
        <w:tc>
          <w:tcPr/>
          <w:p>
            <w:pPr>
              <w:pStyle w:val="Compact"/>
              <w:jc w:val="left"/>
            </w:pPr>
            <w:r>
              <w:t xml:space="preserve">No EU Art. 27 representative designated</w:t>
            </w:r>
          </w:p>
        </w:tc>
        <w:tc>
          <w:tcPr/>
          <w:p>
            <w:pPr>
              <w:pStyle w:val="Compact"/>
              <w:jc w:val="left"/>
            </w:pPr>
            <w:r>
              <w:t xml:space="preserve">High</w:t>
            </w:r>
          </w:p>
        </w:tc>
        <w:tc>
          <w:tcPr/>
          <w:p>
            <w:pPr>
              <w:pStyle w:val="Compact"/>
              <w:jc w:val="left"/>
            </w:pPr>
            <w:r>
              <w:t xml:space="preserve">B (EU Summary), A, E (§3)</w:t>
            </w:r>
          </w:p>
        </w:tc>
      </w:tr>
      <w:tr>
        <w:tc>
          <w:tcPr/>
          <w:p>
            <w:pPr>
              <w:pStyle w:val="Compact"/>
              <w:jc w:val="left"/>
            </w:pPr>
            <w:r>
              <w:t xml:space="preserve">8</w:t>
            </w:r>
          </w:p>
        </w:tc>
        <w:tc>
          <w:tcPr/>
          <w:p>
            <w:pPr>
              <w:pStyle w:val="Compact"/>
              <w:jc w:val="left"/>
            </w:pPr>
            <w:r>
              <w:t xml:space="preserve">No DPIAs conducted (GDPR Art. 35)</w:t>
            </w:r>
          </w:p>
        </w:tc>
        <w:tc>
          <w:tcPr/>
          <w:p>
            <w:pPr>
              <w:pStyle w:val="Compact"/>
              <w:jc w:val="left"/>
            </w:pPr>
            <w:r>
              <w:t xml:space="preserve">High</w:t>
            </w:r>
          </w:p>
        </w:tc>
        <w:tc>
          <w:tcPr/>
          <w:p>
            <w:pPr>
              <w:pStyle w:val="Compact"/>
              <w:jc w:val="left"/>
            </w:pPr>
            <w:r>
              <w:t xml:space="preserve">B (DPIA Status), E (§5)</w:t>
            </w:r>
          </w:p>
        </w:tc>
      </w:tr>
      <w:tr>
        <w:tc>
          <w:tcPr/>
          <w:p>
            <w:pPr>
              <w:pStyle w:val="Compact"/>
              <w:jc w:val="left"/>
            </w:pPr>
            <w:r>
              <w:t xml:space="preserve">9</w:t>
            </w:r>
          </w:p>
        </w:tc>
        <w:tc>
          <w:tcPr/>
          <w:p>
            <w:pPr>
              <w:pStyle w:val="Compact"/>
              <w:jc w:val="left"/>
            </w:pPr>
            <w:r>
              <w:t xml:space="preserve">Browsewrap consent insufficient (GDPR Arts. 6, 7)</w:t>
            </w:r>
          </w:p>
        </w:tc>
        <w:tc>
          <w:tcPr/>
          <w:p>
            <w:pPr>
              <w:pStyle w:val="Compact"/>
              <w:jc w:val="left"/>
            </w:pPr>
            <w:r>
              <w:t xml:space="preserve">High</w:t>
            </w:r>
          </w:p>
        </w:tc>
        <w:tc>
          <w:tcPr/>
          <w:p>
            <w:pPr>
              <w:pStyle w:val="Compact"/>
              <w:jc w:val="left"/>
            </w:pPr>
            <w:r>
              <w:t xml:space="preserve">A, B (Processing Activities, EU Summary)</w:t>
            </w:r>
          </w:p>
        </w:tc>
      </w:tr>
      <w:tr>
        <w:tc>
          <w:tcPr/>
          <w:p>
            <w:pPr>
              <w:pStyle w:val="Compact"/>
              <w:jc w:val="left"/>
            </w:pPr>
            <w:r>
              <w:t xml:space="preserve">10</w:t>
            </w:r>
          </w:p>
        </w:tc>
        <w:tc>
          <w:tcPr/>
          <w:p>
            <w:pPr>
              <w:pStyle w:val="Compact"/>
              <w:jc w:val="left"/>
            </w:pPr>
            <w:r>
              <w:t xml:space="preserve">Automated decision-making (Smart Insights) undisclosed (Art. 22)</w:t>
            </w:r>
          </w:p>
        </w:tc>
        <w:tc>
          <w:tcPr/>
          <w:p>
            <w:pPr>
              <w:pStyle w:val="Compact"/>
              <w:jc w:val="left"/>
            </w:pPr>
            <w:r>
              <w:t xml:space="preserve">Critical</w:t>
            </w:r>
          </w:p>
        </w:tc>
        <w:tc>
          <w:tcPr/>
          <w:p>
            <w:pPr>
              <w:pStyle w:val="Compact"/>
              <w:jc w:val="left"/>
            </w:pPr>
            <w:r>
              <w:t xml:space="preserve">B (PA-003), A, E (§5)</w:t>
            </w:r>
          </w:p>
        </w:tc>
      </w:tr>
      <w:tr>
        <w:tc>
          <w:tcPr/>
          <w:p>
            <w:pPr>
              <w:pStyle w:val="Compact"/>
              <w:jc w:val="left"/>
            </w:pPr>
            <w:r>
              <w:t xml:space="preserve">11</w:t>
            </w:r>
          </w:p>
        </w:tc>
        <w:tc>
          <w:tcPr/>
          <w:p>
            <w:pPr>
              <w:pStyle w:val="Compact"/>
              <w:jc w:val="left"/>
            </w:pPr>
            <w:r>
              <w:t xml:space="preserve">CCPA/CPRA rights disclosures incomplete (only right to know)</w:t>
            </w:r>
          </w:p>
        </w:tc>
        <w:tc>
          <w:tcPr/>
          <w:p>
            <w:pPr>
              <w:pStyle w:val="Compact"/>
              <w:jc w:val="left"/>
            </w:pPr>
            <w:r>
              <w:t xml:space="preserve">High</w:t>
            </w:r>
          </w:p>
        </w:tc>
        <w:tc>
          <w:tcPr/>
          <w:p>
            <w:pPr>
              <w:pStyle w:val="Compact"/>
              <w:jc w:val="left"/>
            </w:pPr>
            <w:r>
              <w:t xml:space="preserve">A (CA Rights), E (§5)</w:t>
            </w:r>
          </w:p>
        </w:tc>
      </w:tr>
      <w:tr>
        <w:tc>
          <w:tcPr/>
          <w:p>
            <w:pPr>
              <w:pStyle w:val="Compact"/>
              <w:jc w:val="left"/>
            </w:pPr>
            <w:r>
              <w:t xml:space="preserve">12</w:t>
            </w:r>
          </w:p>
        </w:tc>
        <w:tc>
          <w:tcPr/>
          <w:p>
            <w:pPr>
              <w:pStyle w:val="Compact"/>
              <w:jc w:val="left"/>
            </w:pPr>
            <w:r>
              <w:t xml:space="preserve">Sensitive PI not classified/disclosed; no right to limit</w:t>
            </w:r>
          </w:p>
        </w:tc>
        <w:tc>
          <w:tcPr/>
          <w:p>
            <w:pPr>
              <w:pStyle w:val="Compact"/>
              <w:jc w:val="left"/>
            </w:pPr>
            <w:r>
              <w:t xml:space="preserve">High</w:t>
            </w:r>
          </w:p>
        </w:tc>
        <w:tc>
          <w:tcPr/>
          <w:p>
            <w:pPr>
              <w:pStyle w:val="Compact"/>
              <w:jc w:val="left"/>
            </w:pPr>
            <w:r>
              <w:t xml:space="preserve">B (Data Categories), A, E (§5)</w:t>
            </w:r>
          </w:p>
        </w:tc>
      </w:tr>
      <w:tr>
        <w:tc>
          <w:tcPr/>
          <w:p>
            <w:pPr>
              <w:pStyle w:val="Compact"/>
              <w:jc w:val="left"/>
            </w:pPr>
            <w:r>
              <w:t xml:space="preserve">13</w:t>
            </w:r>
          </w:p>
        </w:tc>
        <w:tc>
          <w:tcPr/>
          <w:p>
            <w:pPr>
              <w:pStyle w:val="Compact"/>
              <w:jc w:val="left"/>
            </w:pPr>
            <w:r>
              <w:t xml:space="preserve">No</w:t>
            </w:r>
            <w:r>
              <w:t xml:space="preserve"> </w:t>
            </w:r>
            <w:r>
              <w:t xml:space="preserve">“</w:t>
            </w:r>
            <w:r>
              <w:t xml:space="preserve">Do Not Sell or Share</w:t>
            </w:r>
            <w:r>
              <w:t xml:space="preserve">”</w:t>
            </w:r>
            <w:r>
              <w:t xml:space="preserve"> </w:t>
            </w:r>
            <w:r>
              <w:t xml:space="preserve">opt-out mechanism</w:t>
            </w:r>
          </w:p>
        </w:tc>
        <w:tc>
          <w:tcPr/>
          <w:p>
            <w:pPr>
              <w:pStyle w:val="Compact"/>
              <w:jc w:val="left"/>
            </w:pPr>
            <w:r>
              <w:t xml:space="preserve">High</w:t>
            </w:r>
          </w:p>
        </w:tc>
        <w:tc>
          <w:tcPr/>
          <w:p>
            <w:pPr>
              <w:pStyle w:val="Compact"/>
              <w:jc w:val="left"/>
            </w:pPr>
            <w:r>
              <w:t xml:space="preserve">A, B (TS-002, TS-003), E (§5)</w:t>
            </w:r>
          </w:p>
        </w:tc>
      </w:tr>
      <w:tr>
        <w:tc>
          <w:tcPr/>
          <w:p>
            <w:pPr>
              <w:pStyle w:val="Compact"/>
              <w:jc w:val="left"/>
            </w:pPr>
            <w:r>
              <w:t xml:space="preserve">14</w:t>
            </w:r>
          </w:p>
        </w:tc>
        <w:tc>
          <w:tcPr/>
          <w:p>
            <w:pPr>
              <w:pStyle w:val="Compact"/>
              <w:jc w:val="left"/>
            </w:pPr>
            <w:r>
              <w:t xml:space="preserve">“</w:t>
            </w:r>
            <w:r>
              <w:t xml:space="preserve">Does not sell</w:t>
            </w:r>
            <w:r>
              <w:t xml:space="preserve">”</w:t>
            </w:r>
            <w:r>
              <w:t xml:space="preserve"> </w:t>
            </w:r>
            <w:r>
              <w:t xml:space="preserve">representation contradicted by practice</w:t>
            </w:r>
          </w:p>
        </w:tc>
        <w:tc>
          <w:tcPr/>
          <w:p>
            <w:pPr>
              <w:pStyle w:val="Compact"/>
              <w:jc w:val="left"/>
            </w:pPr>
            <w:r>
              <w:t xml:space="preserve">High</w:t>
            </w:r>
          </w:p>
        </w:tc>
        <w:tc>
          <w:tcPr/>
          <w:p>
            <w:pPr>
              <w:pStyle w:val="Compact"/>
              <w:jc w:val="left"/>
            </w:pPr>
            <w:r>
              <w:t xml:space="preserve">A (Supplemental), B (TS-002, TS-003), E (§5)</w:t>
            </w:r>
          </w:p>
        </w:tc>
      </w:tr>
      <w:tr>
        <w:tc>
          <w:tcPr/>
          <w:p>
            <w:pPr>
              <w:pStyle w:val="Compact"/>
              <w:jc w:val="left"/>
            </w:pPr>
            <w:r>
              <w:t xml:space="preserve">15</w:t>
            </w:r>
          </w:p>
        </w:tc>
        <w:tc>
          <w:tcPr/>
          <w:p>
            <w:pPr>
              <w:pStyle w:val="Compact"/>
              <w:jc w:val="left"/>
            </w:pPr>
            <w:r>
              <w:t xml:space="preserve">Brightly relationship likely a CPRA sale/sharing; no opt-out</w:t>
            </w:r>
          </w:p>
        </w:tc>
        <w:tc>
          <w:tcPr/>
          <w:p>
            <w:pPr>
              <w:pStyle w:val="Compact"/>
              <w:jc w:val="left"/>
            </w:pPr>
            <w:r>
              <w:t xml:space="preserve">Critical</w:t>
            </w:r>
          </w:p>
        </w:tc>
        <w:tc>
          <w:tcPr/>
          <w:p>
            <w:pPr>
              <w:pStyle w:val="Compact"/>
              <w:jc w:val="left"/>
            </w:pPr>
            <w:r>
              <w:t xml:space="preserve">C (§§ 3.1, 4.1, 5.1), B (TS-002), A, E (§5)</w:t>
            </w:r>
          </w:p>
        </w:tc>
      </w:tr>
      <w:tr>
        <w:tc>
          <w:tcPr/>
          <w:p>
            <w:pPr>
              <w:pStyle w:val="Compact"/>
              <w:jc w:val="left"/>
            </w:pPr>
            <w:r>
              <w:t xml:space="preserve">16</w:t>
            </w:r>
          </w:p>
        </w:tc>
        <w:tc>
          <w:tcPr/>
          <w:p>
            <w:pPr>
              <w:pStyle w:val="Compact"/>
              <w:jc w:val="left"/>
            </w:pPr>
            <w:r>
              <w:t xml:space="preserve">Brightly data elements not disclosed; Brightly not named</w:t>
            </w:r>
          </w:p>
        </w:tc>
        <w:tc>
          <w:tcPr/>
          <w:p>
            <w:pPr>
              <w:pStyle w:val="Compact"/>
              <w:jc w:val="left"/>
            </w:pPr>
            <w:r>
              <w:t xml:space="preserve">High</w:t>
            </w:r>
          </w:p>
        </w:tc>
        <w:tc>
          <w:tcPr/>
          <w:p>
            <w:pPr>
              <w:pStyle w:val="Compact"/>
              <w:jc w:val="left"/>
            </w:pPr>
            <w:r>
              <w:t xml:space="preserve">C (§ 2.1), B (DC-014, DC-015), A</w:t>
            </w:r>
          </w:p>
        </w:tc>
      </w:tr>
      <w:tr>
        <w:tc>
          <w:tcPr/>
          <w:p>
            <w:pPr>
              <w:pStyle w:val="Compact"/>
              <w:jc w:val="left"/>
            </w:pPr>
            <w:r>
              <w:t xml:space="preserve">17</w:t>
            </w:r>
          </w:p>
        </w:tc>
        <w:tc>
          <w:tcPr/>
          <w:p>
            <w:pPr>
              <w:pStyle w:val="Compact"/>
              <w:jc w:val="left"/>
            </w:pPr>
            <w:r>
              <w:t xml:space="preserve">Brightly independent controller; no DPA; EU transfer lacks mechanism</w:t>
            </w:r>
          </w:p>
        </w:tc>
        <w:tc>
          <w:tcPr/>
          <w:p>
            <w:pPr>
              <w:pStyle w:val="Compact"/>
              <w:jc w:val="left"/>
            </w:pPr>
            <w:r>
              <w:t xml:space="preserve">High</w:t>
            </w:r>
          </w:p>
        </w:tc>
        <w:tc>
          <w:tcPr/>
          <w:p>
            <w:pPr>
              <w:pStyle w:val="Compact"/>
              <w:jc w:val="left"/>
            </w:pPr>
            <w:r>
              <w:t xml:space="preserve">C (§§ 4.1, 14.3), B (TS-002, IT-002)</w:t>
            </w:r>
          </w:p>
        </w:tc>
      </w:tr>
      <w:tr>
        <w:tc>
          <w:tcPr/>
          <w:p>
            <w:pPr>
              <w:pStyle w:val="Compact"/>
              <w:jc w:val="left"/>
            </w:pPr>
            <w:r>
              <w:t xml:space="preserve">18</w:t>
            </w:r>
          </w:p>
        </w:tc>
        <w:tc>
          <w:tcPr/>
          <w:p>
            <w:pPr>
              <w:pStyle w:val="Compact"/>
              <w:jc w:val="left"/>
            </w:pPr>
            <w:r>
              <w:t xml:space="preserve">DSA</w:t>
            </w:r>
            <w:r>
              <w:t xml:space="preserve"> </w:t>
            </w:r>
            <w:r>
              <w:t xml:space="preserve">“</w:t>
            </w:r>
            <w:r>
              <w:t xml:space="preserve">Aggregate Data</w:t>
            </w:r>
            <w:r>
              <w:t xml:space="preserve">”</w:t>
            </w:r>
            <w:r>
              <w:t xml:space="preserve"> </w:t>
            </w:r>
            <w:r>
              <w:t xml:space="preserve">standard weaker than CCPA de-identification</w:t>
            </w:r>
          </w:p>
        </w:tc>
        <w:tc>
          <w:tcPr/>
          <w:p>
            <w:pPr>
              <w:pStyle w:val="Compact"/>
              <w:jc w:val="left"/>
            </w:pPr>
            <w:r>
              <w:t xml:space="preserve">High</w:t>
            </w:r>
          </w:p>
        </w:tc>
        <w:tc>
          <w:tcPr/>
          <w:p>
            <w:pPr>
              <w:pStyle w:val="Compact"/>
              <w:jc w:val="left"/>
            </w:pPr>
            <w:r>
              <w:t xml:space="preserve">C (§§ 1, 3.3), B (TS-002)</w:t>
            </w:r>
          </w:p>
        </w:tc>
      </w:tr>
      <w:tr>
        <w:tc>
          <w:tcPr/>
          <w:p>
            <w:pPr>
              <w:pStyle w:val="Compact"/>
              <w:jc w:val="left"/>
            </w:pPr>
            <w:r>
              <w:t xml:space="preserve">19</w:t>
            </w:r>
          </w:p>
        </w:tc>
        <w:tc>
          <w:tcPr/>
          <w:p>
            <w:pPr>
              <w:pStyle w:val="Compact"/>
              <w:jc w:val="left"/>
            </w:pPr>
            <w:r>
              <w:t xml:space="preserve">DSA reps and warranties likely breached</w:t>
            </w:r>
          </w:p>
        </w:tc>
        <w:tc>
          <w:tcPr/>
          <w:p>
            <w:pPr>
              <w:pStyle w:val="Compact"/>
              <w:jc w:val="left"/>
            </w:pPr>
            <w:r>
              <w:t xml:space="preserve">High</w:t>
            </w:r>
          </w:p>
        </w:tc>
        <w:tc>
          <w:tcPr/>
          <w:p>
            <w:pPr>
              <w:pStyle w:val="Compact"/>
              <w:jc w:val="left"/>
            </w:pPr>
            <w:r>
              <w:t xml:space="preserve">C (§ 7.1), A, B</w:t>
            </w:r>
          </w:p>
        </w:tc>
      </w:tr>
      <w:tr>
        <w:tc>
          <w:tcPr/>
          <w:p>
            <w:pPr>
              <w:pStyle w:val="Compact"/>
              <w:jc w:val="left"/>
            </w:pPr>
            <w:r>
              <w:t xml:space="preserve">20</w:t>
            </w:r>
          </w:p>
        </w:tc>
        <w:tc>
          <w:tcPr/>
          <w:p>
            <w:pPr>
              <w:pStyle w:val="Compact"/>
              <w:jc w:val="left"/>
            </w:pPr>
            <w:r>
              <w:t xml:space="preserve">DSA indemnity asymmetry / liability cap inadequate</w:t>
            </w:r>
          </w:p>
        </w:tc>
        <w:tc>
          <w:tcPr/>
          <w:p>
            <w:pPr>
              <w:pStyle w:val="Compact"/>
              <w:jc w:val="left"/>
            </w:pPr>
            <w:r>
              <w:t xml:space="preserve">Medium</w:t>
            </w:r>
          </w:p>
        </w:tc>
        <w:tc>
          <w:tcPr/>
          <w:p>
            <w:pPr>
              <w:pStyle w:val="Compact"/>
              <w:jc w:val="left"/>
            </w:pPr>
            <w:r>
              <w:t xml:space="preserve">C (§§ 11, 12)</w:t>
            </w:r>
          </w:p>
        </w:tc>
      </w:tr>
      <w:tr>
        <w:tc>
          <w:tcPr/>
          <w:p>
            <w:pPr>
              <w:pStyle w:val="Compact"/>
              <w:jc w:val="left"/>
            </w:pPr>
            <w:r>
              <w:t xml:space="preserve">21</w:t>
            </w:r>
          </w:p>
        </w:tc>
        <w:tc>
          <w:tcPr/>
          <w:p>
            <w:pPr>
              <w:pStyle w:val="Compact"/>
              <w:jc w:val="left"/>
            </w:pPr>
            <w:r>
              <w:t xml:space="preserve">No retention periods disclosed; indefinite retention; no schedule</w:t>
            </w:r>
          </w:p>
        </w:tc>
        <w:tc>
          <w:tcPr/>
          <w:p>
            <w:pPr>
              <w:pStyle w:val="Compact"/>
              <w:jc w:val="left"/>
            </w:pPr>
            <w:r>
              <w:t xml:space="preserve">High</w:t>
            </w:r>
          </w:p>
        </w:tc>
        <w:tc>
          <w:tcPr/>
          <w:p>
            <w:pPr>
              <w:pStyle w:val="Compact"/>
              <w:jc w:val="left"/>
            </w:pPr>
            <w:r>
              <w:t xml:space="preserve">A (Data Retention), B (Data Retention), E (§5)</w:t>
            </w:r>
          </w:p>
        </w:tc>
      </w:tr>
      <w:tr>
        <w:tc>
          <w:tcPr/>
          <w:p>
            <w:pPr>
              <w:pStyle w:val="Compact"/>
              <w:jc w:val="left"/>
            </w:pPr>
            <w:r>
              <w:t xml:space="preserve">22</w:t>
            </w:r>
          </w:p>
        </w:tc>
        <w:tc>
          <w:tcPr/>
          <w:p>
            <w:pPr>
              <w:pStyle w:val="Compact"/>
              <w:jc w:val="left"/>
            </w:pPr>
            <w:r>
              <w:t xml:space="preserve">Potential GLBA</w:t>
            </w:r>
            <w:r>
              <w:t xml:space="preserve"> </w:t>
            </w:r>
            <w:r>
              <w:t xml:space="preserve">“</w:t>
            </w:r>
            <w:r>
              <w:t xml:space="preserve">financial institution</w:t>
            </w:r>
            <w:r>
              <w:t xml:space="preserve">”</w:t>
            </w:r>
            <w:r>
              <w:t xml:space="preserve"> </w:t>
            </w:r>
            <w:r>
              <w:t xml:space="preserve">status; no notices/opt-out</w:t>
            </w:r>
          </w:p>
        </w:tc>
        <w:tc>
          <w:tcPr/>
          <w:p>
            <w:pPr>
              <w:pStyle w:val="Compact"/>
              <w:jc w:val="left"/>
            </w:pPr>
            <w:r>
              <w:t xml:space="preserve">High</w:t>
            </w:r>
          </w:p>
        </w:tc>
        <w:tc>
          <w:tcPr/>
          <w:p>
            <w:pPr>
              <w:pStyle w:val="Compact"/>
              <w:jc w:val="left"/>
            </w:pPr>
            <w:r>
              <w:t xml:space="preserve">A, B (Data Categories), E (§4)</w:t>
            </w:r>
          </w:p>
        </w:tc>
      </w:tr>
      <w:tr>
        <w:tc>
          <w:tcPr/>
          <w:p>
            <w:pPr>
              <w:pStyle w:val="Compact"/>
              <w:jc w:val="left"/>
            </w:pPr>
            <w:r>
              <w:t xml:space="preserve">23</w:t>
            </w:r>
          </w:p>
        </w:tc>
        <w:tc>
          <w:tcPr/>
          <w:p>
            <w:pPr>
              <w:pStyle w:val="Compact"/>
              <w:jc w:val="left"/>
            </w:pPr>
            <w:r>
              <w:t xml:space="preserve">47-day consumer breach notification delay</w:t>
            </w:r>
          </w:p>
        </w:tc>
        <w:tc>
          <w:tcPr/>
          <w:p>
            <w:pPr>
              <w:pStyle w:val="Compact"/>
              <w:jc w:val="left"/>
            </w:pPr>
            <w:r>
              <w:t xml:space="preserve">High</w:t>
            </w:r>
          </w:p>
        </w:tc>
        <w:tc>
          <w:tcPr/>
          <w:p>
            <w:pPr>
              <w:pStyle w:val="Compact"/>
              <w:jc w:val="left"/>
            </w:pPr>
            <w:r>
              <w:t xml:space="preserve">D (§1, Entry 12), E (§5)</w:t>
            </w:r>
          </w:p>
        </w:tc>
      </w:tr>
      <w:tr>
        <w:tc>
          <w:tcPr/>
          <w:p>
            <w:pPr>
              <w:pStyle w:val="Compact"/>
              <w:jc w:val="left"/>
            </w:pPr>
            <w:r>
              <w:t xml:space="preserve">24</w:t>
            </w:r>
          </w:p>
        </w:tc>
        <w:tc>
          <w:tcPr/>
          <w:p>
            <w:pPr>
              <w:pStyle w:val="Compact"/>
              <w:jc w:val="left"/>
            </w:pPr>
            <w:r>
              <w:t xml:space="preserve">No CA AG / state AG / EU SA notifications documented</w:t>
            </w:r>
          </w:p>
        </w:tc>
        <w:tc>
          <w:tcPr/>
          <w:p>
            <w:pPr>
              <w:pStyle w:val="Compact"/>
              <w:jc w:val="left"/>
            </w:pPr>
            <w:r>
              <w:t xml:space="preserve">High</w:t>
            </w:r>
          </w:p>
        </w:tc>
        <w:tc>
          <w:tcPr/>
          <w:p>
            <w:pPr>
              <w:pStyle w:val="Compact"/>
              <w:jc w:val="left"/>
            </w:pPr>
            <w:r>
              <w:t xml:space="preserve">D (§6, Entries 6–7, 14), E (§5)</w:t>
            </w:r>
          </w:p>
        </w:tc>
      </w:tr>
      <w:tr>
        <w:tc>
          <w:tcPr/>
          <w:p>
            <w:pPr>
              <w:pStyle w:val="Compact"/>
              <w:jc w:val="left"/>
            </w:pPr>
            <w:r>
              <w:t xml:space="preserve">25</w:t>
            </w:r>
          </w:p>
        </w:tc>
        <w:tc>
          <w:tcPr/>
          <w:p>
            <w:pPr>
              <w:pStyle w:val="Compact"/>
              <w:jc w:val="left"/>
            </w:pPr>
            <w:r>
              <w:t xml:space="preserve">No Brightly breach notification under DSA § 9.2 (72-hour)</w:t>
            </w:r>
          </w:p>
        </w:tc>
        <w:tc>
          <w:tcPr/>
          <w:p>
            <w:pPr>
              <w:pStyle w:val="Compact"/>
              <w:jc w:val="left"/>
            </w:pPr>
            <w:r>
              <w:t xml:space="preserve">Medium</w:t>
            </w:r>
          </w:p>
        </w:tc>
        <w:tc>
          <w:tcPr/>
          <w:p>
            <w:pPr>
              <w:pStyle w:val="Compact"/>
              <w:jc w:val="left"/>
            </w:pPr>
            <w:r>
              <w:t xml:space="preserve">D (§6, Entry 3), C (§ 9.2)</w:t>
            </w:r>
          </w:p>
        </w:tc>
      </w:tr>
      <w:tr>
        <w:tc>
          <w:tcPr/>
          <w:p>
            <w:pPr>
              <w:pStyle w:val="Compact"/>
              <w:jc w:val="left"/>
            </w:pPr>
            <w:r>
              <w:t xml:space="preserve">26</w:t>
            </w:r>
          </w:p>
        </w:tc>
        <w:tc>
          <w:tcPr/>
          <w:p>
            <w:pPr>
              <w:pStyle w:val="Compact"/>
              <w:jc w:val="left"/>
            </w:pPr>
            <w:r>
              <w:t xml:space="preserve">EU data storage location inconsistency (Inventory vs. breach log)</w:t>
            </w:r>
          </w:p>
        </w:tc>
        <w:tc>
          <w:tcPr/>
          <w:p>
            <w:pPr>
              <w:pStyle w:val="Compact"/>
              <w:jc w:val="left"/>
            </w:pPr>
            <w:r>
              <w:t xml:space="preserve">Medium</w:t>
            </w:r>
          </w:p>
        </w:tc>
        <w:tc>
          <w:tcPr/>
          <w:p>
            <w:pPr>
              <w:pStyle w:val="Compact"/>
              <w:jc w:val="left"/>
            </w:pPr>
            <w:r>
              <w:t xml:space="preserve">B (PA-007, IT-001), D (Entry 5)</w:t>
            </w:r>
          </w:p>
        </w:tc>
      </w:tr>
      <w:tr>
        <w:tc>
          <w:tcPr/>
          <w:p>
            <w:pPr>
              <w:pStyle w:val="Compact"/>
              <w:jc w:val="left"/>
            </w:pPr>
            <w:r>
              <w:t xml:space="preserve">27</w:t>
            </w:r>
          </w:p>
        </w:tc>
        <w:tc>
          <w:tcPr/>
          <w:p>
            <w:pPr>
              <w:pStyle w:val="Compact"/>
              <w:jc w:val="left"/>
            </w:pPr>
            <w:r>
              <w:t xml:space="preserve">Pre-breach security posture vs. </w:t>
            </w:r>
            <w:r>
              <w:t xml:space="preserve">“</w:t>
            </w:r>
            <w:r>
              <w:t xml:space="preserve">commercially reasonable</w:t>
            </w:r>
            <w:r>
              <w:t xml:space="preserve">”</w:t>
            </w:r>
            <w:r>
              <w:t xml:space="preserve"> </w:t>
            </w:r>
            <w:r>
              <w:t xml:space="preserve">rep.</w:t>
            </w:r>
          </w:p>
        </w:tc>
        <w:tc>
          <w:tcPr/>
          <w:p>
            <w:pPr>
              <w:pStyle w:val="Compact"/>
              <w:jc w:val="left"/>
            </w:pPr>
            <w:r>
              <w:t xml:space="preserve">Medium</w:t>
            </w:r>
          </w:p>
        </w:tc>
        <w:tc>
          <w:tcPr/>
          <w:p>
            <w:pPr>
              <w:pStyle w:val="Compact"/>
              <w:jc w:val="left"/>
            </w:pPr>
            <w:r>
              <w:t xml:space="preserve">A (Data Security), D (Entry 9, §5)</w:t>
            </w:r>
          </w:p>
        </w:tc>
      </w:tr>
      <w:tr>
        <w:tc>
          <w:tcPr/>
          <w:p>
            <w:pPr>
              <w:pStyle w:val="Compact"/>
              <w:jc w:val="left"/>
            </w:pPr>
            <w:r>
              <w:t xml:space="preserve">28</w:t>
            </w:r>
          </w:p>
        </w:tc>
        <w:tc>
          <w:tcPr/>
          <w:p>
            <w:pPr>
              <w:pStyle w:val="Compact"/>
              <w:jc w:val="left"/>
            </w:pPr>
            <w:r>
              <w:t xml:space="preserve">Cookie consent banner non-compliant; cookies fire before consent</w:t>
            </w:r>
          </w:p>
        </w:tc>
        <w:tc>
          <w:tcPr/>
          <w:p>
            <w:pPr>
              <w:pStyle w:val="Compact"/>
              <w:jc w:val="left"/>
            </w:pPr>
            <w:r>
              <w:t xml:space="preserve">High</w:t>
            </w:r>
          </w:p>
        </w:tc>
        <w:tc>
          <w:tcPr/>
          <w:p>
            <w:pPr>
              <w:pStyle w:val="Compact"/>
              <w:jc w:val="left"/>
            </w:pPr>
            <w:r>
              <w:t xml:space="preserve">B (Cookie Inventory), A (Cookies)</w:t>
            </w:r>
          </w:p>
        </w:tc>
      </w:tr>
      <w:tr>
        <w:tc>
          <w:tcPr/>
          <w:p>
            <w:pPr>
              <w:pStyle w:val="Compact"/>
              <w:jc w:val="left"/>
            </w:pPr>
            <w:r>
              <w:t xml:space="preserve">29</w:t>
            </w:r>
          </w:p>
        </w:tc>
        <w:tc>
          <w:tcPr/>
          <w:p>
            <w:pPr>
              <w:pStyle w:val="Compact"/>
              <w:jc w:val="left"/>
            </w:pPr>
            <w:r>
              <w:t xml:space="preserve">No CalOPPA DNT disclosure; no DNT signal detection</w:t>
            </w:r>
          </w:p>
        </w:tc>
        <w:tc>
          <w:tcPr/>
          <w:p>
            <w:pPr>
              <w:pStyle w:val="Compact"/>
              <w:jc w:val="left"/>
            </w:pPr>
            <w:r>
              <w:t xml:space="preserve">Medium</w:t>
            </w:r>
          </w:p>
        </w:tc>
        <w:tc>
          <w:tcPr/>
          <w:p>
            <w:pPr>
              <w:pStyle w:val="Compact"/>
              <w:jc w:val="left"/>
            </w:pPr>
            <w:r>
              <w:t xml:space="preserve">B (Cookie Inventory), A</w:t>
            </w:r>
          </w:p>
        </w:tc>
      </w:tr>
      <w:tr>
        <w:tc>
          <w:tcPr/>
          <w:p>
            <w:pPr>
              <w:pStyle w:val="Compact"/>
              <w:jc w:val="left"/>
            </w:pPr>
            <w:r>
              <w:t xml:space="preserve">30</w:t>
            </w:r>
          </w:p>
        </w:tc>
        <w:tc>
          <w:tcPr/>
          <w:p>
            <w:pPr>
              <w:pStyle w:val="Compact"/>
              <w:jc w:val="left"/>
            </w:pPr>
            <w:r>
              <w:t xml:space="preserve">Privacy Policy stale, dense, not</w:t>
            </w:r>
            <w:r>
              <w:t xml:space="preserve"> </w:t>
            </w:r>
            <w:r>
              <w:t xml:space="preserve">“</w:t>
            </w:r>
            <w:r>
              <w:t xml:space="preserve">clear and conspicuous</w:t>
            </w:r>
            <w:r>
              <w:t xml:space="preserve">”</w:t>
            </w:r>
          </w:p>
        </w:tc>
        <w:tc>
          <w:tcPr/>
          <w:p>
            <w:pPr>
              <w:pStyle w:val="Compact"/>
              <w:jc w:val="left"/>
            </w:pPr>
            <w:r>
              <w:t xml:space="preserve">High</w:t>
            </w:r>
          </w:p>
        </w:tc>
        <w:tc>
          <w:tcPr/>
          <w:p>
            <w:pPr>
              <w:pStyle w:val="Compact"/>
              <w:jc w:val="left"/>
            </w:pPr>
            <w:r>
              <w:t xml:space="preserve">A, E (§1), B (Revision Log)</w:t>
            </w:r>
          </w:p>
        </w:tc>
      </w:tr>
      <w:tr>
        <w:tc>
          <w:tcPr/>
          <w:p>
            <w:pPr>
              <w:pStyle w:val="Compact"/>
              <w:jc w:val="left"/>
            </w:pPr>
            <w:r>
              <w:t xml:space="preserve">31</w:t>
            </w:r>
          </w:p>
        </w:tc>
        <w:tc>
          <w:tcPr/>
          <w:p>
            <w:pPr>
              <w:pStyle w:val="Compact"/>
              <w:jc w:val="left"/>
            </w:pPr>
            <w:r>
              <w:t xml:space="preserve">FCRA: credit score used in Smart Insights eligibility targeting</w:t>
            </w:r>
          </w:p>
        </w:tc>
        <w:tc>
          <w:tcPr/>
          <w:p>
            <w:pPr>
              <w:pStyle w:val="Compact"/>
              <w:jc w:val="left"/>
            </w:pPr>
            <w:r>
              <w:t xml:space="preserve">Medium</w:t>
            </w:r>
          </w:p>
        </w:tc>
        <w:tc>
          <w:tcPr/>
          <w:p>
            <w:pPr>
              <w:pStyle w:val="Compact"/>
              <w:jc w:val="left"/>
            </w:pPr>
            <w:r>
              <w:t xml:space="preserve">B (DC-007, PA-003, PA-006), A</w:t>
            </w:r>
          </w:p>
        </w:tc>
      </w:tr>
      <w:tr>
        <w:tc>
          <w:tcPr/>
          <w:p>
            <w:pPr>
              <w:pStyle w:val="Compact"/>
              <w:jc w:val="left"/>
            </w:pPr>
            <w:r>
              <w:t xml:space="preserve">32</w:t>
            </w:r>
          </w:p>
        </w:tc>
        <w:tc>
          <w:tcPr/>
          <w:p>
            <w:pPr>
              <w:pStyle w:val="Compact"/>
              <w:jc w:val="left"/>
            </w:pPr>
            <w:r>
              <w:t xml:space="preserve">Children’s privacy / age-gating weakness (COPPA)</w:t>
            </w:r>
          </w:p>
        </w:tc>
        <w:tc>
          <w:tcPr/>
          <w:p>
            <w:pPr>
              <w:pStyle w:val="Compact"/>
              <w:jc w:val="left"/>
            </w:pPr>
            <w:r>
              <w:t xml:space="preserve">Low</w:t>
            </w:r>
          </w:p>
        </w:tc>
        <w:tc>
          <w:tcPr/>
          <w:p>
            <w:pPr>
              <w:pStyle w:val="Compact"/>
              <w:jc w:val="left"/>
            </w:pPr>
            <w:r>
              <w:t xml:space="preserve">A (Children’s Privacy), B (DC-002, DC-011)</w:t>
            </w:r>
          </w:p>
        </w:tc>
      </w:tr>
    </w:tbl>
    <w:p>
      <w:pPr>
        <w:pStyle w:val="BodyText"/>
      </w:pPr>
      <w:r>
        <w:rPr>
          <w:i/>
          <w:iCs/>
        </w:rPr>
        <w:t xml:space="preserve">Source key: A = Privacy Policy; B = Data Inventory; C = Brightly Data Sharing Agreement; D = Incident Response Log; E = Investor Counsel Email.</w:t>
      </w:r>
    </w:p>
    <w:p>
      <w:r>
        <w:pict>
          <v:rect style="width:0;height:1.5pt" o:hralign="center" o:hrstd="t" o:hr="t"/>
        </w:pict>
      </w:r>
    </w:p>
    <w:bookmarkEnd w:id="36"/>
    <w:bookmarkStart w:id="37" w:name="vi.-prioritized-remediation-roadmap"/>
    <w:p>
      <w:pPr>
        <w:pStyle w:val="Heading2"/>
      </w:pPr>
      <w:r>
        <w:t xml:space="preserve">VI. Prioritized Remediation Roadmap</w:t>
      </w:r>
    </w:p>
    <w:p>
      <w:pPr>
        <w:pStyle w:val="FirstParagraph"/>
      </w:pPr>
      <w:r>
        <w:rPr>
          <w:b/>
          <w:bCs/>
        </w:rPr>
        <w:t xml:space="preserve">Immediate (before April 15, 2025 diligence deadline):</w:t>
      </w:r>
    </w:p>
    <w:p>
      <w:pPr>
        <w:pStyle w:val="Compact"/>
        <w:numPr>
          <w:ilvl w:val="0"/>
          <w:numId w:val="1001"/>
        </w:numPr>
      </w:pPr>
      <w:r>
        <w:rPr>
          <w:b/>
          <w:bCs/>
        </w:rPr>
        <w:t xml:space="preserve">Biometric data (Issues 1–3):</w:t>
      </w:r>
      <w:r>
        <w:t xml:space="preserve"> </w:t>
      </w:r>
      <w:r>
        <w:t xml:space="preserve">Suspend or gate Selfie Verify; implement BIPA written consent and a published retention/destruction policy; quantify and reserve for BIPA exposure. This is the single largest quantified exposure ($87M–$435M).</w:t>
      </w:r>
    </w:p>
    <w:p>
      <w:pPr>
        <w:pStyle w:val="Compact"/>
        <w:numPr>
          <w:ilvl w:val="0"/>
          <w:numId w:val="1001"/>
        </w:numPr>
      </w:pPr>
      <w:r>
        <w:rPr>
          <w:b/>
          <w:bCs/>
        </w:rPr>
        <w:t xml:space="preserve">International transfers (Issue 4):</w:t>
      </w:r>
      <w:r>
        <w:t xml:space="preserve"> </w:t>
      </w:r>
      <w:r>
        <w:t xml:space="preserve">Remove Privacy Shield references; execute SCCs or obtain DPF certification for CloudFort, Brightly, and FinLink; consider EU data residency in Dublin.</w:t>
      </w:r>
    </w:p>
    <w:p>
      <w:pPr>
        <w:pStyle w:val="Compact"/>
        <w:numPr>
          <w:ilvl w:val="0"/>
          <w:numId w:val="1001"/>
        </w:numPr>
      </w:pPr>
      <w:r>
        <w:rPr>
          <w:b/>
          <w:bCs/>
        </w:rPr>
        <w:t xml:space="preserve">Brightly sale/sharing (Issues 13–15):</w:t>
      </w:r>
      <w:r>
        <w:t xml:space="preserve"> </w:t>
      </w:r>
      <w:r>
        <w:t xml:space="preserve">Disclose the Brightly relationship as a sale/sharing; deploy the</w:t>
      </w:r>
      <w:r>
        <w:t xml:space="preserve"> </w:t>
      </w:r>
      <w:r>
        <w:t xml:space="preserve">“</w:t>
      </w:r>
      <w:r>
        <w:t xml:space="preserve">Do Not Sell or Share</w:t>
      </w:r>
      <w:r>
        <w:t xml:space="preserve">”</w:t>
      </w:r>
      <w:r>
        <w:t xml:space="preserve"> </w:t>
      </w:r>
      <w:r>
        <w:t xml:space="preserve">opt-out and GPC handling; withdraw the</w:t>
      </w:r>
      <w:r>
        <w:t xml:space="preserve"> </w:t>
      </w:r>
      <w:r>
        <w:t xml:space="preserve">“</w:t>
      </w:r>
      <w:r>
        <w:t xml:space="preserve">does not sell</w:t>
      </w:r>
      <w:r>
        <w:t xml:space="preserve">”</w:t>
      </w:r>
      <w:r>
        <w:t xml:space="preserve"> </w:t>
      </w:r>
      <w:r>
        <w:t xml:space="preserve">representation; add CCPA-specific terms.</w:t>
      </w:r>
    </w:p>
    <w:p>
      <w:pPr>
        <w:pStyle w:val="Compact"/>
        <w:numPr>
          <w:ilvl w:val="0"/>
          <w:numId w:val="1001"/>
        </w:numPr>
      </w:pPr>
      <w:r>
        <w:rPr>
          <w:b/>
          <w:bCs/>
        </w:rPr>
        <w:t xml:space="preserve">Breach regulatory notifications (Issue 24):</w:t>
      </w:r>
      <w:r>
        <w:t xml:space="preserve"> </w:t>
      </w:r>
      <w:r>
        <w:t xml:space="preserve">Confirm and, if needed, make belated CA AG / state AG / EU SA notifications; document the Article 33/34 analysis.</w:t>
      </w:r>
    </w:p>
    <w:p>
      <w:pPr>
        <w:pStyle w:val="Compact"/>
        <w:numPr>
          <w:ilvl w:val="0"/>
          <w:numId w:val="1001"/>
        </w:numPr>
      </w:pPr>
      <w:r>
        <w:rPr>
          <w:b/>
          <w:bCs/>
        </w:rPr>
        <w:t xml:space="preserve">Smart Insights (Issue 10):</w:t>
      </w:r>
      <w:r>
        <w:t xml:space="preserve"> </w:t>
      </w:r>
      <w:r>
        <w:t xml:space="preserve">Disclose automated decision-making; add human-review and opt-out; commission the DPIA.</w:t>
      </w:r>
    </w:p>
    <w:p>
      <w:pPr>
        <w:pStyle w:val="FirstParagraph"/>
      </w:pPr>
      <w:r>
        <w:rPr>
          <w:b/>
          <w:bCs/>
        </w:rPr>
        <w:t xml:space="preserve">Near-term (before Q3 2025 EU launch):</w:t>
      </w:r>
    </w:p>
    <w:p>
      <w:pPr>
        <w:pStyle w:val="Compact"/>
        <w:numPr>
          <w:ilvl w:val="0"/>
          <w:numId w:val="1002"/>
        </w:numPr>
      </w:pPr>
      <w:r>
        <w:rPr>
          <w:b/>
          <w:bCs/>
        </w:rPr>
        <w:t xml:space="preserve">GDPR program (Issues 5–9):</w:t>
      </w:r>
      <w:r>
        <w:t xml:space="preserve"> </w:t>
      </w:r>
      <w:r>
        <w:t xml:space="preserve">Publish a GDPR-compliant EU notice; appoint a DPO and an EU Art. 27 representative; conduct DPIAs; establish lawful bases and replace browsewrap.</w:t>
      </w:r>
    </w:p>
    <w:p>
      <w:pPr>
        <w:pStyle w:val="Compact"/>
        <w:numPr>
          <w:ilvl w:val="0"/>
          <w:numId w:val="1002"/>
        </w:numPr>
      </w:pPr>
      <w:r>
        <w:rPr>
          <w:b/>
          <w:bCs/>
        </w:rPr>
        <w:t xml:space="preserve">CCPA/CPRA program (Issues 11–12):</w:t>
      </w:r>
      <w:r>
        <w:t xml:space="preserve"> </w:t>
      </w:r>
      <w:r>
        <w:t xml:space="preserve">Rewrite the California rights section; disclose and enable the right to limit sensitive PI.</w:t>
      </w:r>
    </w:p>
    <w:p>
      <w:pPr>
        <w:pStyle w:val="Compact"/>
        <w:numPr>
          <w:ilvl w:val="0"/>
          <w:numId w:val="1002"/>
        </w:numPr>
      </w:pPr>
      <w:r>
        <w:rPr>
          <w:b/>
          <w:bCs/>
        </w:rPr>
        <w:t xml:space="preserve">Data retention (Issue 21):</w:t>
      </w:r>
      <w:r>
        <w:t xml:space="preserve"> </w:t>
      </w:r>
      <w:r>
        <w:t xml:space="preserve">Establish and disclose a formal retention schedule with deletion on account closure.</w:t>
      </w:r>
    </w:p>
    <w:p>
      <w:pPr>
        <w:pStyle w:val="Compact"/>
        <w:numPr>
          <w:ilvl w:val="0"/>
          <w:numId w:val="1002"/>
        </w:numPr>
      </w:pPr>
      <w:r>
        <w:rPr>
          <w:b/>
          <w:bCs/>
        </w:rPr>
        <w:t xml:space="preserve">Cookie consent (Issues 28–29):</w:t>
      </w:r>
      <w:r>
        <w:t xml:space="preserve"> </w:t>
      </w:r>
      <w:r>
        <w:t xml:space="preserve">Deploy a compliant consent management platform; add the CalOPPA DNT disclosure.</w:t>
      </w:r>
    </w:p>
    <w:p>
      <w:pPr>
        <w:pStyle w:val="Compact"/>
        <w:numPr>
          <w:ilvl w:val="0"/>
          <w:numId w:val="1002"/>
        </w:numPr>
      </w:pPr>
      <w:r>
        <w:rPr>
          <w:b/>
          <w:bCs/>
        </w:rPr>
        <w:t xml:space="preserve">GLBA/FCRA (Issues 22, 31):</w:t>
      </w:r>
      <w:r>
        <w:t xml:space="preserve"> </w:t>
      </w:r>
      <w:r>
        <w:t xml:space="preserve">Complete the GLBA characterization and FCRA analyses; implement notices/opt-outs and safeguards as required.</w:t>
      </w:r>
    </w:p>
    <w:p>
      <w:pPr>
        <w:pStyle w:val="FirstParagraph"/>
      </w:pPr>
      <w:r>
        <w:rPr>
          <w:b/>
          <w:bCs/>
        </w:rPr>
        <w:t xml:space="preserve">Ongoing / contractual:</w:t>
      </w:r>
    </w:p>
    <w:p>
      <w:pPr>
        <w:pStyle w:val="Compact"/>
        <w:numPr>
          <w:ilvl w:val="0"/>
          <w:numId w:val="1003"/>
        </w:numPr>
      </w:pPr>
      <w:r>
        <w:rPr>
          <w:b/>
          <w:bCs/>
        </w:rPr>
        <w:t xml:space="preserve">DSA remediation (Issues 16–20, 25):</w:t>
      </w:r>
      <w:r>
        <w:t xml:space="preserve"> </w:t>
      </w:r>
      <w:r>
        <w:t xml:space="preserve">Renegotiate the Aggregate Data definition, add CCPA terms and a controller-to-controller transfer agreement, rebalance indemnity/cap, and clarify the § 9.2 breach trigger.</w:t>
      </w:r>
    </w:p>
    <w:p>
      <w:pPr>
        <w:pStyle w:val="Compact"/>
        <w:numPr>
          <w:ilvl w:val="0"/>
          <w:numId w:val="1003"/>
        </w:numPr>
      </w:pPr>
      <w:r>
        <w:rPr>
          <w:b/>
          <w:bCs/>
        </w:rPr>
        <w:t xml:space="preserve">Privacy Policy rewrite (Issue 30):</w:t>
      </w:r>
      <w:r>
        <w:t xml:space="preserve"> </w:t>
      </w:r>
      <w:r>
        <w:t xml:space="preserve">Comprehensive, layered, readable rewrite with change-management and material-change notice.</w:t>
      </w:r>
    </w:p>
    <w:p>
      <w:pPr>
        <w:pStyle w:val="Compact"/>
        <w:numPr>
          <w:ilvl w:val="0"/>
          <w:numId w:val="1003"/>
        </w:numPr>
      </w:pPr>
      <w:r>
        <w:rPr>
          <w:b/>
          <w:bCs/>
        </w:rPr>
        <w:t xml:space="preserve">Security program (Issue 27):</w:t>
      </w:r>
      <w:r>
        <w:t xml:space="preserve"> </w:t>
      </w:r>
      <w:r>
        <w:t xml:space="preserve">Maintain MFA/least-privilege; align to GLBA Safeguards Rule and a recognized framework; keep the Privacy Policy’s security description accurate.</w:t>
      </w:r>
    </w:p>
    <w:p>
      <w:pPr>
        <w:pStyle w:val="Compact"/>
        <w:numPr>
          <w:ilvl w:val="0"/>
          <w:numId w:val="1003"/>
        </w:numPr>
      </w:pPr>
      <w:r>
        <w:rPr>
          <w:b/>
          <w:bCs/>
        </w:rPr>
        <w:t xml:space="preserve">Records reconciliation (Issue 26):</w:t>
      </w:r>
      <w:r>
        <w:t xml:space="preserve"> </w:t>
      </w:r>
      <w:r>
        <w:t xml:space="preserve">Reconcile EU data topology across internal records.</w:t>
      </w:r>
    </w:p>
    <w:p>
      <w:r>
        <w:pict>
          <v:rect style="width:0;height:1.5pt" o:hralign="center" o:hrstd="t" o:hr="t"/>
        </w:pict>
      </w:r>
    </w:p>
    <w:bookmarkEnd w:id="37"/>
    <w:bookmarkStart w:id="38" w:name="vii.-closing"/>
    <w:p>
      <w:pPr>
        <w:pStyle w:val="Heading2"/>
      </w:pPr>
      <w:r>
        <w:t xml:space="preserve">VII. Closing</w:t>
      </w:r>
    </w:p>
    <w:p>
      <w:pPr>
        <w:pStyle w:val="FirstParagraph"/>
      </w:pPr>
      <w:r>
        <w:t xml:space="preserve">The cross-document review confirms that the concerns raised in the Ashford Barnes diligence email are well-founded and, in several respects, understated. The most acute exposures — BIPA liability for undisclosed biometric data collection, unlawful EU-to-U.S. transfers, and CPRA sale/sharing to Brightly without disclosure or opt-out — are documented in Vaultline’s own internal Data Inventory and Data Sharing Agreement and are contradicted by its consumer Privacy Policy. The August 2024 breach log reveals additional notification-timeline and regulatory-notification gaps. Several of these issues (biometric consent, transfer mechanism, sale/sharing opt-out, breach notifications) reflect likely ongoing unlawful processing and warrant immediate action ahead of the April 15, 2025 diligence deadline and the Q3 2025 EU launch.</w:t>
      </w:r>
    </w:p>
    <w:p>
      <w:pPr>
        <w:pStyle w:val="BodyText"/>
      </w:pPr>
      <w:r>
        <w:t xml:space="preserve">This memorandum is preliminary, is based on the five documents reviewed, and is not exhaustive of all privacy compliance issues that may emerge upon further investigation. We recommend that the comprehensive assessment requested by Ashford Barnes be completed and delivered by March 31, 2025, and that remediation of the Critical and High issues be prioritized and tracked to closure, with status reported to the deal team.</w:t>
      </w:r>
    </w:p>
    <w:p>
      <w:pPr>
        <w:pStyle w:val="BodyText"/>
      </w:pPr>
      <w:r>
        <w:rPr>
          <w:i/>
          <w:iCs/>
        </w:rPr>
        <w:t xml:space="preserve">Prepared by the Privacy Compliance Review Team. This memorandum is privileged and confidential, prepared in anticipation of the Series C due diligence process, and should be handled accordingly.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2026-06-27T20:41:38Z</dcterms:created>
  <dcterms:modified xsi:type="dcterms:W3CDTF">2026-06-27T20:41:38Z</dcterms:modified>
</cp:coreProperties>
</file>

<file path=docProps/custom.xml><?xml version="1.0" encoding="utf-8"?>
<Properties xmlns="http://schemas.openxmlformats.org/officeDocument/2006/custom-properties" xmlns:vt="http://schemas.openxmlformats.org/officeDocument/2006/docPropsVTypes"/>
</file>