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Tyler Huang, General Counsel, Greenleaf Organic Foods, Inc.</w:t>
      </w:r>
    </w:p>
    <w:p>
      <w:pPr>
        <w:pStyle w:val="BodyText"/>
      </w:pPr>
      <w:r>
        <w:rPr>
          <w:b/>
          <w:bCs/>
        </w:rPr>
        <w:t xml:space="preserve">FROM:</w:t>
      </w:r>
      <w:r>
        <w:t xml:space="preserve"> </w:t>
      </w:r>
      <w:r>
        <w:t xml:space="preserve">Outside Employment Counsel</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Review of Draft Settlement Agreement and General Release of All Claims (Delano v. Greenleaf) — Issues, Risks, and Drafted Revisions</w:t>
      </w:r>
    </w:p>
    <w:p>
      <w:pPr>
        <w:pStyle w:val="BodyText"/>
      </w:pPr>
      <w:r>
        <w:rPr>
          <w:b/>
          <w:bCs/>
        </w:rPr>
        <w:t xml:space="preserve">Enclosure:</w:t>
      </w:r>
      <w:r>
        <w:t xml:space="preserve"> </w:t>
      </w:r>
      <w:r>
        <w:t xml:space="preserve">Redlined markup,</w:t>
      </w:r>
      <w:r>
        <w:t xml:space="preserve"> </w:t>
      </w:r>
      <w:r>
        <w:rPr>
          <w:rStyle w:val="VerbatimChar"/>
        </w:rPr>
        <w:t xml:space="preserve">settlement-agreement-markup.docx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Settlement Agreement and General Release of All Claims dated May 5, 2025 (the</w:t>
      </w:r>
      <w:r>
        <w:t xml:space="preserve"> </w:t>
      </w:r>
      <w:r>
        <w:t xml:space="preserve">“</w:t>
      </w:r>
      <w:r>
        <w:t xml:space="preserve">Draft</w:t>
      </w:r>
      <w:r>
        <w:t xml:space="preserve">”</w:t>
      </w:r>
      <w:r>
        <w:t xml:space="preserve">), prepared by Engel &amp; Associates, P.C. (Mr. Delano’s counsel), against the Delano employment summary maintained by Human Resources (the</w:t>
      </w:r>
      <w:r>
        <w:t xml:space="preserve"> </w:t>
      </w:r>
      <w:r>
        <w:t xml:space="preserve">“</w:t>
      </w:r>
      <w:r>
        <w:t xml:space="preserve">HR Record</w:t>
      </w:r>
      <w:r>
        <w:t xml:space="preserve">”</w:t>
      </w:r>
      <w:r>
        <w:t xml:space="preserve">) and the company policies referenced therein (including the Greenleaf 2021 Equity Incentive Plan and the RSU Grant Agreement dated July 1, 2022). The redlined markup enclosed reflects our drafted revisions.</w:t>
      </w:r>
    </w:p>
    <w:p>
      <w:pPr>
        <w:pStyle w:val="BodyText"/>
      </w:pPr>
      <w:r>
        <w:t xml:space="preserve">The Draft is materially slanted toward the employee and contains</w:t>
      </w:r>
      <w:r>
        <w:t xml:space="preserve"> </w:t>
      </w:r>
      <w:r>
        <w:rPr>
          <w:b/>
          <w:bCs/>
        </w:rPr>
        <w:t xml:space="preserve">several defects that, if executed as written, would jeopardize Greenleaf’s primary objective — obtaining an enforceable release of Mr. Delano’s ADEA and whistleblower-retaliation claims.</w:t>
      </w:r>
      <w:r>
        <w:t xml:space="preserve"> </w:t>
      </w:r>
      <w:r>
        <w:t xml:space="preserve">Most importantly, the ADEA release does not satisfy the Older Workers Benefit Protection Act (</w:t>
      </w:r>
      <w:r>
        <w:t xml:space="preserve">“</w:t>
      </w:r>
      <w:r>
        <w:t xml:space="preserve">OWBPA</w:t>
      </w:r>
      <w:r>
        <w:t xml:space="preserve">”</w:t>
      </w:r>
      <w:r>
        <w:t xml:space="preserve">) in at least four respects, which would likely render the waiver of age-discrimination claims invalid and unenforceable. The Draft also misstates the fair market value of the accelerated RSUs using an outdated valuation, contains a factual inconsistency regarding Mr. Delano’s unpaid 2024 bonus, lacks standard protective provisions (return of property, protection of confidential information, governing law/venue, notice, survival), and includes several employee-favorable concessions (a mandated</w:t>
      </w:r>
      <w:r>
        <w:t xml:space="preserve"> </w:t>
      </w:r>
      <w:r>
        <w:t xml:space="preserve">“</w:t>
      </w:r>
      <w:r>
        <w:t xml:space="preserve">positive</w:t>
      </w:r>
      <w:r>
        <w:t xml:space="preserve">”</w:t>
      </w:r>
      <w:r>
        <w:t xml:space="preserve"> </w:t>
      </w:r>
      <w:r>
        <w:t xml:space="preserve">reference, a broad re-employment-eligibility mandate, a perpetual non-disparagement clause, and a multi-state non-compete that is unenforceable in California).</w:t>
      </w:r>
    </w:p>
    <w:p>
      <w:pPr>
        <w:pStyle w:val="BodyText"/>
      </w:pPr>
      <w:r>
        <w:t xml:space="preserve">We have drafted revisions to address each of these points. We also flag below a significant</w:t>
      </w:r>
      <w:r>
        <w:t xml:space="preserve"> </w:t>
      </w:r>
      <w:r>
        <w:rPr>
          <w:b/>
          <w:bCs/>
        </w:rPr>
        <w:t xml:space="preserve">litigation and diligence risk that does not appear in the Draft and that you should weigh in deciding whether to settle on these terms</w:t>
      </w:r>
      <w:r>
        <w:t xml:space="preserve">: the HR Record reflects that Greenleaf hired a replacement for Mr. Delano’s function (Raj Mehta, Senior Director of Supply Chain &amp; Logistics, at $185,000) on March 20, 2025 — six days after his termination — which substantially undercuts the stated</w:t>
      </w:r>
      <w:r>
        <w:t xml:space="preserve"> </w:t>
      </w:r>
      <w:r>
        <w:t xml:space="preserve">“</w:t>
      </w:r>
      <w:r>
        <w:t xml:space="preserve">elimination of position due to restructuring</w:t>
      </w:r>
      <w:r>
        <w:t xml:space="preserve">”</w:t>
      </w:r>
      <w:r>
        <w:t xml:space="preserve"> </w:t>
      </w:r>
      <w:r>
        <w:t xml:space="preserve">rationale and strengthens Mr. Delano’s retaliation and age-discrimination exposure, including in the pending Oregon OSHA investigation.</w:t>
      </w:r>
    </w:p>
    <w:p>
      <w:pPr>
        <w:pStyle w:val="BodyText"/>
      </w:pPr>
      <w:r>
        <w:t xml:space="preserve">This memorandum summarizes (A) the critical issues requiring correction before execution, (B) the section-by-section revisions reflected in the redline, and (C) additional risks and recommendations not captured in the markup.</w:t>
      </w:r>
    </w:p>
    <w:p>
      <w:r>
        <w:pict>
          <v:rect style="width:0;height:1.5pt" o:hralign="center" o:hrstd="t" o:hr="t"/>
        </w:pict>
      </w:r>
    </w:p>
    <w:bookmarkEnd w:id="20"/>
    <w:bookmarkStart w:id="27" w:name="X4282232d33766fb681a6645f4a2453816138f9b"/>
    <w:p>
      <w:pPr>
        <w:pStyle w:val="Heading2"/>
      </w:pPr>
      <w:r>
        <w:t xml:space="preserve">II. Critical Issues Requiring Correction Before Execution</w:t>
      </w:r>
    </w:p>
    <w:bookmarkStart w:id="21" w:name="Xd8599f9a65610e371c3cbbc71ba5fca9023b193"/>
    <w:p>
      <w:pPr>
        <w:pStyle w:val="Heading3"/>
      </w:pPr>
      <w:r>
        <w:t xml:space="preserve">A. OWBPA / ADEA Release Is Non-Compliant (Critical)</w:t>
      </w:r>
    </w:p>
    <w:p>
      <w:pPr>
        <w:pStyle w:val="FirstParagraph"/>
      </w:pPr>
      <w:r>
        <w:t xml:space="preserve">The release of ADEA claims (Draft §§ 4, 5) will likely be</w:t>
      </w:r>
      <w:r>
        <w:t xml:space="preserve"> </w:t>
      </w:r>
      <w:r>
        <w:rPr>
          <w:b/>
          <w:bCs/>
        </w:rPr>
        <w:t xml:space="preserve">invalid</w:t>
      </w:r>
      <w:r>
        <w:t xml:space="preserve"> </w:t>
      </w:r>
      <w:r>
        <w:t xml:space="preserve">as written because the Draft fails to satisfy four independent requirements of the OWBPA, 29 U.S.C. § 626(f):</w:t>
      </w:r>
    </w:p>
    <w:p>
      <w:pPr>
        <w:numPr>
          <w:ilvl w:val="0"/>
          <w:numId w:val="1001"/>
        </w:numPr>
      </w:pPr>
      <w:r>
        <w:rPr>
          <w:b/>
          <w:bCs/>
        </w:rPr>
        <w:t xml:space="preserve">Consideration period is too short.</w:t>
      </w:r>
      <w:r>
        <w:t xml:space="preserve"> </w:t>
      </w:r>
      <w:r>
        <w:t xml:space="preserve">Draft §§ 5(c) and 16 give Mr. Delano only</w:t>
      </w:r>
      <w:r>
        <w:t xml:space="preserve"> </w:t>
      </w:r>
      <w:r>
        <w:rPr>
          <w:b/>
          <w:bCs/>
        </w:rPr>
        <w:t xml:space="preserve">14 calendar days</w:t>
      </w:r>
      <w:r>
        <w:t xml:space="preserve"> </w:t>
      </w:r>
      <w:r>
        <w:t xml:space="preserve">to consider the agreement. The OWBPA requires</w:t>
      </w:r>
      <w:r>
        <w:t xml:space="preserve"> </w:t>
      </w:r>
      <w:r>
        <w:t xml:space="preserve">“</w:t>
      </w:r>
      <w:r>
        <w:t xml:space="preserve">a period of at least 21 days.</w:t>
      </w:r>
      <w:r>
        <w:t xml:space="preserve">”</w:t>
      </w:r>
      <w:r>
        <w:t xml:space="preserve"> </w:t>
      </w:r>
      <w:r>
        <w:rPr>
          <w:i/>
          <w:iCs/>
        </w:rPr>
        <w:t xml:space="preserve">Redline: revised to 21 days (§§ 5(c), 16).</w:t>
      </w:r>
    </w:p>
    <w:p>
      <w:pPr>
        <w:numPr>
          <w:ilvl w:val="0"/>
          <w:numId w:val="1001"/>
        </w:numPr>
      </w:pPr>
      <w:r>
        <w:rPr>
          <w:b/>
          <w:bCs/>
        </w:rPr>
        <w:t xml:space="preserve">No revocation period.</w:t>
      </w:r>
      <w:r>
        <w:t xml:space="preserve"> </w:t>
      </w:r>
      <w:r>
        <w:t xml:space="preserve">The Draft contains</w:t>
      </w:r>
      <w:r>
        <w:t xml:space="preserve"> </w:t>
      </w:r>
      <w:r>
        <w:rPr>
          <w:b/>
          <w:bCs/>
        </w:rPr>
        <w:t xml:space="preserve">no post-execution revocation period</w:t>
      </w:r>
      <w:r>
        <w:t xml:space="preserve">. The OWBPA requires a period of</w:t>
      </w:r>
      <w:r>
        <w:t xml:space="preserve"> </w:t>
      </w:r>
      <w:r>
        <w:t xml:space="preserve">“</w:t>
      </w:r>
      <w:r>
        <w:t xml:space="preserve">at least 7 days</w:t>
      </w:r>
      <w:r>
        <w:t xml:space="preserve">”</w:t>
      </w:r>
      <w:r>
        <w:t xml:space="preserve"> </w:t>
      </w:r>
      <w:r>
        <w:t xml:space="preserve">following execution during which the employee may revoke, and the release is not effective until that period expires.</w:t>
      </w:r>
      <w:r>
        <w:t xml:space="preserve"> </w:t>
      </w:r>
      <w:r>
        <w:rPr>
          <w:i/>
          <w:iCs/>
        </w:rPr>
        <w:t xml:space="preserve">Redline: added new § 5(g) (7-day revocation) and conforming language in § 16.</w:t>
      </w:r>
    </w:p>
    <w:p>
      <w:pPr>
        <w:numPr>
          <w:ilvl w:val="0"/>
          <w:numId w:val="1001"/>
        </w:numPr>
      </w:pPr>
      <w:r>
        <w:rPr>
          <w:b/>
          <w:bCs/>
        </w:rPr>
        <w:t xml:space="preserve">No advice to consult counsel.</w:t>
      </w:r>
      <w:r>
        <w:t xml:space="preserve"> </w:t>
      </w:r>
      <w:r>
        <w:t xml:space="preserve">The OWBPA requires that the employee</w:t>
      </w:r>
      <w:r>
        <w:t xml:space="preserve"> </w:t>
      </w:r>
      <w:r>
        <w:t xml:space="preserve">“</w:t>
      </w:r>
      <w:r>
        <w:t xml:space="preserve">be advised in writing to consult with an attorney.</w:t>
      </w:r>
      <w:r>
        <w:t xml:space="preserve">”</w:t>
      </w:r>
      <w:r>
        <w:t xml:space="preserve"> </w:t>
      </w:r>
      <w:r>
        <w:t xml:space="preserve">The Draft omits this entirely.</w:t>
      </w:r>
      <w:r>
        <w:t xml:space="preserve"> </w:t>
      </w:r>
      <w:r>
        <w:rPr>
          <w:i/>
          <w:iCs/>
        </w:rPr>
        <w:t xml:space="preserve">Redline: added to § 5 introductory paragraph.</w:t>
      </w:r>
    </w:p>
    <w:p>
      <w:pPr>
        <w:numPr>
          <w:ilvl w:val="0"/>
          <w:numId w:val="1001"/>
        </w:numPr>
      </w:pPr>
      <w:r>
        <w:rPr>
          <w:b/>
          <w:bCs/>
        </w:rPr>
        <w:t xml:space="preserve">No limitation on post-execution claims.</w:t>
      </w:r>
      <w:r>
        <w:t xml:space="preserve"> </w:t>
      </w:r>
      <w:r>
        <w:t xml:space="preserve">The OWBPA requires that the waiver</w:t>
      </w:r>
      <w:r>
        <w:t xml:space="preserve"> </w:t>
      </w:r>
      <w:r>
        <w:t xml:space="preserve">“</w:t>
      </w:r>
      <w:r>
        <w:t xml:space="preserve">not purport to cover rights or claims that may arise after</w:t>
      </w:r>
      <w:r>
        <w:t xml:space="preserve">”</w:t>
      </w:r>
      <w:r>
        <w:t xml:space="preserve"> </w:t>
      </w:r>
      <w:r>
        <w:t xml:space="preserve">execution. The Draft’s release runs</w:t>
      </w:r>
      <w:r>
        <w:t xml:space="preserve"> </w:t>
      </w:r>
      <w:r>
        <w:t xml:space="preserve">“</w:t>
      </w:r>
      <w:r>
        <w:t xml:space="preserve">through the Effective Date,</w:t>
      </w:r>
      <w:r>
        <w:t xml:space="preserve">”</w:t>
      </w:r>
      <w:r>
        <w:t xml:space="preserve"> </w:t>
      </w:r>
      <w:r>
        <w:t xml:space="preserve">and the</w:t>
      </w:r>
      <w:r>
        <w:t xml:space="preserve"> </w:t>
      </w:r>
      <w:r>
        <w:t xml:space="preserve">“</w:t>
      </w:r>
      <w:r>
        <w:t xml:space="preserve">Effective Date</w:t>
      </w:r>
      <w:r>
        <w:t xml:space="preserve">”</w:t>
      </w:r>
      <w:r>
        <w:t xml:space="preserve"> </w:t>
      </w:r>
      <w:r>
        <w:t xml:space="preserve">is defined as May 5, 2025 — which, if read to extend the release beyond the signing date, is non-compliant.</w:t>
      </w:r>
      <w:r>
        <w:t xml:space="preserve"> </w:t>
      </w:r>
      <w:r>
        <w:rPr>
          <w:i/>
          <w:iCs/>
        </w:rPr>
        <w:t xml:space="preserve">Redline: revised the release to run</w:t>
      </w:r>
      <w:r>
        <w:rPr>
          <w:i/>
          <w:iCs/>
        </w:rPr>
        <w:t xml:space="preserve"> </w:t>
      </w:r>
      <w:r>
        <w:rPr>
          <w:i/>
          <w:iCs/>
        </w:rPr>
        <w:t xml:space="preserve">“</w:t>
      </w:r>
      <w:r>
        <w:rPr>
          <w:i/>
          <w:iCs/>
        </w:rPr>
        <w:t xml:space="preserve">through the date Delano executes this Agreement</w:t>
      </w:r>
      <w:r>
        <w:rPr>
          <w:i/>
          <w:iCs/>
        </w:rPr>
        <w:t xml:space="preserve">”</w:t>
      </w:r>
      <w:r>
        <w:rPr>
          <w:i/>
          <w:iCs/>
        </w:rPr>
        <w:t xml:space="preserve"> </w:t>
      </w:r>
      <w:r>
        <w:rPr>
          <w:i/>
          <w:iCs/>
        </w:rPr>
        <w:t xml:space="preserve">and added an express carve-out for claims arising after execution (§ 4); redefined</w:t>
      </w:r>
      <w:r>
        <w:rPr>
          <w:i/>
          <w:iCs/>
        </w:rPr>
        <w:t xml:space="preserve"> </w:t>
      </w:r>
      <w:r>
        <w:rPr>
          <w:i/>
          <w:iCs/>
        </w:rPr>
        <w:t xml:space="preserve">“</w:t>
      </w:r>
      <w:r>
        <w:rPr>
          <w:i/>
          <w:iCs/>
        </w:rPr>
        <w:t xml:space="preserve">Effective Date</w:t>
      </w:r>
      <w:r>
        <w:rPr>
          <w:i/>
          <w:iCs/>
        </w:rPr>
        <w:t xml:space="preserve">”</w:t>
      </w:r>
      <w:r>
        <w:rPr>
          <w:i/>
          <w:iCs/>
        </w:rPr>
        <w:t xml:space="preserve"> </w:t>
      </w:r>
      <w:r>
        <w:rPr>
          <w:i/>
          <w:iCs/>
        </w:rPr>
        <w:t xml:space="preserve">to mean the date the 7-day revocation period expires (§ 1(b), § 16).</w:t>
      </w:r>
    </w:p>
    <w:p>
      <w:pPr>
        <w:pStyle w:val="FirstParagraph"/>
      </w:pPr>
      <w:r>
        <w:rPr>
          <w:b/>
          <w:bCs/>
        </w:rPr>
        <w:t xml:space="preserve">Risk if uncorrected:</w:t>
      </w:r>
      <w:r>
        <w:t xml:space="preserve"> </w:t>
      </w:r>
      <w:r>
        <w:t xml:space="preserve">Mr. Delano could sign, accept the $525,000+, and thereafter sue under the ADEA on the ground that the waiver was not</w:t>
      </w:r>
      <w:r>
        <w:t xml:space="preserve"> </w:t>
      </w:r>
      <w:r>
        <w:t xml:space="preserve">“</w:t>
      </w:r>
      <w:r>
        <w:t xml:space="preserve">knowing and voluntary.</w:t>
      </w:r>
      <w:r>
        <w:t xml:space="preserve">”</w:t>
      </w:r>
      <w:r>
        <w:t xml:space="preserve"> </w:t>
      </w:r>
      <w:r>
        <w:t xml:space="preserve">The ADEA claim is one of the central claims being settled (Mr. Delano is 58 years old, squarely in the protected class). Correcting these items is non-negotiable.</w:t>
      </w:r>
    </w:p>
    <w:bookmarkEnd w:id="21"/>
    <w:bookmarkStart w:id="22" w:name="X8d8002a7f5cbad4e0fb25af15899b4e71245662"/>
    <w:p>
      <w:pPr>
        <w:pStyle w:val="Heading3"/>
      </w:pPr>
      <w:r>
        <w:t xml:space="preserve">B. RSU Valuation Is Based on an Outdated 409A Valuation (Critical)</w:t>
      </w:r>
    </w:p>
    <w:p>
      <w:pPr>
        <w:pStyle w:val="FirstParagraph"/>
      </w:pPr>
      <w:r>
        <w:t xml:space="preserve">Draft § 3(d) values the 5,000 accelerated RSUs at</w:t>
      </w:r>
      <w:r>
        <w:t xml:space="preserve"> </w:t>
      </w:r>
      <w:r>
        <w:rPr>
          <w:b/>
          <w:bCs/>
        </w:rPr>
        <w:t xml:space="preserve">$10.00 per share</w:t>
      </w:r>
      <w:r>
        <w:t xml:space="preserve"> </w:t>
      </w:r>
      <w:r>
        <w:t xml:space="preserve">($50,000 total), describing $10.00 as</w:t>
      </w:r>
      <w:r>
        <w:t xml:space="preserve"> </w:t>
      </w:r>
      <w:r>
        <w:t xml:space="preserve">“</w:t>
      </w:r>
      <w:r>
        <w:t xml:space="preserve">the most recent independent valuation conducted by Ridgepoint Valuation Services.</w:t>
      </w:r>
      <w:r>
        <w:t xml:space="preserve">”</w:t>
      </w:r>
      <w:r>
        <w:t xml:space="preserve"> </w:t>
      </w:r>
      <w:r>
        <w:t xml:space="preserve">This is</w:t>
      </w:r>
      <w:r>
        <w:t xml:space="preserve"> </w:t>
      </w:r>
      <w:r>
        <w:rPr>
          <w:b/>
          <w:bCs/>
        </w:rPr>
        <w:t xml:space="preserve">factually incorrect.</w:t>
      </w:r>
      <w:r>
        <w:t xml:space="preserve"> </w:t>
      </w:r>
      <w:r>
        <w:t xml:space="preserve">The HR Record (Equity Details, Sub-Table C) shows the most recent 409A valuation, also by Ridgepoint, is dated</w:t>
      </w:r>
      <w:r>
        <w:t xml:space="preserve"> </w:t>
      </w:r>
      <w:r>
        <w:rPr>
          <w:b/>
          <w:bCs/>
        </w:rPr>
        <w:t xml:space="preserve">January 15, 2025 at $12.50 per share.</w:t>
      </w:r>
      <w:r>
        <w:t xml:space="preserve"> </w:t>
      </w:r>
      <w:r>
        <w:t xml:space="preserve">The correct value of 5,000 RSUs is</w:t>
      </w:r>
      <w:r>
        <w:t xml:space="preserve"> </w:t>
      </w:r>
      <w:r>
        <w:rPr>
          <w:b/>
          <w:bCs/>
        </w:rPr>
        <w:t xml:space="preserve">$62,500</w:t>
      </w:r>
      <w:r>
        <w:t xml:space="preserve">, and the correct aggregate settlement value is</w:t>
      </w:r>
      <w:r>
        <w:t xml:space="preserve"> </w:t>
      </w:r>
      <w:r>
        <w:rPr>
          <w:b/>
          <w:bCs/>
        </w:rPr>
        <w:t xml:space="preserve">$537,500</w:t>
      </w:r>
      <w:r>
        <w:t xml:space="preserve">, not $525,000 — a</w:t>
      </w:r>
      <w:r>
        <w:t xml:space="preserve"> </w:t>
      </w:r>
      <w:r>
        <w:rPr>
          <w:b/>
          <w:bCs/>
        </w:rPr>
        <w:t xml:space="preserve">$12,500 understatement.</w:t>
      </w:r>
    </w:p>
    <w:p>
      <w:pPr>
        <w:pStyle w:val="BodyText"/>
      </w:pPr>
      <w:r>
        <w:t xml:space="preserve">Beyond the misstatement of fact, valuing the shares at $10.00 for the agreement while the actual FMV at vesting is $12.50 creates a</w:t>
      </w:r>
      <w:r>
        <w:t xml:space="preserve"> </w:t>
      </w:r>
      <w:r>
        <w:rPr>
          <w:b/>
          <w:bCs/>
        </w:rPr>
        <w:t xml:space="preserve">tax-withholding mismatch</w:t>
      </w:r>
      <w:r>
        <w:t xml:space="preserve">: RSU vesting is taxed at FMV on the vesting date, so Greenleaf’s withholding obligations will be based on $12.50 regardless of the figure in the agreement.</w:t>
      </w:r>
      <w:r>
        <w:t xml:space="preserve"> </w:t>
      </w:r>
      <w:r>
        <w:rPr>
          <w:i/>
          <w:iCs/>
        </w:rPr>
        <w:t xml:space="preserve">Redline: corrected the per-share value to $12.50, the total RSU component to $62,500, and the aggregate to $537,500 (§§ 3(d), 3(e), 8(d)); added a clause basing tax withholding on FMV as of the vesting date.</w:t>
      </w:r>
    </w:p>
    <w:p>
      <w:pPr>
        <w:pStyle w:val="BodyText"/>
      </w:pPr>
      <w:r>
        <w:rPr>
          <w:b/>
          <w:bCs/>
        </w:rPr>
        <w:t xml:space="preserve">Decision point for you:</w:t>
      </w:r>
      <w:r>
        <w:t xml:space="preserve"> </w:t>
      </w:r>
      <w:r>
        <w:t xml:space="preserve">The redline corrects the figure to the accurate current valuation (increasing the total by $12,500). If business reasons favor holding the total at $525,000, the alternative is to delete the false</w:t>
      </w:r>
      <w:r>
        <w:t xml:space="preserve"> </w:t>
      </w:r>
      <w:r>
        <w:t xml:space="preserve">“</w:t>
      </w:r>
      <w:r>
        <w:t xml:space="preserve">most recent valuation</w:t>
      </w:r>
      <w:r>
        <w:t xml:space="preserve">”</w:t>
      </w:r>
      <w:r>
        <w:t xml:space="preserve"> </w:t>
      </w:r>
      <w:r>
        <w:t xml:space="preserve">characterization and state that $10.00 is an agreed value for settlement purposes only — but the tax-withholding language based on actual FMV must remain, and Mr. Delano’s counsel should be told the shares will be taxed at $12.50. We recommend the accurate correction.</w:t>
      </w:r>
    </w:p>
    <w:bookmarkEnd w:id="22"/>
    <w:bookmarkStart w:id="23" w:name="X4b4b6c390b28e648cfc427e5125a4707f729fce"/>
    <w:p>
      <w:pPr>
        <w:pStyle w:val="Heading3"/>
      </w:pPr>
      <w:r>
        <w:t xml:space="preserve">C. Pending Oregon OSHA Investigation and Government-Agency Carve-Outs (High)</w:t>
      </w:r>
    </w:p>
    <w:p>
      <w:pPr>
        <w:pStyle w:val="FirstParagraph"/>
      </w:pPr>
      <w:r>
        <w:t xml:space="preserve">The Recitals acknowledge that Oregon OSHA opened a formal investigation on January 22, 2025 (Complaint No. OR-OSHA-2024-11872) that</w:t>
      </w:r>
      <w:r>
        <w:t xml:space="preserve"> </w:t>
      </w:r>
      <w:r>
        <w:t xml:space="preserve">“</w:t>
      </w:r>
      <w:r>
        <w:t xml:space="preserve">remains pending and unresolved.</w:t>
      </w:r>
      <w:r>
        <w:t xml:space="preserve">”</w:t>
      </w:r>
      <w:r>
        <w:t xml:space="preserve"> </w:t>
      </w:r>
      <w:r>
        <w:t xml:space="preserve">A private settlement</w:t>
      </w:r>
      <w:r>
        <w:t xml:space="preserve"> </w:t>
      </w:r>
      <w:r>
        <w:rPr>
          <w:b/>
          <w:bCs/>
        </w:rPr>
        <w:t xml:space="preserve">cannot terminate a government investigation</w:t>
      </w:r>
      <w:r>
        <w:t xml:space="preserve">, and the law protects an employee’s right to cooperate with agency proceedings and to file charges with the EEOC/OSHA/NLRB even where personal recovery is waived. The Draft’s confidentiality (§ 6), non-disparagement (§ 7), and</w:t>
      </w:r>
      <w:r>
        <w:t xml:space="preserve"> </w:t>
      </w:r>
      <w:r>
        <w:t xml:space="preserve">“</w:t>
      </w:r>
      <w:r>
        <w:t xml:space="preserve">agrees not to file … in the future</w:t>
      </w:r>
      <w:r>
        <w:t xml:space="preserve">”</w:t>
      </w:r>
      <w:r>
        <w:t xml:space="preserve"> </w:t>
      </w:r>
      <w:r>
        <w:t xml:space="preserve">representation (§ 15(a)(ii))</w:t>
      </w:r>
      <w:r>
        <w:t xml:space="preserve"> </w:t>
      </w:r>
      <w:r>
        <w:rPr>
          <w:b/>
          <w:bCs/>
        </w:rPr>
        <w:t xml:space="preserve">lack the standard carve-outs</w:t>
      </w:r>
      <w:r>
        <w:t xml:space="preserve"> </w:t>
      </w:r>
      <w:r>
        <w:t xml:space="preserve">for government-agency cooperation and could be read to restrict Mr. Delano’s participation in the pending OSHA matter — exposing those provisions to challenge and creating public-policy risk.</w:t>
      </w:r>
      <w:r>
        <w:t xml:space="preserve"> </w:t>
      </w:r>
      <w:r>
        <w:rPr>
          <w:i/>
          <w:iCs/>
        </w:rPr>
        <w:t xml:space="preserve">Redline: added a government-agency cooperation carve-out to § 6 (new subpart (v)), § 7, and § 15(a)(ii), each preserving the right to report violations and cooperate with agencies while waiving personal monetary recovery.</w:t>
      </w:r>
    </w:p>
    <w:bookmarkEnd w:id="23"/>
    <w:bookmarkStart w:id="24" w:name="X4de507c858832d592de43b4267909a77537ab64"/>
    <w:p>
      <w:pPr>
        <w:pStyle w:val="Heading3"/>
      </w:pPr>
      <w:r>
        <w:t xml:space="preserve">D. Non-Competition Is Overbroad and Partly Unenforceable (High)</w:t>
      </w:r>
    </w:p>
    <w:p>
      <w:pPr>
        <w:pStyle w:val="FirstParagraph"/>
      </w:pPr>
      <w:r>
        <w:t xml:space="preserve">Draft § 9 imposes an 18-month non-compete across</w:t>
      </w:r>
      <w:r>
        <w:t xml:space="preserve"> </w:t>
      </w:r>
      <w:r>
        <w:rPr>
          <w:b/>
          <w:bCs/>
        </w:rPr>
        <w:t xml:space="preserve">Oregon, Washington, Idaho, and California.</w:t>
      </w:r>
      <w:r>
        <w:t xml:space="preserve"> </w:t>
      </w:r>
      <w:r>
        <w:t xml:space="preserve">Two problems:</w:t>
      </w:r>
    </w:p>
    <w:p>
      <w:pPr>
        <w:numPr>
          <w:ilvl w:val="0"/>
          <w:numId w:val="1002"/>
        </w:numPr>
      </w:pPr>
      <w:r>
        <w:rPr>
          <w:b/>
          <w:bCs/>
        </w:rPr>
        <w:t xml:space="preserve">California.</w:t>
      </w:r>
      <w:r>
        <w:t xml:space="preserve"> </w:t>
      </w:r>
      <w:r>
        <w:t xml:space="preserve">Non-competes are generally void in California (Cal. Bus. &amp; Prof. Code § 16600). Including California is unenforceable and, depending on the choice of law, could expose Greenleaf to liability.</w:t>
      </w:r>
      <w:r>
        <w:t xml:space="preserve"> </w:t>
      </w:r>
      <w:r>
        <w:rPr>
          <w:i/>
          <w:iCs/>
        </w:rPr>
        <w:t xml:space="preserve">Redline: removed California (and Idaho), limiting the covenant to Oregon and Washington.</w:t>
      </w:r>
    </w:p>
    <w:p>
      <w:pPr>
        <w:numPr>
          <w:ilvl w:val="0"/>
          <w:numId w:val="1002"/>
        </w:numPr>
      </w:pPr>
      <w:r>
        <w:rPr>
          <w:b/>
          <w:bCs/>
        </w:rPr>
        <w:t xml:space="preserve">Tolling.</w:t>
      </w:r>
      <w:r>
        <w:t xml:space="preserve"> </w:t>
      </w:r>
      <w:r>
        <w:t xml:space="preserve">Draft § 9 tolls the 18-month period during any breach, which could extend the restricted period beyond 18 months — the maximum duration permitted under Oregon’s non-compete statute, ORS 653.295.</w:t>
      </w:r>
      <w:r>
        <w:t xml:space="preserve"> </w:t>
      </w:r>
      <w:r>
        <w:rPr>
          <w:i/>
          <w:iCs/>
        </w:rPr>
        <w:t xml:space="preserve">Redline: capped the total restricted period (including tolling) at the statutory maximum and added an ORS 653.295 construction clause.</w:t>
      </w:r>
    </w:p>
    <w:p>
      <w:pPr>
        <w:pStyle w:val="FirstParagraph"/>
      </w:pPr>
      <w:r>
        <w:rPr>
          <w:b/>
          <w:bCs/>
        </w:rPr>
        <w:t xml:space="preserve">Additional note (not in redline):</w:t>
      </w:r>
      <w:r>
        <w:t xml:space="preserve"> </w:t>
      </w:r>
      <w:r>
        <w:t xml:space="preserve">A non-compete entered into in a separation/settlement agreement (rather than at hire or upon a bona fide advancement) sits awkwardly under ORS 653.295’s timing framework and carries enforceability risk. Mr. Delano meets the salary threshold ($218,000) and the 18-month duration is at the cap, but you should confirm with Oregon counsel whether a settlement-based non-compete will be enforced, and whether Washington’s non-compete statute (RCW 49.62) is satisfied. If enforceability is doubtful, consider whether the non-compete is worth the consideration being paid.</w:t>
      </w:r>
    </w:p>
    <w:bookmarkEnd w:id="24"/>
    <w:bookmarkStart w:id="25" w:name="e.-missing-dtsa-trade-secret-notice-high"/>
    <w:p>
      <w:pPr>
        <w:pStyle w:val="Heading3"/>
      </w:pPr>
      <w:r>
        <w:t xml:space="preserve">E. Missing DTSA Trade-Secret Notice (High)</w:t>
      </w:r>
    </w:p>
    <w:p>
      <w:pPr>
        <w:pStyle w:val="FirstParagraph"/>
      </w:pPr>
      <w:r>
        <w:t xml:space="preserve">The confidentiality provision (§ 6) governs confidential information but does</w:t>
      </w:r>
      <w:r>
        <w:t xml:space="preserve"> </w:t>
      </w:r>
      <w:r>
        <w:rPr>
          <w:b/>
          <w:bCs/>
        </w:rPr>
        <w:t xml:space="preserve">not</w:t>
      </w:r>
      <w:r>
        <w:t xml:space="preserve"> </w:t>
      </w:r>
      <w:r>
        <w:t xml:space="preserve">include the notice of immunity required by the Defend Trade Secrets Act of 2016, 18 U.S.C. § 1833(b). Without this notice, Greenleaf cannot recover exemplary damages or attorney fees in any future trade-secret action against Mr. Delano.</w:t>
      </w:r>
      <w:r>
        <w:t xml:space="preserve"> </w:t>
      </w:r>
      <w:r>
        <w:rPr>
          <w:i/>
          <w:iCs/>
        </w:rPr>
        <w:t xml:space="preserve">Redline: added the DTSA notice as a new paragraph in § 6.</w:t>
      </w:r>
    </w:p>
    <w:bookmarkEnd w:id="25"/>
    <w:bookmarkStart w:id="26" w:name="Xa828f9ecd3214141366c244faca24a942f51ff9"/>
    <w:p>
      <w:pPr>
        <w:pStyle w:val="Heading3"/>
      </w:pPr>
      <w:r>
        <w:t xml:space="preserve">F. Missing Standard Protective Provisions (High)</w:t>
      </w:r>
    </w:p>
    <w:p>
      <w:pPr>
        <w:pStyle w:val="FirstParagraph"/>
      </w:pPr>
      <w:r>
        <w:t xml:space="preserve">The Draft omits several provisions that Greenleaf should have in any senior-executive separation:</w:t>
      </w:r>
    </w:p>
    <w:p>
      <w:pPr>
        <w:pStyle w:val="Compact"/>
        <w:numPr>
          <w:ilvl w:val="0"/>
          <w:numId w:val="1003"/>
        </w:numPr>
      </w:pPr>
      <w:r>
        <w:rPr>
          <w:b/>
          <w:bCs/>
        </w:rPr>
        <w:t xml:space="preserve">Return of company property</w:t>
      </w:r>
      <w:r>
        <w:t xml:space="preserve"> </w:t>
      </w:r>
      <w:r>
        <w:t xml:space="preserve">— particularly important given Mr. Delano’s access to supply-chain, sourcing, and cold-chain information.</w:t>
      </w:r>
      <w:r>
        <w:t xml:space="preserve"> </w:t>
      </w:r>
      <w:r>
        <w:rPr>
          <w:i/>
          <w:iCs/>
        </w:rPr>
        <w:t xml:space="preserve">Redline: added § 19.</w:t>
      </w:r>
    </w:p>
    <w:p>
      <w:pPr>
        <w:pStyle w:val="Compact"/>
        <w:numPr>
          <w:ilvl w:val="0"/>
          <w:numId w:val="1003"/>
        </w:numPr>
      </w:pPr>
      <w:r>
        <w:rPr>
          <w:b/>
          <w:bCs/>
        </w:rPr>
        <w:t xml:space="preserve">Protection of confidential information and trade secrets</w:t>
      </w:r>
      <w:r>
        <w:t xml:space="preserve"> </w:t>
      </w:r>
      <w:r>
        <w:t xml:space="preserve">— the Draft’s § 6 protects only the</w:t>
      </w:r>
      <w:r>
        <w:t xml:space="preserve"> </w:t>
      </w:r>
      <w:r>
        <w:rPr>
          <w:i/>
          <w:iCs/>
        </w:rPr>
        <w:t xml:space="preserve">agreement’s</w:t>
      </w:r>
      <w:r>
        <w:t xml:space="preserve"> </w:t>
      </w:r>
      <w:r>
        <w:t xml:space="preserve">confidentiality, not Greenleaf’s business confidential information.</w:t>
      </w:r>
      <w:r>
        <w:t xml:space="preserve"> </w:t>
      </w:r>
      <w:r>
        <w:rPr>
          <w:i/>
          <w:iCs/>
        </w:rPr>
        <w:t xml:space="preserve">Redline: added § 20.</w:t>
      </w:r>
    </w:p>
    <w:p>
      <w:pPr>
        <w:pStyle w:val="Compact"/>
        <w:numPr>
          <w:ilvl w:val="0"/>
          <w:numId w:val="1003"/>
        </w:numPr>
      </w:pPr>
      <w:r>
        <w:rPr>
          <w:b/>
          <w:bCs/>
        </w:rPr>
        <w:t xml:space="preserve">Governing law / venue / jury waiver</w:t>
      </w:r>
      <w:r>
        <w:t xml:space="preserve"> </w:t>
      </w:r>
      <w:r>
        <w:t xml:space="preserve">— the Draft has no governing-law or dispute-resolution provision at all, creating uncertainty over enforcement.</w:t>
      </w:r>
      <w:r>
        <w:t xml:space="preserve"> </w:t>
      </w:r>
      <w:r>
        <w:rPr>
          <w:i/>
          <w:iCs/>
        </w:rPr>
        <w:t xml:space="preserve">Redline: added § 23 (Oregon law; Multnomah County venue; jury waiver).</w:t>
      </w:r>
    </w:p>
    <w:p>
      <w:pPr>
        <w:pStyle w:val="Compact"/>
        <w:numPr>
          <w:ilvl w:val="0"/>
          <w:numId w:val="1003"/>
        </w:numPr>
      </w:pPr>
      <w:r>
        <w:rPr>
          <w:b/>
          <w:bCs/>
        </w:rPr>
        <w:t xml:space="preserve">Notice provision.</w:t>
      </w:r>
      <w:r>
        <w:t xml:space="preserve"> </w:t>
      </w:r>
      <w:r>
        <w:rPr>
          <w:i/>
          <w:iCs/>
        </w:rPr>
        <w:t xml:space="preserve">Redline: added § 24.</w:t>
      </w:r>
    </w:p>
    <w:p>
      <w:pPr>
        <w:pStyle w:val="Compact"/>
        <w:numPr>
          <w:ilvl w:val="0"/>
          <w:numId w:val="1003"/>
        </w:numPr>
      </w:pPr>
      <w:r>
        <w:rPr>
          <w:b/>
          <w:bCs/>
        </w:rPr>
        <w:t xml:space="preserve">Survival clause</w:t>
      </w:r>
      <w:r>
        <w:t xml:space="preserve"> </w:t>
      </w:r>
      <w:r>
        <w:t xml:space="preserve">— only § 7 (non-disparagement) expressly survives; the release, restrictive covenants, and tax provisions do not.</w:t>
      </w:r>
      <w:r>
        <w:t xml:space="preserve"> </w:t>
      </w:r>
      <w:r>
        <w:rPr>
          <w:i/>
          <w:iCs/>
        </w:rPr>
        <w:t xml:space="preserve">Redline: added § 25.</w:t>
      </w:r>
    </w:p>
    <w:p>
      <w:pPr>
        <w:pStyle w:val="Compact"/>
        <w:numPr>
          <w:ilvl w:val="0"/>
          <w:numId w:val="1003"/>
        </w:numPr>
      </w:pPr>
      <w:r>
        <w:rPr>
          <w:b/>
          <w:bCs/>
        </w:rPr>
        <w:t xml:space="preserve">Cooperation clause</w:t>
      </w:r>
      <w:r>
        <w:t xml:space="preserve"> </w:t>
      </w:r>
      <w:r>
        <w:t xml:space="preserve">— useful given the pending OSHA investigation and potential transition needs.</w:t>
      </w:r>
      <w:r>
        <w:t xml:space="preserve"> </w:t>
      </w:r>
      <w:r>
        <w:rPr>
          <w:i/>
          <w:iCs/>
        </w:rPr>
        <w:t xml:space="preserve">Redline: added § 21 (with a truthful-statement safeguard).</w:t>
      </w:r>
    </w:p>
    <w:p>
      <w:pPr>
        <w:pStyle w:val="Compact"/>
        <w:numPr>
          <w:ilvl w:val="0"/>
          <w:numId w:val="1003"/>
        </w:numPr>
      </w:pPr>
      <w:r>
        <w:rPr>
          <w:b/>
          <w:bCs/>
        </w:rPr>
        <w:t xml:space="preserve">Remedies / clawback</w:t>
      </w:r>
      <w:r>
        <w:t xml:space="preserve"> </w:t>
      </w:r>
      <w:r>
        <w:t xml:space="preserve">— the Draft provides only injunctive relief for breaches; a modest liquidated-damages clause for confidentiality/non-disparagement breaches strengthens deterrence.</w:t>
      </w:r>
      <w:r>
        <w:t xml:space="preserve"> </w:t>
      </w:r>
      <w:r>
        <w:rPr>
          <w:i/>
          <w:iCs/>
        </w:rPr>
        <w:t xml:space="preserve">Redline: added § 22 ($50,000 per breach, framed as liquidated damages, with actual-damages election).</w:t>
      </w:r>
    </w:p>
    <w:p>
      <w:r>
        <w:pict>
          <v:rect style="width:0;height:1.5pt" o:hralign="center" o:hrstd="t" o:hr="t"/>
        </w:pict>
      </w:r>
    </w:p>
    <w:bookmarkEnd w:id="26"/>
    <w:bookmarkEnd w:id="27"/>
    <w:bookmarkStart w:id="28" w:name="X2c7b07dc0da7d62b4d2db9b2c92210d830ad0c0"/>
    <w:p>
      <w:pPr>
        <w:pStyle w:val="Heading2"/>
      </w:pPr>
      <w:r>
        <w:t xml:space="preserve">III. Section-by-Section Summary of Drafted Revisions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Revision in redline</w:t>
            </w:r>
          </w:p>
        </w:tc>
      </w:tr>
      <w:tr>
        <w:tc>
          <w:tcPr/>
          <w:p>
            <w:pPr>
              <w:pStyle w:val="Compact"/>
              <w:jc w:val="left"/>
            </w:pPr>
            <w:r>
              <w:t xml:space="preserve">Preamble / § 1(b)</w:t>
            </w:r>
          </w:p>
        </w:tc>
        <w:tc>
          <w:tcPr/>
          <w:p>
            <w:pPr>
              <w:pStyle w:val="Compact"/>
              <w:jc w:val="left"/>
            </w:pPr>
            <w:r>
              <w:t xml:space="preserve">“</w:t>
            </w:r>
            <w:r>
              <w:t xml:space="preserve">Effective Date</w:t>
            </w:r>
            <w:r>
              <w:t xml:space="preserve">”</w:t>
            </w:r>
            <w:r>
              <w:t xml:space="preserve"> </w:t>
            </w:r>
            <w:r>
              <w:t xml:space="preserve">defined as May 5, 2025, inconsistent with a 14-day consideration period and no revocation period</w:t>
            </w:r>
          </w:p>
        </w:tc>
        <w:tc>
          <w:tcPr/>
          <w:p>
            <w:pPr>
              <w:pStyle w:val="Compact"/>
              <w:jc w:val="left"/>
            </w:pPr>
            <w:r>
              <w:t xml:space="preserve">Redefined</w:t>
            </w:r>
            <w:r>
              <w:t xml:space="preserve"> </w:t>
            </w:r>
            <w:r>
              <w:t xml:space="preserve">“</w:t>
            </w:r>
            <w:r>
              <w:t xml:space="preserve">Effective Date</w:t>
            </w:r>
            <w:r>
              <w:t xml:space="preserve">”</w:t>
            </w:r>
            <w:r>
              <w:t xml:space="preserve"> </w:t>
            </w:r>
            <w:r>
              <w:t xml:space="preserve">as the date the 7-day revocation period expires; removed</w:t>
            </w:r>
            <w:r>
              <w:t xml:space="preserve"> </w:t>
            </w:r>
            <w:r>
              <w:t xml:space="preserve">“</w:t>
            </w:r>
            <w:r>
              <w:t xml:space="preserve">(Effective Date)</w:t>
            </w:r>
            <w:r>
              <w:t xml:space="preserve">”</w:t>
            </w:r>
            <w:r>
              <w:t xml:space="preserve"> </w:t>
            </w:r>
            <w:r>
              <w:t xml:space="preserve">from the Preamble entry line</w:t>
            </w:r>
          </w:p>
        </w:tc>
      </w:tr>
      <w:tr>
        <w:tc>
          <w:tcPr/>
          <w:p>
            <w:pPr>
              <w:pStyle w:val="Compact"/>
              <w:jc w:val="left"/>
            </w:pPr>
            <w:r>
              <w:t xml:space="preserve">§ 2</w:t>
            </w:r>
          </w:p>
        </w:tc>
        <w:tc>
          <w:tcPr/>
          <w:p>
            <w:pPr>
              <w:pStyle w:val="Compact"/>
              <w:jc w:val="left"/>
            </w:pPr>
            <w:r>
              <w:t xml:space="preserve">States Mr. Delano</w:t>
            </w:r>
            <w:r>
              <w:t xml:space="preserve"> </w:t>
            </w:r>
            <w:r>
              <w:t xml:space="preserve">“</w:t>
            </w:r>
            <w:r>
              <w:t xml:space="preserve">has received all … bonuses</w:t>
            </w:r>
            <w:r>
              <w:t xml:space="preserve">”</w:t>
            </w:r>
            <w:r>
              <w:t xml:space="preserve"> </w:t>
            </w:r>
            <w:r>
              <w:t xml:space="preserve">through the Separation Date; HR Record shows the 2024 bonus was</w:t>
            </w:r>
            <w:r>
              <w:t xml:space="preserve"> </w:t>
            </w:r>
            <w:r>
              <w:rPr>
                <w:b/>
                <w:bCs/>
              </w:rPr>
              <w:t xml:space="preserve">not</w:t>
            </w:r>
            <w:r>
              <w:t xml:space="preserve"> </w:t>
            </w:r>
            <w:r>
              <w:t xml:space="preserve">determined or paid</w:t>
            </w:r>
          </w:p>
        </w:tc>
        <w:tc>
          <w:tcPr/>
          <w:p>
            <w:pPr>
              <w:pStyle w:val="Compact"/>
              <w:jc w:val="left"/>
            </w:pPr>
            <w:r>
              <w:t xml:space="preserve">Acknowledged the unpaid 2024 bonus and stated it is included in the § 3(b) back-pay payment; made PTO payment conditional on not already having been paid</w:t>
            </w:r>
          </w:p>
        </w:tc>
      </w:tr>
      <w:tr>
        <w:tc>
          <w:tcPr/>
          <w:p>
            <w:pPr>
              <w:pStyle w:val="Compact"/>
              <w:jc w:val="left"/>
            </w:pPr>
            <w:r>
              <w:t xml:space="preserve">§ 3(b)</w:t>
            </w:r>
          </w:p>
        </w:tc>
        <w:tc>
          <w:tcPr/>
          <w:p>
            <w:pPr>
              <w:pStyle w:val="Compact"/>
              <w:jc w:val="left"/>
            </w:pPr>
            <w:r>
              <w:t xml:space="preserve">“</w:t>
            </w:r>
            <w:r>
              <w:t xml:space="preserve">$125,000 as back pay … from the Separation Date through the Effective Date</w:t>
            </w:r>
            <w:r>
              <w:t xml:space="preserve">”</w:t>
            </w:r>
            <w:r>
              <w:t xml:space="preserve"> </w:t>
            </w:r>
            <w:r>
              <w:t xml:space="preserve">— the ~7-week period yields only ~$31,000 of literal back pay, so the label understates what the sum covers</w:t>
            </w:r>
          </w:p>
        </w:tc>
        <w:tc>
          <w:tcPr/>
          <w:p>
            <w:pPr>
              <w:pStyle w:val="Compact"/>
              <w:jc w:val="left"/>
            </w:pPr>
            <w:r>
              <w:t xml:space="preserve">Recharacterized to include the unpaid 2024 bonus and</w:t>
            </w:r>
            <w:r>
              <w:t xml:space="preserve"> </w:t>
            </w:r>
            <w:r>
              <w:t xml:space="preserve">“</w:t>
            </w:r>
            <w:r>
              <w:t xml:space="preserve">other wage-related amounts</w:t>
            </w:r>
            <w:r>
              <w:t xml:space="preserve">”</w:t>
            </w:r>
            <w:r>
              <w:t xml:space="preserve"> </w:t>
            </w:r>
            <w:r>
              <w:t xml:space="preserve">(tax characterization should be confirmed — see § V)</w:t>
            </w:r>
          </w:p>
        </w:tc>
      </w:tr>
      <w:tr>
        <w:tc>
          <w:tcPr/>
          <w:p>
            <w:pPr>
              <w:pStyle w:val="Compact"/>
              <w:jc w:val="left"/>
            </w:pPr>
            <w:r>
              <w:t xml:space="preserve">§ 3(d)</w:t>
            </w:r>
          </w:p>
        </w:tc>
        <w:tc>
          <w:tcPr/>
          <w:p>
            <w:pPr>
              <w:pStyle w:val="Compact"/>
              <w:jc w:val="left"/>
            </w:pPr>
            <w:r>
              <w:t xml:space="preserve">RSU value stated as $10.00/share (</w:t>
            </w:r>
            <w:r>
              <w:t xml:space="preserve">“</w:t>
            </w:r>
            <w:r>
              <w:t xml:space="preserve">most recent valuation</w:t>
            </w:r>
            <w:r>
              <w:t xml:space="preserve">”</w:t>
            </w:r>
            <w:r>
              <w:t xml:space="preserve">) — incorrect; current 409A is $12.50 (Jan. 15, 2025)</w:t>
            </w:r>
          </w:p>
        </w:tc>
        <w:tc>
          <w:tcPr/>
          <w:p>
            <w:pPr>
              <w:pStyle w:val="Compact"/>
              <w:jc w:val="left"/>
            </w:pPr>
            <w:r>
              <w:t xml:space="preserve">Corrected to $12.50/share and $62,500; conditioned acceleration on Compensation Committee approval (per the Plan’s discretionary authority); clarified that the remaining 2,500 unvested shares stay forfeited and are released</w:t>
            </w:r>
          </w:p>
        </w:tc>
      </w:tr>
      <w:tr>
        <w:tc>
          <w:tcPr/>
          <w:p>
            <w:pPr>
              <w:pStyle w:val="Compact"/>
              <w:jc w:val="left"/>
            </w:pPr>
            <w:r>
              <w:t xml:space="preserve">§ 3(e)</w:t>
            </w:r>
          </w:p>
        </w:tc>
        <w:tc>
          <w:tcPr/>
          <w:p>
            <w:pPr>
              <w:pStyle w:val="Compact"/>
              <w:jc w:val="left"/>
            </w:pPr>
            <w:r>
              <w:t xml:space="preserve">Total stated as $525,000</w:t>
            </w:r>
          </w:p>
        </w:tc>
        <w:tc>
          <w:tcPr/>
          <w:p>
            <w:pPr>
              <w:pStyle w:val="Compact"/>
              <w:jc w:val="left"/>
            </w:pPr>
            <w:r>
              <w:t xml:space="preserve">Corrected to $537,500 (RSU component $62,500)</w:t>
            </w:r>
          </w:p>
        </w:tc>
      </w:tr>
      <w:tr>
        <w:tc>
          <w:tcPr/>
          <w:p>
            <w:pPr>
              <w:pStyle w:val="Compact"/>
              <w:jc w:val="left"/>
            </w:pPr>
            <w:r>
              <w:t xml:space="preserve">§ 4</w:t>
            </w:r>
          </w:p>
        </w:tc>
        <w:tc>
          <w:tcPr/>
          <w:p>
            <w:pPr>
              <w:pStyle w:val="Compact"/>
              <w:jc w:val="left"/>
            </w:pPr>
            <w:r>
              <w:t xml:space="preserve">Release runs</w:t>
            </w:r>
            <w:r>
              <w:t xml:space="preserve"> </w:t>
            </w:r>
            <w:r>
              <w:t xml:space="preserve">“</w:t>
            </w:r>
            <w:r>
              <w:t xml:space="preserve">through the Effective Date</w:t>
            </w:r>
            <w:r>
              <w:t xml:space="preserve">”</w:t>
            </w:r>
            <w:r>
              <w:t xml:space="preserve">; no post-execution carve-out; no vested-benefits carve-out</w:t>
            </w:r>
          </w:p>
        </w:tc>
        <w:tc>
          <w:tcPr/>
          <w:p>
            <w:pPr>
              <w:pStyle w:val="Compact"/>
              <w:jc w:val="left"/>
            </w:pPr>
            <w:r>
              <w:t xml:space="preserve">Release now runs through date of execution; added OWBPA post-execution carve-out and vested-benefits (401(k)) carve-out</w:t>
            </w:r>
          </w:p>
        </w:tc>
      </w:tr>
      <w:tr>
        <w:tc>
          <w:tcPr/>
          <w:p>
            <w:pPr>
              <w:pStyle w:val="Compact"/>
              <w:jc w:val="left"/>
            </w:pPr>
            <w:r>
              <w:t xml:space="preserve">§ 5</w:t>
            </w:r>
          </w:p>
        </w:tc>
        <w:tc>
          <w:tcPr/>
          <w:p>
            <w:pPr>
              <w:pStyle w:val="Compact"/>
              <w:jc w:val="left"/>
            </w:pPr>
            <w:r>
              <w:t xml:space="preserve">No advice to consult counsel; 14-day period; no revocation period</w:t>
            </w:r>
          </w:p>
        </w:tc>
        <w:tc>
          <w:tcPr/>
          <w:p>
            <w:pPr>
              <w:pStyle w:val="Compact"/>
              <w:jc w:val="left"/>
            </w:pPr>
            <w:r>
              <w:t xml:space="preserve">Added advice-to-consult-counsel; 21-day period; new § 5(g) 7-day revocation</w:t>
            </w:r>
          </w:p>
        </w:tc>
      </w:tr>
      <w:tr>
        <w:tc>
          <w:tcPr/>
          <w:p>
            <w:pPr>
              <w:pStyle w:val="Compact"/>
              <w:jc w:val="left"/>
            </w:pPr>
            <w:r>
              <w:t xml:space="preserve">§ 6</w:t>
            </w:r>
          </w:p>
        </w:tc>
        <w:tc>
          <w:tcPr/>
          <w:p>
            <w:pPr>
              <w:pStyle w:val="Compact"/>
              <w:jc w:val="left"/>
            </w:pPr>
            <w:r>
              <w:t xml:space="preserve">No government-agency carve-out; no DTSA notice</w:t>
            </w:r>
          </w:p>
        </w:tc>
        <w:tc>
          <w:tcPr/>
          <w:p>
            <w:pPr>
              <w:pStyle w:val="Compact"/>
              <w:jc w:val="left"/>
            </w:pPr>
            <w:r>
              <w:t xml:space="preserve">Added subpart (v) (agency cooperation/reporting) and DTSA immunity notice</w:t>
            </w:r>
          </w:p>
        </w:tc>
      </w:tr>
      <w:tr>
        <w:tc>
          <w:tcPr/>
          <w:p>
            <w:pPr>
              <w:pStyle w:val="Compact"/>
              <w:jc w:val="left"/>
            </w:pPr>
            <w:r>
              <w:t xml:space="preserve">§ 7</w:t>
            </w:r>
          </w:p>
        </w:tc>
        <w:tc>
          <w:tcPr/>
          <w:p>
            <w:pPr>
              <w:pStyle w:val="Compact"/>
              <w:jc w:val="left"/>
            </w:pPr>
            <w:r>
              <w:t xml:space="preserve">Non-disparagement runs</w:t>
            </w:r>
            <w:r>
              <w:t xml:space="preserve"> </w:t>
            </w:r>
            <w:r>
              <w:t xml:space="preserve">“</w:t>
            </w:r>
            <w:r>
              <w:t xml:space="preserve">in perpetuity</w:t>
            </w:r>
            <w:r>
              <w:t xml:space="preserve">”</w:t>
            </w:r>
            <w:r>
              <w:t xml:space="preserve">; no carve-out for truthful statements to agencies</w:t>
            </w:r>
          </w:p>
        </w:tc>
        <w:tc>
          <w:tcPr/>
          <w:p>
            <w:pPr>
              <w:pStyle w:val="Compact"/>
              <w:jc w:val="left"/>
            </w:pPr>
            <w:r>
              <w:t xml:space="preserve">Limited to 3 years; added government-agency/truthful-statement carve-out</w:t>
            </w:r>
          </w:p>
        </w:tc>
      </w:tr>
      <w:tr>
        <w:tc>
          <w:tcPr/>
          <w:p>
            <w:pPr>
              <w:pStyle w:val="Compact"/>
              <w:jc w:val="left"/>
            </w:pPr>
            <w:r>
              <w:t xml:space="preserve">§ 8(d)</w:t>
            </w:r>
          </w:p>
        </w:tc>
        <w:tc>
          <w:tcPr/>
          <w:p>
            <w:pPr>
              <w:pStyle w:val="Compact"/>
              <w:jc w:val="left"/>
            </w:pPr>
            <w:r>
              <w:t xml:space="preserve">RSU tax treatment silent on withholding basis</w:t>
            </w:r>
          </w:p>
        </w:tc>
        <w:tc>
          <w:tcPr/>
          <w:p>
            <w:pPr>
              <w:pStyle w:val="Compact"/>
              <w:jc w:val="left"/>
            </w:pPr>
            <w:r>
              <w:t xml:space="preserve">Added FMV-at-vesting withholding basis</w:t>
            </w:r>
          </w:p>
        </w:tc>
      </w:tr>
      <w:tr>
        <w:tc>
          <w:tcPr/>
          <w:p>
            <w:pPr>
              <w:pStyle w:val="Compact"/>
              <w:jc w:val="left"/>
            </w:pPr>
            <w:r>
              <w:t xml:space="preserve">§ 9</w:t>
            </w:r>
          </w:p>
        </w:tc>
        <w:tc>
          <w:tcPr/>
          <w:p>
            <w:pPr>
              <w:pStyle w:val="Compact"/>
              <w:jc w:val="left"/>
            </w:pPr>
            <w:r>
              <w:t xml:space="preserve">Covers California (void) and Idaho; tolling can exceed 18-month cap</w:t>
            </w:r>
          </w:p>
        </w:tc>
        <w:tc>
          <w:tcPr/>
          <w:p>
            <w:pPr>
              <w:pStyle w:val="Compact"/>
              <w:jc w:val="left"/>
            </w:pPr>
            <w:r>
              <w:t xml:space="preserve">Limited to Oregon and Washington; ORS 653.295 construction clause; tolling capped at statutory maximum</w:t>
            </w:r>
          </w:p>
        </w:tc>
      </w:tr>
      <w:tr>
        <w:tc>
          <w:tcPr/>
          <w:p>
            <w:pPr>
              <w:pStyle w:val="Compact"/>
              <w:jc w:val="left"/>
            </w:pPr>
            <w:r>
              <w:t xml:space="preserve">§ 11</w:t>
            </w:r>
          </w:p>
        </w:tc>
        <w:tc>
          <w:tcPr/>
          <w:p>
            <w:pPr>
              <w:pStyle w:val="Compact"/>
              <w:jc w:val="left"/>
            </w:pPr>
            <w:r>
              <w:t xml:space="preserve">Mandates a</w:t>
            </w:r>
            <w:r>
              <w:t xml:space="preserve"> </w:t>
            </w:r>
            <w:r>
              <w:t xml:space="preserve">“</w:t>
            </w:r>
            <w:r>
              <w:t xml:space="preserve">positive</w:t>
            </w:r>
            <w:r>
              <w:t xml:space="preserve">”</w:t>
            </w:r>
            <w:r>
              <w:t xml:space="preserve"> </w:t>
            </w:r>
            <w:r>
              <w:t xml:space="preserve">reference with required laudatory language; directs inquiries to Leanne Foss (the HR Director to whom Mr. Delano made his protected complaint)</w:t>
            </w:r>
          </w:p>
        </w:tc>
        <w:tc>
          <w:tcPr/>
          <w:p>
            <w:pPr>
              <w:pStyle w:val="Compact"/>
              <w:jc w:val="left"/>
            </w:pPr>
            <w:r>
              <w:t xml:space="preserve">Changed to a neutral reference (dates and title only); redirected inquiries to the HR Department generally</w:t>
            </w:r>
          </w:p>
        </w:tc>
      </w:tr>
      <w:tr>
        <w:tc>
          <w:tcPr/>
          <w:p>
            <w:pPr>
              <w:pStyle w:val="Compact"/>
              <w:jc w:val="left"/>
            </w:pPr>
            <w:r>
              <w:t xml:space="preserve">§ 14</w:t>
            </w:r>
          </w:p>
        </w:tc>
        <w:tc>
          <w:tcPr/>
          <w:p>
            <w:pPr>
              <w:pStyle w:val="Compact"/>
              <w:jc w:val="left"/>
            </w:pPr>
            <w:r>
              <w:t xml:space="preserve">Mandates Greenleaf</w:t>
            </w:r>
            <w:r>
              <w:t xml:space="preserve"> </w:t>
            </w:r>
            <w:r>
              <w:t xml:space="preserve">“</w:t>
            </w:r>
            <w:r>
              <w:t xml:space="preserve">consider</w:t>
            </w:r>
            <w:r>
              <w:t xml:space="preserve">”</w:t>
            </w:r>
            <w:r>
              <w:t xml:space="preserve"> </w:t>
            </w:r>
            <w:r>
              <w:t xml:space="preserve">Mr. Delano for rehire and forbids any</w:t>
            </w:r>
            <w:r>
              <w:t xml:space="preserve"> </w:t>
            </w:r>
            <w:r>
              <w:t xml:space="preserve">“</w:t>
            </w:r>
            <w:r>
              <w:t xml:space="preserve">ineligible for rehire</w:t>
            </w:r>
            <w:r>
              <w:t xml:space="preserve">”</w:t>
            </w:r>
            <w:r>
              <w:t xml:space="preserve"> </w:t>
            </w:r>
            <w:r>
              <w:t xml:space="preserve">designation</w:t>
            </w:r>
          </w:p>
        </w:tc>
        <w:tc>
          <w:tcPr/>
          <w:p>
            <w:pPr>
              <w:pStyle w:val="Compact"/>
              <w:jc w:val="left"/>
            </w:pPr>
            <w:r>
              <w:t xml:space="preserve">Narrowed: no ineligible-for-rehire designation based solely on the protected activity; eligibility to apply preserved; Greenleaf retains hiring discretion</w:t>
            </w:r>
          </w:p>
        </w:tc>
      </w:tr>
      <w:tr>
        <w:tc>
          <w:tcPr/>
          <w:p>
            <w:pPr>
              <w:pStyle w:val="Compact"/>
              <w:jc w:val="left"/>
            </w:pPr>
            <w:r>
              <w:t xml:space="preserve">§ 15(a)(ii)</w:t>
            </w:r>
          </w:p>
        </w:tc>
        <w:tc>
          <w:tcPr/>
          <w:p>
            <w:pPr>
              <w:pStyle w:val="Compact"/>
              <w:jc w:val="left"/>
            </w:pPr>
            <w:r>
              <w:t xml:space="preserve">“</w:t>
            </w:r>
            <w:r>
              <w:t xml:space="preserve">Agrees not to file … in the future</w:t>
            </w:r>
            <w:r>
              <w:t xml:space="preserve">”</w:t>
            </w:r>
            <w:r>
              <w:t xml:space="preserve"> </w:t>
            </w:r>
            <w:r>
              <w:t xml:space="preserve">with only a narrow</w:t>
            </w:r>
            <w:r>
              <w:t xml:space="preserve"> </w:t>
            </w:r>
            <w:r>
              <w:t xml:space="preserve">“</w:t>
            </w:r>
            <w:r>
              <w:t xml:space="preserve">required by law</w:t>
            </w:r>
            <w:r>
              <w:t xml:space="preserve">”</w:t>
            </w:r>
            <w:r>
              <w:t xml:space="preserve"> </w:t>
            </w:r>
            <w:r>
              <w:t xml:space="preserve">exception</w:t>
            </w:r>
          </w:p>
        </w:tc>
        <w:tc>
          <w:tcPr/>
          <w:p>
            <w:pPr>
              <w:pStyle w:val="Compact"/>
              <w:jc w:val="left"/>
            </w:pPr>
            <w:r>
              <w:t xml:space="preserve">Added EEOC/OSHA/NLRB charge-filing and cooperation carve-out and whistleblower-award carve-out, with waiver of personal monetary recovery</w:t>
            </w:r>
          </w:p>
        </w:tc>
      </w:tr>
      <w:tr>
        <w:tc>
          <w:tcPr/>
          <w:p>
            <w:pPr>
              <w:pStyle w:val="Compact"/>
              <w:jc w:val="left"/>
            </w:pPr>
            <w:r>
              <w:t xml:space="preserve">§ 16</w:t>
            </w:r>
          </w:p>
        </w:tc>
        <w:tc>
          <w:tcPr/>
          <w:p>
            <w:pPr>
              <w:pStyle w:val="Compact"/>
              <w:jc w:val="left"/>
            </w:pPr>
            <w:r>
              <w:t xml:space="preserve">14-day period; no revocation; no tie to Effective Date</w:t>
            </w:r>
          </w:p>
        </w:tc>
        <w:tc>
          <w:tcPr/>
          <w:p>
            <w:pPr>
              <w:pStyle w:val="Compact"/>
              <w:jc w:val="left"/>
            </w:pPr>
            <w:r>
              <w:t xml:space="preserve">21-day period; 7-day revocation; agreement not effective until revocation period expires</w:t>
            </w:r>
          </w:p>
        </w:tc>
      </w:tr>
      <w:tr>
        <w:tc>
          <w:tcPr/>
          <w:p>
            <w:pPr>
              <w:pStyle w:val="Compact"/>
              <w:jc w:val="left"/>
            </w:pPr>
            <w:r>
              <w:t xml:space="preserve">§ 18</w:t>
            </w:r>
          </w:p>
        </w:tc>
        <w:tc>
          <w:tcPr/>
          <w:p>
            <w:pPr>
              <w:pStyle w:val="Compact"/>
              <w:jc w:val="left"/>
            </w:pPr>
            <w:r>
              <w:t xml:space="preserve">Silent on prior restrictive covenants and the Equity Plan/RSU Grant</w:t>
            </w:r>
          </w:p>
        </w:tc>
        <w:tc>
          <w:tcPr/>
          <w:p>
            <w:pPr>
              <w:pStyle w:val="Compact"/>
              <w:jc w:val="left"/>
            </w:pPr>
            <w:r>
              <w:t xml:space="preserve">Added supersession of prior restrictive covenants and incorporation of the Equity Plan and RSU Grant by reference</w:t>
            </w:r>
          </w:p>
        </w:tc>
      </w:tr>
      <w:tr>
        <w:tc>
          <w:tcPr/>
          <w:p>
            <w:pPr>
              <w:pStyle w:val="Compact"/>
              <w:jc w:val="left"/>
            </w:pPr>
            <w:r>
              <w:t xml:space="preserve">New §§ 19–25</w:t>
            </w:r>
          </w:p>
        </w:tc>
        <w:tc>
          <w:tcPr/>
          <w:p>
            <w:pPr>
              <w:pStyle w:val="Compact"/>
              <w:jc w:val="left"/>
            </w:pPr>
            <w:r>
              <w:t xml:space="preserve">Omitted protective provisions</w:t>
            </w:r>
          </w:p>
        </w:tc>
        <w:tc>
          <w:tcPr/>
          <w:p>
            <w:pPr>
              <w:pStyle w:val="Compact"/>
              <w:jc w:val="left"/>
            </w:pPr>
            <w:r>
              <w:t xml:space="preserve">Added Return of Property; Confidential Information; Cooperation; Remedies/Clawback; Governing Law/Venue; Notice; Survival</w:t>
            </w:r>
          </w:p>
        </w:tc>
      </w:tr>
    </w:tbl>
    <w:p>
      <w:r>
        <w:pict>
          <v:rect style="width:0;height:1.5pt" o:hralign="center" o:hrstd="t" o:hr="t"/>
        </w:pict>
      </w:r>
    </w:p>
    <w:bookmarkEnd w:id="28"/>
    <w:bookmarkStart w:id="35" w:name="X5b3ca609df188da2c996c33688c35c707cad353"/>
    <w:p>
      <w:pPr>
        <w:pStyle w:val="Heading2"/>
      </w:pPr>
      <w:r>
        <w:t xml:space="preserve">IV. Additional Risks and Recommendations Not Reflected in the Redline</w:t>
      </w:r>
    </w:p>
    <w:p>
      <w:pPr>
        <w:pStyle w:val="FirstParagraph"/>
      </w:pPr>
      <w:r>
        <w:t xml:space="preserve">These items are not drafting fixes but bear on your settlement decision and execution logistics.</w:t>
      </w:r>
    </w:p>
    <w:bookmarkStart w:id="29" w:name="Xdd1461007e23ce6ae19251892611eea0598a588"/>
    <w:p>
      <w:pPr>
        <w:pStyle w:val="Heading3"/>
      </w:pPr>
      <w:r>
        <w:t xml:space="preserve">A. Replacement Hire Undercuts the</w:t>
      </w:r>
      <w:r>
        <w:t xml:space="preserve"> </w:t>
      </w:r>
      <w:r>
        <w:t xml:space="preserve">“</w:t>
      </w:r>
      <w:r>
        <w:t xml:space="preserve">Restructuring</w:t>
      </w:r>
      <w:r>
        <w:t xml:space="preserve">”</w:t>
      </w:r>
      <w:r>
        <w:t xml:space="preserve"> </w:t>
      </w:r>
      <w:r>
        <w:t xml:space="preserve">Rationale (High litigation risk)</w:t>
      </w:r>
    </w:p>
    <w:p>
      <w:pPr>
        <w:pStyle w:val="FirstParagraph"/>
      </w:pPr>
      <w:r>
        <w:t xml:space="preserve">The HR Record shows that Greenleaf hired</w:t>
      </w:r>
      <w:r>
        <w:t xml:space="preserve"> </w:t>
      </w:r>
      <w:r>
        <w:rPr>
          <w:b/>
          <w:bCs/>
        </w:rPr>
        <w:t xml:space="preserve">Raj Mehta as Senior Director of Supply Chain &amp; Logistics at $185,000 on March 20, 2025 — six days after Mr. Delano’s March 14, 2025 termination.</w:t>
      </w:r>
      <w:r>
        <w:t xml:space="preserve"> </w:t>
      </w:r>
      <w:r>
        <w:t xml:space="preserve">This is the single most damaging fact in the file. It directly contradicts the stated termination reason (</w:t>
      </w:r>
      <w:r>
        <w:t xml:space="preserve">“</w:t>
      </w:r>
      <w:r>
        <w:t xml:space="preserve">elimination of position due to restructuring of supply chain division</w:t>
      </w:r>
      <w:r>
        <w:t xml:space="preserve">”</w:t>
      </w:r>
      <w:r>
        <w:t xml:space="preserve">) and the Recital in which Greenleaf</w:t>
      </w:r>
      <w:r>
        <w:t xml:space="preserve"> </w:t>
      </w:r>
      <w:r>
        <w:t xml:space="preserve">“</w:t>
      </w:r>
      <w:r>
        <w:t xml:space="preserve">contends that Delano’s termination was the result of a legitimate business reorganization.</w:t>
      </w:r>
      <w:r>
        <w:t xml:space="preserve">”</w:t>
      </w:r>
      <w:r>
        <w:t xml:space="preserve"> </w:t>
      </w:r>
      <w:r>
        <w:t xml:space="preserve">It strongly supports Mr. Delano’s retaliation claim under ORS 654.062(5) (he complained internally on Nov. 8, 2024 and to Oregon OSHA on Dec. 3, 2024) and his ADEA claim (he is 58). This fact is not in the Draft and will be discoverable by Oregon OSHA and in any litigation.</w:t>
      </w:r>
      <w:r>
        <w:t xml:space="preserve"> </w:t>
      </w:r>
      <w:r>
        <w:rPr>
          <w:b/>
          <w:bCs/>
        </w:rPr>
        <w:t xml:space="preserve">Recommendation:</w:t>
      </w:r>
      <w:r>
        <w:t xml:space="preserve"> </w:t>
      </w:r>
      <w:r>
        <w:t xml:space="preserve">weigh this exposure in setting settlement value; ensure the release and the agency carve-outs are airtight; and consider whether the Recitals’</w:t>
      </w:r>
      <w:r>
        <w:t xml:space="preserve"> </w:t>
      </w:r>
      <w:r>
        <w:t xml:space="preserve">“</w:t>
      </w:r>
      <w:r>
        <w:t xml:space="preserve">legitimate business reorganization</w:t>
      </w:r>
      <w:r>
        <w:t xml:space="preserve">”</w:t>
      </w:r>
      <w:r>
        <w:t xml:space="preserve"> </w:t>
      </w:r>
      <w:r>
        <w:t xml:space="preserve">contention should be softened to avoid an internally inconsistent record.</w:t>
      </w:r>
    </w:p>
    <w:bookmarkEnd w:id="29"/>
    <w:bookmarkStart w:id="30" w:name="X8c0a66a918824c2378fd2e26b24df08c49d0f18"/>
    <w:p>
      <w:pPr>
        <w:pStyle w:val="Heading3"/>
      </w:pPr>
      <w:r>
        <w:t xml:space="preserve">B. EPLI Carrier Consent (High — execution blocker)</w:t>
      </w:r>
    </w:p>
    <w:p>
      <w:pPr>
        <w:pStyle w:val="FirstParagraph"/>
      </w:pPr>
      <w:r>
        <w:t xml:space="preserve">The HR Record reflects an EPLI policy with</w:t>
      </w:r>
      <w:r>
        <w:t xml:space="preserve"> </w:t>
      </w:r>
      <w:r>
        <w:rPr>
          <w:b/>
          <w:bCs/>
        </w:rPr>
        <w:t xml:space="preserve">Timberline Insurance Group, Policy No. TIG-EPL-2024-00391.</w:t>
      </w:r>
      <w:r>
        <w:t xml:space="preserve"> </w:t>
      </w:r>
      <w:r>
        <w:t xml:space="preserve">Most EPLI policies contain a consent-to-settle clause and may require the insurer’s approval before settlement, and may fund all or part of the payment.</w:t>
      </w:r>
      <w:r>
        <w:t xml:space="preserve"> </w:t>
      </w:r>
      <w:r>
        <w:rPr>
          <w:b/>
          <w:bCs/>
        </w:rPr>
        <w:t xml:space="preserve">Recommendation:</w:t>
      </w:r>
      <w:r>
        <w:t xml:space="preserve"> </w:t>
      </w:r>
      <w:r>
        <w:t xml:space="preserve">tender/notice the claim and obtain the carrier’s consent before execution; confirm whether the carrier will fund any portion and whether the allocation (wages vs. damages) affects coverage; do not execute in a manner that prejudices coverage.</w:t>
      </w:r>
    </w:p>
    <w:bookmarkEnd w:id="30"/>
    <w:bookmarkStart w:id="31" w:name="X258068a7abf7dbaea5f2244788c612fe0990fb4"/>
    <w:p>
      <w:pPr>
        <w:pStyle w:val="Heading3"/>
      </w:pPr>
      <w:r>
        <w:t xml:space="preserve">C. Tax Allocation Should Be Confirmed by Tax Counsel (Medium)</w:t>
      </w:r>
    </w:p>
    <w:p>
      <w:pPr>
        <w:pStyle w:val="FirstParagraph"/>
      </w:pPr>
      <w:r>
        <w:t xml:space="preserve">The Draft allocates $275,000 to non-wage emotional-distress damages (Form 1099-MISC) and $125,000 to wages (Form W-2, FICA). Two points to confirm: (i) the IRS scrutinizes allocations that minimize FICA where the underlying claims are wage/retaliation claims — the large emotional-distress component relative to back pay may draw attention; and (ii) as noted, the</w:t>
      </w:r>
      <w:r>
        <w:t xml:space="preserve"> </w:t>
      </w:r>
      <w:r>
        <w:t xml:space="preserve">“</w:t>
      </w:r>
      <w:r>
        <w:t xml:space="preserve">$125,000 back pay</w:t>
      </w:r>
      <w:r>
        <w:t xml:space="preserve">”</w:t>
      </w:r>
      <w:r>
        <w:t xml:space="preserve"> </w:t>
      </w:r>
      <w:r>
        <w:t xml:space="preserve">label covers more than literal back pay for the ~7-week period. The reporting forms (1099-MISC for emotional distress; 1099-NEC for the $75,000 paid directly to Engel &amp; Associates; W-2 for back pay) appear generally appropriate, but the allocation and the back-pay characterization should be reviewed by tax counsel before execution.</w:t>
      </w:r>
    </w:p>
    <w:bookmarkEnd w:id="31"/>
    <w:bookmarkStart w:id="32" w:name="Xea9c9949615abec978a8500f7d50fdb6871cb43"/>
    <w:p>
      <w:pPr>
        <w:pStyle w:val="Heading3"/>
      </w:pPr>
      <w:r>
        <w:t xml:space="preserve">D. Recitals Document the Protected Activity (Medium)</w:t>
      </w:r>
    </w:p>
    <w:p>
      <w:pPr>
        <w:pStyle w:val="FirstParagraph"/>
      </w:pPr>
      <w:r>
        <w:t xml:space="preserve">The Recitals extensively narrate Mr. Delano’s internal complaint, his OSHA complaint, and the pending OSHA investigation. While § 13 disclaims admission, these Recitals effectively memorialize the prima facie elements of his retaliation claim. If the settlement collapses, this record could be used against Greenleaf.</w:t>
      </w:r>
      <w:r>
        <w:t xml:space="preserve"> </w:t>
      </w:r>
      <w:r>
        <w:rPr>
          <w:b/>
          <w:bCs/>
        </w:rPr>
        <w:t xml:space="preserve">Recommendation:</w:t>
      </w:r>
      <w:r>
        <w:t xml:space="preserve"> </w:t>
      </w:r>
      <w:r>
        <w:t xml:space="preserve">consider streamlining the Recitals to the minimum needed to define the release scope, and ensure the</w:t>
      </w:r>
      <w:r>
        <w:t xml:space="preserve"> </w:t>
      </w:r>
      <w:r>
        <w:t xml:space="preserve">“</w:t>
      </w:r>
      <w:r>
        <w:t xml:space="preserve">no admission</w:t>
      </w:r>
      <w:r>
        <w:t xml:space="preserve">”</w:t>
      </w:r>
      <w:r>
        <w:t xml:space="preserve"> </w:t>
      </w:r>
      <w:r>
        <w:t xml:space="preserve">language is robust.</w:t>
      </w:r>
    </w:p>
    <w:bookmarkEnd w:id="32"/>
    <w:bookmarkStart w:id="33" w:name="Xd7834db50630a5e5af9b69ca5f5809ef27bb6df"/>
    <w:p>
      <w:pPr>
        <w:pStyle w:val="Heading3"/>
      </w:pPr>
      <w:r>
        <w:t xml:space="preserve">E. Reference and Re-Employment Concessions (Medium — negotiation)</w:t>
      </w:r>
    </w:p>
    <w:p>
      <w:pPr>
        <w:pStyle w:val="FirstParagraph"/>
      </w:pPr>
      <w:r>
        <w:t xml:space="preserve">The Draft (as revised) still commits Greenleaf to a neutral reference and to not marking Mr. Delano ineligible for rehire based on the protected activity. These are meaningful concessions that Mr. Delano’s counsel will likely defend. The redline softens them (neutral rather than positive reference; hiring discretion preserved). Be prepared to negotiate; the original</w:t>
      </w:r>
      <w:r>
        <w:t xml:space="preserve"> </w:t>
      </w:r>
      <w:r>
        <w:t xml:space="preserve">“</w:t>
      </w:r>
      <w:r>
        <w:t xml:space="preserve">positive reference with mandated praise</w:t>
      </w:r>
      <w:r>
        <w:t xml:space="preserve">”</w:t>
      </w:r>
      <w:r>
        <w:t xml:space="preserve"> </w:t>
      </w:r>
      <w:r>
        <w:t xml:space="preserve">and</w:t>
      </w:r>
      <w:r>
        <w:t xml:space="preserve"> </w:t>
      </w:r>
      <w:r>
        <w:t xml:space="preserve">“</w:t>
      </w:r>
      <w:r>
        <w:t xml:space="preserve">must consider for rehire</w:t>
      </w:r>
      <w:r>
        <w:t xml:space="preserve">”</w:t>
      </w:r>
      <w:r>
        <w:t xml:space="preserve"> </w:t>
      </w:r>
      <w:r>
        <w:t xml:space="preserve">provisions are not positions Greenleaf should accept.</w:t>
      </w:r>
    </w:p>
    <w:bookmarkEnd w:id="33"/>
    <w:bookmarkStart w:id="34" w:name="f.-other-items"/>
    <w:p>
      <w:pPr>
        <w:pStyle w:val="Heading3"/>
      </w:pPr>
      <w:r>
        <w:t xml:space="preserve">F. Other Items</w:t>
      </w:r>
    </w:p>
    <w:p>
      <w:pPr>
        <w:pStyle w:val="Compact"/>
        <w:numPr>
          <w:ilvl w:val="0"/>
          <w:numId w:val="1004"/>
        </w:numPr>
      </w:pPr>
      <w:r>
        <w:rPr>
          <w:b/>
          <w:bCs/>
        </w:rPr>
        <w:t xml:space="preserve">401(k):</w:t>
      </w:r>
      <w:r>
        <w:t xml:space="preserve"> </w:t>
      </w:r>
      <w:r>
        <w:t xml:space="preserve">The HR Record shows a 401(k) with a 4% employer match administered by Cascadia Benefit Administrators. Confirm vesting of employer contributions and that the release properly carves out vested account balances (the redline adds a vested-benefits carve-out). Confirm loan repayment/rollover logistics outside the agreement.</w:t>
      </w:r>
    </w:p>
    <w:p>
      <w:pPr>
        <w:pStyle w:val="Compact"/>
        <w:numPr>
          <w:ilvl w:val="0"/>
          <w:numId w:val="1004"/>
        </w:numPr>
      </w:pPr>
      <w:r>
        <w:rPr>
          <w:b/>
          <w:bCs/>
        </w:rPr>
        <w:t xml:space="preserve">COBRA:</w:t>
      </w:r>
      <w:r>
        <w:t xml:space="preserve"> </w:t>
      </w:r>
      <w:r>
        <w:t xml:space="preserve">§ 2 promises COBRA information but no premium subsidy. If Mr. Delano seeks a subsidy, that is a negotiation point; absent one, ensure COBRA notices are timely (separation was March 14, 2025, so election-period clocks are running).</w:t>
      </w:r>
    </w:p>
    <w:p>
      <w:pPr>
        <w:pStyle w:val="Compact"/>
        <w:numPr>
          <w:ilvl w:val="0"/>
          <w:numId w:val="1004"/>
        </w:numPr>
      </w:pPr>
      <w:r>
        <w:rPr>
          <w:b/>
          <w:bCs/>
        </w:rPr>
        <w:t xml:space="preserve">Workers’ compensation:</w:t>
      </w:r>
      <w:r>
        <w:t xml:space="preserve"> </w:t>
      </w:r>
      <w:r>
        <w:t xml:space="preserve">§ 4(xii) releases</w:t>
      </w:r>
      <w:r>
        <w:t xml:space="preserve"> </w:t>
      </w:r>
      <w:r>
        <w:t xml:space="preserve">“</w:t>
      </w:r>
      <w:r>
        <w:t xml:space="preserve">workers’ compensation claims under ORS Chapter 656.</w:t>
      </w:r>
      <w:r>
        <w:t xml:space="preserve">”</w:t>
      </w:r>
      <w:r>
        <w:t xml:space="preserve"> </w:t>
      </w:r>
      <w:r>
        <w:t xml:space="preserve">If Mr. Delano has no actual claim this is harmless, but an actual ORS 656 claim cannot be settled without Workers’ Compensation Board approval (ORS 656.389). Confirm no pending claim.</w:t>
      </w:r>
    </w:p>
    <w:p>
      <w:pPr>
        <w:pStyle w:val="Compact"/>
        <w:numPr>
          <w:ilvl w:val="0"/>
          <w:numId w:val="1004"/>
        </w:numPr>
      </w:pPr>
      <w:r>
        <w:rPr>
          <w:b/>
          <w:bCs/>
        </w:rPr>
        <w:t xml:space="preserve">Indemnification:</w:t>
      </w:r>
      <w:r>
        <w:t xml:space="preserve"> </w:t>
      </w:r>
      <w:r>
        <w:t xml:space="preserve">As a former officer (VP), Mr. Delano may have indemnification/advancement rights under the bylaws or an indemnification agreement. Confirm how those interact with the release (the redline does not expand or contract indemnification rights).</w:t>
      </w:r>
    </w:p>
    <w:p>
      <w:pPr>
        <w:pStyle w:val="Compact"/>
        <w:numPr>
          <w:ilvl w:val="0"/>
          <w:numId w:val="1004"/>
        </w:numPr>
      </w:pPr>
      <w:r>
        <w:rPr>
          <w:b/>
          <w:bCs/>
        </w:rPr>
        <w:t xml:space="preserve">“</w:t>
      </w:r>
      <w:r>
        <w:rPr>
          <w:b/>
          <w:bCs/>
        </w:rPr>
        <w:t xml:space="preserve">Prepared by</w:t>
      </w:r>
      <w:r>
        <w:rPr>
          <w:b/>
          <w:bCs/>
        </w:rPr>
        <w:t xml:space="preserve">”</w:t>
      </w:r>
      <w:r>
        <w:rPr>
          <w:b/>
          <w:bCs/>
        </w:rPr>
        <w:t xml:space="preserve"> </w:t>
      </w:r>
      <w:r>
        <w:rPr>
          <w:b/>
          <w:bCs/>
        </w:rPr>
        <w:t xml:space="preserve">line:</w:t>
      </w:r>
      <w:r>
        <w:t xml:space="preserve"> </w:t>
      </w:r>
      <w:r>
        <w:t xml:space="preserve">The Draft states it was</w:t>
      </w:r>
      <w:r>
        <w:t xml:space="preserve"> </w:t>
      </w:r>
      <w:r>
        <w:t xml:space="preserve">“</w:t>
      </w:r>
      <w:r>
        <w:t xml:space="preserve">Prepared by Engel &amp; Associates, P.C.</w:t>
      </w:r>
      <w:r>
        <w:t xml:space="preserve">”</w:t>
      </w:r>
      <w:r>
        <w:t xml:space="preserve"> </w:t>
      </w:r>
      <w:r>
        <w:t xml:space="preserve">(employee’s counsel). Greenleaf’s counsel should control the final form; consider updating the preparation line.</w:t>
      </w:r>
    </w:p>
    <w:p>
      <w:r>
        <w:pict>
          <v:rect style="width:0;height:1.5pt" o:hralign="center" o:hrstd="t" o:hr="t"/>
        </w:pict>
      </w:r>
    </w:p>
    <w:bookmarkEnd w:id="34"/>
    <w:bookmarkEnd w:id="35"/>
    <w:bookmarkStart w:id="36" w:name="v.-recommended-next-steps"/>
    <w:p>
      <w:pPr>
        <w:pStyle w:val="Heading2"/>
      </w:pPr>
      <w:r>
        <w:t xml:space="preserve">V. Recommended Next Steps</w:t>
      </w:r>
    </w:p>
    <w:p>
      <w:pPr>
        <w:pStyle w:val="Compact"/>
        <w:numPr>
          <w:ilvl w:val="0"/>
          <w:numId w:val="1005"/>
        </w:numPr>
      </w:pPr>
      <w:r>
        <w:rPr>
          <w:b/>
          <w:bCs/>
        </w:rPr>
        <w:t xml:space="preserve">Obtain EPLI carrier consent</w:t>
      </w:r>
      <w:r>
        <w:t xml:space="preserve"> </w:t>
      </w:r>
      <w:r>
        <w:t xml:space="preserve">(Timberline, Policy TIG-EPL-2024-00391) before any execution, and confirm funding/allocation.</w:t>
      </w:r>
    </w:p>
    <w:p>
      <w:pPr>
        <w:pStyle w:val="Compact"/>
        <w:numPr>
          <w:ilvl w:val="0"/>
          <w:numId w:val="1005"/>
        </w:numPr>
      </w:pPr>
      <w:r>
        <w:rPr>
          <w:b/>
          <w:bCs/>
        </w:rPr>
        <w:t xml:space="preserve">Obtain Compensation Committee approval</w:t>
      </w:r>
      <w:r>
        <w:t xml:space="preserve"> </w:t>
      </w:r>
      <w:r>
        <w:t xml:space="preserve">for the RSU acceleration (the Plan makes this discretionary); the redline conditions the obligation on that approval.</w:t>
      </w:r>
    </w:p>
    <w:p>
      <w:pPr>
        <w:pStyle w:val="Compact"/>
        <w:numPr>
          <w:ilvl w:val="0"/>
          <w:numId w:val="1005"/>
        </w:numPr>
      </w:pPr>
      <w:r>
        <w:rPr>
          <w:b/>
          <w:bCs/>
        </w:rPr>
        <w:t xml:space="preserve">Decide the RSU valuation point</w:t>
      </w:r>
      <w:r>
        <w:t xml:space="preserve"> </w:t>
      </w:r>
      <w:r>
        <w:t xml:space="preserve">— accept the corrected $12.50/$537,500 figure (recommended) or instruct us to restructure to hold the total at $525,000 with corrected tax-withholding language.</w:t>
      </w:r>
    </w:p>
    <w:p>
      <w:pPr>
        <w:pStyle w:val="Compact"/>
        <w:numPr>
          <w:ilvl w:val="0"/>
          <w:numId w:val="1005"/>
        </w:numPr>
      </w:pPr>
      <w:r>
        <w:rPr>
          <w:b/>
          <w:bCs/>
        </w:rPr>
        <w:t xml:space="preserve">Confirm tax allocation</w:t>
      </w:r>
      <w:r>
        <w:t xml:space="preserve"> </w:t>
      </w:r>
      <w:r>
        <w:t xml:space="preserve">with tax counsel.</w:t>
      </w:r>
    </w:p>
    <w:p>
      <w:pPr>
        <w:pStyle w:val="Compact"/>
        <w:numPr>
          <w:ilvl w:val="0"/>
          <w:numId w:val="1005"/>
        </w:numPr>
      </w:pPr>
      <w:r>
        <w:rPr>
          <w:b/>
          <w:bCs/>
        </w:rPr>
        <w:t xml:space="preserve">Confirm Oregon/Washington non-compete enforceability</w:t>
      </w:r>
      <w:r>
        <w:t xml:space="preserve"> </w:t>
      </w:r>
      <w:r>
        <w:t xml:space="preserve">with local counsel, and decide whether to keep the non-compete at all given the settlement consideration.</w:t>
      </w:r>
    </w:p>
    <w:p>
      <w:pPr>
        <w:pStyle w:val="Compact"/>
        <w:numPr>
          <w:ilvl w:val="0"/>
          <w:numId w:val="1005"/>
        </w:numPr>
      </w:pPr>
      <w:r>
        <w:rPr>
          <w:b/>
          <w:bCs/>
        </w:rPr>
        <w:t xml:space="preserve">Circulate the redline</w:t>
      </w:r>
      <w:r>
        <w:t xml:space="preserve"> </w:t>
      </w:r>
      <w:r>
        <w:t xml:space="preserve">to Mr. Delano’s counsel with a cover note identifying the OWBPA corrections as non-negotiable; anticipate pushback on the reference, re-employment, and non-compete revisions.</w:t>
      </w:r>
    </w:p>
    <w:p>
      <w:pPr>
        <w:pStyle w:val="Compact"/>
        <w:numPr>
          <w:ilvl w:val="0"/>
          <w:numId w:val="1005"/>
        </w:numPr>
      </w:pPr>
      <w:r>
        <w:rPr>
          <w:b/>
          <w:bCs/>
        </w:rPr>
        <w:t xml:space="preserve">Re-issue the agreement with a 21-day clock</w:t>
      </w:r>
      <w:r>
        <w:t xml:space="preserve"> </w:t>
      </w:r>
      <w:r>
        <w:t xml:space="preserve">once terms are agreed; do not permit execution before the 21-day offer has been made, and do not make any payment until the 7-day revocation period has expired.</w:t>
      </w:r>
    </w:p>
    <w:p>
      <w:pPr>
        <w:pStyle w:val="FirstParagraph"/>
      </w:pPr>
      <w:r>
        <w:t xml:space="preserve">We are available to discuss any of the above or to adjust the drafted revisions.</w:t>
      </w:r>
    </w:p>
    <w:p>
      <w:pPr>
        <w:pStyle w:val="BodyText"/>
      </w:pPr>
      <w:r>
        <w:rPr>
          <w:i/>
          <w:iCs/>
        </w:rPr>
        <w:t xml:space="preserve">Privileged and confidential. Prepared in anticipation of litigation and at the request of counsel.</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2026-06-27T20:30:01Z</dcterms:created>
  <dcterms:modified xsi:type="dcterms:W3CDTF">2026-06-27T20:30:01Z</dcterms:modified>
</cp:coreProperties>
</file>

<file path=docProps/custom.xml><?xml version="1.0" encoding="utf-8"?>
<Properties xmlns="http://schemas.openxmlformats.org/officeDocument/2006/custom-properties" xmlns:vt="http://schemas.openxmlformats.org/officeDocument/2006/docPropsVTypes"/>
</file>