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48" w:name="environmental-issues-memorandum"/>
    <w:p>
      <w:pPr>
        <w:pStyle w:val="Heading1"/>
      </w:pPr>
      <w:r>
        <w:t xml:space="preserve">ENVIRONMENTAL ISSUES MEMORANDUM</w:t>
      </w:r>
    </w:p>
    <w:p>
      <w:pPr>
        <w:pStyle w:val="FirstParagraph"/>
      </w:pPr>
      <w:r>
        <w:rPr>
          <w:b/>
          <w:bCs/>
        </w:rPr>
        <w:t xml:space="preserve">To:</w:t>
      </w:r>
      <w:r>
        <w:t xml:space="preserve"> </w:t>
      </w:r>
      <w:r>
        <w:t xml:space="preserve">Marcus Choi, Managing Partner, Cornerstone Industrial Partners LLC; Sarah Castellano, Esq., Whitfield &amp; Crane LLP (Buyer’s Counsel)</w:t>
      </w:r>
    </w:p>
    <w:p>
      <w:pPr>
        <w:pStyle w:val="BodyText"/>
      </w:pPr>
      <w:r>
        <w:rPr>
          <w:b/>
          <w:bCs/>
        </w:rPr>
        <w:t xml:space="preserve">From:</w:t>
      </w:r>
      <w:r>
        <w:t xml:space="preserve"> </w:t>
      </w:r>
      <w:r>
        <w:t xml:space="preserve">Environmental Due Diligence Team</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Environmental Issues and Severity Assessment — Proposed Acquisition of 4820 Lakeshore Industrial Drive, Toledo, Lucas County, Ohio 43611 (Lucas County Parcel Nos. 18-04562-001, -002, -003) from Breckenridge Manufacturing Co.; Loan No. GLCB-2024-08173 (Great Lakes Capital Bank)</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environmental issues identified in our review of the Phase I Environmental Site Assessment (</w:t>
      </w:r>
      <w:r>
        <w:t xml:space="preserve">“</w:t>
      </w:r>
      <w:r>
        <w:t xml:space="preserve">Phase I ESA</w:t>
      </w:r>
      <w:r>
        <w:t xml:space="preserve">”</w:t>
      </w:r>
      <w:r>
        <w:t xml:space="preserve">) prepared by Greenfield Environmental Consultants Inc. (</w:t>
      </w:r>
      <w:r>
        <w:t xml:space="preserve">“</w:t>
      </w:r>
      <w:r>
        <w:t xml:space="preserve">Greenfield</w:t>
      </w:r>
      <w:r>
        <w:t xml:space="preserve">”</w:t>
      </w:r>
      <w:r>
        <w:t xml:space="preserve">) and the supporting environmental and transactional documents for Cornerstone Industrial Partners LLC’s (</w:t>
      </w:r>
      <w:r>
        <w:t xml:space="preserve">“</w:t>
      </w:r>
      <w:r>
        <w:t xml:space="preserve">Buyer</w:t>
      </w:r>
      <w:r>
        <w:t xml:space="preserve">”</w:t>
      </w:r>
      <w:r>
        <w:t xml:space="preserve"> </w:t>
      </w:r>
      <w:r>
        <w:t xml:space="preserve">or</w:t>
      </w:r>
      <w:r>
        <w:t xml:space="preserve"> </w:t>
      </w:r>
      <w:r>
        <w:t xml:space="preserve">“</w:t>
      </w:r>
      <w:r>
        <w:t xml:space="preserve">Cornerstone</w:t>
      </w:r>
      <w:r>
        <w:t xml:space="preserve">”</w:t>
      </w:r>
      <w:r>
        <w:t xml:space="preserve">) proposed acquisition of the approximately 14.7-acre former manufacturing/warehouse complex located at 4820 Lakeshore Industrial Drive, Toledo, Ohio (the</w:t>
      </w:r>
      <w:r>
        <w:t xml:space="preserve"> </w:t>
      </w:r>
      <w:r>
        <w:t xml:space="preserve">“</w:t>
      </w:r>
      <w:r>
        <w:t xml:space="preserve">Property</w:t>
      </w:r>
      <w:r>
        <w:t xml:space="preserve">”</w:t>
      </w:r>
      <w:r>
        <w:t xml:space="preserve">) from Breckenridge Manufacturing Co. (</w:t>
      </w:r>
      <w:r>
        <w:t xml:space="preserve">“</w:t>
      </w:r>
      <w:r>
        <w:t xml:space="preserve">Seller</w:t>
      </w:r>
      <w:r>
        <w:t xml:space="preserve">”</w:t>
      </w:r>
      <w:r>
        <w:t xml:space="preserve">). The acquisition is financed in part by a $6,125,000 loan from Great Lakes Capital Bank (the</w:t>
      </w:r>
      <w:r>
        <w:t xml:space="preserve"> </w:t>
      </w:r>
      <w:r>
        <w:t xml:space="preserve">“</w:t>
      </w:r>
      <w:r>
        <w:t xml:space="preserve">Lender</w:t>
      </w:r>
      <w:r>
        <w:t xml:space="preserve">”</w:t>
      </w:r>
      <w:r>
        <w:t xml:space="preserve">).</w:t>
      </w:r>
    </w:p>
    <w:p>
      <w:pPr>
        <w:pStyle w:val="BodyText"/>
      </w:pPr>
      <w:r>
        <w:rPr>
          <w:b/>
          <w:bCs/>
        </w:rPr>
        <w:t xml:space="preserve">Headline conclusions.</w:t>
      </w:r>
      <w:r>
        <w:t xml:space="preserve"> </w:t>
      </w:r>
      <w:r>
        <w:t xml:space="preserve">The Phase I ESA identifies two recognized environmental conditions (</w:t>
      </w:r>
      <w:r>
        <w:t xml:space="preserve">“</w:t>
      </w:r>
      <w:r>
        <w:t xml:space="preserve">RECs</w:t>
      </w:r>
      <w:r>
        <w:t xml:space="preserve">”</w:t>
      </w:r>
      <w:r>
        <w:t xml:space="preserve">) on the Property — (1) former trichloroethylene (</w:t>
      </w:r>
      <w:r>
        <w:t xml:space="preserve">“</w:t>
      </w:r>
      <w:r>
        <w:t xml:space="preserve">TCE</w:t>
      </w:r>
      <w:r>
        <w:t xml:space="preserve">”</w:t>
      </w:r>
      <w:r>
        <w:t xml:space="preserve">) vapor degreasing operations and an abandoned, leaking waste-TCE drum, and (2) former hexavalent chromium electroplating operations — both of which, in our judgment, likely exceed the $500,000 remediation-cost threshold that gives Buyer a contractual right to terminate the Asset Purchase Agreement (the</w:t>
      </w:r>
      <w:r>
        <w:t xml:space="preserve"> </w:t>
      </w:r>
      <w:r>
        <w:t xml:space="preserve">“</w:t>
      </w:r>
      <w:r>
        <w:t xml:space="preserve">APA</w:t>
      </w:r>
      <w:r>
        <w:t xml:space="preserve">”</w:t>
      </w:r>
      <w:r>
        <w:t xml:space="preserve">) on or before</w:t>
      </w:r>
      <w:r>
        <w:t xml:space="preserve"> </w:t>
      </w:r>
      <w:r>
        <w:rPr>
          <w:b/>
          <w:bCs/>
        </w:rPr>
        <w:t xml:space="preserve">October 31, 2024</w:t>
      </w:r>
      <w:r>
        <w:t xml:space="preserve">. More significantly, our review of the supporting documents (the Ohio EPA file response and the EDR database summary) reveals</w:t>
      </w:r>
      <w:r>
        <w:t xml:space="preserve"> </w:t>
      </w:r>
      <w:r>
        <w:rPr>
          <w:b/>
          <w:bCs/>
        </w:rPr>
        <w:t xml:space="preserve">a third, unclassified REC</w:t>
      </w:r>
      <w:r>
        <w:t xml:space="preserve">: a confirmed tetrachloroethylene (</w:t>
      </w:r>
      <w:r>
        <w:t xml:space="preserve">“</w:t>
      </w:r>
      <w:r>
        <w:t xml:space="preserve">PCE</w:t>
      </w:r>
      <w:r>
        <w:t xml:space="preserve">”</w:t>
      </w:r>
      <w:r>
        <w:t xml:space="preserve">) groundwater plume migrating onto the Property from the adjacent former Lake Erie Dry Cleaning facility, located approximately 120 feet upgradient (north) of the Property. Greenfield documented this plume in detail but did</w:t>
      </w:r>
      <w:r>
        <w:t xml:space="preserve"> </w:t>
      </w:r>
      <w:r>
        <w:rPr>
          <w:b/>
          <w:bCs/>
        </w:rPr>
        <w:t xml:space="preserve">not</w:t>
      </w:r>
      <w:r>
        <w:t xml:space="preserve"> </w:t>
      </w:r>
      <w:r>
        <w:t xml:space="preserve">classify it as a REC, which is inconsistent with ASTM E1527-21 and directly contrary to the Lender’s express written instruction that off-site plumes migrating toward the Property</w:t>
      </w:r>
      <w:r>
        <w:t xml:space="preserve"> </w:t>
      </w:r>
      <w:r>
        <w:t xml:space="preserve">“</w:t>
      </w:r>
      <w:r>
        <w:t xml:space="preserve">must be identified as recognized environmental conditions.</w:t>
      </w:r>
      <w:r>
        <w:t xml:space="preserve">”</w:t>
      </w:r>
    </w:p>
    <w:p>
      <w:pPr>
        <w:pStyle w:val="BodyText"/>
      </w:pPr>
      <w:r>
        <w:t xml:space="preserve">In addition, the Seller’s environmental and underground storage tank (</w:t>
      </w:r>
      <w:r>
        <w:t xml:space="preserve">“</w:t>
      </w:r>
      <w:r>
        <w:t xml:space="preserve">UST</w:t>
      </w:r>
      <w:r>
        <w:t xml:space="preserve">”</w:t>
      </w:r>
      <w:r>
        <w:t xml:space="preserve">) representations in the APA appear to be</w:t>
      </w:r>
      <w:r>
        <w:t xml:space="preserve"> </w:t>
      </w:r>
      <w:r>
        <w:rPr>
          <w:b/>
          <w:bCs/>
        </w:rPr>
        <w:t xml:space="preserve">materially inaccurate</w:t>
      </w:r>
      <w:r>
        <w:t xml:space="preserve">: Schedule 4.12(a) and Schedule 4.12(c) each state</w:t>
      </w:r>
      <w:r>
        <w:t xml:space="preserve"> </w:t>
      </w:r>
      <w:r>
        <w:t xml:space="preserve">“</w:t>
      </w:r>
      <w:r>
        <w:t xml:space="preserve">None,</w:t>
      </w:r>
      <w:r>
        <w:t xml:space="preserve">”</w:t>
      </w:r>
      <w:r>
        <w:t xml:space="preserve"> </w:t>
      </w:r>
      <w:r>
        <w:t xml:space="preserve">notwithstanding a documented 1988 chemical spill and a 2003 Ohio EPA Notice of Violation (</w:t>
      </w:r>
      <w:r>
        <w:t xml:space="preserve">“</w:t>
      </w:r>
      <w:r>
        <w:t xml:space="preserve">NOV</w:t>
      </w:r>
      <w:r>
        <w:t xml:space="preserve">”</w:t>
      </w:r>
      <w:r>
        <w:t xml:space="preserve">) and consent order; and Schedule 4.13 omits two historically documented USTs (a 2,000-gallon waste-solvent UST and a 500-gallon heating-oil UST) for which no registration or closure records exist. Seller’s principal has made statements to Greenfield that are inconsistent with these documented events, raising potential fraud / intentional-misrepresentation concerns that, if established, would pierce the APA’s indemnification basket, cap, and survival period.</w:t>
      </w:r>
    </w:p>
    <w:p>
      <w:pPr>
        <w:pStyle w:val="BodyText"/>
      </w:pPr>
      <w:r>
        <w:t xml:space="preserve">Because RECs have been identified, the Lender’s enhanced due-diligence requirements are triggered (Phase II ESA, pollution legal liability insurance of at least $5,000,000, a remediation-cost escrow, a remediation plan if costs exceed $500,000, and a vapor intrusion assessment). None of these has yet been satisfied, and the Lender’s delivery deadline for the Phase II package is</w:t>
      </w:r>
      <w:r>
        <w:t xml:space="preserve"> </w:t>
      </w:r>
      <w:r>
        <w:rPr>
          <w:b/>
          <w:bCs/>
        </w:rPr>
        <w:t xml:space="preserve">November 30, 2024</w:t>
      </w:r>
      <w:r>
        <w:t xml:space="preserve"> </w:t>
      </w:r>
      <w:r>
        <w:t xml:space="preserve">— only five weeks away. The APA’s $1,750,000 indemnification cap (20% of the purchase price) is, in our judgment, likely insufficient to cover the potential remediation exposure, and the Lender has expressly stated it will not rely on Seller indemnity alone.</w:t>
      </w:r>
    </w:p>
    <w:p>
      <w:pPr>
        <w:pStyle w:val="BodyText"/>
      </w:pPr>
      <w:r>
        <w:t xml:space="preserve">A complete list of the 18 issues identified, each with a severity rating, appears in the Summary Table in Section V. Four issues are rated</w:t>
      </w:r>
      <w:r>
        <w:t xml:space="preserve"> </w:t>
      </w:r>
      <w:r>
        <w:rPr>
          <w:b/>
          <w:bCs/>
        </w:rPr>
        <w:t xml:space="preserve">Critical</w:t>
      </w:r>
      <w:r>
        <w:t xml:space="preserve">, seven</w:t>
      </w:r>
      <w:r>
        <w:t xml:space="preserve"> </w:t>
      </w:r>
      <w:r>
        <w:rPr>
          <w:b/>
          <w:bCs/>
        </w:rPr>
        <w:t xml:space="preserve">High</w:t>
      </w:r>
      <w:r>
        <w:t xml:space="preserve">, five</w:t>
      </w:r>
      <w:r>
        <w:t xml:space="preserve"> </w:t>
      </w:r>
      <w:r>
        <w:rPr>
          <w:b/>
          <w:bCs/>
        </w:rPr>
        <w:t xml:space="preserve">Moderate</w:t>
      </w:r>
      <w:r>
        <w:t xml:space="preserve">, and two</w:t>
      </w:r>
      <w:r>
        <w:t xml:space="preserve"> </w:t>
      </w:r>
      <w:r>
        <w:rPr>
          <w:b/>
          <w:bCs/>
        </w:rPr>
        <w:t xml:space="preserve">Low</w:t>
      </w:r>
      <w:r>
        <w:t xml:space="preserve">.</w:t>
      </w:r>
    </w:p>
    <w:p>
      <w:r>
        <w:pict>
          <v:rect style="width:0;height:1.5pt" o:hralign="center" o:hrstd="t" o:hr="t"/>
        </w:pict>
      </w:r>
    </w:p>
    <w:bookmarkEnd w:id="21"/>
    <w:bookmarkStart w:id="22" w:name="ii.-transaction-summary"/>
    <w:p>
      <w:pPr>
        <w:pStyle w:val="Heading2"/>
      </w:pPr>
      <w:r>
        <w:t xml:space="preserve">II.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Property</w:t>
            </w:r>
          </w:p>
        </w:tc>
        <w:tc>
          <w:tcPr/>
          <w:p>
            <w:pPr>
              <w:pStyle w:val="Compact"/>
              <w:jc w:val="left"/>
            </w:pPr>
            <w:r>
              <w:t xml:space="preserve">4820 Lakeshore Industrial Drive, Toledo, Lucas County, Ohio 43611; ~14.7 acres; three parcels (18-04562-001/-002/-003)</w:t>
            </w:r>
          </w:p>
        </w:tc>
      </w:tr>
      <w:tr>
        <w:tc>
          <w:tcPr/>
          <w:p>
            <w:pPr>
              <w:pStyle w:val="Compact"/>
              <w:jc w:val="left"/>
            </w:pPr>
            <w:r>
              <w:t xml:space="preserve">Improvements</w:t>
            </w:r>
          </w:p>
        </w:tc>
        <w:tc>
          <w:tcPr/>
          <w:p>
            <w:pPr>
              <w:pStyle w:val="Compact"/>
              <w:jc w:val="left"/>
            </w:pPr>
            <w:r>
              <w:t xml:space="preserve">Main manufacturing building (~100,000 sf, 1962 + 1978 addition); warehouse (~35,000 sf, 1985); maintenance/utility building (~6,500 sf, 1972)</w:t>
            </w:r>
          </w:p>
        </w:tc>
      </w:tr>
      <w:tr>
        <w:tc>
          <w:tcPr/>
          <w:p>
            <w:pPr>
              <w:pStyle w:val="Compact"/>
              <w:jc w:val="left"/>
            </w:pPr>
            <w:r>
              <w:t xml:space="preserve">Seller</w:t>
            </w:r>
          </w:p>
        </w:tc>
        <w:tc>
          <w:tcPr/>
          <w:p>
            <w:pPr>
              <w:pStyle w:val="Compact"/>
              <w:jc w:val="left"/>
            </w:pPr>
            <w:r>
              <w:t xml:space="preserve">Breckenridge Manufacturing Co. (Gerald Breckenridge III, President; owner since 1961)</w:t>
            </w:r>
          </w:p>
        </w:tc>
      </w:tr>
      <w:tr>
        <w:tc>
          <w:tcPr/>
          <w:p>
            <w:pPr>
              <w:pStyle w:val="Compact"/>
              <w:jc w:val="left"/>
            </w:pPr>
            <w:r>
              <w:t xml:space="preserve">Buyer</w:t>
            </w:r>
          </w:p>
        </w:tc>
        <w:tc>
          <w:tcPr/>
          <w:p>
            <w:pPr>
              <w:pStyle w:val="Compact"/>
              <w:jc w:val="left"/>
            </w:pPr>
            <w:r>
              <w:t xml:space="preserve">Cornerstone Industrial Partners LLC</w:t>
            </w:r>
          </w:p>
        </w:tc>
      </w:tr>
      <w:tr>
        <w:tc>
          <w:tcPr/>
          <w:p>
            <w:pPr>
              <w:pStyle w:val="Compact"/>
              <w:jc w:val="left"/>
            </w:pPr>
            <w:r>
              <w:t xml:space="preserve">Purchase Price</w:t>
            </w:r>
          </w:p>
        </w:tc>
        <w:tc>
          <w:tcPr/>
          <w:p>
            <w:pPr>
              <w:pStyle w:val="Compact"/>
              <w:jc w:val="left"/>
            </w:pPr>
            <w:r>
              <w:t xml:space="preserve">$8,750,000</w:t>
            </w:r>
          </w:p>
        </w:tc>
      </w:tr>
      <w:tr>
        <w:tc>
          <w:tcPr/>
          <w:p>
            <w:pPr>
              <w:pStyle w:val="Compact"/>
              <w:jc w:val="left"/>
            </w:pPr>
            <w:r>
              <w:t xml:space="preserve">Earnest Money</w:t>
            </w:r>
          </w:p>
        </w:tc>
        <w:tc>
          <w:tcPr/>
          <w:p>
            <w:pPr>
              <w:pStyle w:val="Compact"/>
              <w:jc w:val="left"/>
            </w:pPr>
            <w:r>
              <w:t xml:space="preserve">$437,500 (5%) — refundable if Buyer terminates under APA §6.3(b)</w:t>
            </w:r>
          </w:p>
        </w:tc>
      </w:tr>
      <w:tr>
        <w:tc>
          <w:tcPr/>
          <w:p>
            <w:pPr>
              <w:pStyle w:val="Compact"/>
              <w:jc w:val="left"/>
            </w:pPr>
            <w:r>
              <w:t xml:space="preserve">Lender / Loan</w:t>
            </w:r>
          </w:p>
        </w:tc>
        <w:tc>
          <w:tcPr/>
          <w:p>
            <w:pPr>
              <w:pStyle w:val="Compact"/>
              <w:jc w:val="left"/>
            </w:pPr>
            <w:r>
              <w:t xml:space="preserve">Great Lakes Capital Bank; $6,125,000 (~70% LTV); Loan No. GLCB-2024-08173</w:t>
            </w:r>
          </w:p>
        </w:tc>
      </w:tr>
      <w:tr>
        <w:tc>
          <w:tcPr/>
          <w:p>
            <w:pPr>
              <w:pStyle w:val="Compact"/>
              <w:jc w:val="left"/>
            </w:pPr>
            <w:r>
              <w:t xml:space="preserve">Buyer’s Equity</w:t>
            </w:r>
          </w:p>
        </w:tc>
        <w:tc>
          <w:tcPr/>
          <w:p>
            <w:pPr>
              <w:pStyle w:val="Compact"/>
              <w:jc w:val="left"/>
            </w:pPr>
            <w:r>
              <w:t xml:space="preserve">$2,625,000</w:t>
            </w:r>
          </w:p>
        </w:tc>
      </w:tr>
      <w:tr>
        <w:tc>
          <w:tcPr/>
          <w:p>
            <w:pPr>
              <w:pStyle w:val="Compact"/>
              <w:jc w:val="left"/>
            </w:pPr>
            <w:r>
              <w:t xml:space="preserve">APA Effective Date</w:t>
            </w:r>
          </w:p>
        </w:tc>
        <w:tc>
          <w:tcPr/>
          <w:p>
            <w:pPr>
              <w:pStyle w:val="Compact"/>
              <w:jc w:val="left"/>
            </w:pPr>
            <w:r>
              <w:t xml:space="preserve">September 1, 2024</w:t>
            </w:r>
          </w:p>
        </w:tc>
      </w:tr>
      <w:tr>
        <w:tc>
          <w:tcPr/>
          <w:p>
            <w:pPr>
              <w:pStyle w:val="Compact"/>
              <w:jc w:val="left"/>
            </w:pPr>
            <w:r>
              <w:t xml:space="preserve">Environmental Due Diligence Period</w:t>
            </w:r>
          </w:p>
        </w:tc>
        <w:tc>
          <w:tcPr/>
          <w:p>
            <w:pPr>
              <w:pStyle w:val="Compact"/>
              <w:jc w:val="left"/>
            </w:pPr>
            <w:r>
              <w:t xml:space="preserve">Ends</w:t>
            </w:r>
            <w:r>
              <w:t xml:space="preserve"> </w:t>
            </w:r>
            <w:r>
              <w:rPr>
                <w:b/>
                <w:bCs/>
              </w:rPr>
              <w:t xml:space="preserve">5:00 p.m. ET, October 31, 2024</w:t>
            </w:r>
            <w:r>
              <w:t xml:space="preserve"> </w:t>
            </w:r>
            <w:r>
              <w:t xml:space="preserve">(60 days from Effective Date)</w:t>
            </w:r>
          </w:p>
        </w:tc>
      </w:tr>
      <w:tr>
        <w:tc>
          <w:tcPr/>
          <w:p>
            <w:pPr>
              <w:pStyle w:val="Compact"/>
              <w:jc w:val="left"/>
            </w:pPr>
            <w:r>
              <w:t xml:space="preserve">Closing Date</w:t>
            </w:r>
          </w:p>
        </w:tc>
        <w:tc>
          <w:tcPr/>
          <w:p>
            <w:pPr>
              <w:pStyle w:val="Compact"/>
              <w:jc w:val="left"/>
            </w:pPr>
            <w:r>
              <w:t xml:space="preserve">December 15, 2024</w:t>
            </w:r>
          </w:p>
        </w:tc>
      </w:tr>
      <w:tr>
        <w:tc>
          <w:tcPr/>
          <w:p>
            <w:pPr>
              <w:pStyle w:val="Compact"/>
              <w:jc w:val="left"/>
            </w:pPr>
            <w:r>
              <w:t xml:space="preserve">Phase I ESA</w:t>
            </w:r>
          </w:p>
        </w:tc>
        <w:tc>
          <w:tcPr/>
          <w:p>
            <w:pPr>
              <w:pStyle w:val="Compact"/>
              <w:jc w:val="left"/>
            </w:pPr>
            <w:r>
              <w:t xml:space="preserve">Greenfield Environmental Consultants Inc.; ASTM E1527-21; site reconnaissance Oct. 2, 2024; report dated Oct. 25, 2024; Lender named as authorized reliance party</w:t>
            </w:r>
          </w:p>
        </w:tc>
      </w:tr>
      <w:tr>
        <w:tc>
          <w:tcPr/>
          <w:p>
            <w:pPr>
              <w:pStyle w:val="Compact"/>
              <w:jc w:val="left"/>
            </w:pPr>
            <w:r>
              <w:t xml:space="preserve">Buyer’s Counsel</w:t>
            </w:r>
          </w:p>
        </w:tc>
        <w:tc>
          <w:tcPr/>
          <w:p>
            <w:pPr>
              <w:pStyle w:val="Compact"/>
              <w:jc w:val="left"/>
            </w:pPr>
            <w:r>
              <w:t xml:space="preserve">Whitfield &amp; Crane LLP (Sarah Castellano)</w:t>
            </w:r>
          </w:p>
        </w:tc>
      </w:tr>
    </w:tbl>
    <w:p>
      <w:pPr>
        <w:pStyle w:val="BodyText"/>
      </w:pPr>
      <w:r>
        <w:rPr>
          <w:b/>
          <w:bCs/>
        </w:rPr>
        <w:t xml:space="preserve">Key contractual provisions (environmental).</w:t>
      </w:r>
    </w:p>
    <w:p>
      <w:pPr>
        <w:pStyle w:val="Compact"/>
        <w:numPr>
          <w:ilvl w:val="0"/>
          <w:numId w:val="1001"/>
        </w:numPr>
      </w:pPr>
      <w:r>
        <w:rPr>
          <w:b/>
          <w:bCs/>
        </w:rPr>
        <w:t xml:space="preserve">Termination right (APA §6.3(b)).</w:t>
      </w:r>
      <w:r>
        <w:t xml:space="preserve"> </w:t>
      </w:r>
      <w:r>
        <w:t xml:space="preserve">Buyer may terminate and recover the full Earnest Money Deposit if the Phase I ESA (or any other investigation during the diligence period) identifies RECs that, in Buyer’s reasonable judgment,</w:t>
      </w:r>
      <w:r>
        <w:t xml:space="preserve"> </w:t>
      </w:r>
      <w:r>
        <w:t xml:space="preserve">“</w:t>
      </w:r>
      <w:r>
        <w:t xml:space="preserve">could result in Remediation Costs exceeding $500,000.</w:t>
      </w:r>
      <w:r>
        <w:t xml:space="preserve">”</w:t>
      </w:r>
      <w:r>
        <w:t xml:space="preserve"> </w:t>
      </w:r>
      <w:r>
        <w:t xml:space="preserve">Notice must be delivered</w:t>
      </w:r>
      <w:r>
        <w:t xml:space="preserve"> </w:t>
      </w:r>
      <w:r>
        <w:rPr>
          <w:b/>
          <w:bCs/>
        </w:rPr>
        <w:t xml:space="preserve">on or before October 31, 2024</w:t>
      </w:r>
      <w:r>
        <w:t xml:space="preserve">. Failure to give notice is an</w:t>
      </w:r>
      <w:r>
        <w:t xml:space="preserve"> </w:t>
      </w:r>
      <w:r>
        <w:rPr>
          <w:b/>
          <w:bCs/>
        </w:rPr>
        <w:t xml:space="preserve">automatic waiver</w:t>
      </w:r>
      <w:r>
        <w:t xml:space="preserve"> </w:t>
      </w:r>
      <w:r>
        <w:t xml:space="preserve">of the termination right (§6.3(c)), although indemnification rights survive.</w:t>
      </w:r>
    </w:p>
    <w:p>
      <w:pPr>
        <w:pStyle w:val="Compact"/>
        <w:numPr>
          <w:ilvl w:val="0"/>
          <w:numId w:val="1001"/>
        </w:numPr>
      </w:pPr>
      <w:r>
        <w:rPr>
          <w:b/>
          <w:bCs/>
        </w:rPr>
        <w:t xml:space="preserve">Seller indemnification (APA §8.2(a)(iii)).</w:t>
      </w:r>
      <w:r>
        <w:t xml:space="preserve"> </w:t>
      </w:r>
      <w:r>
        <w:t xml:space="preserve">Seller indemnifies Buyer for</w:t>
      </w:r>
      <w:r>
        <w:t xml:space="preserve"> </w:t>
      </w:r>
      <w:r>
        <w:t xml:space="preserve">“</w:t>
      </w:r>
      <w:r>
        <w:t xml:space="preserve">Pre-Closing Environmental Liabilities</w:t>
      </w:r>
      <w:r>
        <w:t xml:space="preserve">”</w:t>
      </w:r>
      <w:r>
        <w:t xml:space="preserve"> </w:t>
      </w:r>
      <w:r>
        <w:t xml:space="preserve">regardless of when discovered.</w:t>
      </w:r>
    </w:p>
    <w:p>
      <w:pPr>
        <w:pStyle w:val="Compact"/>
        <w:numPr>
          <w:ilvl w:val="0"/>
          <w:numId w:val="1001"/>
        </w:numPr>
      </w:pPr>
      <w:r>
        <w:rPr>
          <w:b/>
          <w:bCs/>
        </w:rPr>
        <w:t xml:space="preserve">Basket (§8.4(a)).</w:t>
      </w:r>
      <w:r>
        <w:t xml:space="preserve"> </w:t>
      </w:r>
      <w:r>
        <w:t xml:space="preserve">$87,500 (1% of price). Applies</w:t>
      </w:r>
      <w:r>
        <w:t xml:space="preserve"> </w:t>
      </w:r>
      <w:r>
        <w:rPr>
          <w:b/>
          <w:bCs/>
        </w:rPr>
        <w:t xml:space="preserve">only</w:t>
      </w:r>
      <w:r>
        <w:t xml:space="preserve"> </w:t>
      </w:r>
      <w:r>
        <w:t xml:space="preserve">to representation/warranty breaches (§8.2(a)(i)); it does</w:t>
      </w:r>
      <w:r>
        <w:t xml:space="preserve"> </w:t>
      </w:r>
      <w:r>
        <w:rPr>
          <w:b/>
          <w:bCs/>
        </w:rPr>
        <w:t xml:space="preserve">not</w:t>
      </w:r>
      <w:r>
        <w:t xml:space="preserve"> </w:t>
      </w:r>
      <w:r>
        <w:t xml:space="preserve">apply to Pre-Closing Environmental Liabilities (§8.2(a)(iii)).</w:t>
      </w:r>
    </w:p>
    <w:p>
      <w:pPr>
        <w:pStyle w:val="Compact"/>
        <w:numPr>
          <w:ilvl w:val="0"/>
          <w:numId w:val="1001"/>
        </w:numPr>
      </w:pPr>
      <w:r>
        <w:rPr>
          <w:b/>
          <w:bCs/>
        </w:rPr>
        <w:t xml:space="preserve">Indemnification Cap (§8.4(b)).</w:t>
      </w:r>
      <w:r>
        <w:t xml:space="preserve"> </w:t>
      </w:r>
      <w:r>
        <w:t xml:space="preserve">$1,750,000 (20% of price). Applies to</w:t>
      </w:r>
      <w:r>
        <w:t xml:space="preserve"> </w:t>
      </w:r>
      <w:r>
        <w:rPr>
          <w:b/>
          <w:bCs/>
        </w:rPr>
        <w:t xml:space="preserve">all</w:t>
      </w:r>
      <w:r>
        <w:t xml:space="preserve"> </w:t>
      </w:r>
      <w:r>
        <w:t xml:space="preserve">claims, including environmental.</w:t>
      </w:r>
    </w:p>
    <w:p>
      <w:pPr>
        <w:pStyle w:val="Compact"/>
        <w:numPr>
          <w:ilvl w:val="0"/>
          <w:numId w:val="1001"/>
        </w:numPr>
      </w:pPr>
      <w:r>
        <w:rPr>
          <w:b/>
          <w:bCs/>
        </w:rPr>
        <w:t xml:space="preserve">Survival (§8.4(c)).</w:t>
      </w:r>
      <w:r>
        <w:t xml:space="preserve"> </w:t>
      </w:r>
      <w:r>
        <w:t xml:space="preserve">Representations/warranties and Pre-Closing Environmental Liability indemnity survive for</w:t>
      </w:r>
      <w:r>
        <w:t xml:space="preserve"> </w:t>
      </w:r>
      <w:r>
        <w:rPr>
          <w:b/>
          <w:bCs/>
        </w:rPr>
        <w:t xml:space="preserve">three (3) years</w:t>
      </w:r>
      <w:r>
        <w:t xml:space="preserve"> </w:t>
      </w:r>
      <w:r>
        <w:t xml:space="preserve">after Closing.</w:t>
      </w:r>
    </w:p>
    <w:p>
      <w:pPr>
        <w:pStyle w:val="Compact"/>
        <w:numPr>
          <w:ilvl w:val="0"/>
          <w:numId w:val="1001"/>
        </w:numPr>
      </w:pPr>
      <w:r>
        <w:rPr>
          <w:b/>
          <w:bCs/>
        </w:rPr>
        <w:t xml:space="preserve">Fraud exception (§8.4(d)).</w:t>
      </w:r>
      <w:r>
        <w:t xml:space="preserve"> </w:t>
      </w:r>
      <w:r>
        <w:t xml:space="preserve">Losses arising from fraud or intentional misrepresentation are</w:t>
      </w:r>
      <w:r>
        <w:t xml:space="preserve"> </w:t>
      </w:r>
      <w:r>
        <w:rPr>
          <w:b/>
          <w:bCs/>
        </w:rPr>
        <w:t xml:space="preserve">not</w:t>
      </w:r>
      <w:r>
        <w:t xml:space="preserve"> </w:t>
      </w:r>
      <w:r>
        <w:t xml:space="preserve">subject to the basket, the cap, or the survival period.</w:t>
      </w:r>
    </w:p>
    <w:p>
      <w:pPr>
        <w:pStyle w:val="Compact"/>
        <w:numPr>
          <w:ilvl w:val="0"/>
          <w:numId w:val="1001"/>
        </w:numPr>
      </w:pPr>
      <w:r>
        <w:rPr>
          <w:b/>
          <w:bCs/>
        </w:rPr>
        <w:t xml:space="preserve">Seller UST representation (§4.13).</w:t>
      </w:r>
      <w:r>
        <w:t xml:space="preserve"> </w:t>
      </w:r>
      <w:r>
        <w:t xml:space="preserve">Schedule 4.13 is represented as a</w:t>
      </w:r>
      <w:r>
        <w:t xml:space="preserve"> </w:t>
      </w:r>
      <w:r>
        <w:t xml:space="preserve">“</w:t>
      </w:r>
      <w:r>
        <w:t xml:space="preserve">true, correct, and complete list of all Underground Storage Tanks that are or have been located on the Property,</w:t>
      </w:r>
      <w:r>
        <w:t xml:space="preserve">”</w:t>
      </w:r>
      <w:r>
        <w:t xml:space="preserve"> </w:t>
      </w:r>
      <w:r>
        <w:t xml:space="preserve">and Seller represents that all such USTs</w:t>
      </w:r>
      <w:r>
        <w:t xml:space="preserve"> </w:t>
      </w:r>
      <w:r>
        <w:t xml:space="preserve">“</w:t>
      </w:r>
      <w:r>
        <w:t xml:space="preserve">have been properly registered … and have been properly … closed.</w:t>
      </w:r>
      <w:r>
        <w:t xml:space="preserve">”</w:t>
      </w:r>
    </w:p>
    <w:p>
      <w:pPr>
        <w:pStyle w:val="Compact"/>
        <w:numPr>
          <w:ilvl w:val="0"/>
          <w:numId w:val="1001"/>
        </w:numPr>
      </w:pPr>
      <w:r>
        <w:rPr>
          <w:b/>
          <w:bCs/>
        </w:rPr>
        <w:t xml:space="preserve">Seller environmental representation (§4.12).</w:t>
      </w:r>
      <w:r>
        <w:t xml:space="preserve"> </w:t>
      </w:r>
      <w:r>
        <w:t xml:space="preserve">Seller represents,</w:t>
      </w:r>
      <w:r>
        <w:t xml:space="preserve"> </w:t>
      </w:r>
      <w:r>
        <w:t xml:space="preserve">“</w:t>
      </w:r>
      <w:r>
        <w:t xml:space="preserve">to Seller’s knowledge,</w:t>
      </w:r>
      <w:r>
        <w:t xml:space="preserve">”</w:t>
      </w:r>
      <w:r>
        <w:t xml:space="preserve"> </w:t>
      </w:r>
      <w:r>
        <w:t xml:space="preserve">no release of hazardous substances (§4.12(a); Schedule 4.12(a):</w:t>
      </w:r>
      <w:r>
        <w:t xml:space="preserve"> </w:t>
      </w:r>
      <w:r>
        <w:t xml:space="preserve">“</w:t>
      </w:r>
      <w:r>
        <w:t xml:space="preserve">None</w:t>
      </w:r>
      <w:r>
        <w:t xml:space="preserve">”</w:t>
      </w:r>
      <w:r>
        <w:t xml:space="preserve">) and no Environmental Notices (§4.12(c); Schedule 4.12(c):</w:t>
      </w:r>
      <w:r>
        <w:t xml:space="preserve"> </w:t>
      </w:r>
      <w:r>
        <w:t xml:space="preserve">“</w:t>
      </w:r>
      <w:r>
        <w:t xml:space="preserve">None</w:t>
      </w:r>
      <w:r>
        <w:t xml:space="preserve">”</w:t>
      </w:r>
      <w:r>
        <w:t xml:space="preserve">).</w:t>
      </w:r>
    </w:p>
    <w:p>
      <w:pPr>
        <w:pStyle w:val="FirstParagraph"/>
      </w:pPr>
      <w:r>
        <w:rPr>
          <w:b/>
          <w:bCs/>
        </w:rPr>
        <w:t xml:space="preserve">Key Lender requirements (if RECs are identified).</w:t>
      </w:r>
    </w:p>
    <w:p>
      <w:pPr>
        <w:pStyle w:val="Compact"/>
        <w:numPr>
          <w:ilvl w:val="0"/>
          <w:numId w:val="1002"/>
        </w:numPr>
      </w:pPr>
      <w:r>
        <w:t xml:space="preserve">Phase II ESA (ASTM E1903-19) with best-/most-likely-/worst-case remediation cost estimates.</w:t>
      </w:r>
    </w:p>
    <w:p>
      <w:pPr>
        <w:pStyle w:val="Compact"/>
        <w:numPr>
          <w:ilvl w:val="0"/>
          <w:numId w:val="1002"/>
        </w:numPr>
      </w:pPr>
      <w:r>
        <w:t xml:space="preserve">Pollution Legal Liability (</w:t>
      </w:r>
      <w:r>
        <w:t xml:space="preserve">“</w:t>
      </w:r>
      <w:r>
        <w:t xml:space="preserve">PLL</w:t>
      </w:r>
      <w:r>
        <w:t xml:space="preserve">”</w:t>
      </w:r>
      <w:r>
        <w:t xml:space="preserve">) insurance: limit ≥ greater of (x) worst-case remediation cost or (y) $5,000,000; term ≥ 10 years; Lender as additional insured and loss payee.</w:t>
      </w:r>
    </w:p>
    <w:p>
      <w:pPr>
        <w:pStyle w:val="Compact"/>
        <w:numPr>
          <w:ilvl w:val="0"/>
          <w:numId w:val="1002"/>
        </w:numPr>
      </w:pPr>
      <w:r>
        <w:t xml:space="preserve">Environmental escrow: 125% of most-likely remediation cost if that estimate exceeds $250,000.</w:t>
      </w:r>
    </w:p>
    <w:p>
      <w:pPr>
        <w:pStyle w:val="Compact"/>
        <w:numPr>
          <w:ilvl w:val="0"/>
          <w:numId w:val="1002"/>
        </w:numPr>
      </w:pPr>
      <w:r>
        <w:t xml:space="preserve">Remediation plan (if costs &gt; $500,000): completion within 36 months.</w:t>
      </w:r>
    </w:p>
    <w:p>
      <w:pPr>
        <w:pStyle w:val="Compact"/>
        <w:numPr>
          <w:ilvl w:val="0"/>
          <w:numId w:val="1002"/>
        </w:numPr>
      </w:pPr>
      <w:r>
        <w:t xml:space="preserve">Vapor intrusion assessment (if VOCs in soil/groundwater) and mitigation plan for occupied structures.</w:t>
      </w:r>
    </w:p>
    <w:p>
      <w:pPr>
        <w:pStyle w:val="Compact"/>
        <w:numPr>
          <w:ilvl w:val="0"/>
          <w:numId w:val="1002"/>
        </w:numPr>
      </w:pPr>
      <w:r>
        <w:t xml:space="preserve">Delivery deadlines: Phase I ESA by</w:t>
      </w:r>
      <w:r>
        <w:t xml:space="preserve"> </w:t>
      </w:r>
      <w:r>
        <w:rPr>
          <w:b/>
          <w:bCs/>
        </w:rPr>
        <w:t xml:space="preserve">November 15, 2024</w:t>
      </w:r>
      <w:r>
        <w:t xml:space="preserve">; Phase II ESA + PLL binder + escrow evidence by</w:t>
      </w:r>
      <w:r>
        <w:t xml:space="preserve"> </w:t>
      </w:r>
      <w:r>
        <w:rPr>
          <w:b/>
          <w:bCs/>
        </w:rPr>
        <w:t xml:space="preserve">November 30, 2024</w:t>
      </w:r>
      <w:r>
        <w:t xml:space="preserve">.</w:t>
      </w:r>
    </w:p>
    <w:p>
      <w:pPr>
        <w:pStyle w:val="Compact"/>
        <w:numPr>
          <w:ilvl w:val="0"/>
          <w:numId w:val="1002"/>
        </w:numPr>
      </w:pPr>
      <w:r>
        <w:t xml:space="preserve">Lender may decline if worst-case remediation cost &gt; 50% of appraised value; if the Property is/proposed for the NPL; if subject to an active RCRA corrective-action order; or if unresolved data gaps prevent risk characterization.</w:t>
      </w:r>
    </w:p>
    <w:p>
      <w:r>
        <w:pict>
          <v:rect style="width:0;height:1.5pt" o:hralign="center" o:hrstd="t" o:hr="t"/>
        </w:pict>
      </w:r>
    </w:p>
    <w:bookmarkEnd w:id="22"/>
    <w:bookmarkStart w:id="23" w:name="iii.-documents-reviewed-and-scope"/>
    <w:p>
      <w:pPr>
        <w:pStyle w:val="Heading2"/>
      </w:pPr>
      <w:r>
        <w:t xml:space="preserve">III. Documents Reviewed and Scope</w:t>
      </w:r>
    </w:p>
    <w:p>
      <w:pPr>
        <w:pStyle w:val="FirstParagraph"/>
      </w:pPr>
      <w:r>
        <w:t xml:space="preserve">The following documents were reviewed in preparing this memorandum:</w:t>
      </w:r>
    </w:p>
    <w:p>
      <w:pPr>
        <w:pStyle w:val="Compact"/>
        <w:numPr>
          <w:ilvl w:val="0"/>
          <w:numId w:val="1003"/>
        </w:numPr>
      </w:pPr>
      <w:r>
        <w:rPr>
          <w:b/>
          <w:bCs/>
        </w:rPr>
        <w:t xml:space="preserve">Phase I ESA</w:t>
      </w:r>
      <w:r>
        <w:t xml:space="preserve"> </w:t>
      </w:r>
      <w:r>
        <w:t xml:space="preserve">— Greenfield Environmental Consultants Inc.,</w:t>
      </w:r>
      <w:r>
        <w:t xml:space="preserve"> </w:t>
      </w:r>
      <w:r>
        <w:rPr>
          <w:i/>
          <w:iCs/>
        </w:rPr>
        <w:t xml:space="preserve">Phase I Environmental Site Assessment, 4820 Lakeshore Industrial Drive, Toledo, Ohio</w:t>
      </w:r>
      <w:r>
        <w:t xml:space="preserve">, dated October 25, 2024 (ASTM E1527-21). [Primary]</w:t>
      </w:r>
    </w:p>
    <w:p>
      <w:pPr>
        <w:pStyle w:val="Compact"/>
        <w:numPr>
          <w:ilvl w:val="0"/>
          <w:numId w:val="1003"/>
        </w:numPr>
      </w:pPr>
      <w:r>
        <w:rPr>
          <w:b/>
          <w:bCs/>
        </w:rPr>
        <w:t xml:space="preserve">EDR Database Summary</w:t>
      </w:r>
      <w:r>
        <w:t xml:space="preserve"> </w:t>
      </w:r>
      <w:r>
        <w:t xml:space="preserve">— Environmental Data Resources, Inc., Radius Map Report summary, dated September 15, 2024 (subject property, adjacent property, and orphan-site listings). [Primary]</w:t>
      </w:r>
    </w:p>
    <w:p>
      <w:pPr>
        <w:pStyle w:val="Compact"/>
        <w:numPr>
          <w:ilvl w:val="0"/>
          <w:numId w:val="1003"/>
        </w:numPr>
      </w:pPr>
      <w:r>
        <w:rPr>
          <w:b/>
          <w:bCs/>
        </w:rPr>
        <w:t xml:space="preserve">Ohio EPA Response</w:t>
      </w:r>
      <w:r>
        <w:t xml:space="preserve"> </w:t>
      </w:r>
      <w:r>
        <w:t xml:space="preserve">— Ohio EPA, Division of Environmental Response and Revitalization, Northwest District Office, letter dated September 28, 2024 (File Ref. DERR-NW-2024-RR-0438). [Primary]</w:t>
      </w:r>
    </w:p>
    <w:p>
      <w:pPr>
        <w:pStyle w:val="Compact"/>
        <w:numPr>
          <w:ilvl w:val="0"/>
          <w:numId w:val="1003"/>
        </w:numPr>
      </w:pPr>
      <w:r>
        <w:rPr>
          <w:b/>
          <w:bCs/>
        </w:rPr>
        <w:t xml:space="preserve">Lender Requirements Letter</w:t>
      </w:r>
      <w:r>
        <w:t xml:space="preserve"> </w:t>
      </w:r>
      <w:r>
        <w:t xml:space="preserve">— Great Lakes Capital Bank, letter dated September 10, 2024 (Loan No. GLCB-2024-08173). [Primary]</w:t>
      </w:r>
    </w:p>
    <w:p>
      <w:pPr>
        <w:pStyle w:val="Compact"/>
        <w:numPr>
          <w:ilvl w:val="0"/>
          <w:numId w:val="1003"/>
        </w:numPr>
      </w:pPr>
      <w:r>
        <w:rPr>
          <w:b/>
          <w:bCs/>
        </w:rPr>
        <w:t xml:space="preserve">Asset Purchase Agreement (Excerpt)</w:t>
      </w:r>
      <w:r>
        <w:t xml:space="preserve"> </w:t>
      </w:r>
      <w:r>
        <w:t xml:space="preserve">— Breckenridge Manufacturing Co. and Cornerstone Industrial Partners LLC, dated September 1, 2024 (Articles I, IV §§4.12–4.13, VI §6.3, VIII §§8.1–8.4; Schedule 4.13). [Primary]</w:t>
      </w:r>
    </w:p>
    <w:p>
      <w:pPr>
        <w:pStyle w:val="FirstParagraph"/>
      </w:pPr>
      <w:r>
        <w:rPr>
          <w:b/>
          <w:bCs/>
        </w:rPr>
        <w:t xml:space="preserve">Out-of-scope documents (separate transaction).</w:t>
      </w:r>
      <w:r>
        <w:t xml:space="preserve"> </w:t>
      </w:r>
      <w:r>
        <w:t xml:space="preserve">Three documents in the production — (a) a Phase I ESA for 2850 Millrace Road, Dayton, Ohio (Terravista Environmental Consulting Inc., dated April 18, 2025, ASTM E1527-13); (b) a 2004 UST Closure Report for the same Dayton property (Redland Environmental Services); and (c) a GeoSearch database summary for the Dayton property (dated March 28, 2025) — pertain to a</w:t>
      </w:r>
      <w:r>
        <w:t xml:space="preserve"> </w:t>
      </w:r>
      <w:r>
        <w:rPr>
          <w:b/>
          <w:bCs/>
        </w:rPr>
        <w:t xml:space="preserve">separate</w:t>
      </w:r>
      <w:r>
        <w:t xml:space="preserve"> </w:t>
      </w:r>
      <w:r>
        <w:t xml:space="preserve">Cornerstone acquisition (different property, different seller (Valtec Manufacturing Holdings Inc.), different purchase price ($4,200,000), different counsel (Bridgewell &amp; Hatch LLP), and a report date that post-dates the Closing Date for the Toledo transaction). Those documents are not analyzed in this memorandum, which is limited to the Toledo acquisition that is the subject of the APA and the Lender’s commitment. We flag this solely so the transaction team does not inadvertently commingle the two matters.</w:t>
      </w:r>
    </w:p>
    <w:p>
      <w:r>
        <w:pict>
          <v:rect style="width:0;height:1.5pt" o:hralign="center" o:hrstd="t" o:hr="t"/>
        </w:pict>
      </w:r>
    </w:p>
    <w:bookmarkEnd w:id="23"/>
    <w:bookmarkStart w:id="24" w:name="iv.-severity-rating-framework"/>
    <w:p>
      <w:pPr>
        <w:pStyle w:val="Heading2"/>
      </w:pPr>
      <w:r>
        <w:t xml:space="preserve">IV. Severity Rating Framework</w:t>
      </w:r>
    </w:p>
    <w:p>
      <w:pPr>
        <w:pStyle w:val="FirstParagraph"/>
      </w:pPr>
      <w:r>
        <w:t xml:space="preserve">Each issue is assigned a severity rating based on its potential effect on (a) human health and the environment, (b) the magnitude and likelihood of remediation cost and liability, (c) the Lender’s willingness to fund, (d) Buyer’s contractual rights (including the §6.3(b) termination right and indemnification recovery), and (e) the integrity of the Seller’s representations.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Condition likely (i) triggers Buyer’s §6.3(b) termination right (REC with potential remediation cost &gt; $500,000), (ii) triggers the Lender’s enhanced due-diligence requirements or a potential loan decline, (iii) constitutes an apparent breach of Seller’s representations that may indicate fraud/intentional misrepresentation, or (iv) poses a material risk to human health or the environment. Must be resolved or expressly addressed before Closing.</w:t>
            </w:r>
          </w:p>
        </w:tc>
      </w:tr>
      <w:tr>
        <w:tc>
          <w:tcPr/>
          <w:p>
            <w:pPr>
              <w:pStyle w:val="Compact"/>
              <w:jc w:val="left"/>
            </w:pPr>
            <w:r>
              <w:rPr>
                <w:b/>
                <w:bCs/>
              </w:rPr>
              <w:t xml:space="preserve">HIGH</w:t>
            </w:r>
          </w:p>
        </w:tc>
        <w:tc>
          <w:tcPr/>
          <w:p>
            <w:pPr>
              <w:pStyle w:val="Compact"/>
              <w:jc w:val="left"/>
            </w:pPr>
            <w:r>
              <w:t xml:space="preserve">Condition warrants Phase II investigation and/or contractual/insurance protections and could result in material cost or liability, but where magnitude or likelihood is more uncertain, or that constitutes a likely (non-fraudulent) representation breach or a significant data gap. Should be investigated and addressed before Closing.</w:t>
            </w:r>
          </w:p>
        </w:tc>
      </w:tr>
      <w:tr>
        <w:tc>
          <w:tcPr/>
          <w:p>
            <w:pPr>
              <w:pStyle w:val="Compact"/>
              <w:jc w:val="left"/>
            </w:pPr>
            <w:r>
              <w:rPr>
                <w:b/>
                <w:bCs/>
              </w:rPr>
              <w:t xml:space="preserve">MODERATE</w:t>
            </w:r>
          </w:p>
        </w:tc>
        <w:tc>
          <w:tcPr/>
          <w:p>
            <w:pPr>
              <w:pStyle w:val="Compact"/>
              <w:jc w:val="left"/>
            </w:pPr>
            <w:r>
              <w:t xml:space="preserve">Condition is notable and warrants follow-up or monitoring but, on current information, is unlikely to be transaction-defeating or to approach the indemnification cap. Address through diligence follow-up or routine post-closing management.</w:t>
            </w:r>
          </w:p>
        </w:tc>
      </w:tr>
      <w:tr>
        <w:tc>
          <w:tcPr/>
          <w:p>
            <w:pPr>
              <w:pStyle w:val="Compact"/>
              <w:jc w:val="left"/>
            </w:pPr>
            <w:r>
              <w:rPr>
                <w:b/>
                <w:bCs/>
              </w:rPr>
              <w:t xml:space="preserve">LOW</w:t>
            </w:r>
          </w:p>
        </w:tc>
        <w:tc>
          <w:tcPr/>
          <w:p>
            <w:pPr>
              <w:pStyle w:val="Compact"/>
              <w:jc w:val="left"/>
            </w:pPr>
            <w:r>
              <w:t xml:space="preserve">Condition noted for completeness; unlikely to materially affect the transaction, collateral value, or the Lender. Monitor or address through routine compliance.</w:t>
            </w:r>
          </w:p>
        </w:tc>
      </w:tr>
    </w:tbl>
    <w:p>
      <w:r>
        <w:pict>
          <v:rect style="width:0;height:1.5pt" o:hralign="center" o:hrstd="t" o:hr="t"/>
        </w:pict>
      </w:r>
    </w:p>
    <w:bookmarkEnd w:id="24"/>
    <w:bookmarkStart w:id="25" w:name="v.-summary-of-issues"/>
    <w:p>
      <w:pPr>
        <w:pStyle w:val="Heading2"/>
      </w:pPr>
      <w:r>
        <w:t xml:space="preserve">V. Summary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Immediate Action</w:t>
            </w:r>
          </w:p>
        </w:tc>
      </w:tr>
      <w:tr>
        <w:tc>
          <w:tcPr/>
          <w:p>
            <w:pPr>
              <w:pStyle w:val="Compact"/>
              <w:jc w:val="left"/>
            </w:pPr>
            <w:r>
              <w:t xml:space="preserve">1</w:t>
            </w:r>
          </w:p>
        </w:tc>
        <w:tc>
          <w:tcPr/>
          <w:p>
            <w:pPr>
              <w:pStyle w:val="Compact"/>
              <w:jc w:val="left"/>
            </w:pPr>
            <w:r>
              <w:t xml:space="preserve">Former TCE vapor degreasing operations &amp; abandoned, leaking waste-TCE drum (Greenfield REC-1)</w:t>
            </w:r>
          </w:p>
        </w:tc>
        <w:tc>
          <w:tcPr/>
          <w:p>
            <w:pPr>
              <w:pStyle w:val="Compact"/>
              <w:jc w:val="left"/>
            </w:pPr>
            <w:r>
              <w:rPr>
                <w:b/>
                <w:bCs/>
              </w:rPr>
              <w:t xml:space="preserve">CRITICAL</w:t>
            </w:r>
          </w:p>
        </w:tc>
        <w:tc>
          <w:tcPr/>
          <w:p>
            <w:pPr>
              <w:pStyle w:val="Compact"/>
              <w:jc w:val="left"/>
            </w:pPr>
            <w:r>
              <w:t xml:space="preserve">Phase II soil/groundwater; characterize drum; evaluate §6.3(b) termination</w:t>
            </w:r>
          </w:p>
        </w:tc>
      </w:tr>
      <w:tr>
        <w:tc>
          <w:tcPr/>
          <w:p>
            <w:pPr>
              <w:pStyle w:val="Compact"/>
              <w:jc w:val="left"/>
            </w:pPr>
            <w:r>
              <w:t xml:space="preserve">2</w:t>
            </w:r>
          </w:p>
        </w:tc>
        <w:tc>
          <w:tcPr/>
          <w:p>
            <w:pPr>
              <w:pStyle w:val="Compact"/>
              <w:jc w:val="left"/>
            </w:pPr>
            <w:r>
              <w:t xml:space="preserve">Former hexavalent chromium electroplating operations (Greenfield REC-2)</w:t>
            </w:r>
          </w:p>
        </w:tc>
        <w:tc>
          <w:tcPr/>
          <w:p>
            <w:pPr>
              <w:pStyle w:val="Compact"/>
              <w:jc w:val="left"/>
            </w:pPr>
            <w:r>
              <w:rPr>
                <w:b/>
                <w:bCs/>
              </w:rPr>
              <w:t xml:space="preserve">CRITICAL</w:t>
            </w:r>
          </w:p>
        </w:tc>
        <w:tc>
          <w:tcPr/>
          <w:p>
            <w:pPr>
              <w:pStyle w:val="Compact"/>
              <w:jc w:val="left"/>
            </w:pPr>
            <w:r>
              <w:t xml:space="preserve">Phase II soil/groundwater; sump characterization; evaluate §6.3(b) termination</w:t>
            </w:r>
          </w:p>
        </w:tc>
      </w:tr>
      <w:tr>
        <w:tc>
          <w:tcPr/>
          <w:p>
            <w:pPr>
              <w:pStyle w:val="Compact"/>
              <w:jc w:val="left"/>
            </w:pPr>
            <w:r>
              <w:t xml:space="preserve">3</w:t>
            </w:r>
          </w:p>
        </w:tc>
        <w:tc>
          <w:tcPr/>
          <w:p>
            <w:pPr>
              <w:pStyle w:val="Compact"/>
              <w:jc w:val="left"/>
            </w:pPr>
            <w:r>
              <w:t xml:space="preserve">Off-site PCE groundwater plume from Lake Erie Dry Cleaning — unclassified REC</w:t>
            </w:r>
          </w:p>
        </w:tc>
        <w:tc>
          <w:tcPr/>
          <w:p>
            <w:pPr>
              <w:pStyle w:val="Compact"/>
              <w:jc w:val="left"/>
            </w:pPr>
            <w:r>
              <w:rPr>
                <w:b/>
                <w:bCs/>
              </w:rPr>
              <w:t xml:space="preserve">CRITICAL</w:t>
            </w:r>
          </w:p>
        </w:tc>
        <w:tc>
          <w:tcPr/>
          <w:p>
            <w:pPr>
              <w:pStyle w:val="Compact"/>
              <w:jc w:val="left"/>
            </w:pPr>
            <w:r>
              <w:t xml:space="preserve">Demand Greenfield reclassify as REC; off-site groundwater investigation; VIA</w:t>
            </w:r>
          </w:p>
        </w:tc>
      </w:tr>
      <w:tr>
        <w:tc>
          <w:tcPr/>
          <w:p>
            <w:pPr>
              <w:pStyle w:val="Compact"/>
              <w:jc w:val="left"/>
            </w:pPr>
            <w:r>
              <w:t xml:space="preserve">4</w:t>
            </w:r>
          </w:p>
        </w:tc>
        <w:tc>
          <w:tcPr/>
          <w:p>
            <w:pPr>
              <w:pStyle w:val="Compact"/>
              <w:jc w:val="left"/>
            </w:pPr>
            <w:r>
              <w:t xml:space="preserve">Apparent breaches of Seller’s §4.12/§4.13 representations; potential fraud/intentional misrepresentation</w:t>
            </w:r>
          </w:p>
        </w:tc>
        <w:tc>
          <w:tcPr/>
          <w:p>
            <w:pPr>
              <w:pStyle w:val="Compact"/>
              <w:jc w:val="left"/>
            </w:pPr>
            <w:r>
              <w:rPr>
                <w:b/>
                <w:bCs/>
              </w:rPr>
              <w:t xml:space="preserve">CRITICAL</w:t>
            </w:r>
          </w:p>
        </w:tc>
        <w:tc>
          <w:tcPr/>
          <w:p>
            <w:pPr>
              <w:pStyle w:val="Compact"/>
              <w:jc w:val="left"/>
            </w:pPr>
            <w:r>
              <w:t xml:space="preserve">Demand disclosure; preserve fraud claim; consider repricing/escrow</w:t>
            </w:r>
          </w:p>
        </w:tc>
      </w:tr>
      <w:tr>
        <w:tc>
          <w:tcPr/>
          <w:p>
            <w:pPr>
              <w:pStyle w:val="Compact"/>
              <w:jc w:val="left"/>
            </w:pPr>
            <w:r>
              <w:t xml:space="preserve">5</w:t>
            </w:r>
          </w:p>
        </w:tc>
        <w:tc>
          <w:tcPr/>
          <w:p>
            <w:pPr>
              <w:pStyle w:val="Compact"/>
              <w:jc w:val="left"/>
            </w:pPr>
            <w:r>
              <w:t xml:space="preserve">Unregistered/unclosed USTs: 2,000-gal waste-solvent UST &amp; 500-gal heating-oil UST</w:t>
            </w:r>
          </w:p>
        </w:tc>
        <w:tc>
          <w:tcPr/>
          <w:p>
            <w:pPr>
              <w:pStyle w:val="Compact"/>
              <w:jc w:val="left"/>
            </w:pPr>
            <w:r>
              <w:rPr>
                <w:b/>
                <w:bCs/>
              </w:rPr>
              <w:t xml:space="preserve">HIGH</w:t>
            </w:r>
          </w:p>
        </w:tc>
        <w:tc>
          <w:tcPr/>
          <w:p>
            <w:pPr>
              <w:pStyle w:val="Compact"/>
              <w:jc w:val="left"/>
            </w:pPr>
            <w:r>
              <w:t xml:space="preserve">Geophysical survey; demand §4.13 cure; Phase II</w:t>
            </w:r>
          </w:p>
        </w:tc>
      </w:tr>
      <w:tr>
        <w:tc>
          <w:tcPr/>
          <w:p>
            <w:pPr>
              <w:pStyle w:val="Compact"/>
              <w:jc w:val="left"/>
            </w:pPr>
            <w:r>
              <w:t xml:space="preserve">6</w:t>
            </w:r>
          </w:p>
        </w:tc>
        <w:tc>
          <w:tcPr/>
          <w:p>
            <w:pPr>
              <w:pStyle w:val="Compact"/>
              <w:jc w:val="left"/>
            </w:pPr>
            <w:r>
              <w:t xml:space="preserve">Former outdoor drum storage area (east side) — under-classified REC</w:t>
            </w:r>
          </w:p>
        </w:tc>
        <w:tc>
          <w:tcPr/>
          <w:p>
            <w:pPr>
              <w:pStyle w:val="Compact"/>
              <w:jc w:val="left"/>
            </w:pPr>
            <w:r>
              <w:rPr>
                <w:b/>
                <w:bCs/>
              </w:rPr>
              <w:t xml:space="preserve">HIGH</w:t>
            </w:r>
          </w:p>
        </w:tc>
        <w:tc>
          <w:tcPr/>
          <w:p>
            <w:pPr>
              <w:pStyle w:val="Compact"/>
              <w:jc w:val="left"/>
            </w:pPr>
            <w:r>
              <w:t xml:space="preserve">Phase II soil boring in curbed area; demand Greenfield reclassify</w:t>
            </w:r>
          </w:p>
        </w:tc>
      </w:tr>
      <w:tr>
        <w:tc>
          <w:tcPr/>
          <w:p>
            <w:pPr>
              <w:pStyle w:val="Compact"/>
              <w:jc w:val="left"/>
            </w:pPr>
            <w:r>
              <w:t xml:space="preserve">7</w:t>
            </w:r>
          </w:p>
        </w:tc>
        <w:tc>
          <w:tcPr/>
          <w:p>
            <w:pPr>
              <w:pStyle w:val="Compact"/>
              <w:jc w:val="left"/>
            </w:pPr>
            <w:r>
              <w:t xml:space="preserve">39-year hazardous-waste disposal records gap (1965–2003)</w:t>
            </w:r>
          </w:p>
        </w:tc>
        <w:tc>
          <w:tcPr/>
          <w:p>
            <w:pPr>
              <w:pStyle w:val="Compact"/>
              <w:jc w:val="left"/>
            </w:pPr>
            <w:r>
              <w:rPr>
                <w:b/>
                <w:bCs/>
              </w:rPr>
              <w:t xml:space="preserve">HIGH</w:t>
            </w:r>
          </w:p>
        </w:tc>
        <w:tc>
          <w:tcPr/>
          <w:p>
            <w:pPr>
              <w:pStyle w:val="Compact"/>
              <w:jc w:val="left"/>
            </w:pPr>
            <w:r>
              <w:t xml:space="preserve">Phase II; demand records; assess on-site disposal possibility</w:t>
            </w:r>
          </w:p>
        </w:tc>
      </w:tr>
      <w:tr>
        <w:tc>
          <w:tcPr/>
          <w:p>
            <w:pPr>
              <w:pStyle w:val="Compact"/>
              <w:jc w:val="left"/>
            </w:pPr>
            <w:r>
              <w:t xml:space="preserve">8</w:t>
            </w:r>
          </w:p>
        </w:tc>
        <w:tc>
          <w:tcPr/>
          <w:p>
            <w:pPr>
              <w:pStyle w:val="Compact"/>
              <w:jc w:val="left"/>
            </w:pPr>
            <w:r>
              <w:t xml:space="preserve">Vapor intrusion risk (TCE &amp; PCE) &amp; Lender vapor-assessment requirement</w:t>
            </w:r>
          </w:p>
        </w:tc>
        <w:tc>
          <w:tcPr/>
          <w:p>
            <w:pPr>
              <w:pStyle w:val="Compact"/>
              <w:jc w:val="left"/>
            </w:pPr>
            <w:r>
              <w:rPr>
                <w:b/>
                <w:bCs/>
              </w:rPr>
              <w:t xml:space="preserve">HIGH</w:t>
            </w:r>
          </w:p>
        </w:tc>
        <w:tc>
          <w:tcPr/>
          <w:p>
            <w:pPr>
              <w:pStyle w:val="Compact"/>
              <w:jc w:val="left"/>
            </w:pPr>
            <w:r>
              <w:t xml:space="preserve">Vapor intrusion assessment; sub-slab/pre-occupancy mitigation planning</w:t>
            </w:r>
          </w:p>
        </w:tc>
      </w:tr>
      <w:tr>
        <w:tc>
          <w:tcPr/>
          <w:p>
            <w:pPr>
              <w:pStyle w:val="Compact"/>
              <w:jc w:val="left"/>
            </w:pPr>
            <w:r>
              <w:t xml:space="preserve">9</w:t>
            </w:r>
          </w:p>
        </w:tc>
        <w:tc>
          <w:tcPr/>
          <w:p>
            <w:pPr>
              <w:pStyle w:val="Compact"/>
              <w:jc w:val="left"/>
            </w:pPr>
            <w:r>
              <w:t xml:space="preserve">Lender enhanced due-diligence requirements not yet satisfied</w:t>
            </w:r>
          </w:p>
        </w:tc>
        <w:tc>
          <w:tcPr/>
          <w:p>
            <w:pPr>
              <w:pStyle w:val="Compact"/>
              <w:jc w:val="left"/>
            </w:pPr>
            <w:r>
              <w:rPr>
                <w:b/>
                <w:bCs/>
              </w:rPr>
              <w:t xml:space="preserve">HIGH</w:t>
            </w:r>
          </w:p>
        </w:tc>
        <w:tc>
          <w:tcPr/>
          <w:p>
            <w:pPr>
              <w:pStyle w:val="Compact"/>
              <w:jc w:val="left"/>
            </w:pPr>
            <w:r>
              <w:t xml:space="preserve">Commission Phase II immediately; bind PLL; fund escrow; meet Nov. 30 deadline</w:t>
            </w:r>
          </w:p>
        </w:tc>
      </w:tr>
      <w:tr>
        <w:tc>
          <w:tcPr/>
          <w:p>
            <w:pPr>
              <w:pStyle w:val="Compact"/>
              <w:jc w:val="left"/>
            </w:pPr>
            <w:r>
              <w:t xml:space="preserve">10</w:t>
            </w:r>
          </w:p>
        </w:tc>
        <w:tc>
          <w:tcPr/>
          <w:p>
            <w:pPr>
              <w:pStyle w:val="Compact"/>
              <w:jc w:val="left"/>
            </w:pPr>
            <w:r>
              <w:t xml:space="preserve">Indemnification cap ($1.75M) likely insufficient; Lender will not rely on Seller indemnity alone</w:t>
            </w:r>
          </w:p>
        </w:tc>
        <w:tc>
          <w:tcPr/>
          <w:p>
            <w:pPr>
              <w:pStyle w:val="Compact"/>
              <w:jc w:val="left"/>
            </w:pPr>
            <w:r>
              <w:rPr>
                <w:b/>
                <w:bCs/>
              </w:rPr>
              <w:t xml:space="preserve">HIGH</w:t>
            </w:r>
          </w:p>
        </w:tc>
        <w:tc>
          <w:tcPr/>
          <w:p>
            <w:pPr>
              <w:pStyle w:val="Compact"/>
              <w:jc w:val="left"/>
            </w:pPr>
            <w:r>
              <w:t xml:space="preserve">Do not close on indemnity alone; require PLL + escrow; consider cap increase</w:t>
            </w:r>
          </w:p>
        </w:tc>
      </w:tr>
      <w:tr>
        <w:tc>
          <w:tcPr/>
          <w:p>
            <w:pPr>
              <w:pStyle w:val="Compact"/>
              <w:jc w:val="left"/>
            </w:pPr>
            <w:r>
              <w:t xml:space="preserve">11</w:t>
            </w:r>
          </w:p>
        </w:tc>
        <w:tc>
          <w:tcPr/>
          <w:p>
            <w:pPr>
              <w:pStyle w:val="Compact"/>
              <w:jc w:val="left"/>
            </w:pPr>
            <w:r>
              <w:t xml:space="preserve">Buyer’s §6.3(b) termination right — $500K REC threshold; Oct. 31, 2024 deadline</w:t>
            </w:r>
          </w:p>
        </w:tc>
        <w:tc>
          <w:tcPr/>
          <w:p>
            <w:pPr>
              <w:pStyle w:val="Compact"/>
              <w:jc w:val="left"/>
            </w:pPr>
            <w:r>
              <w:rPr>
                <w:b/>
                <w:bCs/>
              </w:rPr>
              <w:t xml:space="preserve">HIGH</w:t>
            </w:r>
          </w:p>
        </w:tc>
        <w:tc>
          <w:tcPr/>
          <w:p>
            <w:pPr>
              <w:pStyle w:val="Compact"/>
              <w:jc w:val="left"/>
            </w:pPr>
            <w:r>
              <w:t xml:space="preserve">Decision required on or before Oct. 31, 2024; preserve notice rights</w:t>
            </w:r>
          </w:p>
        </w:tc>
      </w:tr>
      <w:tr>
        <w:tc>
          <w:tcPr/>
          <w:p>
            <w:pPr>
              <w:pStyle w:val="Compact"/>
              <w:jc w:val="left"/>
            </w:pPr>
            <w:r>
              <w:t xml:space="preserve">12</w:t>
            </w:r>
          </w:p>
        </w:tc>
        <w:tc>
          <w:tcPr/>
          <w:p>
            <w:pPr>
              <w:pStyle w:val="Compact"/>
              <w:jc w:val="left"/>
            </w:pPr>
            <w:r>
              <w:t xml:space="preserve">Phase I ESA quality/completeness deficiencies (cumulative)</w:t>
            </w:r>
          </w:p>
        </w:tc>
        <w:tc>
          <w:tcPr/>
          <w:p>
            <w:pPr>
              <w:pStyle w:val="Compact"/>
              <w:jc w:val="left"/>
            </w:pPr>
            <w:r>
              <w:rPr>
                <w:b/>
                <w:bCs/>
              </w:rPr>
              <w:t xml:space="preserve">HIGH</w:t>
            </w:r>
          </w:p>
        </w:tc>
        <w:tc>
          <w:tcPr/>
          <w:p>
            <w:pPr>
              <w:pStyle w:val="Compact"/>
              <w:jc w:val="left"/>
            </w:pPr>
            <w:r>
              <w:t xml:space="preserve">Supplemental ESA / targeted update; protect AAI/BFPP defense</w:t>
            </w:r>
          </w:p>
        </w:tc>
      </w:tr>
      <w:tr>
        <w:tc>
          <w:tcPr/>
          <w:p>
            <w:pPr>
              <w:pStyle w:val="Compact"/>
              <w:jc w:val="left"/>
            </w:pPr>
            <w:r>
              <w:t xml:space="preserve">13</w:t>
            </w:r>
          </w:p>
        </w:tc>
        <w:tc>
          <w:tcPr/>
          <w:p>
            <w:pPr>
              <w:pStyle w:val="Compact"/>
              <w:jc w:val="left"/>
            </w:pPr>
            <w:r>
              <w:t xml:space="preserve">Monitoring well MW-1 — unknown origin, no records, damaged wellhead</w:t>
            </w:r>
          </w:p>
        </w:tc>
        <w:tc>
          <w:tcPr/>
          <w:p>
            <w:pPr>
              <w:pStyle w:val="Compact"/>
              <w:jc w:val="left"/>
            </w:pPr>
            <w:r>
              <w:rPr>
                <w:b/>
                <w:bCs/>
              </w:rPr>
              <w:t xml:space="preserve">MODERATE</w:t>
            </w:r>
          </w:p>
        </w:tc>
        <w:tc>
          <w:tcPr/>
          <w:p>
            <w:pPr>
              <w:pStyle w:val="Compact"/>
              <w:jc w:val="left"/>
            </w:pPr>
            <w:r>
              <w:t xml:space="preserve">Identify installer; obtain logs/data; secure wellhead</w:t>
            </w:r>
          </w:p>
        </w:tc>
      </w:tr>
      <w:tr>
        <w:tc>
          <w:tcPr/>
          <w:p>
            <w:pPr>
              <w:pStyle w:val="Compact"/>
              <w:jc w:val="left"/>
            </w:pPr>
            <w:r>
              <w:t xml:space="preserve">14</w:t>
            </w:r>
          </w:p>
        </w:tc>
        <w:tc>
          <w:tcPr/>
          <w:p>
            <w:pPr>
              <w:pStyle w:val="Compact"/>
              <w:jc w:val="left"/>
            </w:pPr>
            <w:r>
              <w:t xml:space="preserve">2003 Ohio EPA NOV consent order not produced (archived)</w:t>
            </w:r>
          </w:p>
        </w:tc>
        <w:tc>
          <w:tcPr/>
          <w:p>
            <w:pPr>
              <w:pStyle w:val="Compact"/>
              <w:jc w:val="left"/>
            </w:pPr>
            <w:r>
              <w:rPr>
                <w:b/>
                <w:bCs/>
              </w:rPr>
              <w:t xml:space="preserve">MODERATE</w:t>
            </w:r>
          </w:p>
        </w:tc>
        <w:tc>
          <w:tcPr/>
          <w:p>
            <w:pPr>
              <w:pStyle w:val="Compact"/>
              <w:jc w:val="left"/>
            </w:pPr>
            <w:r>
              <w:t xml:space="preserve">Request from Ohio EPA Central Office; confirm compliance certification</w:t>
            </w:r>
          </w:p>
        </w:tc>
      </w:tr>
      <w:tr>
        <w:tc>
          <w:tcPr/>
          <w:p>
            <w:pPr>
              <w:pStyle w:val="Compact"/>
              <w:jc w:val="left"/>
            </w:pPr>
            <w:r>
              <w:t xml:space="preserve">15</w:t>
            </w:r>
          </w:p>
        </w:tc>
        <w:tc>
          <w:tcPr/>
          <w:p>
            <w:pPr>
              <w:pStyle w:val="Compact"/>
              <w:jc w:val="left"/>
            </w:pPr>
            <w:r>
              <w:t xml:space="preserve">HREC-1 (Halstead heating-oil UST) classification questionable</w:t>
            </w:r>
          </w:p>
        </w:tc>
        <w:tc>
          <w:tcPr/>
          <w:p>
            <w:pPr>
              <w:pStyle w:val="Compact"/>
              <w:jc w:val="left"/>
            </w:pPr>
            <w:r>
              <w:rPr>
                <w:b/>
                <w:bCs/>
              </w:rPr>
              <w:t xml:space="preserve">MODERATE</w:t>
            </w:r>
          </w:p>
        </w:tc>
        <w:tc>
          <w:tcPr/>
          <w:p>
            <w:pPr>
              <w:pStyle w:val="Compact"/>
              <w:jc w:val="left"/>
            </w:pPr>
            <w:r>
              <w:t xml:space="preserve">Geophysical survey; reclassify if no closure evidence</w:t>
            </w:r>
          </w:p>
        </w:tc>
      </w:tr>
      <w:tr>
        <w:tc>
          <w:tcPr/>
          <w:p>
            <w:pPr>
              <w:pStyle w:val="Compact"/>
              <w:jc w:val="left"/>
            </w:pPr>
            <w:r>
              <w:t xml:space="preserve">16</w:t>
            </w:r>
          </w:p>
        </w:tc>
        <w:tc>
          <w:tcPr/>
          <w:p>
            <w:pPr>
              <w:pStyle w:val="Compact"/>
              <w:jc w:val="left"/>
            </w:pPr>
            <w:r>
              <w:t xml:space="preserve">Seller’s refusal to produce corporate records (1961–1990)</w:t>
            </w:r>
          </w:p>
        </w:tc>
        <w:tc>
          <w:tcPr/>
          <w:p>
            <w:pPr>
              <w:pStyle w:val="Compact"/>
              <w:jc w:val="left"/>
            </w:pPr>
            <w:r>
              <w:rPr>
                <w:b/>
                <w:bCs/>
              </w:rPr>
              <w:t xml:space="preserve">MODERATE</w:t>
            </w:r>
          </w:p>
        </w:tc>
        <w:tc>
          <w:tcPr/>
          <w:p>
            <w:pPr>
              <w:pStyle w:val="Compact"/>
              <w:jc w:val="left"/>
            </w:pPr>
            <w:r>
              <w:t xml:space="preserve">Renew demand; consider records condition to closing</w:t>
            </w:r>
          </w:p>
        </w:tc>
      </w:tr>
      <w:tr>
        <w:tc>
          <w:tcPr/>
          <w:p>
            <w:pPr>
              <w:pStyle w:val="Compact"/>
              <w:jc w:val="left"/>
            </w:pPr>
            <w:r>
              <w:t xml:space="preserve">17</w:t>
            </w:r>
          </w:p>
        </w:tc>
        <w:tc>
          <w:tcPr/>
          <w:p>
            <w:pPr>
              <w:pStyle w:val="Compact"/>
              <w:jc w:val="left"/>
            </w:pPr>
            <w:r>
              <w:t xml:space="preserve">Active 10,000-gal diesel UST &amp; Lender post-closing UST covenant</w:t>
            </w:r>
          </w:p>
        </w:tc>
        <w:tc>
          <w:tcPr/>
          <w:p>
            <w:pPr>
              <w:pStyle w:val="Compact"/>
              <w:jc w:val="left"/>
            </w:pPr>
            <w:r>
              <w:rPr>
                <w:b/>
                <w:bCs/>
              </w:rPr>
              <w:t xml:space="preserve">LOW</w:t>
            </w:r>
          </w:p>
        </w:tc>
        <w:tc>
          <w:tcPr/>
          <w:p>
            <w:pPr>
              <w:pStyle w:val="Compact"/>
              <w:jc w:val="left"/>
            </w:pPr>
            <w:r>
              <w:t xml:space="preserve">Note Lender covenant (no UST install/use/close without consent)</w:t>
            </w:r>
          </w:p>
        </w:tc>
      </w:tr>
      <w:tr>
        <w:tc>
          <w:tcPr/>
          <w:p>
            <w:pPr>
              <w:pStyle w:val="Compact"/>
              <w:jc w:val="left"/>
            </w:pPr>
            <w:r>
              <w:t xml:space="preserve">18</w:t>
            </w:r>
          </w:p>
        </w:tc>
        <w:tc>
          <w:tcPr/>
          <w:p>
            <w:pPr>
              <w:pStyle w:val="Compact"/>
              <w:jc w:val="left"/>
            </w:pPr>
            <w:r>
              <w:t xml:space="preserve">RCRA SQG status; adjacent/nearby properties; Phase I shelf-life</w:t>
            </w:r>
          </w:p>
        </w:tc>
        <w:tc>
          <w:tcPr/>
          <w:p>
            <w:pPr>
              <w:pStyle w:val="Compact"/>
              <w:jc w:val="left"/>
            </w:pPr>
            <w:r>
              <w:rPr>
                <w:b/>
                <w:bCs/>
              </w:rPr>
              <w:t xml:space="preserve">LOW</w:t>
            </w:r>
          </w:p>
        </w:tc>
        <w:tc>
          <w:tcPr/>
          <w:p>
            <w:pPr>
              <w:pStyle w:val="Compact"/>
              <w:jc w:val="left"/>
            </w:pPr>
            <w:r>
              <w:t xml:space="preserve">Routine monitoring; confirm ESA within 180-day window at Closing</w:t>
            </w:r>
          </w:p>
        </w:tc>
      </w:tr>
    </w:tbl>
    <w:p>
      <w:r>
        <w:pict>
          <v:rect style="width:0;height:1.5pt" o:hralign="center" o:hrstd="t" o:hr="t"/>
        </w:pict>
      </w:r>
    </w:p>
    <w:bookmarkEnd w:id="25"/>
    <w:bookmarkStart w:id="44" w:name="vi.-detailed-issue-analysis"/>
    <w:p>
      <w:pPr>
        <w:pStyle w:val="Heading2"/>
      </w:pPr>
      <w:r>
        <w:t xml:space="preserve">VI. Detailed Issue Analysis</w:t>
      </w:r>
    </w:p>
    <w:bookmarkStart w:id="26" w:name="X76b75e23d3da06a23c8b8b310f2c8074f346f0f"/>
    <w:p>
      <w:pPr>
        <w:pStyle w:val="Heading3"/>
      </w:pPr>
      <w:r>
        <w:t xml:space="preserve">Issue 1 — Former TCE Vapor Degreasing Operations &amp; Abandoned Waste-TCE Drum (Greenfield REC-1)</w:t>
      </w:r>
    </w:p>
    <w:p>
      <w:pPr>
        <w:pStyle w:val="FirstParagraph"/>
      </w:pPr>
      <w:r>
        <w:rPr>
          <w:b/>
          <w:bCs/>
        </w:rPr>
        <w:t xml:space="preserve">Severity: CRITICAL</w:t>
      </w:r>
    </w:p>
    <w:p>
      <w:pPr>
        <w:pStyle w:val="BodyText"/>
      </w:pPr>
      <w:r>
        <w:rPr>
          <w:b/>
          <w:bCs/>
        </w:rPr>
        <w:t xml:space="preserve">Factual basis.</w:t>
      </w:r>
      <w:r>
        <w:t xml:space="preserve"> </w:t>
      </w:r>
      <w:r>
        <w:t xml:space="preserve">TCE was used as a vapor-degreasing solvent in the northwest corner of the main manufacturing building from 1961 through approximately 1992 — more than 30 years (Greenfield ESA §§5.3, 9.1). The former degreasing area exhibits visible floor staining and wall staining up to ~3 feet. A photoionization detector (</w:t>
      </w:r>
      <w:r>
        <w:t xml:space="preserve">“</w:t>
      </w:r>
      <w:r>
        <w:t xml:space="preserve">PID</w:t>
      </w:r>
      <w:r>
        <w:t xml:space="preserve">”</w:t>
      </w:r>
      <w:r>
        <w:t xml:space="preserve">) reading of</w:t>
      </w:r>
      <w:r>
        <w:t xml:space="preserve"> </w:t>
      </w:r>
      <w:r>
        <w:rPr>
          <w:b/>
          <w:bCs/>
        </w:rPr>
        <w:t xml:space="preserve">42.3 ppm</w:t>
      </w:r>
      <w:r>
        <w:t xml:space="preserve"> </w:t>
      </w:r>
      <w:r>
        <w:t xml:space="preserve">was recorded at a crack in the floor slab, against background readings of &lt;0.5 ppm elsewhere — strong evidence of residual chlorinated-solvent vapors emanating from the subsurface (Greenfield ESA §6.3.1). No closure documentation, decommissioning records, or confirmation sampling exists for the degreasing area following the cessation of TCE use (Greenfield ESA §9.1). A 55-gallon drum labeled</w:t>
      </w:r>
      <w:r>
        <w:t xml:space="preserve"> </w:t>
      </w:r>
      <w:r>
        <w:t xml:space="preserve">“</w:t>
      </w:r>
      <w:r>
        <w:t xml:space="preserve">WASTE TRICHLOROETHYLENE</w:t>
      </w:r>
      <w:r>
        <w:t xml:space="preserve">”</w:t>
      </w:r>
      <w:r>
        <w:t xml:space="preserve"> </w:t>
      </w:r>
      <w:r>
        <w:t xml:space="preserve">was observed behind the maintenance/utility building, approximately half full, with a rusted bottom and evidence of past leakage, and with stained soil (~3 ft × 3 ft) beneath it (Greenfield ESA §§6.2.3, 9.1). A 1988 Toledo Fire Department incident report documents a</w:t>
      </w:r>
      <w:r>
        <w:t xml:space="preserve"> </w:t>
      </w:r>
      <w:r>
        <w:t xml:space="preserve">“</w:t>
      </w:r>
      <w:r>
        <w:t xml:space="preserve">chemical spill</w:t>
      </w:r>
      <w:r>
        <w:t xml:space="preserve">”</w:t>
      </w:r>
      <w:r>
        <w:t xml:space="preserve"> </w:t>
      </w:r>
      <w:r>
        <w:t xml:space="preserve">of</w:t>
      </w:r>
      <w:r>
        <w:t xml:space="preserve"> </w:t>
      </w:r>
      <w:r>
        <w:t xml:space="preserve">“</w:t>
      </w:r>
      <w:r>
        <w:t xml:space="preserve">unknown quantity of degreasing solvent</w:t>
      </w:r>
      <w:r>
        <w:t xml:space="preserve">”</w:t>
      </w:r>
      <w:r>
        <w:t xml:space="preserve"> </w:t>
      </w:r>
      <w:r>
        <w:t xml:space="preserve">from an overturned drum at the Property (Greenfield ESA §7.2; Ohio EPA response did not address this, and it does not appear in ERNS per the EDR summary).</w:t>
      </w:r>
    </w:p>
    <w:p>
      <w:pPr>
        <w:pStyle w:val="BodyText"/>
      </w:pPr>
      <w:r>
        <w:rPr>
          <w:b/>
          <w:bCs/>
        </w:rPr>
        <w:t xml:space="preserve">Significance.</w:t>
      </w:r>
      <w:r>
        <w:t xml:space="preserve"> </w:t>
      </w:r>
      <w:r>
        <w:t xml:space="preserve">TCE is a federally listed carcinogen, is highly mobile in groundwater, and is a leading driver of vapor-intrusion risk. A 30+ year operational history with no closure characterization, an elevated PID reading, an actively leaking waste drum, and a documented historical spill collectively indicate a likely release to soil and potentially to groundwater beneath and downgradient of the building. The shallow water table (estimated 8–15 ft bgs; Greenfield ESA §3.4) increases the likelihood of groundwater impact. Remediation of chlorinated-solvent soil and groundwater contamination, including potential vapor-intrusion mitigation, routinely exceeds $500,000 and can reach seven figures.</w:t>
      </w:r>
    </w:p>
    <w:p>
      <w:pPr>
        <w:pStyle w:val="BodyText"/>
      </w:pPr>
      <w:r>
        <w:rPr>
          <w:b/>
          <w:bCs/>
        </w:rPr>
        <w:t xml:space="preserve">Implications.</w:t>
      </w:r>
      <w:r>
        <w:t xml:space="preserve"> </w:t>
      </w:r>
      <w:r>
        <w:t xml:space="preserve">This REC, standing alone, likely satisfies the §6.3(b)</w:t>
      </w:r>
      <w:r>
        <w:t xml:space="preserve"> </w:t>
      </w:r>
      <w:r>
        <w:t xml:space="preserve">“</w:t>
      </w:r>
      <w:r>
        <w:t xml:space="preserve">could result in Remediation Costs exceeding $500,000</w:t>
      </w:r>
      <w:r>
        <w:t xml:space="preserve">”</w:t>
      </w:r>
      <w:r>
        <w:t xml:space="preserve"> </w:t>
      </w:r>
      <w:r>
        <w:t xml:space="preserve">standard, giving Buyer a termination right exercisable through October 31, 2024. It triggers all of the Lender’s §3.B enhanced requirements (Phase II, PLL insurance, escrow, remediation plan, and — because VOCs are implicated — a vapor intrusion assessment). It is a Pre-Closing Environmental Liability for which Seller is indemnifiable, subject to the $1.75M cap and 3-year survival.</w:t>
      </w:r>
    </w:p>
    <w:p>
      <w:pPr>
        <w:pStyle w:val="BodyText"/>
      </w:pPr>
      <w:r>
        <w:rPr>
          <w:b/>
          <w:bCs/>
        </w:rPr>
        <w:t xml:space="preserve">Recommendations.</w:t>
      </w:r>
      <w:r>
        <w:t xml:space="preserve"> </w:t>
      </w:r>
      <w:r>
        <w:t xml:space="preserve">(i) Commission a Phase II ESA targeting the former degreasing area (soil borings through the slab, temporary/permanent groundwater monitoring wells, VOC analysis including TCE and daughter products cis-1,2-DCE and vinyl chloride) and the drum location. (ii) Characterize and properly manage the abandoned drum. (iii) Include a vapor intrusion assessment (see Issue 8). (iv) Evaluate the §6.3(b) termination right and preserve the October 31, 2024 notice deadline. (v) Ensure the Phase II cost estimates and PLL insurance satisfy the Lender’s November 30, 2024 deadline.</w:t>
      </w:r>
    </w:p>
    <w:p>
      <w:r>
        <w:pict>
          <v:rect style="width:0;height:1.5pt" o:hralign="center" o:hrstd="t" o:hr="t"/>
        </w:pict>
      </w:r>
    </w:p>
    <w:bookmarkEnd w:id="26"/>
    <w:bookmarkStart w:id="27" w:name="X118a04ab60e9f6b554105502f226cf3404b863a"/>
    <w:p>
      <w:pPr>
        <w:pStyle w:val="Heading3"/>
      </w:pPr>
      <w:r>
        <w:t xml:space="preserve">Issue 2 — Former Hexavalent Chromium Electroplating Operations (Greenfield REC-2)</w:t>
      </w:r>
    </w:p>
    <w:p>
      <w:pPr>
        <w:pStyle w:val="FirstParagraph"/>
      </w:pPr>
      <w:r>
        <w:rPr>
          <w:b/>
          <w:bCs/>
        </w:rPr>
        <w:t xml:space="preserve">Severity: CRITICAL</w:t>
      </w:r>
    </w:p>
    <w:p>
      <w:pPr>
        <w:pStyle w:val="BodyText"/>
      </w:pPr>
      <w:r>
        <w:rPr>
          <w:b/>
          <w:bCs/>
        </w:rPr>
        <w:t xml:space="preserve">Factual basis.</w:t>
      </w:r>
      <w:r>
        <w:t xml:space="preserve"> </w:t>
      </w:r>
      <w:r>
        <w:t xml:space="preserve">Electroplating using hexavalent chromium and nickel was conducted in the south wing of the main building from 1965 through 2004 — approximately 39 years (Greenfield ESA §§5.3, 9.1). The former plating room exhibits prominent blue-green staining on floors and walls (consistent with chromium residues), and the concrete shows pitting/etching from prolonged acid/alkali exposure (Greenfield ESA §6.3.2). An in-ground concrete sump in the center of the room contains approximately four inches of liquid with a visible iridescent sheen (Greenfield ESA §6.3.2). Hazardous-waste disposal documentation exists</w:t>
      </w:r>
      <w:r>
        <w:t xml:space="preserve"> </w:t>
      </w:r>
      <w:r>
        <w:rPr>
          <w:b/>
          <w:bCs/>
        </w:rPr>
        <w:t xml:space="preserve">only for 2004</w:t>
      </w:r>
      <w:r>
        <w:t xml:space="preserve"> </w:t>
      </w:r>
      <w:r>
        <w:t xml:space="preserve">— six manifests totaling 14,200 pounds under RCRA codes D007 (chromium) and F006 (electroplating sludge) (Greenfield ESA §9.1; Ohio EPA response §1).</w:t>
      </w:r>
      <w:r>
        <w:t xml:space="preserve"> </w:t>
      </w:r>
      <w:r>
        <w:rPr>
          <w:b/>
          <w:bCs/>
        </w:rPr>
        <w:t xml:space="preserve">No manifests or biennial reports exist for the preceding 39 years (1965–2003)</w:t>
      </w:r>
      <w:r>
        <w:t xml:space="preserve"> </w:t>
      </w:r>
      <w:r>
        <w:t xml:space="preserve">(Ohio EPA response §1; EDR summary). A 2003 Ohio EPA Compliance Evaluation Inspection documented improper hazardous-waste storage and resulted in NOV File No. NW-2003-0471 and a consent order (Ohio EPA response §2; Greenfield ESA §9.1).</w:t>
      </w:r>
    </w:p>
    <w:p>
      <w:pPr>
        <w:pStyle w:val="BodyText"/>
      </w:pPr>
      <w:r>
        <w:rPr>
          <w:b/>
          <w:bCs/>
        </w:rPr>
        <w:t xml:space="preserve">Significance.</w:t>
      </w:r>
      <w:r>
        <w:t xml:space="preserve"> </w:t>
      </w:r>
      <w:r>
        <w:t xml:space="preserve">Hexavalent chromium is highly toxic and a known carcinogen; F006 electroplating sludge and D007 chromium-bearing wastes are regulated hazardous wastes. The combination of (a) 39 years of operations, (b) visible chromium residues and a sump containing liquid with sheen, (c) a documented 2003 regulatory violation for improper outdoor storage of leaking chromium-bearing drums (see Issue 6), and (d) the near-total absence of disposal records for 39 years strongly indicates a likely release of chromium and related metals to the subsurface, and raises the question of how 39 years of hazardous waste was managed (see Issue 7). Chromium in soil/groundwater remediation is costly and persistent.</w:t>
      </w:r>
    </w:p>
    <w:p>
      <w:pPr>
        <w:pStyle w:val="BodyText"/>
      </w:pPr>
      <w:r>
        <w:rPr>
          <w:b/>
          <w:bCs/>
        </w:rPr>
        <w:t xml:space="preserve">Implications.</w:t>
      </w:r>
      <w:r>
        <w:t xml:space="preserve"> </w:t>
      </w:r>
      <w:r>
        <w:t xml:space="preserve">As with Issue 1, this REC likely exceeds the §6.3(b) $500,000 threshold and triggers the full suite of Lender §3.B requirements. The 2003 NOV is also directly relevant to the Seller’s §4.12(c) representation (see Issue 4).</w:t>
      </w:r>
    </w:p>
    <w:p>
      <w:pPr>
        <w:pStyle w:val="BodyText"/>
      </w:pPr>
      <w:r>
        <w:rPr>
          <w:b/>
          <w:bCs/>
        </w:rPr>
        <w:t xml:space="preserve">Recommendations.</w:t>
      </w:r>
      <w:r>
        <w:t xml:space="preserve"> </w:t>
      </w:r>
      <w:r>
        <w:t xml:space="preserve">(i) Phase II ESA targeting the former plating room: characterization of the sump liquid; soil borings through/beneath the slab; groundwater monitoring wells; analysis for total and hexavalent chromium, nickel, and pH. (ii) Address the 39-year disposal-records gap (Issue 7). (iii) Evaluate §6.3(b) termination right. (iv) Satisfy Lender’s November 30, 2024 deadline.</w:t>
      </w:r>
    </w:p>
    <w:p>
      <w:r>
        <w:pict>
          <v:rect style="width:0;height:1.5pt" o:hralign="center" o:hrstd="t" o:hr="t"/>
        </w:pict>
      </w:r>
    </w:p>
    <w:bookmarkEnd w:id="27"/>
    <w:bookmarkStart w:id="28" w:name="X6b4f7297d1c247047327bd92d2ac25b1c6a85e7"/>
    <w:p>
      <w:pPr>
        <w:pStyle w:val="Heading3"/>
      </w:pPr>
      <w:r>
        <w:t xml:space="preserve">Issue 3 — Off-Site PCE Groundwater Plume from Lake Erie Dry Cleaning (Unclassified REC)</w:t>
      </w:r>
    </w:p>
    <w:p>
      <w:pPr>
        <w:pStyle w:val="FirstParagraph"/>
      </w:pPr>
      <w:r>
        <w:rPr>
          <w:b/>
          <w:bCs/>
        </w:rPr>
        <w:t xml:space="preserve">Severity: CRITICAL</w:t>
      </w:r>
    </w:p>
    <w:p>
      <w:pPr>
        <w:pStyle w:val="BodyText"/>
      </w:pPr>
      <w:r>
        <w:rPr>
          <w:b/>
          <w:bCs/>
        </w:rPr>
        <w:t xml:space="preserve">Factual basis.</w:t>
      </w:r>
      <w:r>
        <w:t xml:space="preserve"> </w:t>
      </w:r>
      <w:r>
        <w:t xml:space="preserve">The former Lake Erie Dry Cleaning facility at 4900 Lakeshore Industrial Drive is located immediately</w:t>
      </w:r>
      <w:r>
        <w:t xml:space="preserve"> </w:t>
      </w:r>
      <w:r>
        <w:rPr>
          <w:b/>
          <w:bCs/>
        </w:rPr>
        <w:t xml:space="preserve">north</w:t>
      </w:r>
      <w:r>
        <w:t xml:space="preserve"> </w:t>
      </w:r>
      <w:r>
        <w:t xml:space="preserve">of and</w:t>
      </w:r>
      <w:r>
        <w:t xml:space="preserve"> </w:t>
      </w:r>
      <w:r>
        <w:rPr>
          <w:b/>
          <w:bCs/>
        </w:rPr>
        <w:t xml:space="preserve">hydraulically upgradient</w:t>
      </w:r>
      <w:r>
        <w:t xml:space="preserve"> </w:t>
      </w:r>
      <w:r>
        <w:t xml:space="preserve">from the Property, approximately 120 feet from the Property boundary (Greenfield ESA §§3.3, 5.1.1, 5.4; Ohio EPA response §4; EDR summary, Adjacent Property A1). It is a confirmed release site (Ohio EPA Master Sites List; VAP ID NW-0923) with a documented PCE groundwater plume. A 2014 investigation detected PCE at</w:t>
      </w:r>
      <w:r>
        <w:t xml:space="preserve"> </w:t>
      </w:r>
      <w:r>
        <w:rPr>
          <w:b/>
          <w:bCs/>
        </w:rPr>
        <w:t xml:space="preserve">87 µg/L</w:t>
      </w:r>
      <w:r>
        <w:t xml:space="preserve"> </w:t>
      </w:r>
      <w:r>
        <w:t xml:space="preserve">at monitoring well MW-7 (located ~120 ft north of the Property boundary) —</w:t>
      </w:r>
      <w:r>
        <w:t xml:space="preserve"> </w:t>
      </w:r>
      <w:r>
        <w:rPr>
          <w:b/>
          <w:bCs/>
        </w:rPr>
        <w:t xml:space="preserve">17.4 times</w:t>
      </w:r>
      <w:r>
        <w:t xml:space="preserve"> </w:t>
      </w:r>
      <w:r>
        <w:t xml:space="preserve">the Ohio generic groundwater standard of 5 µg/L (Ohio EPA response §4; EDR summary). The documented plume migration direction is</w:t>
      </w:r>
      <w:r>
        <w:t xml:space="preserve"> </w:t>
      </w:r>
      <w:r>
        <w:rPr>
          <w:b/>
          <w:bCs/>
        </w:rPr>
        <w:t xml:space="preserve">south-southeast — toward the Property</w:t>
      </w:r>
      <w:r>
        <w:t xml:space="preserve"> </w:t>
      </w:r>
      <w:r>
        <w:t xml:space="preserve">— consistent with regional groundwater flow (Greenfield ESA §3.4). The Property is located within a</w:t>
      </w:r>
      <w:r>
        <w:t xml:space="preserve"> </w:t>
      </w:r>
      <w:r>
        <w:rPr>
          <w:b/>
          <w:bCs/>
        </w:rPr>
        <w:t xml:space="preserve">designated Groundwater Management Zone</w:t>
      </w:r>
      <w:r>
        <w:t xml:space="preserve"> </w:t>
      </w:r>
      <w:r>
        <w:t xml:space="preserve">established by Ohio EPA for this plume (Ohio EPA response §4). A 2018 Ohio VAP Covenant Not to Sue applies</w:t>
      </w:r>
      <w:r>
        <w:t xml:space="preserve"> </w:t>
      </w:r>
      <w:r>
        <w:rPr>
          <w:b/>
          <w:bCs/>
        </w:rPr>
        <w:t xml:space="preserve">exclusively to the dry-cleaner parcel</w:t>
      </w:r>
      <w:r>
        <w:t xml:space="preserve"> </w:t>
      </w:r>
      <w:r>
        <w:t xml:space="preserve">and</w:t>
      </w:r>
      <w:r>
        <w:t xml:space="preserve"> </w:t>
      </w:r>
      <w:r>
        <w:t xml:space="preserve">“</w:t>
      </w:r>
      <w:r>
        <w:t xml:space="preserve">does not address, release, or otherwise cover off-site migration of the PCE groundwater plume onto adjacent properties, including the Subject Property</w:t>
      </w:r>
      <w:r>
        <w:t xml:space="preserve">”</w:t>
      </w:r>
      <w:r>
        <w:t xml:space="preserve"> </w:t>
      </w:r>
      <w:r>
        <w:t xml:space="preserve">(Ohio EPA response §4). To Ohio EPA’s knowledge,</w:t>
      </w:r>
      <w:r>
        <w:t xml:space="preserve"> </w:t>
      </w:r>
      <w:r>
        <w:rPr>
          <w:b/>
          <w:bCs/>
        </w:rPr>
        <w:t xml:space="preserve">no investigation of PCE in groundwater beneath the Property has been conducted</w:t>
      </w:r>
      <w:r>
        <w:t xml:space="preserve">, and the plume’s lateral/vertical extent beneath the Property is</w:t>
      </w:r>
      <w:r>
        <w:t xml:space="preserve"> </w:t>
      </w:r>
      <w:r>
        <w:rPr>
          <w:b/>
          <w:bCs/>
        </w:rPr>
        <w:t xml:space="preserve">not delineated</w:t>
      </w:r>
      <w:r>
        <w:t xml:space="preserve"> </w:t>
      </w:r>
      <w:r>
        <w:t xml:space="preserve">(Ohio EPA response §4).</w:t>
      </w:r>
    </w:p>
    <w:p>
      <w:pPr>
        <w:pStyle w:val="BodyText"/>
      </w:pPr>
      <w:r>
        <w:rPr>
          <w:b/>
          <w:bCs/>
        </w:rPr>
        <w:t xml:space="preserve">The classification deficiency.</w:t>
      </w:r>
      <w:r>
        <w:t xml:space="preserve"> </w:t>
      </w:r>
      <w:r>
        <w:t xml:space="preserve">Greenfield documented this plume in considerable detail (ESA §§5.1.1, 5.4) but did</w:t>
      </w:r>
      <w:r>
        <w:t xml:space="preserve"> </w:t>
      </w:r>
      <w:r>
        <w:rPr>
          <w:b/>
          <w:bCs/>
        </w:rPr>
        <w:t xml:space="preserve">not</w:t>
      </w:r>
      <w:r>
        <w:t xml:space="preserve"> </w:t>
      </w:r>
      <w:r>
        <w:t xml:space="preserve">classify it as a REC, listing only the two on-site RECs. This is, in our judgment, an error. Under ASTM E1527-21 §3.2.78, a REC includes</w:t>
      </w:r>
      <w:r>
        <w:t xml:space="preserve"> </w:t>
      </w:r>
      <w:r>
        <w:t xml:space="preserve">“</w:t>
      </w:r>
      <w:r>
        <w:t xml:space="preserve">the presence or</w:t>
      </w:r>
      <w:r>
        <w:t xml:space="preserve"> </w:t>
      </w:r>
      <w:r>
        <w:rPr>
          <w:b/>
          <w:bCs/>
        </w:rPr>
        <w:t xml:space="preserve">likely presence</w:t>
      </w:r>
      <w:r>
        <w:t xml:space="preserve"> </w:t>
      </w:r>
      <w:r>
        <w:t xml:space="preserve">of any hazardous substances … in, on, or at a property … due to a release to the environment.</w:t>
      </w:r>
      <w:r>
        <w:t xml:space="preserve">”</w:t>
      </w:r>
      <w:r>
        <w:t xml:space="preserve"> </w:t>
      </w:r>
      <w:r>
        <w:t xml:space="preserve">A confirmed, upgradient PCE plume migrating toward the Property, with PCE detected at 17.4× the standard only 120 feet from the boundary, the Property situated within the regulatory GMZ for that plume, and no delineation beneath the Property, readily satisfies the</w:t>
      </w:r>
      <w:r>
        <w:t xml:space="preserve"> </w:t>
      </w:r>
      <w:r>
        <w:t xml:space="preserve">“</w:t>
      </w:r>
      <w:r>
        <w:t xml:space="preserve">likely presence … due to a release</w:t>
      </w:r>
      <w:r>
        <w:t xml:space="preserve">”</w:t>
      </w:r>
      <w:r>
        <w:t xml:space="preserve"> </w:t>
      </w:r>
      <w:r>
        <w:t xml:space="preserve">standard. The Lender’s requirements letter (Section 2) is even more direct: it expressly requires that the Phase I ESA</w:t>
      </w:r>
      <w:r>
        <w:t xml:space="preserve"> </w:t>
      </w:r>
      <w:r>
        <w:t xml:space="preserve">“</w:t>
      </w:r>
      <w:r>
        <w:t xml:space="preserve">evaluate whether any off-site contamination, including groundwater plumes, may be migrating toward or impacting the subject Property, and</w:t>
      </w:r>
      <w:r>
        <w:t xml:space="preserve"> </w:t>
      </w:r>
      <w:r>
        <w:rPr>
          <w:b/>
          <w:bCs/>
        </w:rPr>
        <w:t xml:space="preserve">any such conditions must be identified as recognized environmental conditions</w:t>
      </w:r>
      <w:r>
        <w:t xml:space="preserve">.</w:t>
      </w:r>
      <w:r>
        <w:t xml:space="preserve">”</w:t>
      </w:r>
      <w:r>
        <w:t xml:space="preserve"> </w:t>
      </w:r>
      <w:r>
        <w:t xml:space="preserve">Greenfield’s failure to do so is inconsistent with both the ASTM standard and the Lender’s scope.</w:t>
      </w:r>
    </w:p>
    <w:p>
      <w:pPr>
        <w:pStyle w:val="BodyText"/>
      </w:pPr>
      <w:r>
        <w:rPr>
          <w:b/>
          <w:bCs/>
        </w:rPr>
        <w:t xml:space="preserve">Significance.</w:t>
      </w:r>
      <w:r>
        <w:t xml:space="preserve"> </w:t>
      </w:r>
      <w:r>
        <w:t xml:space="preserve">PCE, like TCE, is a volatile chlorinated solvent and a potent vapor-intrusion driver; the dry-cleaner parcel itself is subject to an environmental covenant requiring a sub-slab vapor mitigation system (Ohio EPA response §4), signaling recognized vapor risk in the immediate vicinity. The Property’s occupied warehouse structures are therefore potentially at risk. Because the plume originates off-site, Buyer’s CERCLA bona fide prospective purchaser (</w:t>
      </w:r>
      <w:r>
        <w:t xml:space="preserve">“</w:t>
      </w:r>
      <w:r>
        <w:t xml:space="preserve">BFPP</w:t>
      </w:r>
      <w:r>
        <w:t xml:space="preserve">”</w:t>
      </w:r>
      <w:r>
        <w:t xml:space="preserve">) defense and the contiguous-property-owner defense are directly implicated, and the Lender’s collateral is encumbered by a regulatory GMZ that may restrict groundwater use and certain land uses.</w:t>
      </w:r>
    </w:p>
    <w:p>
      <w:pPr>
        <w:pStyle w:val="BodyText"/>
      </w:pPr>
      <w:r>
        <w:rPr>
          <w:b/>
          <w:bCs/>
        </w:rPr>
        <w:t xml:space="preserve">Implications.</w:t>
      </w:r>
      <w:r>
        <w:t xml:space="preserve"> </w:t>
      </w:r>
      <w:r>
        <w:t xml:space="preserve">This is a third REC that, in our judgment, independently supports the §6.3(b) termination analysis and triggers the Lender’s §3.B requirements (including the vapor intrusion assessment). Its omission from the REC list is a material Phase I deficiency (see Issue 12) that the Lender’s environmental counsel is likely to identify during AAI review, creating a risk that the Lender rejects the Phase I ESA as non-compliant with its written scope.</w:t>
      </w:r>
    </w:p>
    <w:p>
      <w:pPr>
        <w:pStyle w:val="BodyText"/>
      </w:pPr>
      <w:r>
        <w:rPr>
          <w:b/>
          <w:bCs/>
        </w:rPr>
        <w:t xml:space="preserve">Recommendations.</w:t>
      </w:r>
      <w:r>
        <w:t xml:space="preserve"> </w:t>
      </w:r>
      <w:r>
        <w:t xml:space="preserve">(i) Formally request that Greenfield issue a supplemental/updated Phase I ESA classifying the Lake Erie Dry Cleaning PCE plume as a REC, with the supporting ASTM analysis. (ii) Commission an off-site/on-site groundwater investigation (monitoring wells at/near the northern boundary and downgradient) to delineate PCE beneath the Property. (iii) Perform a vapor intrusion assessment (Issue 8). (iv) Obtain the Lake Erie Dry Cleaning VAP file and 2014 investigation report to understand plume geometry and any off-site obligations. (v) Confirm whether the GMZ imposes use restrictions that conflict with Buyer’s planned use.</w:t>
      </w:r>
    </w:p>
    <w:p>
      <w:r>
        <w:pict>
          <v:rect style="width:0;height:1.5pt" o:hralign="center" o:hrstd="t" o:hr="t"/>
        </w:pict>
      </w:r>
    </w:p>
    <w:bookmarkEnd w:id="28"/>
    <w:bookmarkStart w:id="29" w:name="X01f86bc006f00d63678fb0e879abf2182e09f3e"/>
    <w:p>
      <w:pPr>
        <w:pStyle w:val="Heading3"/>
      </w:pPr>
      <w:r>
        <w:t xml:space="preserve">Issue 4 — Apparent Breaches of Seller’s §4.12/§4.13 Representations; Potential Fraud / Intentional Misrepresentation</w:t>
      </w:r>
    </w:p>
    <w:p>
      <w:pPr>
        <w:pStyle w:val="FirstParagraph"/>
      </w:pPr>
      <w:r>
        <w:rPr>
          <w:b/>
          <w:bCs/>
        </w:rPr>
        <w:t xml:space="preserve">Severity: CRITICAL</w:t>
      </w:r>
    </w:p>
    <w:p>
      <w:pPr>
        <w:pStyle w:val="BodyText"/>
      </w:pPr>
      <w:r>
        <w:rPr>
          <w:b/>
          <w:bCs/>
        </w:rPr>
        <w:t xml:space="preserve">Factual basis.</w:t>
      </w:r>
      <w:r>
        <w:t xml:space="preserve"> </w:t>
      </w:r>
      <w:r>
        <w:t xml:space="preserve">The APA contains the following Seller representations, all made</w:t>
      </w:r>
      <w:r>
        <w:t xml:space="preserve"> </w:t>
      </w:r>
      <w:r>
        <w:t xml:space="preserve">“</w:t>
      </w:r>
      <w:r>
        <w:t xml:space="preserve">as of the Effective Date and as of the Closing Date</w:t>
      </w:r>
      <w:r>
        <w:t xml:space="preserve">”</w:t>
      </w:r>
      <w:r>
        <w:t xml:space="preserve">:</w:t>
      </w:r>
    </w:p>
    <w:p>
      <w:pPr>
        <w:pStyle w:val="Compact"/>
        <w:numPr>
          <w:ilvl w:val="0"/>
          <w:numId w:val="1004"/>
        </w:numPr>
      </w:pPr>
      <w:r>
        <w:rPr>
          <w:b/>
          <w:bCs/>
        </w:rPr>
        <w:t xml:space="preserve">§4.12(a)</w:t>
      </w:r>
      <w:r>
        <w:t xml:space="preserve"> </w:t>
      </w:r>
      <w:r>
        <w:t xml:space="preserve">—</w:t>
      </w:r>
      <w:r>
        <w:t xml:space="preserve"> </w:t>
      </w:r>
      <w:r>
        <w:t xml:space="preserve">“</w:t>
      </w:r>
      <w:r>
        <w:t xml:space="preserve">to Seller’s knowledge, there has been no Release of any Hazardous Substances at, on, under, or from the Property …</w:t>
      </w:r>
      <w:r>
        <w:t xml:space="preserve">”</w:t>
      </w:r>
      <w:r>
        <w:t xml:space="preserve">;</w:t>
      </w:r>
      <w:r>
        <w:t xml:space="preserve"> </w:t>
      </w:r>
      <w:r>
        <w:rPr>
          <w:b/>
          <w:bCs/>
        </w:rPr>
        <w:t xml:space="preserve">Schedule 4.12(a):</w:t>
      </w:r>
      <w:r>
        <w:rPr>
          <w:b/>
          <w:bCs/>
        </w:rPr>
        <w:t xml:space="preserve"> </w:t>
      </w:r>
      <w:r>
        <w:rPr>
          <w:b/>
          <w:bCs/>
        </w:rPr>
        <w:t xml:space="preserve">“</w:t>
      </w:r>
      <w:r>
        <w:rPr>
          <w:b/>
          <w:bCs/>
        </w:rPr>
        <w:t xml:space="preserve">None.</w:t>
      </w:r>
      <w:r>
        <w:rPr>
          <w:b/>
          <w:bCs/>
        </w:rPr>
        <w:t xml:space="preserve">”</w:t>
      </w:r>
    </w:p>
    <w:p>
      <w:pPr>
        <w:pStyle w:val="Compact"/>
        <w:numPr>
          <w:ilvl w:val="0"/>
          <w:numId w:val="1004"/>
        </w:numPr>
      </w:pPr>
      <w:r>
        <w:rPr>
          <w:b/>
          <w:bCs/>
        </w:rPr>
        <w:t xml:space="preserve">§4.12(c)</w:t>
      </w:r>
      <w:r>
        <w:t xml:space="preserve"> </w:t>
      </w:r>
      <w:r>
        <w:t xml:space="preserve">— Seller</w:t>
      </w:r>
      <w:r>
        <w:t xml:space="preserve"> </w:t>
      </w:r>
      <w:r>
        <w:t xml:space="preserve">“</w:t>
      </w:r>
      <w:r>
        <w:t xml:space="preserve">has not received any Environmental Notice from any Governmental Authority regarding the Property, and there are no pending or, to Seller’s knowledge, threatened environmental enforcement actions …</w:t>
      </w:r>
      <w:r>
        <w:t xml:space="preserve">”</w:t>
      </w:r>
      <w:r>
        <w:t xml:space="preserve">;</w:t>
      </w:r>
      <w:r>
        <w:t xml:space="preserve"> </w:t>
      </w:r>
      <w:r>
        <w:rPr>
          <w:b/>
          <w:bCs/>
        </w:rPr>
        <w:t xml:space="preserve">Schedule 4.12(c):</w:t>
      </w:r>
      <w:r>
        <w:rPr>
          <w:b/>
          <w:bCs/>
        </w:rPr>
        <w:t xml:space="preserve"> </w:t>
      </w:r>
      <w:r>
        <w:rPr>
          <w:b/>
          <w:bCs/>
        </w:rPr>
        <w:t xml:space="preserve">“</w:t>
      </w:r>
      <w:r>
        <w:rPr>
          <w:b/>
          <w:bCs/>
        </w:rPr>
        <w:t xml:space="preserve">None.</w:t>
      </w:r>
      <w:r>
        <w:rPr>
          <w:b/>
          <w:bCs/>
        </w:rPr>
        <w:t xml:space="preserve">”</w:t>
      </w:r>
    </w:p>
    <w:p>
      <w:pPr>
        <w:pStyle w:val="Compact"/>
        <w:numPr>
          <w:ilvl w:val="0"/>
          <w:numId w:val="1004"/>
        </w:numPr>
      </w:pPr>
      <w:r>
        <w:rPr>
          <w:b/>
          <w:bCs/>
        </w:rPr>
        <w:t xml:space="preserve">§4.13(a)</w:t>
      </w:r>
      <w:r>
        <w:t xml:space="preserve"> </w:t>
      </w:r>
      <w:r>
        <w:t xml:space="preserve">— Schedule 4.13 is</w:t>
      </w:r>
      <w:r>
        <w:t xml:space="preserve"> </w:t>
      </w:r>
      <w:r>
        <w:t xml:space="preserve">“</w:t>
      </w:r>
      <w:r>
        <w:t xml:space="preserve">a true, correct, and complete list of all Underground Storage Tanks that are or have been located on the Property,</w:t>
      </w:r>
      <w:r>
        <w:t xml:space="preserve">”</w:t>
      </w:r>
      <w:r>
        <w:t xml:space="preserve"> </w:t>
      </w:r>
      <w:r>
        <w:t xml:space="preserve">and all such USTs</w:t>
      </w:r>
      <w:r>
        <w:t xml:space="preserve"> </w:t>
      </w:r>
      <w:r>
        <w:t xml:space="preserve">“</w:t>
      </w:r>
      <w:r>
        <w:t xml:space="preserve">have been properly registered … and have been properly … closed.</w:t>
      </w:r>
      <w:r>
        <w:t xml:space="preserve">”</w:t>
      </w:r>
    </w:p>
    <w:p>
      <w:pPr>
        <w:pStyle w:val="Compact"/>
        <w:numPr>
          <w:ilvl w:val="0"/>
          <w:numId w:val="1004"/>
        </w:numPr>
      </w:pPr>
      <w:r>
        <w:rPr>
          <w:b/>
          <w:bCs/>
        </w:rPr>
        <w:t xml:space="preserve">§4.13(b)</w:t>
      </w:r>
      <w:r>
        <w:t xml:space="preserve"> </w:t>
      </w:r>
      <w:r>
        <w:t xml:space="preserve">—</w:t>
      </w:r>
      <w:r>
        <w:t xml:space="preserve"> </w:t>
      </w:r>
      <w:r>
        <w:t xml:space="preserve">“</w:t>
      </w:r>
      <w:r>
        <w:t xml:space="preserve">to Seller’s knowledge, there have been no Releases from any Underground Storage Tank located on the Property.</w:t>
      </w:r>
      <w:r>
        <w:t xml:space="preserve">”</w:t>
      </w:r>
    </w:p>
    <w:p>
      <w:pPr>
        <w:pStyle w:val="FirstParagraph"/>
      </w:pPr>
      <w:r>
        <w:t xml:space="preserve">These representations appear to be</w:t>
      </w:r>
      <w:r>
        <w:t xml:space="preserve"> </w:t>
      </w:r>
      <w:r>
        <w:rPr>
          <w:b/>
          <w:bCs/>
        </w:rPr>
        <w:t xml:space="preserve">materially inaccurate</w:t>
      </w:r>
      <w:r>
        <w:t xml:space="preserve"> </w:t>
      </w:r>
      <w:r>
        <w:t xml:space="preserve">in light of the following documented facts:</w:t>
      </w:r>
    </w:p>
    <w:p>
      <w:pPr>
        <w:pStyle w:val="Compact"/>
        <w:numPr>
          <w:ilvl w:val="0"/>
          <w:numId w:val="1005"/>
        </w:numPr>
      </w:pPr>
      <w:r>
        <w:rPr>
          <w:b/>
          <w:bCs/>
        </w:rPr>
        <w:t xml:space="preserve">1988 chemical spill.</w:t>
      </w:r>
      <w:r>
        <w:t xml:space="preserve"> </w:t>
      </w:r>
      <w:r>
        <w:t xml:space="preserve">A City of Toledo Fire Department incident report (March 14, 1988) documents a</w:t>
      </w:r>
      <w:r>
        <w:t xml:space="preserve"> </w:t>
      </w:r>
      <w:r>
        <w:t xml:space="preserve">“</w:t>
      </w:r>
      <w:r>
        <w:t xml:space="preserve">chemical spill</w:t>
      </w:r>
      <w:r>
        <w:t xml:space="preserve">”</w:t>
      </w:r>
      <w:r>
        <w:t xml:space="preserve"> </w:t>
      </w:r>
      <w:r>
        <w:t xml:space="preserve">of</w:t>
      </w:r>
      <w:r>
        <w:t xml:space="preserve"> </w:t>
      </w:r>
      <w:r>
        <w:t xml:space="preserve">“</w:t>
      </w:r>
      <w:r>
        <w:t xml:space="preserve">unknown quantity of degreasing solvent</w:t>
      </w:r>
      <w:r>
        <w:t xml:space="preserve">”</w:t>
      </w:r>
      <w:r>
        <w:t xml:space="preserve"> </w:t>
      </w:r>
      <w:r>
        <w:t xml:space="preserve">from an overturned drum at the Property (Greenfield ESA §7.2). This is a</w:t>
      </w:r>
      <w:r>
        <w:t xml:space="preserve"> </w:t>
      </w:r>
      <w:r>
        <w:t xml:space="preserve">“</w:t>
      </w:r>
      <w:r>
        <w:t xml:space="preserve">Release</w:t>
      </w:r>
      <w:r>
        <w:t xml:space="preserve">”</w:t>
      </w:r>
      <w:r>
        <w:t xml:space="preserve"> </w:t>
      </w:r>
      <w:r>
        <w:t xml:space="preserve">of a hazardous substance within the meaning of APA §1.1, inconsistent with §4.12(a)/Schedule 4.12(a) (</w:t>
      </w:r>
      <w:r>
        <w:t xml:space="preserve">“</w:t>
      </w:r>
      <w:r>
        <w:t xml:space="preserve">None</w:t>
      </w:r>
      <w:r>
        <w:t xml:space="preserve">”</w:t>
      </w:r>
      <w:r>
        <w:t xml:space="preserve">).</w:t>
      </w:r>
    </w:p>
    <w:p>
      <w:pPr>
        <w:pStyle w:val="Compact"/>
        <w:numPr>
          <w:ilvl w:val="0"/>
          <w:numId w:val="1005"/>
        </w:numPr>
      </w:pPr>
      <w:r>
        <w:rPr>
          <w:b/>
          <w:bCs/>
        </w:rPr>
        <w:t xml:space="preserve">2003 Ohio EPA NOV and consent order.</w:t>
      </w:r>
      <w:r>
        <w:t xml:space="preserve"> </w:t>
      </w:r>
      <w:r>
        <w:t xml:space="preserve">Ohio EPA issued NOV File No. NW-2003-0471 on August 12, 2003, for improper hazardous-waste storage, resolved by a Director’s Final Findings and Orders (consent order) (Ohio EPA response §2). An NOV and consent order are</w:t>
      </w:r>
      <w:r>
        <w:t xml:space="preserve"> </w:t>
      </w:r>
      <w:r>
        <w:t xml:space="preserve">“</w:t>
      </w:r>
      <w:r>
        <w:t xml:space="preserve">Environmental Notices</w:t>
      </w:r>
      <w:r>
        <w:t xml:space="preserve">”</w:t>
      </w:r>
      <w:r>
        <w:t xml:space="preserve"> </w:t>
      </w:r>
      <w:r>
        <w:t xml:space="preserve">within the APA’s definition, inconsistent with §4.12(c)/Schedule 4.12(c) (</w:t>
      </w:r>
      <w:r>
        <w:t xml:space="preserve">“</w:t>
      </w:r>
      <w:r>
        <w:t xml:space="preserve">None</w:t>
      </w:r>
      <w:r>
        <w:t xml:space="preserve">”</w:t>
      </w:r>
      <w:r>
        <w:t xml:space="preserve">). The NOV was addressed to Seller and its principal, Gerald Breckenridge III, personally.</w:t>
      </w:r>
    </w:p>
    <w:p>
      <w:pPr>
        <w:pStyle w:val="Compact"/>
        <w:numPr>
          <w:ilvl w:val="0"/>
          <w:numId w:val="1005"/>
        </w:numPr>
      </w:pPr>
      <w:r>
        <w:rPr>
          <w:b/>
          <w:bCs/>
        </w:rPr>
        <w:t xml:space="preserve">Two omitted USTs.</w:t>
      </w:r>
      <w:r>
        <w:t xml:space="preserve"> </w:t>
      </w:r>
      <w:r>
        <w:t xml:space="preserve">Schedule 4.13 lists only the active 10,000-gallon diesel UST. Historical Sanborn maps document a</w:t>
      </w:r>
      <w:r>
        <w:t xml:space="preserve"> </w:t>
      </w:r>
      <w:r>
        <w:rPr>
          <w:b/>
          <w:bCs/>
        </w:rPr>
        <w:t xml:space="preserve">2,000-gallon waste-solvent UST</w:t>
      </w:r>
      <w:r>
        <w:t xml:space="preserve"> </w:t>
      </w:r>
      <w:r>
        <w:t xml:space="preserve">(1987 edition) and a</w:t>
      </w:r>
      <w:r>
        <w:t xml:space="preserve"> </w:t>
      </w:r>
      <w:r>
        <w:rPr>
          <w:b/>
          <w:bCs/>
        </w:rPr>
        <w:t xml:space="preserve">500-gallon heating-oil UST</w:t>
      </w:r>
      <w:r>
        <w:t xml:space="preserve"> </w:t>
      </w:r>
      <w:r>
        <w:t xml:space="preserve">(1948/1955 editions, Halstead farmhouse). Ohio EPA/BUSTR confirmed that</w:t>
      </w:r>
      <w:r>
        <w:t xml:space="preserve"> </w:t>
      </w:r>
      <w:r>
        <w:rPr>
          <w:b/>
          <w:bCs/>
        </w:rPr>
        <w:t xml:space="preserve">no registration, closure, or removal records exist</w:t>
      </w:r>
      <w:r>
        <w:t xml:space="preserve"> </w:t>
      </w:r>
      <w:r>
        <w:t xml:space="preserve">for either tank (Ohio EPA response §3; EDR summary). Seller’s representation that Schedule 4.13 is complete and that all USTs were</w:t>
      </w:r>
      <w:r>
        <w:t xml:space="preserve"> </w:t>
      </w:r>
      <w:r>
        <w:t xml:space="preserve">“</w:t>
      </w:r>
      <w:r>
        <w:t xml:space="preserve">properly registered … and properly … closed</w:t>
      </w:r>
      <w:r>
        <w:t xml:space="preserve">”</w:t>
      </w:r>
      <w:r>
        <w:t xml:space="preserve"> </w:t>
      </w:r>
      <w:r>
        <w:t xml:space="preserve">therefore appears inaccurate as to these two tanks (see Issue 5).</w:t>
      </w:r>
    </w:p>
    <w:p>
      <w:pPr>
        <w:pStyle w:val="FirstParagraph"/>
      </w:pPr>
      <w:r>
        <w:rPr>
          <w:b/>
          <w:bCs/>
        </w:rPr>
        <w:t xml:space="preserve">Seller’s statements to Greenfield.</w:t>
      </w:r>
      <w:r>
        <w:t xml:space="preserve"> </w:t>
      </w:r>
      <w:r>
        <w:t xml:space="preserve">Seller’s principal, Gerald Breckenridge III, told Greenfield he was</w:t>
      </w:r>
      <w:r>
        <w:t xml:space="preserve"> </w:t>
      </w:r>
      <w:r>
        <w:t xml:space="preserve">“</w:t>
      </w:r>
      <w:r>
        <w:t xml:space="preserve">not aware of any spills</w:t>
      </w:r>
      <w:r>
        <w:t xml:space="preserve">”</w:t>
      </w:r>
      <w:r>
        <w:t xml:space="preserve"> </w:t>
      </w:r>
      <w:r>
        <w:t xml:space="preserve">and, when shown the 1988 Fire Department record, called it</w:t>
      </w:r>
      <w:r>
        <w:t xml:space="preserve"> </w:t>
      </w:r>
      <w:r>
        <w:t xml:space="preserve">“</w:t>
      </w:r>
      <w:r>
        <w:t xml:space="preserve">a minor incident</w:t>
      </w:r>
      <w:r>
        <w:t xml:space="preserve">”</w:t>
      </w:r>
      <w:r>
        <w:t xml:space="preserve"> </w:t>
      </w:r>
      <w:r>
        <w:t xml:space="preserve">and</w:t>
      </w:r>
      <w:r>
        <w:t xml:space="preserve"> </w:t>
      </w:r>
      <w:r>
        <w:t xml:space="preserve">“</w:t>
      </w:r>
      <w:r>
        <w:t xml:space="preserve">nothing to worry about</w:t>
      </w:r>
      <w:r>
        <w:t xml:space="preserve">”</w:t>
      </w:r>
      <w:r>
        <w:t xml:space="preserve"> </w:t>
      </w:r>
      <w:r>
        <w:t xml:space="preserve">(Greenfield ESA §7.1). He stated</w:t>
      </w:r>
      <w:r>
        <w:t xml:space="preserve"> </w:t>
      </w:r>
      <w:r>
        <w:t xml:space="preserve">“</w:t>
      </w:r>
      <w:r>
        <w:t xml:space="preserve">all the chemicals were handled properly</w:t>
      </w:r>
      <w:r>
        <w:t xml:space="preserve">”</w:t>
      </w:r>
      <w:r>
        <w:t xml:space="preserve"> </w:t>
      </w:r>
      <w:r>
        <w:t xml:space="preserve">throughout operations, while acknowledging he had no documentation to support that assertion (Greenfield ESA §7.1). He characterized the 2003 NOV as</w:t>
      </w:r>
      <w:r>
        <w:t xml:space="preserve"> </w:t>
      </w:r>
      <w:r>
        <w:t xml:space="preserve">“</w:t>
      </w:r>
      <w:r>
        <w:t xml:space="preserve">resolved years ago</w:t>
      </w:r>
      <w:r>
        <w:t xml:space="preserve">”</w:t>
      </w:r>
      <w:r>
        <w:t xml:space="preserve"> </w:t>
      </w:r>
      <w:r>
        <w:t xml:space="preserve">but could not produce the consent order (Greenfield ESA §7.1). Mr. Breckenridge has been involved with the company since the mid-1980s and was the NOV’s named recipient in 2003, undermining any</w:t>
      </w:r>
      <w:r>
        <w:t xml:space="preserve"> </w:t>
      </w:r>
      <w:r>
        <w:t xml:space="preserve">“</w:t>
      </w:r>
      <w:r>
        <w:t xml:space="preserve">to Seller’s knowledge</w:t>
      </w:r>
      <w:r>
        <w:t xml:space="preserve">”</w:t>
      </w:r>
      <w:r>
        <w:t xml:space="preserve"> </w:t>
      </w:r>
      <w:r>
        <w:t xml:space="preserve">qualifier.</w:t>
      </w:r>
    </w:p>
    <w:p>
      <w:pPr>
        <w:pStyle w:val="BodyText"/>
      </w:pPr>
      <w:r>
        <w:rPr>
          <w:b/>
          <w:bCs/>
        </w:rPr>
        <w:t xml:space="preserve">Significance — the fraud exception.</w:t>
      </w:r>
      <w:r>
        <w:t xml:space="preserve"> </w:t>
      </w:r>
      <w:r>
        <w:t xml:space="preserve">APA §8.4(d) provides that losses arising from</w:t>
      </w:r>
      <w:r>
        <w:t xml:space="preserve"> </w:t>
      </w:r>
      <w:r>
        <w:rPr>
          <w:b/>
          <w:bCs/>
        </w:rPr>
        <w:t xml:space="preserve">fraud or intentional misrepresentation</w:t>
      </w:r>
      <w:r>
        <w:t xml:space="preserve"> </w:t>
      </w:r>
      <w:r>
        <w:t xml:space="preserve">are</w:t>
      </w:r>
      <w:r>
        <w:t xml:space="preserve"> </w:t>
      </w:r>
      <w:r>
        <w:rPr>
          <w:b/>
          <w:bCs/>
        </w:rPr>
        <w:t xml:space="preserve">not</w:t>
      </w:r>
      <w:r>
        <w:t xml:space="preserve"> </w:t>
      </w:r>
      <w:r>
        <w:t xml:space="preserve">subject to the $87,500 basket, the $1,750,000 cap, or the 3-year survival period. If Seller (through Mr. Breckenridge) had actual knowledge of the 1988 spill and the 2003 NOV/consent order — which the documentary record strongly suggests — the</w:t>
      </w:r>
      <w:r>
        <w:t xml:space="preserve"> </w:t>
      </w:r>
      <w:r>
        <w:t xml:space="preserve">“</w:t>
      </w:r>
      <w:r>
        <w:t xml:space="preserve">None</w:t>
      </w:r>
      <w:r>
        <w:t xml:space="preserve">”</w:t>
      </w:r>
      <w:r>
        <w:t xml:space="preserve"> </w:t>
      </w:r>
      <w:r>
        <w:t xml:space="preserve">entries on Schedules 4.12(a) and 4.12(c), and the incomplete Schedule 4.13, may constitute intentional misrepresentation, exposing Seller to</w:t>
      </w:r>
      <w:r>
        <w:t xml:space="preserve"> </w:t>
      </w:r>
      <w:r>
        <w:rPr>
          <w:b/>
          <w:bCs/>
        </w:rPr>
        <w:t xml:space="preserve">uncapped, indefinite</w:t>
      </w:r>
      <w:r>
        <w:t xml:space="preserve"> </w:t>
      </w:r>
      <w:r>
        <w:t xml:space="preserve">indemnity. Even absent a fraud finding, these are straightforward breaches of §4.12 and §4.13 actionable under §8.2(a)(i) (subject to the basket, cap, and survival for the §4.12(a) release representation, but note the basket does</w:t>
      </w:r>
      <w:r>
        <w:t xml:space="preserve"> </w:t>
      </w:r>
      <w:r>
        <w:rPr>
          <w:b/>
          <w:bCs/>
        </w:rPr>
        <w:t xml:space="preserve">not</w:t>
      </w:r>
      <w:r>
        <w:t xml:space="preserve"> </w:t>
      </w:r>
      <w:r>
        <w:t xml:space="preserve">apply to Pre-Closing Environmental Liabilities under §8.2(a)(iii)).</w:t>
      </w:r>
    </w:p>
    <w:p>
      <w:pPr>
        <w:pStyle w:val="BodyText"/>
      </w:pPr>
      <w:r>
        <w:rPr>
          <w:b/>
          <w:bCs/>
        </w:rPr>
        <w:t xml:space="preserve">Recommendations.</w:t>
      </w:r>
      <w:r>
        <w:t xml:space="preserve"> </w:t>
      </w:r>
      <w:r>
        <w:t xml:space="preserve">(i) Send a written demand to Seller (through counsel) to disclose and explain the 1988 spill, the 2003 NOV/consent order, and the two omitted USTs, and to update Schedules 4.12 and 4.13; preserve all communications. (ii) Obtain the 2003 consent order and compliance certification from Ohio EPA Central Office (Issue 14). (iii) Document the inconsistency between Seller’s statements and the Fire Department/Ohio EPA records to preserve the fraud/intentional-misrepresentation theory. (iv) Consider whether to seek a price reduction, an increased indemnification cap, a dedicated environmental escrow, and/or expanded survival for environmental claims as conditions to proceeding. (v) Evaluate whether the apparent misrepresentations independently support a §6.3(b) termination or a renegotiation.</w:t>
      </w:r>
    </w:p>
    <w:p>
      <w:r>
        <w:pict>
          <v:rect style="width:0;height:1.5pt" o:hralign="center" o:hrstd="t" o:hr="t"/>
        </w:pict>
      </w:r>
    </w:p>
    <w:bookmarkEnd w:id="29"/>
    <w:bookmarkStart w:id="30" w:name="X1e4b167d9ae22841cdfc32c899e057ba24fa720"/>
    <w:p>
      <w:pPr>
        <w:pStyle w:val="Heading3"/>
      </w:pPr>
      <w:r>
        <w:t xml:space="preserve">Issue 5 — Unregistered/Unclosed USTs: 2,000-Gallon Waste-Solvent UST &amp; 500-Gallon Heating-Oil UST</w:t>
      </w:r>
    </w:p>
    <w:p>
      <w:pPr>
        <w:pStyle w:val="FirstParagraph"/>
      </w:pPr>
      <w:r>
        <w:rPr>
          <w:b/>
          <w:bCs/>
        </w:rPr>
        <w:t xml:space="preserve">Severity: HIGH</w:t>
      </w:r>
    </w:p>
    <w:p>
      <w:pPr>
        <w:pStyle w:val="BodyText"/>
      </w:pPr>
      <w:r>
        <w:rPr>
          <w:b/>
          <w:bCs/>
        </w:rPr>
        <w:t xml:space="preserve">Factual basis.</w:t>
      </w:r>
      <w:r>
        <w:t xml:space="preserve"> </w:t>
      </w:r>
      <w:r>
        <w:t xml:space="preserve">Two USTs depicted on historical Sanborn maps have</w:t>
      </w:r>
      <w:r>
        <w:t xml:space="preserve"> </w:t>
      </w:r>
      <w:r>
        <w:rPr>
          <w:b/>
          <w:bCs/>
        </w:rPr>
        <w:t xml:space="preserve">no corresponding BUSTR registration, closure, removal, or site-assessment records</w:t>
      </w:r>
      <w:r>
        <w:t xml:space="preserve"> </w:t>
      </w:r>
      <w:r>
        <w:t xml:space="preserve">(Ohio EPA response §3; EDR summary, Sanborn UST summary):</w:t>
      </w:r>
    </w:p>
    <w:p>
      <w:pPr>
        <w:pStyle w:val="Compact"/>
        <w:numPr>
          <w:ilvl w:val="0"/>
          <w:numId w:val="1006"/>
        </w:numPr>
      </w:pPr>
      <w:r>
        <w:rPr>
          <w:b/>
          <w:bCs/>
        </w:rPr>
        <w:t xml:space="preserve">2,000-gallon waste-solvent UST</w:t>
      </w:r>
      <w:r>
        <w:t xml:space="preserve"> </w:t>
      </w:r>
      <w:r>
        <w:t xml:space="preserve">— depicted on the 1987 Sanborn map on the east side of the Property, in the general vicinity of the former outdoor drum storage area (Issue 6) and the former electroplating operations. No BUSTR records exist; current status unknown;</w:t>
      </w:r>
      <w:r>
        <w:t xml:space="preserve"> </w:t>
      </w:r>
      <w:r>
        <w:t xml:space="preserve">“</w:t>
      </w:r>
      <w:r>
        <w:t xml:space="preserve">tank may remain in place</w:t>
      </w:r>
      <w:r>
        <w:t xml:space="preserve">”</w:t>
      </w:r>
      <w:r>
        <w:t xml:space="preserve"> </w:t>
      </w:r>
      <w:r>
        <w:t xml:space="preserve">(EDR summary).</w:t>
      </w:r>
    </w:p>
    <w:p>
      <w:pPr>
        <w:pStyle w:val="Compact"/>
        <w:numPr>
          <w:ilvl w:val="0"/>
          <w:numId w:val="1006"/>
        </w:numPr>
      </w:pPr>
      <w:r>
        <w:rPr>
          <w:b/>
          <w:bCs/>
        </w:rPr>
        <w:t xml:space="preserve">500-gallon heating-oil UST</w:t>
      </w:r>
      <w:r>
        <w:t xml:space="preserve"> </w:t>
      </w:r>
      <w:r>
        <w:t xml:space="preserve">— depicted on the 1948/1955 Sanborn maps serving the Halstead farmhouse (northwest portion), demolished in 1961. No BUSTR records exist; no removal records;</w:t>
      </w:r>
      <w:r>
        <w:t xml:space="preserve"> </w:t>
      </w:r>
      <w:r>
        <w:t xml:space="preserve">“</w:t>
      </w:r>
      <w:r>
        <w:t xml:space="preserve">tank may remain in place beneath current pavement/fill</w:t>
      </w:r>
      <w:r>
        <w:t xml:space="preserve">”</w:t>
      </w:r>
      <w:r>
        <w:t xml:space="preserve"> </w:t>
      </w:r>
      <w:r>
        <w:t xml:space="preserve">(EDR summary).</w:t>
      </w:r>
    </w:p>
    <w:p>
      <w:pPr>
        <w:pStyle w:val="FirstParagraph"/>
      </w:pPr>
      <w:r>
        <w:rPr>
          <w:b/>
          <w:bCs/>
        </w:rPr>
        <w:t xml:space="preserve">Significance.</w:t>
      </w:r>
      <w:r>
        <w:t xml:space="preserve"> </w:t>
      </w:r>
      <w:r>
        <w:t xml:space="preserve">The 2,000-gallon waste-solvent UST is the more serious concern: it was used to store waste solvents during the period of TCE degreasing and electroplating operations, it is located in an area with documented historical drum storage and a 2003 NOV for improper outdoor hazardous-waste storage, and its contents and integrity are unknown. An unregistered, un-closed UST that may still contain waste solvents is a potential ongoing source of contamination and a regulatory compliance liability. The 500-gallon heating-oil UST is lower-risk by volume and age but, with no closure records, cannot be presumed removed. Both tanks are omitted from Schedule 4.13, supporting the §4.13 breach analysis in Issue 4.</w:t>
      </w:r>
    </w:p>
    <w:p>
      <w:pPr>
        <w:pStyle w:val="BodyText"/>
      </w:pPr>
      <w:r>
        <w:rPr>
          <w:b/>
          <w:bCs/>
        </w:rPr>
        <w:t xml:space="preserve">Implications.</w:t>
      </w:r>
      <w:r>
        <w:t xml:space="preserve"> </w:t>
      </w:r>
      <w:r>
        <w:t xml:space="preserve">Ohio EPA expressly recommended geophysical surveys, interviews, and review of local fire-department permit records to resolve the status of these tanks (Ohio EPA response §3). The Lender’s post-closing covenants prohibit UST installation/use/closure without consent, and an unknown UST is a collateral risk. If either tank is present and has released, remediation and tank-closure costs would be Pre-Closing Environmental Liabilities.</w:t>
      </w:r>
    </w:p>
    <w:p>
      <w:pPr>
        <w:pStyle w:val="BodyText"/>
      </w:pPr>
      <w:r>
        <w:rPr>
          <w:b/>
          <w:bCs/>
        </w:rPr>
        <w:t xml:space="preserve">Recommendations.</w:t>
      </w:r>
      <w:r>
        <w:t xml:space="preserve"> </w:t>
      </w:r>
      <w:r>
        <w:t xml:space="preserve">(i) Conduct a geophysical survey (ground-penetrating radar/electromagnetic) to locate/confirm the presence and disposition of both USTs. (ii) If present, plan for closure assessment and proper removal under BUSTR oversight. (iii) Demand that Seller cure the §4.13 representation by disclosing and addressing these tanks pre-closing. (iv) Include the 2,000-gallon waste-solvent UST area in the Phase II scope (coordinated with Issue 6).</w:t>
      </w:r>
    </w:p>
    <w:p>
      <w:r>
        <w:pict>
          <v:rect style="width:0;height:1.5pt" o:hralign="center" o:hrstd="t" o:hr="t"/>
        </w:pict>
      </w:r>
    </w:p>
    <w:bookmarkEnd w:id="30"/>
    <w:bookmarkStart w:id="31" w:name="X14d5465b4a3f9f85b390ac03b4a7bff7bd159ad"/>
    <w:p>
      <w:pPr>
        <w:pStyle w:val="Heading3"/>
      </w:pPr>
      <w:r>
        <w:t xml:space="preserve">Issue 6 — Former Outdoor Drum Storage Area (East Side) — Under-Classified REC</w:t>
      </w:r>
    </w:p>
    <w:p>
      <w:pPr>
        <w:pStyle w:val="FirstParagraph"/>
      </w:pPr>
      <w:r>
        <w:rPr>
          <w:b/>
          <w:bCs/>
        </w:rPr>
        <w:t xml:space="preserve">Severity: HIGH</w:t>
      </w:r>
    </w:p>
    <w:p>
      <w:pPr>
        <w:pStyle w:val="BodyText"/>
      </w:pPr>
      <w:r>
        <w:rPr>
          <w:b/>
          <w:bCs/>
        </w:rPr>
        <w:t xml:space="preserve">Factual basis.</w:t>
      </w:r>
      <w:r>
        <w:t xml:space="preserve"> </w:t>
      </w:r>
      <w:r>
        <w:t xml:space="preserve">An approximately 40 ft × 60 ft area on the east side of the Property, delineated by deteriorating concrete curbing, exhibits</w:t>
      </w:r>
      <w:r>
        <w:t xml:space="preserve"> </w:t>
      </w:r>
      <w:r>
        <w:rPr>
          <w:b/>
          <w:bCs/>
        </w:rPr>
        <w:t xml:space="preserve">stressed vegetation</w:t>
      </w:r>
      <w:r>
        <w:t xml:space="preserve"> </w:t>
      </w:r>
      <w:r>
        <w:t xml:space="preserve">(yellowed, sparse) relative to surrounding grass (Greenfield ESA §6.2.4). Historical aerial photographs show drum/container storage in this area in 1990 and 2000 (Greenfield ESA §5.2.2). The 1987 Sanborn map places the 2,000-gallon waste-solvent UST in this general vicinity (Issue 5). Seller acknowledged,</w:t>
      </w:r>
      <w:r>
        <w:t xml:space="preserve"> </w:t>
      </w:r>
      <w:r>
        <w:t xml:space="preserve">“</w:t>
      </w:r>
      <w:r>
        <w:t xml:space="preserve">We used to keep drums out there before the EPA came around</w:t>
      </w:r>
      <w:r>
        <w:t xml:space="preserve">”</w:t>
      </w:r>
      <w:r>
        <w:t xml:space="preserve"> </w:t>
      </w:r>
      <w:r>
        <w:t xml:space="preserve">(Greenfield ESA §7.1). Critically, the</w:t>
      </w:r>
      <w:r>
        <w:t xml:space="preserve"> </w:t>
      </w:r>
      <w:r>
        <w:rPr>
          <w:b/>
          <w:bCs/>
        </w:rPr>
        <w:t xml:space="preserve">2003 Ohio EPA NOV</w:t>
      </w:r>
      <w:r>
        <w:t xml:space="preserve"> </w:t>
      </w:r>
      <w:r>
        <w:t xml:space="preserve">specifically cited</w:t>
      </w:r>
      <w:r>
        <w:t xml:space="preserve"> </w:t>
      </w:r>
      <w:r>
        <w:t xml:space="preserve">“</w:t>
      </w:r>
      <w:r>
        <w:t xml:space="preserve">multiple rusted and visibly leaking 55-gallon drums in an outdoor storage area located on the</w:t>
      </w:r>
      <w:r>
        <w:t xml:space="preserve"> </w:t>
      </w:r>
      <w:r>
        <w:rPr>
          <w:b/>
          <w:bCs/>
        </w:rPr>
        <w:t xml:space="preserve">east side</w:t>
      </w:r>
      <w:r>
        <w:t xml:space="preserve"> </w:t>
      </w:r>
      <w:r>
        <w:t xml:space="preserve">of the Subject Property … containing electroplating sludge and spent chromium-bearing wastewater … staining on the ground surface beneath and around the drums</w:t>
      </w:r>
      <w:r>
        <w:t xml:space="preserve">”</w:t>
      </w:r>
      <w:r>
        <w:t xml:space="preserve"> </w:t>
      </w:r>
      <w:r>
        <w:t xml:space="preserve">(Ohio EPA response §2). Greenfield described the area (ESA §6.2.4) but did</w:t>
      </w:r>
      <w:r>
        <w:t xml:space="preserve"> </w:t>
      </w:r>
      <w:r>
        <w:rPr>
          <w:b/>
          <w:bCs/>
        </w:rPr>
        <w:t xml:space="preserve">not</w:t>
      </w:r>
      <w:r>
        <w:t xml:space="preserve"> </w:t>
      </w:r>
      <w:r>
        <w:t xml:space="preserve">classify it as a REC.</w:t>
      </w:r>
    </w:p>
    <w:p>
      <w:pPr>
        <w:pStyle w:val="BodyText"/>
      </w:pPr>
      <w:r>
        <w:rPr>
          <w:b/>
          <w:bCs/>
        </w:rPr>
        <w:t xml:space="preserve">Significance.</w:t>
      </w:r>
      <w:r>
        <w:t xml:space="preserve"> </w:t>
      </w:r>
      <w:r>
        <w:t xml:space="preserve">The 2003 NOV is direct regulatory evidence of a release of hazardous substances (chromium-bearing electroplating waste) to soil in this area, corroborated by stressed vegetation, historical drum-storage imagery, and Seller’s admission. This readily meets the ASTM E1527-21 REC definition and should have been classified as such. The area is also spatially linked to the 2,000-gallon waste-solvent UST (Issue 5) and the 39-year disposal-records gap (Issue 7), suggesting a possible historical on-site disposal/staging practice.</w:t>
      </w:r>
    </w:p>
    <w:p>
      <w:pPr>
        <w:pStyle w:val="BodyText"/>
      </w:pPr>
      <w:r>
        <w:rPr>
          <w:b/>
          <w:bCs/>
        </w:rPr>
        <w:t xml:space="preserve">Implications.</w:t>
      </w:r>
      <w:r>
        <w:t xml:space="preserve"> </w:t>
      </w:r>
      <w:r>
        <w:t xml:space="preserve">A third on-site REC (in addition to Issues 1 and 2) strengthens the §6.3(b) termination analysis and the Lender’s §3.B trigger. Its omission is a Phase I deficiency (Issue 12).</w:t>
      </w:r>
    </w:p>
    <w:p>
      <w:pPr>
        <w:pStyle w:val="BodyText"/>
      </w:pPr>
      <w:r>
        <w:rPr>
          <w:b/>
          <w:bCs/>
        </w:rPr>
        <w:t xml:space="preserve">Recommendations.</w:t>
      </w:r>
      <w:r>
        <w:t xml:space="preserve"> </w:t>
      </w:r>
      <w:r>
        <w:t xml:space="preserve">(i) Request that Greenfield reclassify this area as a REC. (ii) Include soil borings and groundwater assessment in the curbed area in the Phase II scope, with analysis for metals (Cr, Ni), VOCs, and pH. (iii) Coordinate with the UST geophysical survey (Issue 5).</w:t>
      </w:r>
    </w:p>
    <w:p>
      <w:r>
        <w:pict>
          <v:rect style="width:0;height:1.5pt" o:hralign="center" o:hrstd="t" o:hr="t"/>
        </w:pict>
      </w:r>
    </w:p>
    <w:bookmarkEnd w:id="31"/>
    <w:bookmarkStart w:id="32" w:name="Xfa72836e95083aef9eb25c038e16ab48735fc78"/>
    <w:p>
      <w:pPr>
        <w:pStyle w:val="Heading3"/>
      </w:pPr>
      <w:r>
        <w:t xml:space="preserve">Issue 7 — 39-Year Hazardous-Waste Disposal Records Gap (1965–2003)</w:t>
      </w:r>
    </w:p>
    <w:p>
      <w:pPr>
        <w:pStyle w:val="FirstParagraph"/>
      </w:pPr>
      <w:r>
        <w:rPr>
          <w:b/>
          <w:bCs/>
        </w:rPr>
        <w:t xml:space="preserve">Severity: HIGH</w:t>
      </w:r>
    </w:p>
    <w:p>
      <w:pPr>
        <w:pStyle w:val="BodyText"/>
      </w:pPr>
      <w:r>
        <w:rPr>
          <w:b/>
          <w:bCs/>
        </w:rPr>
        <w:t xml:space="preserve">Factual basis.</w:t>
      </w:r>
      <w:r>
        <w:t xml:space="preserve"> </w:t>
      </w:r>
      <w:r>
        <w:t xml:space="preserve">Ohio EPA has hazardous-waste manifests and biennial reports on file for the Property</w:t>
      </w:r>
      <w:r>
        <w:t xml:space="preserve"> </w:t>
      </w:r>
      <w:r>
        <w:rPr>
          <w:b/>
          <w:bCs/>
        </w:rPr>
        <w:t xml:space="preserve">only for reporting year 2004</w:t>
      </w:r>
      <w:r>
        <w:t xml:space="preserve"> </w:t>
      </w:r>
      <w:r>
        <w:t xml:space="preserve">(six manifests; 14,200 lbs; D007/F006) (Ohio EPA response §1; EDR summary).</w:t>
      </w:r>
      <w:r>
        <w:t xml:space="preserve"> </w:t>
      </w:r>
      <w:r>
        <w:rPr>
          <w:b/>
          <w:bCs/>
        </w:rPr>
        <w:t xml:space="preserve">No manifests or biennial reports exist for 1965 through 2003</w:t>
      </w:r>
      <w:r>
        <w:t xml:space="preserve"> </w:t>
      </w:r>
      <w:r>
        <w:t xml:space="preserve">— the entire 39-year period of electroplating operations (Ohio EPA response §1). Greenfield identified this as a data gap (ESA §8.0, Data Gap No. 1) but characterized it as</w:t>
      </w:r>
      <w:r>
        <w:t xml:space="preserve"> </w:t>
      </w:r>
      <w:r>
        <w:t xml:space="preserve">“</w:t>
      </w:r>
      <w:r>
        <w:t xml:space="preserve">partially mitigated</w:t>
      </w:r>
      <w:r>
        <w:t xml:space="preserve">”</w:t>
      </w:r>
      <w:r>
        <w:t xml:space="preserve"> </w:t>
      </w:r>
      <w:r>
        <w:t xml:space="preserve">by the 2004 closure documentation and Seller’s</w:t>
      </w:r>
      <w:r>
        <w:t xml:space="preserve"> </w:t>
      </w:r>
      <w:r>
        <w:t xml:space="preserve">“</w:t>
      </w:r>
      <w:r>
        <w:t xml:space="preserve">verbal assurances.</w:t>
      </w:r>
      <w:r>
        <w:t xml:space="preserve">”</w:t>
      </w:r>
    </w:p>
    <w:p>
      <w:pPr>
        <w:pStyle w:val="BodyText"/>
      </w:pPr>
      <w:r>
        <w:rPr>
          <w:b/>
          <w:bCs/>
        </w:rPr>
        <w:t xml:space="preserve">Significance.</w:t>
      </w:r>
      <w:r>
        <w:t xml:space="preserve"> </w:t>
      </w:r>
      <w:r>
        <w:t xml:space="preserve">The absence of disposal records for 39 years of chromium- and solvent-bearing hazardous-waste generation is not merely a documentation gap; it raises the material question of</w:t>
      </w:r>
      <w:r>
        <w:t xml:space="preserve"> </w:t>
      </w:r>
      <w:r>
        <w:rPr>
          <w:b/>
          <w:bCs/>
        </w:rPr>
        <w:t xml:space="preserve">how those wastes were managed</w:t>
      </w:r>
      <w:r>
        <w:t xml:space="preserve">. The combination of (a) no disposal records, (b) an outdoor drum-storage area with documented leaking drums and soil staining (Issue 6), (c) an unregistered waste-solvent UST in the same vicinity (Issue 5), (d) an in-ground sump containing liquid with sheen (Issue 2), and (e) a 2003 NOV for failure to maintain waste-determination records (Ohio EPA response §2) creates a reasonable concern that some wastes may have been disposed of or accumulated on-site. Greenfield’s reliance on Seller’s</w:t>
      </w:r>
      <w:r>
        <w:t xml:space="preserve"> </w:t>
      </w:r>
      <w:r>
        <w:t xml:space="preserve">“</w:t>
      </w:r>
      <w:r>
        <w:t xml:space="preserve">verbal assurances</w:t>
      </w:r>
      <w:r>
        <w:t xml:space="preserve">”</w:t>
      </w:r>
      <w:r>
        <w:t xml:space="preserve"> </w:t>
      </w:r>
      <w:r>
        <w:t xml:space="preserve">— made by a principal whose other statements are inconsistent with the documentary record (Issue 4) — is not a sound basis to mitigate this gap.</w:t>
      </w:r>
    </w:p>
    <w:p>
      <w:pPr>
        <w:pStyle w:val="BodyText"/>
      </w:pPr>
      <w:r>
        <w:rPr>
          <w:b/>
          <w:bCs/>
        </w:rPr>
        <w:t xml:space="preserve">Implications.</w:t>
      </w:r>
      <w:r>
        <w:t xml:space="preserve"> </w:t>
      </w:r>
      <w:r>
        <w:t xml:space="preserve">This gap bears directly on the magnitude of the Issue 2 (chromium) and Issue 6 (drum area) exposure and on the §6.3(b) cost analysis. It is also relevant to the Seller’s §4.12(b) representation that operations were conducted</w:t>
      </w:r>
      <w:r>
        <w:t xml:space="preserve"> </w:t>
      </w:r>
      <w:r>
        <w:t xml:space="preserve">“</w:t>
      </w:r>
      <w:r>
        <w:t xml:space="preserve">in material compliance with all applicable Environmental Laws.</w:t>
      </w:r>
      <w:r>
        <w:t xml:space="preserve">”</w:t>
      </w:r>
    </w:p>
    <w:p>
      <w:pPr>
        <w:pStyle w:val="BodyText"/>
      </w:pPr>
      <w:r>
        <w:rPr>
          <w:b/>
          <w:bCs/>
        </w:rPr>
        <w:t xml:space="preserve">Recommendations.</w:t>
      </w:r>
      <w:r>
        <w:t xml:space="preserve"> </w:t>
      </w:r>
      <w:r>
        <w:t xml:space="preserve">(i) Treat the disposal-records gap as an affirmative reason to expand the Phase II scope (Issues 2, 6) rather than as a mitigated item. (ii) Renew the demand for any surviving corporate records (Issue 16). (iii) Request Ohio EPA’s 2003 inspection report (already enclosed per the response) and the consent order (Issue 14) for waste-management details.</w:t>
      </w:r>
    </w:p>
    <w:p>
      <w:r>
        <w:pict>
          <v:rect style="width:0;height:1.5pt" o:hralign="center" o:hrstd="t" o:hr="t"/>
        </w:pict>
      </w:r>
    </w:p>
    <w:bookmarkEnd w:id="32"/>
    <w:bookmarkStart w:id="33" w:name="X8ebbc6e867ae91ba69db7287aba6b0ae60b7402"/>
    <w:p>
      <w:pPr>
        <w:pStyle w:val="Heading3"/>
      </w:pPr>
      <w:r>
        <w:t xml:space="preserve">Issue 8 — Vapor Intrusion Risk (TCE &amp; PCE) &amp; Lender Vapor-Assessment Requirement</w:t>
      </w:r>
    </w:p>
    <w:p>
      <w:pPr>
        <w:pStyle w:val="FirstParagraph"/>
      </w:pPr>
      <w:r>
        <w:rPr>
          <w:b/>
          <w:bCs/>
        </w:rPr>
        <w:t xml:space="preserve">Severity: HIGH</w:t>
      </w:r>
    </w:p>
    <w:p>
      <w:pPr>
        <w:pStyle w:val="BodyText"/>
      </w:pPr>
      <w:r>
        <w:rPr>
          <w:b/>
          <w:bCs/>
        </w:rPr>
        <w:t xml:space="preserve">Factual basis.</w:t>
      </w:r>
      <w:r>
        <w:t xml:space="preserve"> </w:t>
      </w:r>
      <w:r>
        <w:t xml:space="preserve">Two volatile chlorinated solvents are implicated at/near the Property: TCE from on-site degreasing (Issue 1, with a 42.3 ppm PID reading at a floor crack) and PCE from the upgradient dry-cleaner plume migrating toward the Property (Issue 3). The Property contains</w:t>
      </w:r>
      <w:r>
        <w:t xml:space="preserve"> </w:t>
      </w:r>
      <w:r>
        <w:rPr>
          <w:b/>
          <w:bCs/>
        </w:rPr>
        <w:t xml:space="preserve">occupied warehouse structures</w:t>
      </w:r>
      <w:r>
        <w:t xml:space="preserve"> </w:t>
      </w:r>
      <w:r>
        <w:t xml:space="preserve">(the main building and warehouse are in active warehouse use). The adjacent dry-cleaner parcel is itself subject to an environmental covenant requiring a sub-slab vapor mitigation system (Ohio EPA response §4), evidencing recognized vapor risk in the immediate vicinity.</w:t>
      </w:r>
    </w:p>
    <w:p>
      <w:pPr>
        <w:pStyle w:val="BodyText"/>
      </w:pPr>
      <w:r>
        <w:rPr>
          <w:b/>
          <w:bCs/>
        </w:rPr>
        <w:t xml:space="preserve">Significance.</w:t>
      </w:r>
      <w:r>
        <w:t xml:space="preserve"> </w:t>
      </w:r>
      <w:r>
        <w:t xml:space="preserve">Vapor intrusion is a recognized exposure pathway for TCE and PCE into occupied or occupiable structures, and is a driver of both human-health risk and remediation/mitigation cost. The Lender’s requirements letter (§3.B.5) expressly requires a vapor intrusion assessment</w:t>
      </w:r>
      <w:r>
        <w:t xml:space="preserve"> </w:t>
      </w:r>
      <w:r>
        <w:t xml:space="preserve">“</w:t>
      </w:r>
      <w:r>
        <w:t xml:space="preserve">if the Phase I ESA or Phase II ESA identifies volatile organic compounds (VOCs) in soil or groundwater at or beneath the Property,</w:t>
      </w:r>
      <w:r>
        <w:t xml:space="preserve">”</w:t>
      </w:r>
      <w:r>
        <w:t xml:space="preserve"> </w:t>
      </w:r>
      <w:r>
        <w:t xml:space="preserve">and a vapor mitigation plan for any occupied/occupiable structures if warranted — to be implemented prior to or concurrently with closing. Greenfield’s Phase I did not include a vapor intrusion assessment (beyond the single PID reading).</w:t>
      </w:r>
    </w:p>
    <w:p>
      <w:pPr>
        <w:pStyle w:val="BodyText"/>
      </w:pPr>
      <w:r>
        <w:rPr>
          <w:b/>
          <w:bCs/>
        </w:rPr>
        <w:t xml:space="preserve">Implications.</w:t>
      </w:r>
      <w:r>
        <w:t xml:space="preserve"> </w:t>
      </w:r>
      <w:r>
        <w:t xml:space="preserve">Because VOCs are implicated by both on-site (TCE) and off-site (PCE) sources, the Lender’s vapor-assessment requirement is triggered. Vapor mitigation, if required, can be a material cost and operational constraint (sub-slab depressurization, ongoing monitoring), and would be a Pre-Closing Environmental Liability to the extent attributable to pre-closing conditions.</w:t>
      </w:r>
    </w:p>
    <w:p>
      <w:pPr>
        <w:pStyle w:val="BodyText"/>
      </w:pPr>
      <w:r>
        <w:rPr>
          <w:b/>
          <w:bCs/>
        </w:rPr>
        <w:t xml:space="preserve">Recommendations.</w:t>
      </w:r>
      <w:r>
        <w:t xml:space="preserve"> </w:t>
      </w:r>
      <w:r>
        <w:t xml:space="preserve">(i) Include a vapor intrusion assessment (sub-slab soil-gas sampling, indoor-air sampling as appropriate) in the Phase II scope, targeting the former degreasing area and the northern/northwestern portions nearest the dry-cleaner plume. (ii) Plan for potential pre-occupancy/pre-closing vapor mitigation. (iii) Confirm the Lender’s specific VIA deliverable expectations.</w:t>
      </w:r>
    </w:p>
    <w:p>
      <w:r>
        <w:pict>
          <v:rect style="width:0;height:1.5pt" o:hralign="center" o:hrstd="t" o:hr="t"/>
        </w:pict>
      </w:r>
    </w:p>
    <w:bookmarkEnd w:id="33"/>
    <w:bookmarkStart w:id="34" w:name="X45d91fad4dc641cb008171fd10bb3a9ae8ad5c2"/>
    <w:p>
      <w:pPr>
        <w:pStyle w:val="Heading3"/>
      </w:pPr>
      <w:r>
        <w:t xml:space="preserve">Issue 9 — Lender Enhanced Due-Diligence Requirements Not Yet Satisfied</w:t>
      </w:r>
    </w:p>
    <w:p>
      <w:pPr>
        <w:pStyle w:val="FirstParagraph"/>
      </w:pPr>
      <w:r>
        <w:rPr>
          <w:b/>
          <w:bCs/>
        </w:rPr>
        <w:t xml:space="preserve">Severity: HIGH</w:t>
      </w:r>
    </w:p>
    <w:p>
      <w:pPr>
        <w:pStyle w:val="BodyText"/>
      </w:pPr>
      <w:r>
        <w:rPr>
          <w:b/>
          <w:bCs/>
        </w:rPr>
        <w:t xml:space="preserve">Factual basis.</w:t>
      </w:r>
      <w:r>
        <w:t xml:space="preserve"> </w:t>
      </w:r>
      <w:r>
        <w:t xml:space="preserve">The Lender’s September 10, 2024 letter (§3.B) provides that, where the Phase I ESA identifies one or more RECs, the Lender will</w:t>
      </w:r>
      <w:r>
        <w:t xml:space="preserve"> </w:t>
      </w:r>
      <w:r>
        <w:rPr>
          <w:b/>
          <w:bCs/>
        </w:rPr>
        <w:t xml:space="preserve">not</w:t>
      </w:r>
      <w:r>
        <w:t xml:space="preserve"> </w:t>
      </w:r>
      <w:r>
        <w:t xml:space="preserve">fund the Loan based on the Phase I alone, and the Borrower must satisfy</w:t>
      </w:r>
      <w:r>
        <w:t xml:space="preserve"> </w:t>
      </w:r>
      <w:r>
        <w:rPr>
          <w:b/>
          <w:bCs/>
        </w:rPr>
        <w:t xml:space="preserve">all</w:t>
      </w:r>
      <w:r>
        <w:t xml:space="preserve"> </w:t>
      </w:r>
      <w:r>
        <w:t xml:space="preserve">of the following before closing: (1) a Phase II ESA (ASTM E1903-19) with best-/most-likely-/worst-case remediation cost estimates; (2) PLL insurance (≥ $5,000,000 or the worst-case estimate, ≥ 10-year term, Lender as additional insured/loss payee); (3) an environmental escrow (125% of the most-likely estimate if &gt; $250,000); (4) a remediation plan if costs &gt; $500,000 (completion within 36 months); and (5) a vapor intrusion assessment/mitigation plan if VOCs are present. The Phase I ESA (dated October 25, 2024) identifies two RECs (and, per our analysis, at least two more — Issues 3 and 6). None of the §3.B deliverables has yet been produced.</w:t>
      </w:r>
    </w:p>
    <w:p>
      <w:pPr>
        <w:pStyle w:val="BodyText"/>
      </w:pPr>
      <w:r>
        <w:rPr>
          <w:b/>
          <w:bCs/>
        </w:rPr>
        <w:t xml:space="preserve">Significance — timing.</w:t>
      </w:r>
      <w:r>
        <w:t xml:space="preserve"> </w:t>
      </w:r>
      <w:r>
        <w:t xml:space="preserve">The Lender’s deadlines are tight: the Phase I ESA must be delivered by</w:t>
      </w:r>
      <w:r>
        <w:t xml:space="preserve"> </w:t>
      </w:r>
      <w:r>
        <w:rPr>
          <w:b/>
          <w:bCs/>
        </w:rPr>
        <w:t xml:space="preserve">November 15, 2024</w:t>
      </w:r>
      <w:r>
        <w:t xml:space="preserve">, and the Phase II ESA, PLL binder, and escrow evidence by</w:t>
      </w:r>
      <w:r>
        <w:t xml:space="preserve"> </w:t>
      </w:r>
      <w:r>
        <w:rPr>
          <w:b/>
          <w:bCs/>
        </w:rPr>
        <w:t xml:space="preserve">November 30, 2024</w:t>
      </w:r>
      <w:r>
        <w:t xml:space="preserve"> </w:t>
      </w:r>
      <w:r>
        <w:t xml:space="preserve">(15 days before the December 15, 2024 closing). Preparing a defensible Phase II with three-scenario cost estimates, binding a $5M+ PLL policy, and funding an escrow within ~5 weeks is aggressive, particularly given the scope (on-site TCE, on-site chromium, off-site PCE, two unregistered USTs, a drum-storage area, and vapor intrusion). The Lender also reserves the right to decline if worst-case remediation cost exceeds 50% of appraised value, or if unresolved data gaps prevent risk characterization (§3.C) — both of which are live possibilities here.</w:t>
      </w:r>
    </w:p>
    <w:p>
      <w:pPr>
        <w:pStyle w:val="BodyText"/>
      </w:pPr>
      <w:r>
        <w:rPr>
          <w:b/>
          <w:bCs/>
        </w:rPr>
        <w:t xml:space="preserve">Implications.</w:t>
      </w:r>
      <w:r>
        <w:t xml:space="preserve"> </w:t>
      </w:r>
      <w:r>
        <w:t xml:space="preserve">Failure to deliver the §3.B package by November 30, 2024 gives the Lender the right to extend or decline. This creates a hard external deadline that should drive the diligence work plan and the §6.3(b) termination decision (Issue 11).</w:t>
      </w:r>
    </w:p>
    <w:p>
      <w:pPr>
        <w:pStyle w:val="BodyText"/>
      </w:pPr>
      <w:r>
        <w:rPr>
          <w:b/>
          <w:bCs/>
        </w:rPr>
        <w:t xml:space="preserve">Recommendations.</w:t>
      </w:r>
      <w:r>
        <w:t xml:space="preserve"> </w:t>
      </w:r>
      <w:r>
        <w:t xml:space="preserve">(i) Immediately commission a Phase II ESA scoped to Issues 1, 2, 3, 5, 6, and 8, with three-scenario remediation cost estimates prepared by a licensed P.E. (ii) Begin PLL insurance underwriting in parallel (do not wait for Phase II completion). (iii) Model the escrow funding requirement. (iv) Maintain a critical-path schedule keyed to the November 15 and November 30, 2024 deadlines. (v) Engage the Lender’s environmental counsel early to pre-clear the deliverables.</w:t>
      </w:r>
    </w:p>
    <w:p>
      <w:r>
        <w:pict>
          <v:rect style="width:0;height:1.5pt" o:hralign="center" o:hrstd="t" o:hr="t"/>
        </w:pict>
      </w:r>
    </w:p>
    <w:bookmarkEnd w:id="34"/>
    <w:bookmarkStart w:id="35" w:name="X2a21fa7bbf323edfc67779e1ffeb3bf7f4bdf25"/>
    <w:p>
      <w:pPr>
        <w:pStyle w:val="Heading3"/>
      </w:pPr>
      <w:r>
        <w:t xml:space="preserve">Issue 10 — Indemnification Cap ($1.75M) Likely Insufficient; Lender Will Not Rely on Seller Indemnity Alone</w:t>
      </w:r>
    </w:p>
    <w:p>
      <w:pPr>
        <w:pStyle w:val="FirstParagraph"/>
      </w:pPr>
      <w:r>
        <w:rPr>
          <w:b/>
          <w:bCs/>
        </w:rPr>
        <w:t xml:space="preserve">Severity: HIGH</w:t>
      </w:r>
    </w:p>
    <w:p>
      <w:pPr>
        <w:pStyle w:val="BodyText"/>
      </w:pPr>
      <w:r>
        <w:rPr>
          <w:b/>
          <w:bCs/>
        </w:rPr>
        <w:t xml:space="preserve">Factual basis.</w:t>
      </w:r>
      <w:r>
        <w:t xml:space="preserve"> </w:t>
      </w:r>
      <w:r>
        <w:t xml:space="preserve">The APA caps Seller’s aggregate indemnification liability at</w:t>
      </w:r>
      <w:r>
        <w:t xml:space="preserve"> </w:t>
      </w:r>
      <w:r>
        <w:rPr>
          <w:b/>
          <w:bCs/>
        </w:rPr>
        <w:t xml:space="preserve">$1,750,000</w:t>
      </w:r>
      <w:r>
        <w:t xml:space="preserve"> </w:t>
      </w:r>
      <w:r>
        <w:t xml:space="preserve">(20% of the purchase price) for all claims, including Pre-Closing Environmental Liabilities (§8.4(b)), with a 3-year survival period (§8.4(c)). The Lender’s letter (§3.B.2) expressly states that the Lender</w:t>
      </w:r>
      <w:r>
        <w:t xml:space="preserve"> </w:t>
      </w:r>
      <w:r>
        <w:t xml:space="preserve">“</w:t>
      </w:r>
      <w:r>
        <w:t xml:space="preserve">will not rely solely on seller indemnification provisions in the purchase agreement to address environmental risk, as such provisions are typically subject to caps, baskets, deductibles, and survival periods that may be insufficient to cover full remediation costs over the duration of the Bank’s exposure,</w:t>
      </w:r>
      <w:r>
        <w:t xml:space="preserve">”</w:t>
      </w:r>
      <w:r>
        <w:t xml:space="preserve"> </w:t>
      </w:r>
      <w:r>
        <w:t xml:space="preserve">and requires PLL insurance as</w:t>
      </w:r>
      <w:r>
        <w:t xml:space="preserve"> </w:t>
      </w:r>
      <w:r>
        <w:t xml:space="preserve">“</w:t>
      </w:r>
      <w:r>
        <w:t xml:space="preserve">non-negotiable</w:t>
      </w:r>
      <w:r>
        <w:t xml:space="preserve">”</w:t>
      </w:r>
      <w:r>
        <w:t xml:space="preserve"> </w:t>
      </w:r>
      <w:r>
        <w:t xml:space="preserve">where RECs are identified.</w:t>
      </w:r>
    </w:p>
    <w:p>
      <w:pPr>
        <w:pStyle w:val="BodyText"/>
      </w:pPr>
      <w:r>
        <w:rPr>
          <w:b/>
          <w:bCs/>
        </w:rPr>
        <w:t xml:space="preserve">Significance.</w:t>
      </w:r>
      <w:r>
        <w:t xml:space="preserve"> </w:t>
      </w:r>
      <w:r>
        <w:t xml:space="preserve">The potential environmental exposure here — chlorinated-solvent (TCE) soil/groundwater and vapor, hexavalent chromium soil/groundwater, an off-site PCE plume, two unregistered USTs, and a historical drum-storage release — could plausibly exceed $1.75M, particularly if groundwater remediation or vapor mitigation is required. The 3-year survival period may also be shorter than the period over which contamination is discovered or remediated. The basket ($87,500) does not apply to environmental claims (§8.2(a)(iii)), which is favorable to Buyer, but the cap and survival remain constraining. The fraud exception (§8.4(d)) is the principal avenue to uncapped recovery, but it should not be relied upon as the primary risk-allocation mechanism.</w:t>
      </w:r>
    </w:p>
    <w:p>
      <w:pPr>
        <w:pStyle w:val="BodyText"/>
      </w:pPr>
      <w:r>
        <w:rPr>
          <w:b/>
          <w:bCs/>
        </w:rPr>
        <w:t xml:space="preserve">Implications.</w:t>
      </w:r>
      <w:r>
        <w:t xml:space="preserve"> </w:t>
      </w:r>
      <w:r>
        <w:t xml:space="preserve">The Lender’s position effectively requires Buyer to layer PLL insurance and an escrow on top of (not in lieu of) the indemnity. Buyer should not treat the $1.75M cap as adequate protection.</w:t>
      </w:r>
    </w:p>
    <w:p>
      <w:pPr>
        <w:pStyle w:val="BodyText"/>
      </w:pPr>
      <w:r>
        <w:rPr>
          <w:b/>
          <w:bCs/>
        </w:rPr>
        <w:t xml:space="preserve">Recommendations.</w:t>
      </w:r>
      <w:r>
        <w:t xml:space="preserve"> </w:t>
      </w:r>
      <w:r>
        <w:t xml:space="preserve">(i) Do not close on Seller indemnity alone; satisfy the Lender’s PLL and escrow requirements. (ii) Consider negotiating an increased environmental indemnity cap and/or extended environmental survival (e.g., the statutory limitations period for CERCLA/RCRA) as a condition to waiving the §6.3(b) termination right. (iii) Structure the PLL policy to cover the gap between the likely remediation cost and the indemnity cap. (iv) Preserve the fraud/intentional-misrepresentation theory (Issue 4) as a backstop to the cap.</w:t>
      </w:r>
    </w:p>
    <w:p>
      <w:r>
        <w:pict>
          <v:rect style="width:0;height:1.5pt" o:hralign="center" o:hrstd="t" o:hr="t"/>
        </w:pict>
      </w:r>
    </w:p>
    <w:bookmarkEnd w:id="35"/>
    <w:bookmarkStart w:id="36" w:name="Xe284bafc14724a973ab546884543d068b7cd93f"/>
    <w:p>
      <w:pPr>
        <w:pStyle w:val="Heading3"/>
      </w:pPr>
      <w:r>
        <w:t xml:space="preserve">Issue 11 — Buyer’s §6.3(b) Termination Right; $500K REC Threshold; October 31, 2024 Deadline</w:t>
      </w:r>
    </w:p>
    <w:p>
      <w:pPr>
        <w:pStyle w:val="FirstParagraph"/>
      </w:pPr>
      <w:r>
        <w:rPr>
          <w:b/>
          <w:bCs/>
        </w:rPr>
        <w:t xml:space="preserve">Severity: HIGH</w:t>
      </w:r>
    </w:p>
    <w:p>
      <w:pPr>
        <w:pStyle w:val="BodyText"/>
      </w:pPr>
      <w:r>
        <w:rPr>
          <w:b/>
          <w:bCs/>
        </w:rPr>
        <w:t xml:space="preserve">Factual basis.</w:t>
      </w:r>
      <w:r>
        <w:t xml:space="preserve"> </w:t>
      </w:r>
      <w:r>
        <w:t xml:space="preserve">APA §6.3(b) gives Buyer the right to terminate and recover the full $437,500 Earnest Money Deposit if the Phase I ESA (or any other diligence-period investigation) identifies RECs that, in Buyer’s reasonable judgment,</w:t>
      </w:r>
      <w:r>
        <w:t xml:space="preserve"> </w:t>
      </w:r>
      <w:r>
        <w:t xml:space="preserve">“</w:t>
      </w:r>
      <w:r>
        <w:t xml:space="preserve">could result in Remediation Costs exceeding $500,000,</w:t>
      </w:r>
      <w:r>
        <w:t xml:space="preserve">”</w:t>
      </w:r>
      <w:r>
        <w:t xml:space="preserve"> </w:t>
      </w:r>
      <w:r>
        <w:t xml:space="preserve">by written notice delivered</w:t>
      </w:r>
      <w:r>
        <w:t xml:space="preserve"> </w:t>
      </w:r>
      <w:r>
        <w:rPr>
          <w:b/>
          <w:bCs/>
        </w:rPr>
        <w:t xml:space="preserve">on or before 5:00 p.m. ET on October 31, 2024</w:t>
      </w:r>
      <w:r>
        <w:t xml:space="preserve">. Under §6.3(c), failure to deliver such notice is an</w:t>
      </w:r>
      <w:r>
        <w:t xml:space="preserve"> </w:t>
      </w:r>
      <w:r>
        <w:rPr>
          <w:b/>
          <w:bCs/>
        </w:rPr>
        <w:t xml:space="preserve">automatic waiver</w:t>
      </w:r>
      <w:r>
        <w:t xml:space="preserve"> </w:t>
      </w:r>
      <w:r>
        <w:t xml:space="preserve">of the termination right (though indemnification rights survive). The notice must specify the RECs and the basis for the &gt; $500,000 determination.</w:t>
      </w:r>
    </w:p>
    <w:p>
      <w:pPr>
        <w:pStyle w:val="BodyText"/>
      </w:pPr>
      <w:r>
        <w:rPr>
          <w:b/>
          <w:bCs/>
        </w:rPr>
        <w:t xml:space="preserve">Significance.</w:t>
      </w:r>
      <w:r>
        <w:t xml:space="preserve"> </w:t>
      </w:r>
      <w:r>
        <w:t xml:space="preserve">In our judgment, the identified RECs — on-site TCE (Issue 1), on-site hexavalent chromium (Issue 2), the off-site PCE plume (Issue 3), and the under-classified drum-storage area (Issue 6) — individually and collectively</w:t>
      </w:r>
      <w:r>
        <w:t xml:space="preserve"> </w:t>
      </w:r>
      <w:r>
        <w:t xml:space="preserve">“</w:t>
      </w:r>
      <w:r>
        <w:t xml:space="preserve">could result in Remediation Costs exceeding $500,000.</w:t>
      </w:r>
      <w:r>
        <w:t xml:space="preserve">”</w:t>
      </w:r>
      <w:r>
        <w:t xml:space="preserve"> </w:t>
      </w:r>
      <w:r>
        <w:t xml:space="preserve">Buyer therefore has a credible basis to terminate. The deadline is</w:t>
      </w:r>
      <w:r>
        <w:t xml:space="preserve"> </w:t>
      </w:r>
      <w:r>
        <w:rPr>
          <w:b/>
          <w:bCs/>
        </w:rPr>
        <w:t xml:space="preserve">three days after the date of this memorandum</w:t>
      </w:r>
      <w:r>
        <w:t xml:space="preserve"> </w:t>
      </w:r>
      <w:r>
        <w:t xml:space="preserve">and is non-extendable absent a written amendment signed by both parties (§6.3,</w:t>
      </w:r>
      <w:r>
        <w:t xml:space="preserve"> </w:t>
      </w:r>
      <w:r>
        <w:t xml:space="preserve">“</w:t>
      </w:r>
      <w:r>
        <w:t xml:space="preserve">Environmental Due Diligence Period</w:t>
      </w:r>
      <w:r>
        <w:t xml:space="preserve">”</w:t>
      </w:r>
      <w:r>
        <w:t xml:space="preserve"> </w:t>
      </w:r>
      <w:r>
        <w:t xml:space="preserve">definition). This is the single most time-critical decision in the transaction.</w:t>
      </w:r>
    </w:p>
    <w:p>
      <w:pPr>
        <w:pStyle w:val="BodyText"/>
      </w:pPr>
      <w:r>
        <w:rPr>
          <w:b/>
          <w:bCs/>
        </w:rPr>
        <w:t xml:space="preserve">Implications.</w:t>
      </w:r>
      <w:r>
        <w:t xml:space="preserve"> </w:t>
      </w:r>
      <w:r>
        <w:t xml:space="preserve">Buyer’s options before October 31, 2024 are: (a) terminate and recover the Earnest Money; (b) waive termination and proceed, relying on indemnity + PLL + escrow (Issues 9, 10); or (c) renegotiate (price reduction, increased cap/escrow, Seller-funded Phase II or remediation, expanded survival) before waiving. The waiver under §6.3(c) is automatic and does not require Seller action, so Buyer must act deliberately.</w:t>
      </w:r>
    </w:p>
    <w:p>
      <w:pPr>
        <w:pStyle w:val="BodyText"/>
      </w:pPr>
      <w:r>
        <w:rPr>
          <w:b/>
          <w:bCs/>
        </w:rPr>
        <w:t xml:space="preserve">Recommendations.</w:t>
      </w:r>
      <w:r>
        <w:t xml:space="preserve"> </w:t>
      </w:r>
      <w:r>
        <w:t xml:space="preserve">(i) Convene an immediate decision meeting to elect among termination, renegotiation, or waiver. (ii) If proceeding, deliver a §6.3(b)-compliant notice</w:t>
      </w:r>
      <w:r>
        <w:t xml:space="preserve"> </w:t>
      </w:r>
      <w:r>
        <w:rPr>
          <w:b/>
          <w:bCs/>
        </w:rPr>
        <w:t xml:space="preserve">only if</w:t>
      </w:r>
      <w:r>
        <w:t xml:space="preserve"> </w:t>
      </w:r>
      <w:r>
        <w:t xml:space="preserve">Buyer intends to preserve/terminate — note that the notice is the termination mechanism, so it should not be used as a placeholder. (iii) If renegotiating, obtain signed written amendments to the diligence period and to the economic/indemnity terms</w:t>
      </w:r>
      <w:r>
        <w:t xml:space="preserve"> </w:t>
      </w:r>
      <w:r>
        <w:rPr>
          <w:b/>
          <w:bCs/>
        </w:rPr>
        <w:t xml:space="preserve">before</w:t>
      </w:r>
      <w:r>
        <w:t xml:space="preserve"> </w:t>
      </w:r>
      <w:r>
        <w:t xml:space="preserve">October 31, 2024. (iv) Document the &gt; $500,000 analysis (drawing on the Phase II cost estimates as they become available, and on the REC inventory herein) to support whatever course is chosen.</w:t>
      </w:r>
    </w:p>
    <w:p>
      <w:r>
        <w:pict>
          <v:rect style="width:0;height:1.5pt" o:hralign="center" o:hrstd="t" o:hr="t"/>
        </w:pict>
      </w:r>
    </w:p>
    <w:bookmarkEnd w:id="36"/>
    <w:bookmarkStart w:id="37" w:name="X56aa62a0bfa27548b855643fb1c37be87dd6895"/>
    <w:p>
      <w:pPr>
        <w:pStyle w:val="Heading3"/>
      </w:pPr>
      <w:r>
        <w:t xml:space="preserve">Issue 12 — Phase I ESA Quality &amp; Completeness Deficiencies (Cumulative)</w:t>
      </w:r>
    </w:p>
    <w:p>
      <w:pPr>
        <w:pStyle w:val="FirstParagraph"/>
      </w:pPr>
      <w:r>
        <w:rPr>
          <w:b/>
          <w:bCs/>
        </w:rPr>
        <w:t xml:space="preserve">Severity: HIGH</w:t>
      </w:r>
    </w:p>
    <w:p>
      <w:pPr>
        <w:pStyle w:val="BodyText"/>
      </w:pPr>
      <w:r>
        <w:rPr>
          <w:b/>
          <w:bCs/>
        </w:rPr>
        <w:t xml:space="preserve">Factual basis.</w:t>
      </w:r>
      <w:r>
        <w:t xml:space="preserve"> </w:t>
      </w:r>
      <w:r>
        <w:t xml:space="preserve">While the Greenfield Phase I ESA is generally thorough, our cross-check against the Ohio EPA response and the EDR summary identifies several deficiencies that, individually and collectively, affect the report’s reliability and its compliance with the Lender’s scope and with AAI:</w:t>
      </w:r>
    </w:p>
    <w:p>
      <w:pPr>
        <w:pStyle w:val="Compact"/>
        <w:numPr>
          <w:ilvl w:val="0"/>
          <w:numId w:val="1007"/>
        </w:numPr>
      </w:pPr>
      <w:r>
        <w:rPr>
          <w:b/>
          <w:bCs/>
        </w:rPr>
        <w:t xml:space="preserve">Failure to classify the off-site PCE plume as a REC</w:t>
      </w:r>
      <w:r>
        <w:t xml:space="preserve"> </w:t>
      </w:r>
      <w:r>
        <w:t xml:space="preserve">(Issue 3) — contrary to ASTM E1527-21 and the Lender’s express written instruction.</w:t>
      </w:r>
    </w:p>
    <w:p>
      <w:pPr>
        <w:pStyle w:val="Compact"/>
        <w:numPr>
          <w:ilvl w:val="0"/>
          <w:numId w:val="1007"/>
        </w:numPr>
      </w:pPr>
      <w:r>
        <w:rPr>
          <w:b/>
          <w:bCs/>
        </w:rPr>
        <w:t xml:space="preserve">Failure to classify the east-side drum-storage area as a REC</w:t>
      </w:r>
      <w:r>
        <w:t xml:space="preserve"> </w:t>
      </w:r>
      <w:r>
        <w:t xml:space="preserve">(Issue 6) — notwithstanding the 2003 NOV evidence of a release in that area.</w:t>
      </w:r>
    </w:p>
    <w:p>
      <w:pPr>
        <w:pStyle w:val="Compact"/>
        <w:numPr>
          <w:ilvl w:val="0"/>
          <w:numId w:val="1007"/>
        </w:numPr>
      </w:pPr>
      <w:r>
        <w:rPr>
          <w:b/>
          <w:bCs/>
        </w:rPr>
        <w:t xml:space="preserve">Questionable HREC-1 classification</w:t>
      </w:r>
      <w:r>
        <w:t xml:space="preserve"> </w:t>
      </w:r>
      <w:r>
        <w:t xml:space="preserve">of the 500-gallon heating-oil UST (Issue 15) — an HREC requires that the past release be</w:t>
      </w:r>
      <w:r>
        <w:t xml:space="preserve"> </w:t>
      </w:r>
      <w:r>
        <w:t xml:space="preserve">“</w:t>
      </w:r>
      <w:r>
        <w:t xml:space="preserve">addressed to the satisfaction of the applicable regulatory authority or meets unrestricted use criteria</w:t>
      </w:r>
      <w:r>
        <w:t xml:space="preserve">”</w:t>
      </w:r>
      <w:r>
        <w:t xml:space="preserve">; with no closure/removal records, that standard is not met.</w:t>
      </w:r>
    </w:p>
    <w:p>
      <w:pPr>
        <w:pStyle w:val="Compact"/>
        <w:numPr>
          <w:ilvl w:val="0"/>
          <w:numId w:val="1007"/>
        </w:numPr>
      </w:pPr>
      <w:r>
        <w:rPr>
          <w:b/>
          <w:bCs/>
        </w:rPr>
        <w:t xml:space="preserve">No vapor intrusion assessment</w:t>
      </w:r>
      <w:r>
        <w:t xml:space="preserve"> </w:t>
      </w:r>
      <w:r>
        <w:t xml:space="preserve">despite two volatile-solvent sources (Issue 8).</w:t>
      </w:r>
    </w:p>
    <w:p>
      <w:pPr>
        <w:pStyle w:val="Compact"/>
        <w:numPr>
          <w:ilvl w:val="0"/>
          <w:numId w:val="1007"/>
        </w:numPr>
      </w:pPr>
      <w:r>
        <w:rPr>
          <w:b/>
          <w:bCs/>
        </w:rPr>
        <w:t xml:space="preserve">Incomplete data-gap inventory</w:t>
      </w:r>
      <w:r>
        <w:t xml:space="preserve"> </w:t>
      </w:r>
      <w:r>
        <w:t xml:space="preserve">— Greenfield listed only two data gaps (disposal records; corporate records) but did not flag as data gaps: the two unregistered USTs (Issue 5), the monitoring well MW-1 (Issue 13), the unproduced 2003 consent order (Issue 14), and the undelineated PCE plume beneath the Property (Issue 3).</w:t>
      </w:r>
    </w:p>
    <w:p>
      <w:pPr>
        <w:pStyle w:val="Compact"/>
        <w:numPr>
          <w:ilvl w:val="0"/>
          <w:numId w:val="1007"/>
        </w:numPr>
      </w:pPr>
      <w:r>
        <w:rPr>
          <w:b/>
          <w:bCs/>
        </w:rPr>
        <w:t xml:space="preserve">No interviews with former employees</w:t>
      </w:r>
      <w:r>
        <w:t xml:space="preserve"> </w:t>
      </w:r>
      <w:r>
        <w:t xml:space="preserve">(ESA §7.4) — ASTM E1527-21 calls for interviews with past owners/operators/occupants</w:t>
      </w:r>
      <w:r>
        <w:t xml:space="preserve"> </w:t>
      </w:r>
      <w:r>
        <w:t xml:space="preserve">“</w:t>
      </w:r>
      <w:r>
        <w:t xml:space="preserve">if reasonably ascertainable</w:t>
      </w:r>
      <w:r>
        <w:t xml:space="preserve">”</w:t>
      </w:r>
      <w:r>
        <w:t xml:space="preserve">; given 60+ years of operations, former employees may be reasonably ascertainable.</w:t>
      </w:r>
    </w:p>
    <w:p>
      <w:pPr>
        <w:pStyle w:val="Compact"/>
        <w:numPr>
          <w:ilvl w:val="0"/>
          <w:numId w:val="1007"/>
        </w:numPr>
      </w:pPr>
      <w:r>
        <w:rPr>
          <w:b/>
          <w:bCs/>
        </w:rPr>
        <w:t xml:space="preserve">Reliance on Seller’s verbal assurances</w:t>
      </w:r>
      <w:r>
        <w:t xml:space="preserve"> </w:t>
      </w:r>
      <w:r>
        <w:t xml:space="preserve">to mitigate the 39-year disposal-records gap (Issue 7), notwithstanding Seller’s documented inconsistent statements (Issue 4).</w:t>
      </w:r>
    </w:p>
    <w:p>
      <w:pPr>
        <w:pStyle w:val="FirstParagraph"/>
      </w:pPr>
      <w:r>
        <w:rPr>
          <w:b/>
          <w:bCs/>
        </w:rPr>
        <w:t xml:space="preserve">Significance.</w:t>
      </w:r>
      <w:r>
        <w:t xml:space="preserve"> </w:t>
      </w:r>
      <w:r>
        <w:t xml:space="preserve">These deficiencies matter for three reasons. First, the Lender’s environmental counsel will independently review the Phase I for AAI compliance and Lender-scope compliance (Lender letter §§2, 4); the missed REC (Issue 3) in particular creates a real risk that the Lender rejects the report or requires a supplemental update, consuming scarce time before the November 15/30 deadlines. Second, an incomplete Phase I can undermine Buyer’s CERCLA BFPP/contiguous-property-owner defenses, which depend on AAI compliance. Third, the under-classification of RECs understates the environmental exposure that drives the §6.3(b) and indemnification analyses (Issues 10, 11).</w:t>
      </w:r>
    </w:p>
    <w:p>
      <w:pPr>
        <w:pStyle w:val="BodyText"/>
      </w:pPr>
      <w:r>
        <w:rPr>
          <w:b/>
          <w:bCs/>
        </w:rPr>
        <w:t xml:space="preserve">Recommendations.</w:t>
      </w:r>
      <w:r>
        <w:t xml:space="preserve"> </w:t>
      </w:r>
      <w:r>
        <w:t xml:space="preserve">(i) Request a supplemental/updated Phase I ESA from Greenfield correcting the REC classifications (Issues 3, 6), the HREC-1 classification (Issue 15), the data-gap inventory, and adding a vapor intrusion screening opinion. (ii) Have the updated report delivered to the Lender within the November 15, 2024 window. (iii) Confirm Greenfield’s professional-liability insurance meets the Lender’s $2,000,000 minimum (Lender letter §2). (iv) Preserve Buyer’s AAI/BFPP position by ensuring the record of inquiry is complete before closing.</w:t>
      </w:r>
    </w:p>
    <w:p>
      <w:r>
        <w:pict>
          <v:rect style="width:0;height:1.5pt" o:hralign="center" o:hrstd="t" o:hr="t"/>
        </w:pict>
      </w:r>
    </w:p>
    <w:bookmarkEnd w:id="37"/>
    <w:bookmarkStart w:id="38" w:name="Xe3f0b81a6085661edcc2fa64dce4288308864d1"/>
    <w:p>
      <w:pPr>
        <w:pStyle w:val="Heading3"/>
      </w:pPr>
      <w:r>
        <w:t xml:space="preserve">Issue 13 — Monitoring Well MW-1: Unknown Origin, No Records, Damaged Wellhead</w:t>
      </w:r>
    </w:p>
    <w:p>
      <w:pPr>
        <w:pStyle w:val="FirstParagraph"/>
      </w:pPr>
      <w:r>
        <w:rPr>
          <w:b/>
          <w:bCs/>
        </w:rPr>
        <w:t xml:space="preserve">Severity: MODERATE</w:t>
      </w:r>
    </w:p>
    <w:p>
      <w:pPr>
        <w:pStyle w:val="BodyText"/>
      </w:pPr>
      <w:r>
        <w:rPr>
          <w:b/>
          <w:bCs/>
        </w:rPr>
        <w:t xml:space="preserve">Factual basis.</w:t>
      </w:r>
      <w:r>
        <w:t xml:space="preserve"> </w:t>
      </w:r>
      <w:r>
        <w:t xml:space="preserve">A monitoring well labeled</w:t>
      </w:r>
      <w:r>
        <w:t xml:space="preserve"> </w:t>
      </w:r>
      <w:r>
        <w:t xml:space="preserve">“</w:t>
      </w:r>
      <w:r>
        <w:t xml:space="preserve">MW-1</w:t>
      </w:r>
      <w:r>
        <w:t xml:space="preserve">”</w:t>
      </w:r>
      <w:r>
        <w:t xml:space="preserve"> </w:t>
      </w:r>
      <w:r>
        <w:t xml:space="preserve">was observed near the northeast property boundary, with a damaged surface cover (cracked PVC, loose bolts) and accumulated debris (Greenfield ESA §6.2.5). No installation logs, construction details, or analytical data were located, and Seller stated he did not know who installed it, when, or why (Greenfield ESA §7.1). Notably, the Lake Erie Dry Cleaning investigation used a monitoring-well network including</w:t>
      </w:r>
      <w:r>
        <w:t xml:space="preserve"> </w:t>
      </w:r>
      <w:r>
        <w:t xml:space="preserve">“</w:t>
      </w:r>
      <w:r>
        <w:t xml:space="preserve">MW-7</w:t>
      </w:r>
      <w:r>
        <w:t xml:space="preserve">”</w:t>
      </w:r>
      <w:r>
        <w:t xml:space="preserve"> </w:t>
      </w:r>
      <w:r>
        <w:t xml:space="preserve">(Ohio EPA response §4); MW-1 may or may not be related to that or another investigation.</w:t>
      </w:r>
    </w:p>
    <w:p>
      <w:pPr>
        <w:pStyle w:val="BodyText"/>
      </w:pPr>
      <w:r>
        <w:rPr>
          <w:b/>
          <w:bCs/>
        </w:rPr>
        <w:t xml:space="preserve">Significance.</w:t>
      </w:r>
      <w:r>
        <w:t xml:space="preserve"> </w:t>
      </w:r>
      <w:r>
        <w:t xml:space="preserve">An unexplained monitoring well suggests a prior environmental investigation at or affecting the Property that was not disclosed — a potential information gap and a possible indicator of known contamination. The damaged wellhead is also a pathway concern (surface-water/intrusion into the well) and a compliance/abandonment issue.</w:t>
      </w:r>
    </w:p>
    <w:p>
      <w:pPr>
        <w:pStyle w:val="BodyText"/>
      </w:pPr>
      <w:r>
        <w:rPr>
          <w:b/>
          <w:bCs/>
        </w:rPr>
        <w:t xml:space="preserve">Recommendations.</w:t>
      </w:r>
      <w:r>
        <w:t xml:space="preserve"> </w:t>
      </w:r>
      <w:r>
        <w:t xml:space="preserve">(i) Investigate the well’s origin (Ohio EPA files; the dry-cleaner VAP file; well-registration databases; interviews). (ii) Obtain any associated analytical data. (iii) Secure/repair the wellhead; plan for proper abandonment if it is not needed for the Phase II program. (iv) Include MW-1 in the Phase II groundwater program if structurally suitable.</w:t>
      </w:r>
    </w:p>
    <w:p>
      <w:r>
        <w:pict>
          <v:rect style="width:0;height:1.5pt" o:hralign="center" o:hrstd="t" o:hr="t"/>
        </w:pict>
      </w:r>
    </w:p>
    <w:bookmarkEnd w:id="38"/>
    <w:bookmarkStart w:id="39" w:name="X4bcffe8a64f37aeefddfbff5ef9d7b5798ecda0"/>
    <w:p>
      <w:pPr>
        <w:pStyle w:val="Heading3"/>
      </w:pPr>
      <w:r>
        <w:t xml:space="preserve">Issue 14 — 2003 Ohio EPA NOV Consent Order Not Produced</w:t>
      </w:r>
    </w:p>
    <w:p>
      <w:pPr>
        <w:pStyle w:val="FirstParagraph"/>
      </w:pPr>
      <w:r>
        <w:rPr>
          <w:b/>
          <w:bCs/>
        </w:rPr>
        <w:t xml:space="preserve">Severity: MODERATE</w:t>
      </w:r>
    </w:p>
    <w:p>
      <w:pPr>
        <w:pStyle w:val="BodyText"/>
      </w:pPr>
      <w:r>
        <w:rPr>
          <w:b/>
          <w:bCs/>
        </w:rPr>
        <w:t xml:space="preserve">Factual basis.</w:t>
      </w:r>
      <w:r>
        <w:t xml:space="preserve"> </w:t>
      </w:r>
      <w:r>
        <w:t xml:space="preserve">The 2003 NOV (File No. NW-2003-0471) was resolved by a Director’s Final Findings and Orders (consent order) requiring a facility-wide waste audit, proper characterization/disposal of accumulated waste, a written waste-management plan, and a compliance certification within 120 days (Ohio EPA response §2). The consent order file, the signed order, and any compliance certification are</w:t>
      </w:r>
      <w:r>
        <w:t xml:space="preserve"> </w:t>
      </w:r>
      <w:r>
        <w:rPr>
          <w:b/>
          <w:bCs/>
        </w:rPr>
        <w:t xml:space="preserve">archived at Ohio EPA’s central records repository in Columbus</w:t>
      </w:r>
      <w:r>
        <w:t xml:space="preserve"> </w:t>
      </w:r>
      <w:r>
        <w:t xml:space="preserve">and were not produced; retrieval may take 30–45 business days (Ohio EPA response §2). Seller could not produce the consent order and characterized the matter as</w:t>
      </w:r>
      <w:r>
        <w:t xml:space="preserve"> </w:t>
      </w:r>
      <w:r>
        <w:t xml:space="preserve">“</w:t>
      </w:r>
      <w:r>
        <w:t xml:space="preserve">resolved years ago</w:t>
      </w:r>
      <w:r>
        <w:t xml:space="preserve">”</w:t>
      </w:r>
      <w:r>
        <w:t xml:space="preserve"> </w:t>
      </w:r>
      <w:r>
        <w:t xml:space="preserve">(Greenfield ESA §7.1).</w:t>
      </w:r>
    </w:p>
    <w:p>
      <w:pPr>
        <w:pStyle w:val="BodyText"/>
      </w:pPr>
      <w:r>
        <w:rPr>
          <w:b/>
          <w:bCs/>
        </w:rPr>
        <w:t xml:space="preserve">Significance.</w:t>
      </w:r>
      <w:r>
        <w:t xml:space="preserve"> </w:t>
      </w:r>
      <w:r>
        <w:t xml:space="preserve">The consent order’s terms and whether Seller achieved compliance (and certified as much) are directly relevant to the §4.12(b)/(c) representations (Issue 4) and to whether residual compliance obligations exist. The 30–45 day retrieval timeline may extend beyond the October 31, 2024 diligence deadline and the November 30, 2024 Lender deadline.</w:t>
      </w:r>
    </w:p>
    <w:p>
      <w:pPr>
        <w:pStyle w:val="BodyText"/>
      </w:pPr>
      <w:r>
        <w:rPr>
          <w:b/>
          <w:bCs/>
        </w:rPr>
        <w:t xml:space="preserve">Recommendations.</w:t>
      </w:r>
      <w:r>
        <w:t xml:space="preserve"> </w:t>
      </w:r>
      <w:r>
        <w:t xml:space="preserve">(i) Immediately submit a public-records request to Ohio EPA Central Office, Division of Hazardous Waste Management, for the consent order and compliance certification (File No. NW-2003-0471). (ii) Demand that Seller produce any copy in its possession. (iii) If the order cannot be obtained before closing, condition closing on a representation/indemnity specifically addressing the 2003 matter and its resolution.</w:t>
      </w:r>
    </w:p>
    <w:p>
      <w:r>
        <w:pict>
          <v:rect style="width:0;height:1.5pt" o:hralign="center" o:hrstd="t" o:hr="t"/>
        </w:pict>
      </w:r>
    </w:p>
    <w:bookmarkEnd w:id="39"/>
    <w:bookmarkStart w:id="40" w:name="Xa4453906a3113e31eb702d9617d0c20134ea655"/>
    <w:p>
      <w:pPr>
        <w:pStyle w:val="Heading3"/>
      </w:pPr>
      <w:r>
        <w:t xml:space="preserve">Issue 15 — HREC-1 (Halstead Heating-Oil UST) Classification Questionable</w:t>
      </w:r>
    </w:p>
    <w:p>
      <w:pPr>
        <w:pStyle w:val="FirstParagraph"/>
      </w:pPr>
      <w:r>
        <w:rPr>
          <w:b/>
          <w:bCs/>
        </w:rPr>
        <w:t xml:space="preserve">Severity: MODERATE</w:t>
      </w:r>
    </w:p>
    <w:p>
      <w:pPr>
        <w:pStyle w:val="BodyText"/>
      </w:pPr>
      <w:r>
        <w:rPr>
          <w:b/>
          <w:bCs/>
        </w:rPr>
        <w:t xml:space="preserve">Factual basis.</w:t>
      </w:r>
      <w:r>
        <w:t xml:space="preserve"> </w:t>
      </w:r>
      <w:r>
        <w:t xml:space="preserve">Greenfield classified the 500-gallon heating-oil UST that served the demolished Halstead farmhouse as a historical recognized environmental condition (</w:t>
      </w:r>
      <w:r>
        <w:t xml:space="preserve">“</w:t>
      </w:r>
      <w:r>
        <w:t xml:space="preserve">HREC-1</w:t>
      </w:r>
      <w:r>
        <w:t xml:space="preserve">”</w:t>
      </w:r>
      <w:r>
        <w:t xml:space="preserve">), reasoning that the tank</w:t>
      </w:r>
      <w:r>
        <w:t xml:space="preserve"> </w:t>
      </w:r>
      <w:r>
        <w:t xml:space="preserve">“</w:t>
      </w:r>
      <w:r>
        <w:t xml:space="preserve">was likely removed when the farmhouse was demolished in 1961</w:t>
      </w:r>
      <w:r>
        <w:t xml:space="preserve">”</w:t>
      </w:r>
      <w:r>
        <w:t xml:space="preserve"> </w:t>
      </w:r>
      <w:r>
        <w:t xml:space="preserve">and that no surface evidence of a tank was observed (Greenfield ESA §9.3). However, Ohio EPA/BUSTR confirmed that</w:t>
      </w:r>
      <w:r>
        <w:t xml:space="preserve"> </w:t>
      </w:r>
      <w:r>
        <w:rPr>
          <w:b/>
          <w:bCs/>
        </w:rPr>
        <w:t xml:space="preserve">no registration, closure, or removal records exist</w:t>
      </w:r>
      <w:r>
        <w:t xml:space="preserve"> </w:t>
      </w:r>
      <w:r>
        <w:t xml:space="preserve">for this tank (Ohio EPA response §3; EDR summary), and the EDR summary states the tank</w:t>
      </w:r>
      <w:r>
        <w:t xml:space="preserve"> </w:t>
      </w:r>
      <w:r>
        <w:t xml:space="preserve">“</w:t>
      </w:r>
      <w:r>
        <w:t xml:space="preserve">may remain in place beneath current pavement/fill.</w:t>
      </w:r>
      <w:r>
        <w:t xml:space="preserve">”</w:t>
      </w:r>
    </w:p>
    <w:p>
      <w:pPr>
        <w:pStyle w:val="BodyText"/>
      </w:pPr>
      <w:r>
        <w:rPr>
          <w:b/>
          <w:bCs/>
        </w:rPr>
        <w:t xml:space="preserve">Significance.</w:t>
      </w:r>
      <w:r>
        <w:t xml:space="preserve"> </w:t>
      </w:r>
      <w:r>
        <w:t xml:space="preserve">Under ASTM E1527-21, an HREC requires that the past release</w:t>
      </w:r>
      <w:r>
        <w:t xml:space="preserve"> </w:t>
      </w:r>
      <w:r>
        <w:t xml:space="preserve">“</w:t>
      </w:r>
      <w:r>
        <w:t xml:space="preserve">has been addressed to the satisfaction of the applicable regulatory authority or meets unrestricted use criteria … without subjecting the property to any required controls.</w:t>
      </w:r>
      <w:r>
        <w:t xml:space="preserve">”</w:t>
      </w:r>
      <w:r>
        <w:t xml:space="preserve"> </w:t>
      </w:r>
      <w:r>
        <w:t xml:space="preserve">With no closure/removal records and no regulatory sign-off, there is no basis to conclude the tank (or any associated release) was</w:t>
      </w:r>
      <w:r>
        <w:t xml:space="preserve"> </w:t>
      </w:r>
      <w:r>
        <w:t xml:space="preserve">“</w:t>
      </w:r>
      <w:r>
        <w:t xml:space="preserve">addressed to the satisfaction of the applicable regulatory authority.</w:t>
      </w:r>
      <w:r>
        <w:t xml:space="preserve">”</w:t>
      </w:r>
      <w:r>
        <w:t xml:space="preserve"> </w:t>
      </w:r>
      <w:r>
        <w:t xml:space="preserve">The HREC classification is therefore not well-supported; the tank’s status is simply unknown and should be treated as a potential REC/CREC pending investigation.</w:t>
      </w:r>
    </w:p>
    <w:p>
      <w:pPr>
        <w:pStyle w:val="BodyText"/>
      </w:pPr>
      <w:r>
        <w:rPr>
          <w:b/>
          <w:bCs/>
        </w:rPr>
        <w:t xml:space="preserve">Recommendations.</w:t>
      </w:r>
      <w:r>
        <w:t xml:space="preserve"> </w:t>
      </w:r>
      <w:r>
        <w:t xml:space="preserve">(i) Request that Greenfield reclassify this condition pending investigation (or remove the HREC designation). (ii) Include the former farmhouse location in the geophysical survey (Issue 5). (iii) If the tank is present, perform a closure assessment.</w:t>
      </w:r>
    </w:p>
    <w:p>
      <w:r>
        <w:pict>
          <v:rect style="width:0;height:1.5pt" o:hralign="center" o:hrstd="t" o:hr="t"/>
        </w:pict>
      </w:r>
    </w:p>
    <w:bookmarkEnd w:id="40"/>
    <w:bookmarkStart w:id="41" w:name="X44dcc6edb38b3bb99723d988325f85d274ea03a"/>
    <w:p>
      <w:pPr>
        <w:pStyle w:val="Heading3"/>
      </w:pPr>
      <w:r>
        <w:t xml:space="preserve">Issue 16 — Seller’s Refusal to Produce Corporate Records (1961–1990)</w:t>
      </w:r>
    </w:p>
    <w:p>
      <w:pPr>
        <w:pStyle w:val="FirstParagraph"/>
      </w:pPr>
      <w:r>
        <w:rPr>
          <w:b/>
          <w:bCs/>
        </w:rPr>
        <w:t xml:space="preserve">Severity: MODERATE</w:t>
      </w:r>
    </w:p>
    <w:p>
      <w:pPr>
        <w:pStyle w:val="BodyText"/>
      </w:pPr>
      <w:r>
        <w:rPr>
          <w:b/>
          <w:bCs/>
        </w:rPr>
        <w:t xml:space="preserve">Factual basis.</w:t>
      </w:r>
      <w:r>
        <w:t xml:space="preserve"> </w:t>
      </w:r>
      <w:r>
        <w:t xml:space="preserve">Seller declined to provide access to corporate records from 1961 through 1990, including operating, environmental, waste-disposal, and compliance records, stating they were</w:t>
      </w:r>
      <w:r>
        <w:t xml:space="preserve"> </w:t>
      </w:r>
      <w:r>
        <w:t xml:space="preserve">“</w:t>
      </w:r>
      <w:r>
        <w:t xml:space="preserve">in storage somewhere</w:t>
      </w:r>
      <w:r>
        <w:t xml:space="preserve">”</w:t>
      </w:r>
      <w:r>
        <w:t xml:space="preserve"> </w:t>
      </w:r>
      <w:r>
        <w:t xml:space="preserve">and not readily accessible, and did not indicate a willingness to retrieve them (Greenfield ESA §7.1). Greenfield identified this as a data gap (ESA §8.0, Data Gap No. 2).</w:t>
      </w:r>
    </w:p>
    <w:p>
      <w:pPr>
        <w:pStyle w:val="BodyText"/>
      </w:pPr>
      <w:r>
        <w:rPr>
          <w:b/>
          <w:bCs/>
        </w:rPr>
        <w:t xml:space="preserve">Significance.</w:t>
      </w:r>
      <w:r>
        <w:t xml:space="preserve"> </w:t>
      </w:r>
      <w:r>
        <w:t xml:space="preserve">These records cover the earliest decades of industrial use — the period of TCE degreasing (1961–1992) and the first half of electroplating operations (1965 onward) — and could materially inform the magnitude and disposition of historical releases and waste-management practices (Issue 7). Seller’s unwillingness to produce them, combined with the representation concerns in Issue 4, is a diligence impediment.</w:t>
      </w:r>
    </w:p>
    <w:p>
      <w:pPr>
        <w:pStyle w:val="BodyText"/>
      </w:pPr>
      <w:r>
        <w:rPr>
          <w:b/>
          <w:bCs/>
        </w:rPr>
        <w:t xml:space="preserve">Recommendations.</w:t>
      </w:r>
      <w:r>
        <w:t xml:space="preserve"> </w:t>
      </w:r>
      <w:r>
        <w:t xml:space="preserve">(i) Renew the written demand for these records through counsel, with a firm deadline. (ii) Consider making production of the 1961–1990 records (or an affidavit of non-existence) a condition to closing or to waiver of the §6.3(b) termination right. (iii) Factor the unavailability of these records into the §6.3(b) cost analysis and the indemnity/insurance structure.</w:t>
      </w:r>
    </w:p>
    <w:p>
      <w:r>
        <w:pict>
          <v:rect style="width:0;height:1.5pt" o:hralign="center" o:hrstd="t" o:hr="t"/>
        </w:pict>
      </w:r>
    </w:p>
    <w:bookmarkEnd w:id="41"/>
    <w:bookmarkStart w:id="42" w:name="X3793ba61e0842ad379d9e9c8414428dca83e188"/>
    <w:p>
      <w:pPr>
        <w:pStyle w:val="Heading3"/>
      </w:pPr>
      <w:r>
        <w:t xml:space="preserve">Issue 17 — Active 10,000-Gallon Diesel UST &amp; Lender Post-Closing UST Covenant</w:t>
      </w:r>
    </w:p>
    <w:p>
      <w:pPr>
        <w:pStyle w:val="FirstParagraph"/>
      </w:pPr>
      <w:r>
        <w:rPr>
          <w:b/>
          <w:bCs/>
        </w:rPr>
        <w:t xml:space="preserve">Severity: LOW</w:t>
      </w:r>
    </w:p>
    <w:p>
      <w:pPr>
        <w:pStyle w:val="BodyText"/>
      </w:pPr>
      <w:r>
        <w:rPr>
          <w:b/>
          <w:bCs/>
        </w:rPr>
        <w:t xml:space="preserve">Factual basis.</w:t>
      </w:r>
      <w:r>
        <w:t xml:space="preserve"> </w:t>
      </w:r>
      <w:r>
        <w:t xml:space="preserve">One active 10,000-gallon diesel UST (Ohio Facility ID 48-22-10-0087), installed 1978, upgraded with cathodic protection in 1998, last inspected May 2022 with no violations, is registered and compliant (Greenfield ESA §§5.1.1, 6.2.2, 9.5; Ohio EPA response §3; EDR summary). No evidence of release was observed. This UST is the only tank listed on Schedule 4.13.</w:t>
      </w:r>
    </w:p>
    <w:p>
      <w:pPr>
        <w:pStyle w:val="BodyText"/>
      </w:pPr>
      <w:r>
        <w:rPr>
          <w:b/>
          <w:bCs/>
        </w:rPr>
        <w:t xml:space="preserve">Significance.</w:t>
      </w:r>
      <w:r>
        <w:t xml:space="preserve"> </w:t>
      </w:r>
      <w:r>
        <w:t xml:space="preserve">The UST itself is not an environmental concern. However, the Lender’s post-closing covenants (Lender letter §6(d)) prohibit Buyer from installing, using, operating, or closing any UST at the Property without the Lender’s prior written consent — a restriction that will govern any future management or eventual closure of this tank.</w:t>
      </w:r>
    </w:p>
    <w:p>
      <w:pPr>
        <w:pStyle w:val="BodyText"/>
      </w:pPr>
      <w:r>
        <w:rPr>
          <w:b/>
          <w:bCs/>
        </w:rPr>
        <w:t xml:space="preserve">Recommendations.</w:t>
      </w:r>
      <w:r>
        <w:t xml:space="preserve"> </w:t>
      </w:r>
      <w:r>
        <w:t xml:space="preserve">(i) Note the Lender’s UST consent covenant in the loan-document review. (ii) Confirm the UST’s registration and inspection status at closing. (iii) Consider whether the UST is needed for Buyer’s planned warehouse use; if not, evaluate pre-closing closure (subject to Lender consent).</w:t>
      </w:r>
    </w:p>
    <w:p>
      <w:r>
        <w:pict>
          <v:rect style="width:0;height:1.5pt" o:hralign="center" o:hrstd="t" o:hr="t"/>
        </w:pict>
      </w:r>
    </w:p>
    <w:bookmarkEnd w:id="42"/>
    <w:bookmarkStart w:id="43" w:name="X04dea0bc857a8884671e448db09420327d63f9f"/>
    <w:p>
      <w:pPr>
        <w:pStyle w:val="Heading3"/>
      </w:pPr>
      <w:r>
        <w:t xml:space="preserve">Issue 18 — RCRA SQG Status; Adjacent/Nearby Properties; Phase I Shelf-Life</w:t>
      </w:r>
    </w:p>
    <w:p>
      <w:pPr>
        <w:pStyle w:val="FirstParagraph"/>
      </w:pPr>
      <w:r>
        <w:rPr>
          <w:b/>
          <w:bCs/>
        </w:rPr>
        <w:t xml:space="preserve">Severity: LOW</w:t>
      </w:r>
    </w:p>
    <w:p>
      <w:pPr>
        <w:pStyle w:val="BodyText"/>
      </w:pPr>
      <w:r>
        <w:rPr>
          <w:b/>
          <w:bCs/>
        </w:rPr>
        <w:t xml:space="preserve">Factual basis and assessment.</w:t>
      </w:r>
    </w:p>
    <w:p>
      <w:pPr>
        <w:pStyle w:val="Compact"/>
        <w:numPr>
          <w:ilvl w:val="0"/>
          <w:numId w:val="1008"/>
        </w:numPr>
      </w:pPr>
      <w:r>
        <w:rPr>
          <w:b/>
          <w:bCs/>
        </w:rPr>
        <w:t xml:space="preserve">RCRA SQG status.</w:t>
      </w:r>
      <w:r>
        <w:t xml:space="preserve"> </w:t>
      </w:r>
      <w:r>
        <w:t xml:space="preserve">The Property is listed as a RCRA Small Quantity Generator (EPA ID OHD044891237), consistent with historical operations; ECHO shows no formal enforcement actions or penalties (EDR summary). Routine; not a REC.</w:t>
      </w:r>
    </w:p>
    <w:p>
      <w:pPr>
        <w:pStyle w:val="Compact"/>
        <w:numPr>
          <w:ilvl w:val="0"/>
          <w:numId w:val="1008"/>
        </w:numPr>
      </w:pPr>
      <w:r>
        <w:rPr>
          <w:b/>
          <w:bCs/>
        </w:rPr>
        <w:t xml:space="preserve">Adjacent/nearby properties (other than Lake Erie Dry Cleaning).</w:t>
      </w:r>
      <w:r>
        <w:t xml:space="preserve"> </w:t>
      </w:r>
      <w:r>
        <w:t xml:space="preserve">Toledo Coatings &amp; Adhesives Inc. (east) — CERCLIS preliminary assessment, EPA NFA/archived 1999, no documented plume toward the Property (LOW). Great Lakes Metal Finishing Inc. (~350 ft ENE) — active compliant SQG (Cr/Pb waste codes), no releases documented (LOW). Bayshore Auto Salvage (NE, 0.20 mi) and Former Sunoco Station #4477 (SSW, 0.25 mi) — closed LUST cases with NFA, plumes away/downgradient (NONE/LOW). Metro Petroleum (NNE, 0.30 mi) — modern compliant facility (NONE). Norfolk Southern Railroad (west) — herbicide application, de minimis. Lucas County sanitary sewer trunk line (south, ~75 ft) — noted as a potential preferential pathway but no contamination associated (de minimis). These do not, on current information, require action beyond monitoring.</w:t>
      </w:r>
    </w:p>
    <w:p>
      <w:pPr>
        <w:pStyle w:val="Compact"/>
        <w:numPr>
          <w:ilvl w:val="0"/>
          <w:numId w:val="1008"/>
        </w:numPr>
      </w:pPr>
      <w:r>
        <w:rPr>
          <w:b/>
          <w:bCs/>
        </w:rPr>
        <w:t xml:space="preserve">Phase I shelf-life.</w:t>
      </w:r>
      <w:r>
        <w:t xml:space="preserve"> </w:t>
      </w:r>
      <w:r>
        <w:t xml:space="preserve">The Greenfield site reconnaissance (October 2, 2024) is within the ASTM E1527-21 §4.6 180-day validity window for the December 15, 2024 closing (i.e., through approximately March 31, 2025). Confirm at closing that the report remains within shelf life.</w:t>
      </w:r>
    </w:p>
    <w:p>
      <w:pPr>
        <w:pStyle w:val="FirstParagraph"/>
      </w:pPr>
      <w:r>
        <w:rPr>
          <w:b/>
          <w:bCs/>
        </w:rPr>
        <w:t xml:space="preserve">Recommendations.</w:t>
      </w:r>
      <w:r>
        <w:t xml:space="preserve"> </w:t>
      </w:r>
      <w:r>
        <w:t xml:space="preserve">Routine monitoring only; no transactional action required. Re-confirm adjacent-property status if the Phase II reveals off-site migration toward any of these facilities (or vice versa).</w:t>
      </w:r>
    </w:p>
    <w:p>
      <w:r>
        <w:pict>
          <v:rect style="width:0;height:1.5pt" o:hralign="center" o:hrstd="t" o:hr="t"/>
        </w:pict>
      </w:r>
    </w:p>
    <w:bookmarkEnd w:id="43"/>
    <w:bookmarkEnd w:id="44"/>
    <w:bookmarkStart w:id="45" w:name="vii.-cross-cutting-observations"/>
    <w:p>
      <w:pPr>
        <w:pStyle w:val="Heading2"/>
      </w:pPr>
      <w:r>
        <w:t xml:space="preserve">VII. Cross-Cutting Observations</w:t>
      </w:r>
    </w:p>
    <w:p>
      <w:pPr>
        <w:numPr>
          <w:ilvl w:val="0"/>
          <w:numId w:val="1009"/>
        </w:numPr>
      </w:pPr>
      <w:r>
        <w:rPr>
          <w:b/>
          <w:bCs/>
        </w:rPr>
        <w:t xml:space="preserve">The environmental exposure is multi-source and overlapping.</w:t>
      </w:r>
      <w:r>
        <w:t xml:space="preserve"> </w:t>
      </w:r>
      <w:r>
        <w:t xml:space="preserve">On-site TCE (Issue 1), on-site hexavalent chromium (Issue 2), an off-site PCE plume (Issue 3), an unregistered waste-solvent UST and drum-storage area in the same vicinity (Issues 5, 6), and a 39-year disposal-records gap (Issue 7) are not independent — they are spatially and operationally linked and should be investigated as an integrated Phase II program rather than as isolated tasks.</w:t>
      </w:r>
    </w:p>
    <w:p>
      <w:pPr>
        <w:numPr>
          <w:ilvl w:val="0"/>
          <w:numId w:val="1009"/>
        </w:numPr>
      </w:pPr>
      <w:r>
        <w:rPr>
          <w:b/>
          <w:bCs/>
        </w:rPr>
        <w:t xml:space="preserve">The Phase I ESA understates the risk.</w:t>
      </w:r>
      <w:r>
        <w:t xml:space="preserve"> </w:t>
      </w:r>
      <w:r>
        <w:t xml:space="preserve">The two RECs Greenfield identified are real, but the report’s failure to classify the off-site PCE plume (Issue 3) and the east-side drum area (Issue 6) as RECs, its questionable HREC-1 call (Issue 15), and its incomplete data-gap inventory (Issue 12) mean the report, as written, does not fully satisfy the Lender’s scope or, in our view, AAI. A supplemental/update is needed before the Lender’s November 15, 2024 deadline.</w:t>
      </w:r>
    </w:p>
    <w:p>
      <w:pPr>
        <w:numPr>
          <w:ilvl w:val="0"/>
          <w:numId w:val="1009"/>
        </w:numPr>
      </w:pPr>
      <w:r>
        <w:rPr>
          <w:b/>
          <w:bCs/>
        </w:rPr>
        <w:t xml:space="preserve">The Seller’s disclosures are not reliable.</w:t>
      </w:r>
      <w:r>
        <w:t xml:space="preserve"> </w:t>
      </w:r>
      <w:r>
        <w:t xml:space="preserve">The</w:t>
      </w:r>
      <w:r>
        <w:t xml:space="preserve"> </w:t>
      </w:r>
      <w:r>
        <w:t xml:space="preserve">“</w:t>
      </w:r>
      <w:r>
        <w:t xml:space="preserve">None</w:t>
      </w:r>
      <w:r>
        <w:t xml:space="preserve">”</w:t>
      </w:r>
      <w:r>
        <w:t xml:space="preserve"> </w:t>
      </w:r>
      <w:r>
        <w:t xml:space="preserve">entries on Schedules 4.12(a)/4.12(c) and the incomplete Schedule 4.13, together with Mr. Breckenridge’s statements inconsistent with the Fire Department and Ohio EPA records (Issue 4), mean Buyer should not rely on Seller’s disclosures as a complete picture of environmental conditions. Independent verification (Phase II, Ohio EPA files, geophysical survey) is essential, and the fraud/intentional-misrepresentation theory should be preserved.</w:t>
      </w:r>
    </w:p>
    <w:p>
      <w:pPr>
        <w:numPr>
          <w:ilvl w:val="0"/>
          <w:numId w:val="1009"/>
        </w:numPr>
      </w:pPr>
      <w:r>
        <w:rPr>
          <w:b/>
          <w:bCs/>
        </w:rPr>
        <w:t xml:space="preserve">Two hard deadlines govern.</w:t>
      </w:r>
      <w:r>
        <w:t xml:space="preserve"> </w:t>
      </w:r>
      <w:r>
        <w:t xml:space="preserve">The APA §6.3(b) termination deadline (October 31, 2024) and the Lender’s Phase II package deadline (November 30, 2024) are the controlling dates. All diligence and decision work should be sequenced to those dates.</w:t>
      </w:r>
    </w:p>
    <w:p>
      <w:pPr>
        <w:numPr>
          <w:ilvl w:val="0"/>
          <w:numId w:val="1009"/>
        </w:numPr>
      </w:pPr>
      <w:r>
        <w:rPr>
          <w:b/>
          <w:bCs/>
        </w:rPr>
        <w:t xml:space="preserve">Risk allocation should not rely on the indemnity cap.</w:t>
      </w:r>
      <w:r>
        <w:t xml:space="preserve"> </w:t>
      </w:r>
      <w:r>
        <w:t xml:space="preserve">The $1.75M cap and 3-year survival (Issue 10) are likely insufficient for this exposure profile; the Lender-required PLL insurance and escrow (Issue 9), plus a renegotiated cap/survival and the fraud backstop (Issue 4), are the appropriate risk-allocation stack.</w:t>
      </w:r>
    </w:p>
    <w:p>
      <w:r>
        <w:pict>
          <v:rect style="width:0;height:1.5pt" o:hralign="center" o:hrstd="t" o:hr="t"/>
        </w:pict>
      </w:r>
    </w:p>
    <w:bookmarkEnd w:id="45"/>
    <w:bookmarkStart w:id="46" w:name="viii.-recommended-next-steps-prioritized"/>
    <w:p>
      <w:pPr>
        <w:pStyle w:val="Heading2"/>
      </w:pPr>
      <w:r>
        <w:t xml:space="preserve">VIII. Recommended Next Steps (Prioritized)</w:t>
      </w:r>
    </w:p>
    <w:p>
      <w:pPr>
        <w:pStyle w:val="Compact"/>
        <w:numPr>
          <w:ilvl w:val="0"/>
          <w:numId w:val="1010"/>
        </w:numPr>
      </w:pPr>
      <w:r>
        <w:rPr>
          <w:b/>
          <w:bCs/>
        </w:rPr>
        <w:t xml:space="preserve">Immediately (this week):</w:t>
      </w:r>
      <w:r>
        <w:t xml:space="preserve"> </w:t>
      </w:r>
      <w:r>
        <w:t xml:space="preserve">Convene a decision meeting on the §6.3(b) termination right (Issue 11). The deadline is</w:t>
      </w:r>
      <w:r>
        <w:t xml:space="preserve"> </w:t>
      </w:r>
      <w:r>
        <w:rPr>
          <w:b/>
          <w:bCs/>
        </w:rPr>
        <w:t xml:space="preserve">October 31, 2024</w:t>
      </w:r>
      <w:r>
        <w:t xml:space="preserve">.</w:t>
      </w:r>
    </w:p>
    <w:p>
      <w:pPr>
        <w:pStyle w:val="Compact"/>
        <w:numPr>
          <w:ilvl w:val="0"/>
          <w:numId w:val="1010"/>
        </w:numPr>
      </w:pPr>
      <w:r>
        <w:rPr>
          <w:b/>
          <w:bCs/>
        </w:rPr>
        <w:t xml:space="preserve">Immediately:</w:t>
      </w:r>
      <w:r>
        <w:t xml:space="preserve"> </w:t>
      </w:r>
      <w:r>
        <w:t xml:space="preserve">Send written demands to Seller (through counsel) to (a) disclose/explain the 1988 spill, 2003 NOV/consent order, and the two omitted USTs, and update Schedules 4.12 and 4.13; and (b) produce the 1961–1990 corporate records (Issues 4, 16). Preserve the fraud/intentional-misrepresentation record.</w:t>
      </w:r>
    </w:p>
    <w:p>
      <w:pPr>
        <w:pStyle w:val="Compact"/>
        <w:numPr>
          <w:ilvl w:val="0"/>
          <w:numId w:val="1010"/>
        </w:numPr>
      </w:pPr>
      <w:r>
        <w:rPr>
          <w:b/>
          <w:bCs/>
        </w:rPr>
        <w:t xml:space="preserve">Immediately:</w:t>
      </w:r>
      <w:r>
        <w:t xml:space="preserve"> </w:t>
      </w:r>
      <w:r>
        <w:t xml:space="preserve">Request that Greenfield issue a supplemental/updated Phase I ESA reclassifying the off-site PCE plume and the east-side drum area as RECs, correcting the HREC-1 call, expanding the data-gap inventory, and adding a vapor-intrusion screening opinion (Issues 3, 6, 12, 15).</w:t>
      </w:r>
    </w:p>
    <w:p>
      <w:pPr>
        <w:pStyle w:val="Compact"/>
        <w:numPr>
          <w:ilvl w:val="0"/>
          <w:numId w:val="1010"/>
        </w:numPr>
      </w:pPr>
      <w:r>
        <w:rPr>
          <w:b/>
          <w:bCs/>
        </w:rPr>
        <w:t xml:space="preserve">Immediately:</w:t>
      </w:r>
      <w:r>
        <w:t xml:space="preserve"> </w:t>
      </w:r>
      <w:r>
        <w:t xml:space="preserve">Commission a Phase II ESA scoped to Issues 1, 2, 3, 5, 6, and 8, with three-scenario remediation cost estimates by a licensed P.E.; begin PLL insurance underwriting in parallel (Issue 9).</w:t>
      </w:r>
    </w:p>
    <w:p>
      <w:pPr>
        <w:pStyle w:val="Compact"/>
        <w:numPr>
          <w:ilvl w:val="0"/>
          <w:numId w:val="1010"/>
        </w:numPr>
      </w:pPr>
      <w:r>
        <w:rPr>
          <w:b/>
          <w:bCs/>
        </w:rPr>
        <w:t xml:space="preserve">Immediately:</w:t>
      </w:r>
      <w:r>
        <w:t xml:space="preserve"> </w:t>
      </w:r>
      <w:r>
        <w:t xml:space="preserve">Submit a public-records request to Ohio EPA Central Office for the 2003 consent order and compliance certification (Issue 14); investigate monitoring well MW-1 (Issue 13).</w:t>
      </w:r>
    </w:p>
    <w:p>
      <w:pPr>
        <w:pStyle w:val="Compact"/>
        <w:numPr>
          <w:ilvl w:val="0"/>
          <w:numId w:val="1010"/>
        </w:numPr>
      </w:pPr>
      <w:r>
        <w:rPr>
          <w:b/>
          <w:bCs/>
        </w:rPr>
        <w:t xml:space="preserve">Before October 31, 2024:</w:t>
      </w:r>
      <w:r>
        <w:t xml:space="preserve"> </w:t>
      </w:r>
      <w:r>
        <w:t xml:space="preserve">If proceeding, obtain signed written amendments to the diligence period and to the economic/indemnity terms (increased cap, extended environmental survival, Seller-funded remediation/escrow) (Issues 10, 11).</w:t>
      </w:r>
    </w:p>
    <w:p>
      <w:pPr>
        <w:pStyle w:val="Compact"/>
        <w:numPr>
          <w:ilvl w:val="0"/>
          <w:numId w:val="1010"/>
        </w:numPr>
      </w:pPr>
      <w:r>
        <w:rPr>
          <w:b/>
          <w:bCs/>
        </w:rPr>
        <w:t xml:space="preserve">Before November 15, 2024:</w:t>
      </w:r>
      <w:r>
        <w:t xml:space="preserve"> </w:t>
      </w:r>
      <w:r>
        <w:t xml:space="preserve">Deliver the updated Phase I ESA to the Lender (Issue 12).</w:t>
      </w:r>
    </w:p>
    <w:p>
      <w:pPr>
        <w:pStyle w:val="Compact"/>
        <w:numPr>
          <w:ilvl w:val="0"/>
          <w:numId w:val="1010"/>
        </w:numPr>
      </w:pPr>
      <w:r>
        <w:rPr>
          <w:b/>
          <w:bCs/>
        </w:rPr>
        <w:t xml:space="preserve">Before November 30, 2024:</w:t>
      </w:r>
      <w:r>
        <w:t xml:space="preserve"> </w:t>
      </w:r>
      <w:r>
        <w:t xml:space="preserve">Deliver the Phase II ESA, PLL binder (Lender as additional insured/loss payee), and escrow evidence to the Lender (Issue 9).</w:t>
      </w:r>
    </w:p>
    <w:p>
      <w:pPr>
        <w:pStyle w:val="Compact"/>
        <w:numPr>
          <w:ilvl w:val="0"/>
          <w:numId w:val="1010"/>
        </w:numPr>
      </w:pPr>
      <w:r>
        <w:rPr>
          <w:b/>
          <w:bCs/>
        </w:rPr>
        <w:t xml:space="preserve">Before closing:</w:t>
      </w:r>
      <w:r>
        <w:t xml:space="preserve"> </w:t>
      </w:r>
      <w:r>
        <w:t xml:space="preserve">Complete the geophysical UST survey (Issue 5); confirm Phase I shelf-life (Issue 18); confirm the active diesel UST registration and the Lender’s UST covenant (Issue 17).</w:t>
      </w:r>
    </w:p>
    <w:p>
      <w:r>
        <w:pict>
          <v:rect style="width:0;height:1.5pt" o:hralign="center" o:hrstd="t" o:hr="t"/>
        </w:pict>
      </w:r>
    </w:p>
    <w:bookmarkEnd w:id="46"/>
    <w:bookmarkStart w:id="47" w:name="ix.-limitations"/>
    <w:p>
      <w:pPr>
        <w:pStyle w:val="Heading2"/>
      </w:pPr>
      <w:r>
        <w:t xml:space="preserve">IX. Limitations</w:t>
      </w:r>
    </w:p>
    <w:p>
      <w:pPr>
        <w:pStyle w:val="FirstParagraph"/>
      </w:pPr>
      <w:r>
        <w:t xml:space="preserve">This memorandum is based solely on the documents listed in Section III and was prepared for the internal use of Cornerstone Industrial Partners LLC and its counsel in connection with the proposed acquisition. It is a qualitative issues assessment, not a Phase I or Phase II Environmental Site Assessment, and it does not constitute a legal opinion, a determination of liability, a remediation cost estimate, or a determination of whether Seller has committed fraud or breached the APA. No independent sampling, testing, or site reconnaissance was performed. Severity ratings reflect professional judgment based on the information available as of the date hereof and may change upon receipt of the Phase II results, the Ohio EPA file records, the 2003 consent order, and Seller’s responses to the disclosure demands. This memorandum is privileged and confidential and prepared in anticipation of the transaction; it should not be distributed to Seller or any third party without counsel’s approval.</w:t>
      </w:r>
    </w:p>
    <w:p>
      <w:pPr>
        <w:pStyle w:val="BodyText"/>
      </w:pPr>
      <w:r>
        <w:rPr>
          <w:i/>
          <w:iCs/>
        </w:rPr>
        <w:t xml:space="preserve">— End of Memorandum —</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2026-06-23T05:33:46Z</dcterms:created>
  <dcterms:modified xsi:type="dcterms:W3CDTF">2026-06-23T05:33:46Z</dcterms:modified>
</cp:coreProperties>
</file>

<file path=docProps/custom.xml><?xml version="1.0" encoding="utf-8"?>
<Properties xmlns="http://schemas.openxmlformats.org/officeDocument/2006/custom-properties" xmlns:vt="http://schemas.openxmlformats.org/officeDocument/2006/docPropsVTypes"/>
</file>