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1c490f654c4105499f584bfdddd5889499e1c5"/>
    <w:p>
      <w:pPr>
        <w:pStyle w:val="Heading1"/>
      </w:pPr>
      <w:r>
        <w:t xml:space="preserve">ENVIRONMENTAL DUE DILIGENCE ISSUES MEMORANDUM</w:t>
      </w:r>
    </w:p>
    <w:p>
      <w:pPr>
        <w:pStyle w:val="FirstParagraph"/>
      </w:pPr>
      <w:r>
        <w:rPr>
          <w:b/>
          <w:bCs/>
        </w:rPr>
        <w:t xml:space="preserve">PRIVILEGED &amp; CONFIDENTIAL — ATTORNEY WORK PRODUCT / PREPARED IN ANTICIPATION OF LITIGATION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Cornerstone Industrial Partners LLC (Attention: Marcus Choi, Managing Partner); Great Lakes Capital Bank (Loan No. GLCB-2024-08173); Acquisition File</w:t>
            </w:r>
          </w:p>
        </w:tc>
      </w:tr>
      <w:tr>
        <w:tc>
          <w:tcPr/>
          <w:p>
            <w:pPr>
              <w:pStyle w:val="Compact"/>
              <w:jc w:val="left"/>
            </w:pPr>
            <w:r>
              <w:rPr>
                <w:b/>
                <w:bCs/>
              </w:rPr>
              <w:t xml:space="preserve">FROM:</w:t>
            </w:r>
          </w:p>
        </w:tc>
        <w:tc>
          <w:tcPr/>
          <w:p>
            <w:pPr>
              <w:pStyle w:val="Compact"/>
              <w:jc w:val="left"/>
            </w:pPr>
            <w:r>
              <w:t xml:space="preserve">Whitfield &amp; Crane LLP — Environmental Due Diligence Review (Sarah Castellano, Partner; David Morales, Associate)</w:t>
            </w:r>
          </w:p>
        </w:tc>
      </w:tr>
      <w:tr>
        <w:tc>
          <w:tcPr/>
          <w:p>
            <w:pPr>
              <w:pStyle w:val="Compact"/>
              <w:jc w:val="left"/>
            </w:pPr>
            <w:r>
              <w:rPr>
                <w:b/>
                <w:bCs/>
              </w:rPr>
              <w:t xml:space="preserve">DATE:</w:t>
            </w:r>
          </w:p>
        </w:tc>
        <w:tc>
          <w:tcPr/>
          <w:p>
            <w:pPr>
              <w:pStyle w:val="Compact"/>
              <w:jc w:val="left"/>
            </w:pPr>
            <w:r>
              <w:t xml:space="preserve">October 28, 2024</w:t>
            </w:r>
          </w:p>
        </w:tc>
      </w:tr>
      <w:tr>
        <w:tc>
          <w:tcPr/>
          <w:p>
            <w:pPr>
              <w:pStyle w:val="Compact"/>
              <w:jc w:val="left"/>
            </w:pPr>
            <w:r>
              <w:rPr>
                <w:b/>
                <w:bCs/>
              </w:rPr>
              <w:t xml:space="preserve">RE:</w:t>
            </w:r>
          </w:p>
        </w:tc>
        <w:tc>
          <w:tcPr/>
          <w:p>
            <w:pPr>
              <w:pStyle w:val="Compact"/>
              <w:jc w:val="left"/>
            </w:pPr>
            <w:r>
              <w:t xml:space="preserve">Environmental Issues Memo with Severity Ratings — Proposed Acquisition of 4820 Lakeshore Industrial Drive, Toledo, Lucas County, Ohio 43611 (Lucas County Parcel Nos. 18-04562-001, -002, -003) from Breckenridge Manufacturing Co.</w:t>
            </w:r>
          </w:p>
        </w:tc>
      </w:tr>
    </w:tbl>
    <w:p>
      <w:r>
        <w:pict>
          <v:rect style="width:0;height:1.5pt" o:hralign="center" o:hrstd="t" o:hr="t"/>
        </w:pict>
      </w:r>
    </w:p>
    <w:bookmarkStart w:id="20" w:name="i.-scope-and-documents-reviewed"/>
    <w:p>
      <w:pPr>
        <w:pStyle w:val="Heading2"/>
      </w:pPr>
      <w:r>
        <w:t xml:space="preserve">I. Scope and Documents Reviewed</w:t>
      </w:r>
    </w:p>
    <w:p>
      <w:pPr>
        <w:pStyle w:val="FirstParagraph"/>
      </w:pPr>
      <w:r>
        <w:t xml:space="preserve">This memorandum identifies and rates the environmental issues arising from the Phase I Environmental Site Assessment (</w:t>
      </w:r>
      <w:r>
        <w:t xml:space="preserve">“</w:t>
      </w:r>
      <w:r>
        <w:t xml:space="preserve">Phase I ESA</w:t>
      </w:r>
      <w:r>
        <w:t xml:space="preserve">”</w:t>
      </w:r>
      <w:r>
        <w:t xml:space="preserve">) and supporting environmental records prepared in connection with Cornerstone Industrial Partners LLC’s (</w:t>
      </w:r>
      <w:r>
        <w:t xml:space="preserve">“</w:t>
      </w:r>
      <w:r>
        <w:t xml:space="preserve">Buyer</w:t>
      </w:r>
      <w:r>
        <w:t xml:space="preserve">”</w:t>
      </w:r>
      <w:r>
        <w:t xml:space="preserve"> </w:t>
      </w:r>
      <w:r>
        <w:t xml:space="preserve">or</w:t>
      </w:r>
      <w:r>
        <w:t xml:space="preserve"> </w:t>
      </w:r>
      <w:r>
        <w:t xml:space="preserve">“</w:t>
      </w:r>
      <w:r>
        <w:t xml:space="preserve">Cornerstone</w:t>
      </w:r>
      <w:r>
        <w:t xml:space="preserve">”</w:t>
      </w:r>
      <w:r>
        <w:t xml:space="preserve">) proposed acquisition of the approximately 14.7-acre former manufacturing/warehouse complex located at 4820 Lakeshore Industrial Drive, Toledo, Ohio (the</w:t>
      </w:r>
      <w:r>
        <w:t xml:space="preserve"> </w:t>
      </w:r>
      <w:r>
        <w:t xml:space="preserve">“</w:t>
      </w:r>
      <w:r>
        <w:t xml:space="preserve">Property</w:t>
      </w:r>
      <w:r>
        <w:t xml:space="preserve">”</w:t>
      </w:r>
      <w:r>
        <w:t xml:space="preserve">) from Breckenridge Manufacturing Co. (</w:t>
      </w:r>
      <w:r>
        <w:t xml:space="preserve">“</w:t>
      </w:r>
      <w:r>
        <w:t xml:space="preserve">Seller</w:t>
      </w:r>
      <w:r>
        <w:t xml:space="preserve">”</w:t>
      </w:r>
      <w:r>
        <w:t xml:space="preserve">), for a purchase price of $8,750,000, with acquisition financing of $6,125,000 from Great Lakes Capital Bank (the</w:t>
      </w:r>
      <w:r>
        <w:t xml:space="preserve"> </w:t>
      </w:r>
      <w:r>
        <w:t xml:space="preserve">“</w:t>
      </w:r>
      <w:r>
        <w:t xml:space="preserve">Lender</w:t>
      </w:r>
      <w:r>
        <w:t xml:space="preserve">”</w:t>
      </w:r>
      <w:r>
        <w:t xml:space="preserve">). The controlling transactional documents are the Asset Purchase Agreement dated September 1, 2024 (the</w:t>
      </w:r>
      <w:r>
        <w:t xml:space="preserve"> </w:t>
      </w:r>
      <w:r>
        <w:t xml:space="preserve">“</w:t>
      </w:r>
      <w:r>
        <w:t xml:space="preserve">Purchase Agreement</w:t>
      </w:r>
      <w:r>
        <w:t xml:space="preserve">”</w:t>
      </w:r>
      <w:r>
        <w:t xml:space="preserve">) and the Lender’s environmental due diligence requirements letter dated September 10, 2024 (the</w:t>
      </w:r>
      <w:r>
        <w:t xml:space="preserve"> </w:t>
      </w:r>
      <w:r>
        <w:t xml:space="preserve">“</w:t>
      </w:r>
      <w:r>
        <w:t xml:space="preserve">Lender Letter</w:t>
      </w:r>
      <w:r>
        <w:t xml:space="preserve">”</w:t>
      </w:r>
      <w:r>
        <w:t xml:space="preserve">).</w:t>
      </w:r>
    </w:p>
    <w:p>
      <w:pPr>
        <w:pStyle w:val="BodyText"/>
      </w:pPr>
      <w:r>
        <w:rPr>
          <w:b/>
          <w:bCs/>
        </w:rPr>
        <w:t xml:space="preserve">Documents reviewed:</w:t>
      </w:r>
    </w:p>
    <w:p>
      <w:pPr>
        <w:pStyle w:val="Compact"/>
        <w:numPr>
          <w:ilvl w:val="0"/>
          <w:numId w:val="1001"/>
        </w:numPr>
      </w:pPr>
      <w:r>
        <w:rPr>
          <w:b/>
          <w:bCs/>
        </w:rPr>
        <w:t xml:space="preserve">Phase I ESA</w:t>
      </w:r>
      <w:r>
        <w:t xml:space="preserve"> </w:t>
      </w:r>
      <w:r>
        <w:t xml:space="preserve">— Greenfield Environmental Consultants Inc. (</w:t>
      </w:r>
      <w:r>
        <w:t xml:space="preserve">“</w:t>
      </w:r>
      <w:r>
        <w:t xml:space="preserve">Greenfield</w:t>
      </w:r>
      <w:r>
        <w:t xml:space="preserve">”</w:t>
      </w:r>
      <w:r>
        <w:t xml:space="preserve">), Project No. GEC-2024-0347, prepared for Cornerstone Industrial Partners LLC with Great Lakes Capital Bank as authorized reliance party, dated October 25, 2024 (site reconnaissance October 2, 2024), conforming to ASTM E1527-21.</w:t>
      </w:r>
      <w:r>
        <w:t xml:space="preserve"> </w:t>
      </w:r>
      <w:r>
        <w:rPr>
          <w:i/>
          <w:iCs/>
        </w:rPr>
        <w:t xml:space="preserve">(phase-one-esa-report.docx)</w:t>
      </w:r>
    </w:p>
    <w:p>
      <w:pPr>
        <w:pStyle w:val="Compact"/>
        <w:numPr>
          <w:ilvl w:val="0"/>
          <w:numId w:val="1001"/>
        </w:numPr>
      </w:pPr>
      <w:r>
        <w:rPr>
          <w:b/>
          <w:bCs/>
        </w:rPr>
        <w:t xml:space="preserve">EDR Database Search Summary</w:t>
      </w:r>
      <w:r>
        <w:t xml:space="preserve"> </w:t>
      </w:r>
      <w:r>
        <w:t xml:space="preserve">— Environmental Data Resources, Inc., EDR Inquiry No. 6742891, dated September 15, 2024, prepared for Greenfield.</w:t>
      </w:r>
      <w:r>
        <w:t xml:space="preserve"> </w:t>
      </w:r>
      <w:r>
        <w:rPr>
          <w:i/>
          <w:iCs/>
        </w:rPr>
        <w:t xml:space="preserve">(edr-database-summary.xlsx)</w:t>
      </w:r>
    </w:p>
    <w:p>
      <w:pPr>
        <w:pStyle w:val="Compact"/>
        <w:numPr>
          <w:ilvl w:val="0"/>
          <w:numId w:val="1001"/>
        </w:numPr>
      </w:pPr>
      <w:r>
        <w:rPr>
          <w:b/>
          <w:bCs/>
        </w:rPr>
        <w:t xml:space="preserve">Ohio EPA Response</w:t>
      </w:r>
      <w:r>
        <w:t xml:space="preserve"> </w:t>
      </w:r>
      <w:r>
        <w:t xml:space="preserve">— Ohio EPA, Division of Environmental Response and Revitalization, Northwest District Office, File Ref. DERR-NW-2024-RR-0438, dated September 28, 2024.</w:t>
      </w:r>
      <w:r>
        <w:t xml:space="preserve"> </w:t>
      </w:r>
      <w:r>
        <w:rPr>
          <w:i/>
          <w:iCs/>
        </w:rPr>
        <w:t xml:space="preserve">(ohio-epa-response.docx)</w:t>
      </w:r>
    </w:p>
    <w:p>
      <w:pPr>
        <w:pStyle w:val="Compact"/>
        <w:numPr>
          <w:ilvl w:val="0"/>
          <w:numId w:val="1001"/>
        </w:numPr>
      </w:pPr>
      <w:r>
        <w:rPr>
          <w:b/>
          <w:bCs/>
        </w:rPr>
        <w:t xml:space="preserve">Lender Requirements Letter</w:t>
      </w:r>
      <w:r>
        <w:t xml:space="preserve"> </w:t>
      </w:r>
      <w:r>
        <w:t xml:space="preserve">— Great Lakes Capital Bank, dated September 10, 2024.</w:t>
      </w:r>
      <w:r>
        <w:t xml:space="preserve"> </w:t>
      </w:r>
      <w:r>
        <w:rPr>
          <w:i/>
          <w:iCs/>
        </w:rPr>
        <w:t xml:space="preserve">(lender-requirements-letter.docx)</w:t>
      </w:r>
    </w:p>
    <w:p>
      <w:pPr>
        <w:pStyle w:val="Compact"/>
        <w:numPr>
          <w:ilvl w:val="0"/>
          <w:numId w:val="1001"/>
        </w:numPr>
      </w:pPr>
      <w:r>
        <w:rPr>
          <w:b/>
          <w:bCs/>
        </w:rPr>
        <w:t xml:space="preserve">Purchase Agreement Excerpt</w:t>
      </w:r>
      <w:r>
        <w:t xml:space="preserve"> </w:t>
      </w:r>
      <w:r>
        <w:t xml:space="preserve">— Asset Purchase Agreement between Breckenridge Manufacturing Co. and Cornerstone Industrial Partners LLC, dated September 1, 2024 (Article I definitions; §§ 4.12–4.13; § 6.3; §§ 8.1–8.4; Schedule 4.13).</w:t>
      </w:r>
      <w:r>
        <w:t xml:space="preserve"> </w:t>
      </w:r>
      <w:r>
        <w:rPr>
          <w:i/>
          <w:iCs/>
        </w:rPr>
        <w:t xml:space="preserve">(purchase-agreement-excerpt.docx)</w:t>
      </w:r>
    </w:p>
    <w:p>
      <w:pPr>
        <w:pStyle w:val="FirstParagraph"/>
      </w:pPr>
      <w:r>
        <w:rPr>
          <w:b/>
          <w:bCs/>
        </w:rPr>
        <w:t xml:space="preserve">Scoping note (documents excluded).</w:t>
      </w:r>
      <w:r>
        <w:t xml:space="preserve"> </w:t>
      </w:r>
      <w:r>
        <w:t xml:space="preserve">The document set also contains three records pertaining to a</w:t>
      </w:r>
      <w:r>
        <w:t xml:space="preserve"> </w:t>
      </w:r>
      <w:r>
        <w:rPr>
          <w:i/>
          <w:iCs/>
        </w:rPr>
        <w:t xml:space="preserve">separate</w:t>
      </w:r>
      <w:r>
        <w:t xml:space="preserve"> </w:t>
      </w:r>
      <w:r>
        <w:t xml:space="preserve">Cornerstone transaction involving a different property at 2850 Millrace Road, Dayton, Ohio (seller Valtec Manufacturing Holdings Inc.; purchase price $4,200,000; counsel Bridgewell &amp; Hatch LLP; ASTM E1527-13; report dated April 2025): a Dayton Phase I ESA, a GeoSearch database summary, and a 2004 UST closure report. Those records do not relate to the Property that is the subject of the Purchase Agreement or the Lender Letter and are</w:t>
      </w:r>
      <w:r>
        <w:t xml:space="preserve"> </w:t>
      </w:r>
      <w:r>
        <w:rPr>
          <w:b/>
          <w:bCs/>
        </w:rPr>
        <w:t xml:space="preserve">out of scope</w:t>
      </w:r>
      <w:r>
        <w:t xml:space="preserve"> </w:t>
      </w:r>
      <w:r>
        <w:t xml:space="preserve">for this memorandum. They were reviewed only to confirm they concern a different matter.</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Phase I ESA identifies</w:t>
      </w:r>
      <w:r>
        <w:t xml:space="preserve"> </w:t>
      </w:r>
      <w:r>
        <w:rPr>
          <w:b/>
          <w:bCs/>
        </w:rPr>
        <w:t xml:space="preserve">two recognized environmental conditions (</w:t>
      </w:r>
      <w:r>
        <w:rPr>
          <w:b/>
          <w:bCs/>
        </w:rPr>
        <w:t xml:space="preserve">“</w:t>
      </w:r>
      <w:r>
        <w:rPr>
          <w:b/>
          <w:bCs/>
        </w:rPr>
        <w:t xml:space="preserve">RECs</w:t>
      </w:r>
      <w:r>
        <w:rPr>
          <w:b/>
          <w:bCs/>
        </w:rPr>
        <w:t xml:space="preserve">”</w:t>
      </w:r>
      <w:r>
        <w:rPr>
          <w:b/>
          <w:bCs/>
        </w:rPr>
        <w:t xml:space="preserve">)</w:t>
      </w:r>
      <w:r>
        <w:t xml:space="preserve"> </w:t>
      </w:r>
      <w:r>
        <w:t xml:space="preserve">— (1) former trichloroethylene (</w:t>
      </w:r>
      <w:r>
        <w:t xml:space="preserve">“</w:t>
      </w:r>
      <w:r>
        <w:t xml:space="preserve">TCE</w:t>
      </w:r>
      <w:r>
        <w:t xml:space="preserve">”</w:t>
      </w:r>
      <w:r>
        <w:t xml:space="preserve">) vapor degreasing operations together with an abandoned, leaking waste-TCE drum, and (2) former hexavalent chromium/nickel electroplating operations — and one historical recognized environmental condition (</w:t>
      </w:r>
      <w:r>
        <w:t xml:space="preserve">“</w:t>
      </w:r>
      <w:r>
        <w:t xml:space="preserve">HREC</w:t>
      </w:r>
      <w:r>
        <w:t xml:space="preserve">”</w:t>
      </w:r>
      <w:r>
        <w:t xml:space="preserve">) (a 500-gallon farmhouse heating oil UST). Both RECs are serious, long-duration contaminant sources (TCE degreasing for ~30 years; chromium electroplating for ~39 years) with documented physical evidence of release and, in the case of the electroplating operations, a documented 2003 Ohio EPA Notice of Violation (</w:t>
      </w:r>
      <w:r>
        <w:t xml:space="preserve">“</w:t>
      </w:r>
      <w:r>
        <w:t xml:space="preserve">NOV</w:t>
      </w:r>
      <w:r>
        <w:t xml:space="preserve">”</w:t>
      </w:r>
      <w:r>
        <w:t xml:space="preserve">) and a 39-year gap in hazardous-waste disposal records.</w:t>
      </w:r>
    </w:p>
    <w:p>
      <w:pPr>
        <w:pStyle w:val="BodyText"/>
      </w:pPr>
      <w:r>
        <w:t xml:space="preserve">The most significant finding of this review, however, is that the Phase I ESA</w:t>
      </w:r>
      <w:r>
        <w:t xml:space="preserve"> </w:t>
      </w:r>
      <w:r>
        <w:rPr>
          <w:b/>
          <w:bCs/>
        </w:rPr>
        <w:t xml:space="preserve">underclassifies or omits several material conditions</w:t>
      </w:r>
      <w:r>
        <w:t xml:space="preserve">, the most important of which is the</w:t>
      </w:r>
      <w:r>
        <w:t xml:space="preserve"> </w:t>
      </w:r>
      <w:r>
        <w:rPr>
          <w:b/>
          <w:bCs/>
        </w:rPr>
        <w:t xml:space="preserve">off-site tetrachloroethylene (</w:t>
      </w:r>
      <w:r>
        <w:rPr>
          <w:b/>
          <w:bCs/>
        </w:rPr>
        <w:t xml:space="preserve">“</w:t>
      </w:r>
      <w:r>
        <w:rPr>
          <w:b/>
          <w:bCs/>
        </w:rPr>
        <w:t xml:space="preserve">PCE</w:t>
      </w:r>
      <w:r>
        <w:rPr>
          <w:b/>
          <w:bCs/>
        </w:rPr>
        <w:t xml:space="preserve">”</w:t>
      </w:r>
      <w:r>
        <w:rPr>
          <w:b/>
          <w:bCs/>
        </w:rPr>
        <w:t xml:space="preserve">) groundwater plume</w:t>
      </w:r>
      <w:r>
        <w:t xml:space="preserve"> </w:t>
      </w:r>
      <w:r>
        <w:t xml:space="preserve">migrating onto the Property from the former Lake Erie Dry Cleaning facility immediately upgradient to the north. The Phase I’s own database review describes this plume as</w:t>
      </w:r>
      <w:r>
        <w:t xml:space="preserve"> </w:t>
      </w:r>
      <w:r>
        <w:t xml:space="preserve">“</w:t>
      </w:r>
      <w:r>
        <w:t xml:space="preserve">the most significant nearby listing</w:t>
      </w:r>
      <w:r>
        <w:t xml:space="preserve">”</w:t>
      </w:r>
      <w:r>
        <w:t xml:space="preserve"> </w:t>
      </w:r>
      <w:r>
        <w:t xml:space="preserve">migrating</w:t>
      </w:r>
      <w:r>
        <w:t xml:space="preserve"> </w:t>
      </w:r>
      <w:r>
        <w:t xml:space="preserve">“</w:t>
      </w:r>
      <w:r>
        <w:t xml:space="preserve">toward the Subject Property,</w:t>
      </w:r>
      <w:r>
        <w:t xml:space="preserve">”</w:t>
      </w:r>
      <w:r>
        <w:t xml:space="preserve"> </w:t>
      </w:r>
      <w:r>
        <w:t xml:space="preserve">with PCE at 87 µg/L (17.4× the Ohio standard of 5 µg/L) at a monitoring well 120 feet from the Property boundary, and confirms the Property lies within a designated Groundwater Management Zone — yet the Findings section of the report</w:t>
      </w:r>
      <w:r>
        <w:t xml:space="preserve"> </w:t>
      </w:r>
      <w:r>
        <w:rPr>
          <w:b/>
          <w:bCs/>
        </w:rPr>
        <w:t xml:space="preserve">does not classify the plume as a REC</w:t>
      </w:r>
      <w:r>
        <w:t xml:space="preserve">. This is a direct non-compliance with the Lender’s express mandatory requirement that off-site migrating plumes</w:t>
      </w:r>
      <w:r>
        <w:t xml:space="preserve"> </w:t>
      </w:r>
      <w:r>
        <w:t xml:space="preserve">“</w:t>
      </w:r>
      <w:r>
        <w:t xml:space="preserve">must be identified as recognized environmental conditions,</w:t>
      </w:r>
      <w:r>
        <w:t xml:space="preserve">”</w:t>
      </w:r>
      <w:r>
        <w:t xml:space="preserve"> </w:t>
      </w:r>
      <w:r>
        <w:t xml:space="preserve">and it jeopardizes both loan funding and the adequacy of the All Appropriate Inquiries (</w:t>
      </w:r>
      <w:r>
        <w:t xml:space="preserve">“</w:t>
      </w:r>
      <w:r>
        <w:t xml:space="preserve">AAI</w:t>
      </w:r>
      <w:r>
        <w:t xml:space="preserve">”</w:t>
      </w:r>
      <w:r>
        <w:t xml:space="preserve">) record.</w:t>
      </w:r>
    </w:p>
    <w:p>
      <w:pPr>
        <w:pStyle w:val="BodyText"/>
      </w:pPr>
      <w:r>
        <w:t xml:space="preserve">Additional conditions that the Phase I either omitted or underclassified include: a 2,000-gallon waste-solvent UST with no registration or closure records and unknown disposition; the former east-side outdoor drum-storage area (which corresponds to the location of the leaking chromium-bearing drums documented in the 2003 NOV); an unexplained monitoring well (</w:t>
      </w:r>
      <w:r>
        <w:t xml:space="preserve">“</w:t>
      </w:r>
      <w:r>
        <w:t xml:space="preserve">MW-1</w:t>
      </w:r>
      <w:r>
        <w:t xml:space="preserve">”</w:t>
      </w:r>
      <w:r>
        <w:t xml:space="preserve">); and vapor-intrusion risk from both the on-site TCE and the off-site PCE. The Phase I’s data-gap analysis and database review are also incomplete relative to the underlying EDR report.</w:t>
      </w:r>
    </w:p>
    <w:p>
      <w:pPr>
        <w:pStyle w:val="BodyText"/>
      </w:pPr>
      <w:r>
        <w:t xml:space="preserve">Cross-referencing the Phase I against the Purchase Agreement reveals that</w:t>
      </w:r>
      <w:r>
        <w:t xml:space="preserve"> </w:t>
      </w:r>
      <w:r>
        <w:rPr>
          <w:b/>
          <w:bCs/>
        </w:rPr>
        <w:t xml:space="preserve">multiple Seller representations appear to be breached or inaccurate</w:t>
      </w:r>
      <w:r>
        <w:t xml:space="preserve">, most notably the environmental-notice representation (§ 4.12(c)) — which discloses</w:t>
      </w:r>
      <w:r>
        <w:t xml:space="preserve"> </w:t>
      </w:r>
      <w:r>
        <w:t xml:space="preserve">“</w:t>
      </w:r>
      <w:r>
        <w:t xml:space="preserve">None</w:t>
      </w:r>
      <w:r>
        <w:t xml:space="preserve">”</w:t>
      </w:r>
      <w:r>
        <w:t xml:space="preserve"> </w:t>
      </w:r>
      <w:r>
        <w:t xml:space="preserve">on Schedule 4.12(c) despite the documented 2003 NOV and consent order — and the UST-list representation (§ 4.13(a) / Schedule 4.13), which omits two historical USTs. The Seller’s principal made statements to the environmental consultant that are contradicted by the documented record (the 1988 spill; the 2003 NOV addressed to him personally), giving rise to a potential fraud/intentional-misrepresentation theory that would pierce the indemnification basket, cap, and survival period. The indemnification cap of $1,750,000 (20% of the purchase price) is likely insufficient to cover the potential remediation costs, which is precisely the insufficiency the Lender Letter anticipates and refuses to rely upon.</w:t>
      </w:r>
    </w:p>
    <w:p>
      <w:pPr>
        <w:pStyle w:val="BodyText"/>
      </w:pPr>
      <w:r>
        <w:rPr>
          <w:b/>
          <w:bCs/>
        </w:rPr>
        <w:t xml:space="preserve">Bottom line:</w:t>
      </w:r>
      <w:r>
        <w:t xml:space="preserve"> </w:t>
      </w:r>
      <w:r>
        <w:t xml:space="preserve">The transaction can proceed only if (a) the Phase I is supplemented to classify the PCE plume and other omitted conditions as RECs; (b) a Phase II ESA with quantified remediation cost estimates, a PLL insurance policy (≥ $5,000,000), and (if triggered) an environmental escrow and remediation plan are delivered to the Lender by November 30, 2024; (c) a vapor-intrusion assessment is performed; and (d) the Seller-representation breaches and indemnification insufficiency are addressed through disclosure corrections, price/escrow adjustments, and/or insurance before the Environmental Due Diligence Period expires on October 31, 2024. Buyer’s environmental termination right under § 6.3(b) (the $500,000 remediation-cost threshold) must be evaluated and exercised or waived on or before October 31, 2024.</w:t>
      </w:r>
    </w:p>
    <w:p>
      <w:r>
        <w:pict>
          <v:rect style="width:0;height:1.5pt" o:hralign="center" o:hrstd="t" o:hr="t"/>
        </w:pict>
      </w:r>
    </w:p>
    <w:bookmarkEnd w:id="21"/>
    <w:bookmarkStart w:id="22" w:name="iii.-severity-rating-definitions"/>
    <w:p>
      <w:pPr>
        <w:pStyle w:val="Heading2"/>
      </w:pPr>
      <w:r>
        <w:t xml:space="preserve">III. Severity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Condition that, if unaddressed, is likely to prevent or should prevent closing, jeopardize loan funding, constitute a material breach exposing the parties to significant liability, or represent a material environmental/health risk requiring immediate action before closing.</w:t>
            </w:r>
          </w:p>
        </w:tc>
      </w:tr>
      <w:tr>
        <w:tc>
          <w:tcPr/>
          <w:p>
            <w:pPr>
              <w:pStyle w:val="Compact"/>
              <w:jc w:val="left"/>
            </w:pPr>
            <w:r>
              <w:rPr>
                <w:b/>
                <w:bCs/>
              </w:rPr>
              <w:t xml:space="preserve">High</w:t>
            </w:r>
          </w:p>
        </w:tc>
        <w:tc>
          <w:tcPr/>
          <w:p>
            <w:pPr>
              <w:pStyle w:val="Compact"/>
              <w:jc w:val="left"/>
            </w:pPr>
            <w:r>
              <w:t xml:space="preserve">Significant issue that materially affects the transaction — a confirmed or strongly suspected release requiring Phase II investigation and likely remediation, a likely breach of a material representation, or a substantial financial/defensive risk. Must be resolved or mitigated before closing.</w:t>
            </w:r>
          </w:p>
        </w:tc>
      </w:tr>
      <w:tr>
        <w:tc>
          <w:tcPr/>
          <w:p>
            <w:pPr>
              <w:pStyle w:val="Compact"/>
              <w:jc w:val="left"/>
            </w:pPr>
            <w:r>
              <w:rPr>
                <w:b/>
                <w:bCs/>
              </w:rPr>
              <w:t xml:space="preserve">Medium</w:t>
            </w:r>
          </w:p>
        </w:tc>
        <w:tc>
          <w:tcPr/>
          <w:p>
            <w:pPr>
              <w:pStyle w:val="Compact"/>
              <w:jc w:val="left"/>
            </w:pPr>
            <w:r>
              <w:t xml:space="preserve">Issue that should be addressed through follow-up investigation, contractual protection, disclosure correction, or post-closing attention, but is not, standing alone, deal-breaking.</w:t>
            </w:r>
          </w:p>
        </w:tc>
      </w:tr>
      <w:tr>
        <w:tc>
          <w:tcPr/>
          <w:p>
            <w:pPr>
              <w:pStyle w:val="Compact"/>
              <w:jc w:val="left"/>
            </w:pPr>
            <w:r>
              <w:rPr>
                <w:b/>
                <w:bCs/>
              </w:rPr>
              <w:t xml:space="preserve">Low</w:t>
            </w:r>
          </w:p>
        </w:tc>
        <w:tc>
          <w:tcPr/>
          <w:p>
            <w:pPr>
              <w:pStyle w:val="Compact"/>
              <w:jc w:val="left"/>
            </w:pPr>
            <w:r>
              <w:t xml:space="preserve">Minor issue, non-scope item, or documentation gap with limited impact; noted for the record and for post-closing management.</w:t>
            </w:r>
          </w:p>
        </w:tc>
      </w:tr>
    </w:tbl>
    <w:p>
      <w:r>
        <w:pict>
          <v:rect style="width:0;height:1.5pt" o:hralign="center" o:hrstd="t" o:hr="t"/>
        </w:pict>
      </w:r>
    </w:p>
    <w:bookmarkEnd w:id="22"/>
    <w:bookmarkStart w:id="23" w:name="iv.-summary-of-issues"/>
    <w:p>
      <w:pPr>
        <w:pStyle w:val="Heading2"/>
      </w:pPr>
      <w:r>
        <w:t xml:space="preserve">IV. Summary of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A-1</w:t>
            </w:r>
          </w:p>
        </w:tc>
        <w:tc>
          <w:tcPr/>
          <w:p>
            <w:pPr>
              <w:pStyle w:val="Compact"/>
              <w:jc w:val="left"/>
            </w:pPr>
            <w:r>
              <w:t xml:space="preserve">REC-1: Former TCE vapor degreasing operations and abandoned, leaking waste-TCE drum</w:t>
            </w:r>
          </w:p>
        </w:tc>
        <w:tc>
          <w:tcPr/>
          <w:p>
            <w:pPr>
              <w:pStyle w:val="Compact"/>
              <w:jc w:val="left"/>
            </w:pPr>
            <w:r>
              <w:t xml:space="preserve">On-site REC</w:t>
            </w:r>
          </w:p>
        </w:tc>
        <w:tc>
          <w:tcPr/>
          <w:p>
            <w:pPr>
              <w:pStyle w:val="Compact"/>
              <w:jc w:val="left"/>
            </w:pPr>
            <w:r>
              <w:t xml:space="preserve">High</w:t>
            </w:r>
          </w:p>
        </w:tc>
      </w:tr>
      <w:tr>
        <w:tc>
          <w:tcPr/>
          <w:p>
            <w:pPr>
              <w:pStyle w:val="Compact"/>
              <w:jc w:val="left"/>
            </w:pPr>
            <w:r>
              <w:t xml:space="preserve">A-2</w:t>
            </w:r>
          </w:p>
        </w:tc>
        <w:tc>
          <w:tcPr/>
          <w:p>
            <w:pPr>
              <w:pStyle w:val="Compact"/>
              <w:jc w:val="left"/>
            </w:pPr>
            <w:r>
              <w:t xml:space="preserve">REC-2: Former hexavalent chromium/nickel electroplating operations</w:t>
            </w:r>
          </w:p>
        </w:tc>
        <w:tc>
          <w:tcPr/>
          <w:p>
            <w:pPr>
              <w:pStyle w:val="Compact"/>
              <w:jc w:val="left"/>
            </w:pPr>
            <w:r>
              <w:t xml:space="preserve">On-site REC</w:t>
            </w:r>
          </w:p>
        </w:tc>
        <w:tc>
          <w:tcPr/>
          <w:p>
            <w:pPr>
              <w:pStyle w:val="Compact"/>
              <w:jc w:val="left"/>
            </w:pPr>
            <w:r>
              <w:t xml:space="preserve">High</w:t>
            </w:r>
          </w:p>
        </w:tc>
      </w:tr>
      <w:tr>
        <w:tc>
          <w:tcPr/>
          <w:p>
            <w:pPr>
              <w:pStyle w:val="Compact"/>
              <w:jc w:val="left"/>
            </w:pPr>
            <w:r>
              <w:t xml:space="preserve">B-1</w:t>
            </w:r>
          </w:p>
        </w:tc>
        <w:tc>
          <w:tcPr/>
          <w:p>
            <w:pPr>
              <w:pStyle w:val="Compact"/>
              <w:jc w:val="left"/>
            </w:pPr>
            <w:r>
              <w:t xml:space="preserve">Off-site PCE groundwater plume (Lake Erie Dry Cleaning) not classified as a REC; violates Lender’s mandatory requirement</w:t>
            </w:r>
          </w:p>
        </w:tc>
        <w:tc>
          <w:tcPr/>
          <w:p>
            <w:pPr>
              <w:pStyle w:val="Compact"/>
              <w:jc w:val="left"/>
            </w:pPr>
            <w:r>
              <w:t xml:space="preserve">Phase I gap / Lender</w:t>
            </w:r>
          </w:p>
        </w:tc>
        <w:tc>
          <w:tcPr/>
          <w:p>
            <w:pPr>
              <w:pStyle w:val="Compact"/>
              <w:jc w:val="left"/>
            </w:pPr>
            <w:r>
              <w:t xml:space="preserve">Critical</w:t>
            </w:r>
          </w:p>
        </w:tc>
      </w:tr>
      <w:tr>
        <w:tc>
          <w:tcPr/>
          <w:p>
            <w:pPr>
              <w:pStyle w:val="Compact"/>
              <w:jc w:val="left"/>
            </w:pPr>
            <w:r>
              <w:t xml:space="preserve">B-2</w:t>
            </w:r>
          </w:p>
        </w:tc>
        <w:tc>
          <w:tcPr/>
          <w:p>
            <w:pPr>
              <w:pStyle w:val="Compact"/>
              <w:jc w:val="left"/>
            </w:pPr>
            <w:r>
              <w:t xml:space="preserve">2,000-gallon waste-solvent UST not classified as a REC and not investigated</w:t>
            </w:r>
          </w:p>
        </w:tc>
        <w:tc>
          <w:tcPr/>
          <w:p>
            <w:pPr>
              <w:pStyle w:val="Compact"/>
              <w:jc w:val="left"/>
            </w:pPr>
            <w:r>
              <w:t xml:space="preserve">Phase I gap</w:t>
            </w:r>
          </w:p>
        </w:tc>
        <w:tc>
          <w:tcPr/>
          <w:p>
            <w:pPr>
              <w:pStyle w:val="Compact"/>
              <w:jc w:val="left"/>
            </w:pPr>
            <w:r>
              <w:t xml:space="preserve">High</w:t>
            </w:r>
          </w:p>
        </w:tc>
      </w:tr>
      <w:tr>
        <w:tc>
          <w:tcPr/>
          <w:p>
            <w:pPr>
              <w:pStyle w:val="Compact"/>
              <w:jc w:val="left"/>
            </w:pPr>
            <w:r>
              <w:t xml:space="preserve">B-3</w:t>
            </w:r>
          </w:p>
        </w:tc>
        <w:tc>
          <w:tcPr/>
          <w:p>
            <w:pPr>
              <w:pStyle w:val="Compact"/>
              <w:jc w:val="left"/>
            </w:pPr>
            <w:r>
              <w:t xml:space="preserve">Former east-side outdoor drum-storage area not classified as a REC (corresponds to 2003 NOV leaking chromium drums)</w:t>
            </w:r>
          </w:p>
        </w:tc>
        <w:tc>
          <w:tcPr/>
          <w:p>
            <w:pPr>
              <w:pStyle w:val="Compact"/>
              <w:jc w:val="left"/>
            </w:pPr>
            <w:r>
              <w:t xml:space="preserve">Phase I gap</w:t>
            </w:r>
          </w:p>
        </w:tc>
        <w:tc>
          <w:tcPr/>
          <w:p>
            <w:pPr>
              <w:pStyle w:val="Compact"/>
              <w:jc w:val="left"/>
            </w:pPr>
            <w:r>
              <w:t xml:space="preserve">High</w:t>
            </w:r>
          </w:p>
        </w:tc>
      </w:tr>
      <w:tr>
        <w:tc>
          <w:tcPr/>
          <w:p>
            <w:pPr>
              <w:pStyle w:val="Compact"/>
              <w:jc w:val="left"/>
            </w:pPr>
            <w:r>
              <w:t xml:space="preserve">B-4</w:t>
            </w:r>
          </w:p>
        </w:tc>
        <w:tc>
          <w:tcPr/>
          <w:p>
            <w:pPr>
              <w:pStyle w:val="Compact"/>
              <w:jc w:val="left"/>
            </w:pPr>
            <w:r>
              <w:t xml:space="preserve">500-gallon farmhouse heating-oil UST — HREC classification not supported</w:t>
            </w:r>
          </w:p>
        </w:tc>
        <w:tc>
          <w:tcPr/>
          <w:p>
            <w:pPr>
              <w:pStyle w:val="Compact"/>
              <w:jc w:val="left"/>
            </w:pPr>
            <w:r>
              <w:t xml:space="preserve">Phase I classification</w:t>
            </w:r>
          </w:p>
        </w:tc>
        <w:tc>
          <w:tcPr/>
          <w:p>
            <w:pPr>
              <w:pStyle w:val="Compact"/>
              <w:jc w:val="left"/>
            </w:pPr>
            <w:r>
              <w:t xml:space="preserve">Medium</w:t>
            </w:r>
          </w:p>
        </w:tc>
      </w:tr>
      <w:tr>
        <w:tc>
          <w:tcPr/>
          <w:p>
            <w:pPr>
              <w:pStyle w:val="Compact"/>
              <w:jc w:val="left"/>
            </w:pPr>
            <w:r>
              <w:t xml:space="preserve">B-5</w:t>
            </w:r>
          </w:p>
        </w:tc>
        <w:tc>
          <w:tcPr/>
          <w:p>
            <w:pPr>
              <w:pStyle w:val="Compact"/>
              <w:jc w:val="left"/>
            </w:pPr>
            <w:r>
              <w:t xml:space="preserve">Monitoring well</w:t>
            </w:r>
            <w:r>
              <w:t xml:space="preserve"> </w:t>
            </w:r>
            <w:r>
              <w:t xml:space="preserve">“</w:t>
            </w:r>
            <w:r>
              <w:t xml:space="preserve">MW-1</w:t>
            </w:r>
            <w:r>
              <w:t xml:space="preserve">”</w:t>
            </w:r>
            <w:r>
              <w:t xml:space="preserve"> </w:t>
            </w:r>
            <w:r>
              <w:t xml:space="preserve">of unknown origin — uninvestigated data gap</w:t>
            </w:r>
          </w:p>
        </w:tc>
        <w:tc>
          <w:tcPr/>
          <w:p>
            <w:pPr>
              <w:pStyle w:val="Compact"/>
              <w:jc w:val="left"/>
            </w:pPr>
            <w:r>
              <w:t xml:space="preserve">Phase I gap</w:t>
            </w:r>
          </w:p>
        </w:tc>
        <w:tc>
          <w:tcPr/>
          <w:p>
            <w:pPr>
              <w:pStyle w:val="Compact"/>
              <w:jc w:val="left"/>
            </w:pPr>
            <w:r>
              <w:t xml:space="preserve">Medium</w:t>
            </w:r>
          </w:p>
        </w:tc>
      </w:tr>
      <w:tr>
        <w:tc>
          <w:tcPr/>
          <w:p>
            <w:pPr>
              <w:pStyle w:val="Compact"/>
              <w:jc w:val="left"/>
            </w:pPr>
            <w:r>
              <w:t xml:space="preserve">B-6</w:t>
            </w:r>
          </w:p>
        </w:tc>
        <w:tc>
          <w:tcPr/>
          <w:p>
            <w:pPr>
              <w:pStyle w:val="Compact"/>
              <w:jc w:val="left"/>
            </w:pPr>
            <w:r>
              <w:t xml:space="preserve">Vapor intrusion not assessed for on-site TCE or off-site PCE</w:t>
            </w:r>
          </w:p>
        </w:tc>
        <w:tc>
          <w:tcPr/>
          <w:p>
            <w:pPr>
              <w:pStyle w:val="Compact"/>
              <w:jc w:val="left"/>
            </w:pPr>
            <w:r>
              <w:t xml:space="preserve">Phase I gap / Lender</w:t>
            </w:r>
          </w:p>
        </w:tc>
        <w:tc>
          <w:tcPr/>
          <w:p>
            <w:pPr>
              <w:pStyle w:val="Compact"/>
              <w:jc w:val="left"/>
            </w:pPr>
            <w:r>
              <w:t xml:space="preserve">High</w:t>
            </w:r>
          </w:p>
        </w:tc>
      </w:tr>
      <w:tr>
        <w:tc>
          <w:tcPr/>
          <w:p>
            <w:pPr>
              <w:pStyle w:val="Compact"/>
              <w:jc w:val="left"/>
            </w:pPr>
            <w:r>
              <w:t xml:space="preserve">B-7</w:t>
            </w:r>
          </w:p>
        </w:tc>
        <w:tc>
          <w:tcPr/>
          <w:p>
            <w:pPr>
              <w:pStyle w:val="Compact"/>
              <w:jc w:val="left"/>
            </w:pPr>
            <w:r>
              <w:t xml:space="preserve">Incomplete data-gap analysis (multiple omitted gaps)</w:t>
            </w:r>
          </w:p>
        </w:tc>
        <w:tc>
          <w:tcPr/>
          <w:p>
            <w:pPr>
              <w:pStyle w:val="Compact"/>
              <w:jc w:val="left"/>
            </w:pPr>
            <w:r>
              <w:t xml:space="preserve">Phase I gap</w:t>
            </w:r>
          </w:p>
        </w:tc>
        <w:tc>
          <w:tcPr/>
          <w:p>
            <w:pPr>
              <w:pStyle w:val="Compact"/>
              <w:jc w:val="left"/>
            </w:pPr>
            <w:r>
              <w:t xml:space="preserve">Medium</w:t>
            </w:r>
          </w:p>
        </w:tc>
      </w:tr>
      <w:tr>
        <w:tc>
          <w:tcPr/>
          <w:p>
            <w:pPr>
              <w:pStyle w:val="Compact"/>
              <w:jc w:val="left"/>
            </w:pPr>
            <w:r>
              <w:t xml:space="preserve">B-8</w:t>
            </w:r>
          </w:p>
        </w:tc>
        <w:tc>
          <w:tcPr/>
          <w:p>
            <w:pPr>
              <w:pStyle w:val="Compact"/>
              <w:jc w:val="left"/>
            </w:pPr>
            <w:r>
              <w:t xml:space="preserve">Incomplete database review — material nearby listings omitted</w:t>
            </w:r>
          </w:p>
        </w:tc>
        <w:tc>
          <w:tcPr/>
          <w:p>
            <w:pPr>
              <w:pStyle w:val="Compact"/>
              <w:jc w:val="left"/>
            </w:pPr>
            <w:r>
              <w:t xml:space="preserve">Phase I gap</w:t>
            </w:r>
          </w:p>
        </w:tc>
        <w:tc>
          <w:tcPr/>
          <w:p>
            <w:pPr>
              <w:pStyle w:val="Compact"/>
              <w:jc w:val="left"/>
            </w:pPr>
            <w:r>
              <w:t xml:space="preserve">Medium</w:t>
            </w:r>
          </w:p>
        </w:tc>
      </w:tr>
      <w:tr>
        <w:tc>
          <w:tcPr/>
          <w:p>
            <w:pPr>
              <w:pStyle w:val="Compact"/>
              <w:jc w:val="left"/>
            </w:pPr>
            <w:r>
              <w:t xml:space="preserve">B-9</w:t>
            </w:r>
          </w:p>
        </w:tc>
        <w:tc>
          <w:tcPr/>
          <w:p>
            <w:pPr>
              <w:pStyle w:val="Compact"/>
              <w:jc w:val="left"/>
            </w:pPr>
            <w:r>
              <w:t xml:space="preserve">Asbestos-containing materials / lead-based paint non-scope observations omitted</w:t>
            </w:r>
          </w:p>
        </w:tc>
        <w:tc>
          <w:tcPr/>
          <w:p>
            <w:pPr>
              <w:pStyle w:val="Compact"/>
              <w:jc w:val="left"/>
            </w:pPr>
            <w:r>
              <w:t xml:space="preserve">Non-scope</w:t>
            </w:r>
          </w:p>
        </w:tc>
        <w:tc>
          <w:tcPr/>
          <w:p>
            <w:pPr>
              <w:pStyle w:val="Compact"/>
              <w:jc w:val="left"/>
            </w:pPr>
            <w:r>
              <w:t xml:space="preserve">Low</w:t>
            </w:r>
          </w:p>
        </w:tc>
      </w:tr>
      <w:tr>
        <w:tc>
          <w:tcPr/>
          <w:p>
            <w:pPr>
              <w:pStyle w:val="Compact"/>
              <w:jc w:val="left"/>
            </w:pPr>
            <w:r>
              <w:t xml:space="preserve">C-1</w:t>
            </w:r>
          </w:p>
        </w:tc>
        <w:tc>
          <w:tcPr/>
          <w:p>
            <w:pPr>
              <w:pStyle w:val="Compact"/>
              <w:jc w:val="left"/>
            </w:pPr>
            <w:r>
              <w:t xml:space="preserve">RECs trigger cascade of mandatory Lender requirements (Phase II, PLL insurance, escrow, remediation plan) not yet satisfied</w:t>
            </w:r>
          </w:p>
        </w:tc>
        <w:tc>
          <w:tcPr/>
          <w:p>
            <w:pPr>
              <w:pStyle w:val="Compact"/>
              <w:jc w:val="left"/>
            </w:pPr>
            <w:r>
              <w:t xml:space="preserve">Lender</w:t>
            </w:r>
          </w:p>
        </w:tc>
        <w:tc>
          <w:tcPr/>
          <w:p>
            <w:pPr>
              <w:pStyle w:val="Compact"/>
              <w:jc w:val="left"/>
            </w:pPr>
            <w:r>
              <w:t xml:space="preserve">High</w:t>
            </w:r>
          </w:p>
        </w:tc>
      </w:tr>
      <w:tr>
        <w:tc>
          <w:tcPr/>
          <w:p>
            <w:pPr>
              <w:pStyle w:val="Compact"/>
              <w:jc w:val="left"/>
            </w:pPr>
            <w:r>
              <w:t xml:space="preserve">C-2</w:t>
            </w:r>
          </w:p>
        </w:tc>
        <w:tc>
          <w:tcPr/>
          <w:p>
            <w:pPr>
              <w:pStyle w:val="Compact"/>
              <w:jc w:val="left"/>
            </w:pPr>
            <w:r>
              <w:t xml:space="preserve">Unresolved data gaps may trigger Lender’s</w:t>
            </w:r>
            <w:r>
              <w:t xml:space="preserve"> </w:t>
            </w:r>
            <w:r>
              <w:t xml:space="preserve">“</w:t>
            </w:r>
            <w:r>
              <w:t xml:space="preserve">unacceptable environmental risk</w:t>
            </w:r>
            <w:r>
              <w:t xml:space="preserve">”</w:t>
            </w:r>
            <w:r>
              <w:t xml:space="preserve"> </w:t>
            </w:r>
            <w:r>
              <w:t xml:space="preserve">determination</w:t>
            </w:r>
          </w:p>
        </w:tc>
        <w:tc>
          <w:tcPr/>
          <w:p>
            <w:pPr>
              <w:pStyle w:val="Compact"/>
              <w:jc w:val="left"/>
            </w:pPr>
            <w:r>
              <w:t xml:space="preserve">Lender</w:t>
            </w:r>
          </w:p>
        </w:tc>
        <w:tc>
          <w:tcPr/>
          <w:p>
            <w:pPr>
              <w:pStyle w:val="Compact"/>
              <w:jc w:val="left"/>
            </w:pPr>
            <w:r>
              <w:t xml:space="preserve">Medium-High</w:t>
            </w:r>
          </w:p>
        </w:tc>
      </w:tr>
      <w:tr>
        <w:tc>
          <w:tcPr/>
          <w:p>
            <w:pPr>
              <w:pStyle w:val="Compact"/>
              <w:jc w:val="left"/>
            </w:pPr>
            <w:r>
              <w:t xml:space="preserve">C-3</w:t>
            </w:r>
          </w:p>
        </w:tc>
        <w:tc>
          <w:tcPr/>
          <w:p>
            <w:pPr>
              <w:pStyle w:val="Compact"/>
              <w:jc w:val="left"/>
            </w:pPr>
            <w:r>
              <w:t xml:space="preserve">Separate reliance letter to Lender — delivery unconfirmed</w:t>
            </w:r>
          </w:p>
        </w:tc>
        <w:tc>
          <w:tcPr/>
          <w:p>
            <w:pPr>
              <w:pStyle w:val="Compact"/>
              <w:jc w:val="left"/>
            </w:pPr>
            <w:r>
              <w:t xml:space="preserve">Lender</w:t>
            </w:r>
          </w:p>
        </w:tc>
        <w:tc>
          <w:tcPr/>
          <w:p>
            <w:pPr>
              <w:pStyle w:val="Compact"/>
              <w:jc w:val="left"/>
            </w:pPr>
            <w:r>
              <w:t xml:space="preserve">Low</w:t>
            </w:r>
          </w:p>
        </w:tc>
      </w:tr>
      <w:tr>
        <w:tc>
          <w:tcPr/>
          <w:p>
            <w:pPr>
              <w:pStyle w:val="Compact"/>
              <w:jc w:val="left"/>
            </w:pPr>
            <w:r>
              <w:t xml:space="preserve">C-4</w:t>
            </w:r>
          </w:p>
        </w:tc>
        <w:tc>
          <w:tcPr/>
          <w:p>
            <w:pPr>
              <w:pStyle w:val="Compact"/>
              <w:jc w:val="left"/>
            </w:pPr>
            <w:r>
              <w:t xml:space="preserve">Post-closing UST covenant — active 10,000-gal diesel UST</w:t>
            </w:r>
          </w:p>
        </w:tc>
        <w:tc>
          <w:tcPr/>
          <w:p>
            <w:pPr>
              <w:pStyle w:val="Compact"/>
              <w:jc w:val="left"/>
            </w:pPr>
            <w:r>
              <w:t xml:space="preserve">Lender</w:t>
            </w:r>
          </w:p>
        </w:tc>
        <w:tc>
          <w:tcPr/>
          <w:p>
            <w:pPr>
              <w:pStyle w:val="Compact"/>
              <w:jc w:val="left"/>
            </w:pPr>
            <w:r>
              <w:t xml:space="preserve">Low</w:t>
            </w:r>
          </w:p>
        </w:tc>
      </w:tr>
      <w:tr>
        <w:tc>
          <w:tcPr/>
          <w:p>
            <w:pPr>
              <w:pStyle w:val="Compact"/>
              <w:jc w:val="left"/>
            </w:pPr>
            <w:r>
              <w:t xml:space="preserve">D-1</w:t>
            </w:r>
          </w:p>
        </w:tc>
        <w:tc>
          <w:tcPr/>
          <w:p>
            <w:pPr>
              <w:pStyle w:val="Compact"/>
              <w:jc w:val="left"/>
            </w:pPr>
            <w:r>
              <w:t xml:space="preserve">§ 4.12(a) environmental representation — potentially breached (documented releases)</w:t>
            </w:r>
          </w:p>
        </w:tc>
        <w:tc>
          <w:tcPr/>
          <w:p>
            <w:pPr>
              <w:pStyle w:val="Compact"/>
              <w:jc w:val="left"/>
            </w:pPr>
            <w:r>
              <w:t xml:space="preserve">Purchase Agreement</w:t>
            </w:r>
          </w:p>
        </w:tc>
        <w:tc>
          <w:tcPr/>
          <w:p>
            <w:pPr>
              <w:pStyle w:val="Compact"/>
              <w:jc w:val="left"/>
            </w:pPr>
            <w:r>
              <w:t xml:space="preserve">High</w:t>
            </w:r>
          </w:p>
        </w:tc>
      </w:tr>
      <w:tr>
        <w:tc>
          <w:tcPr/>
          <w:p>
            <w:pPr>
              <w:pStyle w:val="Compact"/>
              <w:jc w:val="left"/>
            </w:pPr>
            <w:r>
              <w:t xml:space="preserve">D-2</w:t>
            </w:r>
          </w:p>
        </w:tc>
        <w:tc>
          <w:tcPr/>
          <w:p>
            <w:pPr>
              <w:pStyle w:val="Compact"/>
              <w:jc w:val="left"/>
            </w:pPr>
            <w:r>
              <w:t xml:space="preserve">§ 4.12(b) compliance representation — potentially breached (2003 NOV; 39-yr manifest gap)</w:t>
            </w:r>
          </w:p>
        </w:tc>
        <w:tc>
          <w:tcPr/>
          <w:p>
            <w:pPr>
              <w:pStyle w:val="Compact"/>
              <w:jc w:val="left"/>
            </w:pPr>
            <w:r>
              <w:t xml:space="preserve">Purchase Agreement</w:t>
            </w:r>
          </w:p>
        </w:tc>
        <w:tc>
          <w:tcPr/>
          <w:p>
            <w:pPr>
              <w:pStyle w:val="Compact"/>
              <w:jc w:val="left"/>
            </w:pPr>
            <w:r>
              <w:t xml:space="preserve">High</w:t>
            </w:r>
          </w:p>
        </w:tc>
      </w:tr>
      <w:tr>
        <w:tc>
          <w:tcPr/>
          <w:p>
            <w:pPr>
              <w:pStyle w:val="Compact"/>
              <w:jc w:val="left"/>
            </w:pPr>
            <w:r>
              <w:t xml:space="preserve">D-3</w:t>
            </w:r>
          </w:p>
        </w:tc>
        <w:tc>
          <w:tcPr/>
          <w:p>
            <w:pPr>
              <w:pStyle w:val="Compact"/>
              <w:jc w:val="left"/>
            </w:pPr>
            <w:r>
              <w:t xml:space="preserve">§ 4.12(c) environmental-notice representation — breached (2003 NOV/consent order undisclosed)</w:t>
            </w:r>
          </w:p>
        </w:tc>
        <w:tc>
          <w:tcPr/>
          <w:p>
            <w:pPr>
              <w:pStyle w:val="Compact"/>
              <w:jc w:val="left"/>
            </w:pPr>
            <w:r>
              <w:t xml:space="preserve">Purchase Agreement</w:t>
            </w:r>
          </w:p>
        </w:tc>
        <w:tc>
          <w:tcPr/>
          <w:p>
            <w:pPr>
              <w:pStyle w:val="Compact"/>
              <w:jc w:val="left"/>
            </w:pPr>
            <w:r>
              <w:t xml:space="preserve">High</w:t>
            </w:r>
          </w:p>
        </w:tc>
      </w:tr>
      <w:tr>
        <w:tc>
          <w:tcPr/>
          <w:p>
            <w:pPr>
              <w:pStyle w:val="Compact"/>
              <w:jc w:val="left"/>
            </w:pPr>
            <w:r>
              <w:t xml:space="preserve">D-4</w:t>
            </w:r>
          </w:p>
        </w:tc>
        <w:tc>
          <w:tcPr/>
          <w:p>
            <w:pPr>
              <w:pStyle w:val="Compact"/>
              <w:jc w:val="left"/>
            </w:pPr>
            <w:r>
              <w:t xml:space="preserve">§ 4.12(d) document-delivery representation — potentially breached (records withheld)</w:t>
            </w:r>
          </w:p>
        </w:tc>
        <w:tc>
          <w:tcPr/>
          <w:p>
            <w:pPr>
              <w:pStyle w:val="Compact"/>
              <w:jc w:val="left"/>
            </w:pPr>
            <w:r>
              <w:t xml:space="preserve">Purchase Agreement</w:t>
            </w:r>
          </w:p>
        </w:tc>
        <w:tc>
          <w:tcPr/>
          <w:p>
            <w:pPr>
              <w:pStyle w:val="Compact"/>
              <w:jc w:val="left"/>
            </w:pPr>
            <w:r>
              <w:t xml:space="preserve">Medium-High</w:t>
            </w:r>
          </w:p>
        </w:tc>
      </w:tr>
      <w:tr>
        <w:tc>
          <w:tcPr/>
          <w:p>
            <w:pPr>
              <w:pStyle w:val="Compact"/>
              <w:jc w:val="left"/>
            </w:pPr>
            <w:r>
              <w:t xml:space="preserve">D-5</w:t>
            </w:r>
          </w:p>
        </w:tc>
        <w:tc>
          <w:tcPr/>
          <w:p>
            <w:pPr>
              <w:pStyle w:val="Compact"/>
              <w:jc w:val="left"/>
            </w:pPr>
            <w:r>
              <w:t xml:space="preserve">§ 4.13(a) UST-list representation — breached (Schedule 4.13 omits two USTs)</w:t>
            </w:r>
          </w:p>
        </w:tc>
        <w:tc>
          <w:tcPr/>
          <w:p>
            <w:pPr>
              <w:pStyle w:val="Compact"/>
              <w:jc w:val="left"/>
            </w:pPr>
            <w:r>
              <w:t xml:space="preserve">Purchase Agreement</w:t>
            </w:r>
          </w:p>
        </w:tc>
        <w:tc>
          <w:tcPr/>
          <w:p>
            <w:pPr>
              <w:pStyle w:val="Compact"/>
              <w:jc w:val="left"/>
            </w:pPr>
            <w:r>
              <w:t xml:space="preserve">High</w:t>
            </w:r>
          </w:p>
        </w:tc>
      </w:tr>
      <w:tr>
        <w:tc>
          <w:tcPr/>
          <w:p>
            <w:pPr>
              <w:pStyle w:val="Compact"/>
              <w:jc w:val="left"/>
            </w:pPr>
            <w:r>
              <w:t xml:space="preserve">D-6</w:t>
            </w:r>
          </w:p>
        </w:tc>
        <w:tc>
          <w:tcPr/>
          <w:p>
            <w:pPr>
              <w:pStyle w:val="Compact"/>
              <w:jc w:val="left"/>
            </w:pPr>
            <w:r>
              <w:t xml:space="preserve">Indemnification cap ($1.75M) likely insufficient vs. potential remediation costs</w:t>
            </w:r>
          </w:p>
        </w:tc>
        <w:tc>
          <w:tcPr/>
          <w:p>
            <w:pPr>
              <w:pStyle w:val="Compact"/>
              <w:jc w:val="left"/>
            </w:pPr>
            <w:r>
              <w:t xml:space="preserve">Purchase Agreement</w:t>
            </w:r>
          </w:p>
        </w:tc>
        <w:tc>
          <w:tcPr/>
          <w:p>
            <w:pPr>
              <w:pStyle w:val="Compact"/>
              <w:jc w:val="left"/>
            </w:pPr>
            <w:r>
              <w:t xml:space="preserve">High</w:t>
            </w:r>
          </w:p>
        </w:tc>
      </w:tr>
      <w:tr>
        <w:tc>
          <w:tcPr/>
          <w:p>
            <w:pPr>
              <w:pStyle w:val="Compact"/>
              <w:jc w:val="left"/>
            </w:pPr>
            <w:r>
              <w:t xml:space="preserve">D-7</w:t>
            </w:r>
          </w:p>
        </w:tc>
        <w:tc>
          <w:tcPr/>
          <w:p>
            <w:pPr>
              <w:pStyle w:val="Compact"/>
              <w:jc w:val="left"/>
            </w:pPr>
            <w:r>
              <w:t xml:space="preserve">3-year survival period may be inadequate for latent environmental claims</w:t>
            </w:r>
          </w:p>
        </w:tc>
        <w:tc>
          <w:tcPr/>
          <w:p>
            <w:pPr>
              <w:pStyle w:val="Compact"/>
              <w:jc w:val="left"/>
            </w:pPr>
            <w:r>
              <w:t xml:space="preserve">Purchase Agreement</w:t>
            </w:r>
          </w:p>
        </w:tc>
        <w:tc>
          <w:tcPr/>
          <w:p>
            <w:pPr>
              <w:pStyle w:val="Compact"/>
              <w:jc w:val="left"/>
            </w:pPr>
            <w:r>
              <w:t xml:space="preserve">Medium-High</w:t>
            </w:r>
          </w:p>
        </w:tc>
      </w:tr>
      <w:tr>
        <w:tc>
          <w:tcPr/>
          <w:p>
            <w:pPr>
              <w:pStyle w:val="Compact"/>
              <w:jc w:val="left"/>
            </w:pPr>
            <w:r>
              <w:t xml:space="preserve">D-8</w:t>
            </w:r>
          </w:p>
        </w:tc>
        <w:tc>
          <w:tcPr/>
          <w:p>
            <w:pPr>
              <w:pStyle w:val="Compact"/>
              <w:jc w:val="left"/>
            </w:pPr>
            <w:r>
              <w:t xml:space="preserve">Potential fraud / intentional misrepresentation — Seller’s denials contradicted by record</w:t>
            </w:r>
          </w:p>
        </w:tc>
        <w:tc>
          <w:tcPr/>
          <w:p>
            <w:pPr>
              <w:pStyle w:val="Compact"/>
              <w:jc w:val="left"/>
            </w:pPr>
            <w:r>
              <w:t xml:space="preserve">Purchase Agreement</w:t>
            </w:r>
          </w:p>
        </w:tc>
        <w:tc>
          <w:tcPr/>
          <w:p>
            <w:pPr>
              <w:pStyle w:val="Compact"/>
              <w:jc w:val="left"/>
            </w:pPr>
            <w:r>
              <w:t xml:space="preserve">High</w:t>
            </w:r>
          </w:p>
        </w:tc>
      </w:tr>
      <w:tr>
        <w:tc>
          <w:tcPr/>
          <w:p>
            <w:pPr>
              <w:pStyle w:val="Compact"/>
              <w:jc w:val="left"/>
            </w:pPr>
            <w:r>
              <w:t xml:space="preserve">D-9</w:t>
            </w:r>
          </w:p>
        </w:tc>
        <w:tc>
          <w:tcPr/>
          <w:p>
            <w:pPr>
              <w:pStyle w:val="Compact"/>
              <w:jc w:val="left"/>
            </w:pPr>
            <w:r>
              <w:t xml:space="preserve">$500,000 termination threshold (§ 6.3(b)) — Buyer decision required by Oct. 31, 2024</w:t>
            </w:r>
          </w:p>
        </w:tc>
        <w:tc>
          <w:tcPr/>
          <w:p>
            <w:pPr>
              <w:pStyle w:val="Compact"/>
              <w:jc w:val="left"/>
            </w:pPr>
            <w:r>
              <w:t xml:space="preserve">Purchase Agreement</w:t>
            </w:r>
          </w:p>
        </w:tc>
        <w:tc>
          <w:tcPr/>
          <w:p>
            <w:pPr>
              <w:pStyle w:val="Compact"/>
              <w:jc w:val="left"/>
            </w:pPr>
            <w:r>
              <w:t xml:space="preserve">High</w:t>
            </w:r>
          </w:p>
        </w:tc>
      </w:tr>
      <w:tr>
        <w:tc>
          <w:tcPr/>
          <w:p>
            <w:pPr>
              <w:pStyle w:val="Compact"/>
              <w:jc w:val="left"/>
            </w:pPr>
            <w:r>
              <w:t xml:space="preserve">D-10</w:t>
            </w:r>
          </w:p>
        </w:tc>
        <w:tc>
          <w:tcPr/>
          <w:p>
            <w:pPr>
              <w:pStyle w:val="Compact"/>
              <w:jc w:val="left"/>
            </w:pPr>
            <w:r>
              <w:t xml:space="preserve">Due-diligence timing risk (Phase I delivered 6 days before deadline)</w:t>
            </w:r>
          </w:p>
        </w:tc>
        <w:tc>
          <w:tcPr/>
          <w:p>
            <w:pPr>
              <w:pStyle w:val="Compact"/>
              <w:jc w:val="left"/>
            </w:pPr>
            <w:r>
              <w:t xml:space="preserve">Purchase Agreement</w:t>
            </w:r>
          </w:p>
        </w:tc>
        <w:tc>
          <w:tcPr/>
          <w:p>
            <w:pPr>
              <w:pStyle w:val="Compact"/>
              <w:jc w:val="left"/>
            </w:pPr>
            <w:r>
              <w:t xml:space="preserve">Medium</w:t>
            </w:r>
          </w:p>
        </w:tc>
      </w:tr>
      <w:tr>
        <w:tc>
          <w:tcPr/>
          <w:p>
            <w:pPr>
              <w:pStyle w:val="Compact"/>
              <w:jc w:val="left"/>
            </w:pPr>
            <w:r>
              <w:t xml:space="preserve">E-1</w:t>
            </w:r>
          </w:p>
        </w:tc>
        <w:tc>
          <w:tcPr/>
          <w:p>
            <w:pPr>
              <w:pStyle w:val="Compact"/>
              <w:jc w:val="left"/>
            </w:pPr>
            <w:r>
              <w:t xml:space="preserve">AAI completeness at risk — could jeopardize CERCLA defenses for Buyer and Lender</w:t>
            </w:r>
          </w:p>
        </w:tc>
        <w:tc>
          <w:tcPr/>
          <w:p>
            <w:pPr>
              <w:pStyle w:val="Compact"/>
              <w:jc w:val="left"/>
            </w:pPr>
            <w:r>
              <w:t xml:space="preserve">AAI / CERCLA</w:t>
            </w:r>
          </w:p>
        </w:tc>
        <w:tc>
          <w:tcPr/>
          <w:p>
            <w:pPr>
              <w:pStyle w:val="Compact"/>
              <w:jc w:val="left"/>
            </w:pPr>
            <w:r>
              <w:t xml:space="preserve">Medium-High</w:t>
            </w:r>
          </w:p>
        </w:tc>
      </w:tr>
      <w:tr>
        <w:tc>
          <w:tcPr/>
          <w:p>
            <w:pPr>
              <w:pStyle w:val="Compact"/>
              <w:jc w:val="left"/>
            </w:pPr>
            <w:r>
              <w:t xml:space="preserve">F-1</w:t>
            </w:r>
          </w:p>
        </w:tc>
        <w:tc>
          <w:tcPr/>
          <w:p>
            <w:pPr>
              <w:pStyle w:val="Compact"/>
              <w:jc w:val="left"/>
            </w:pPr>
            <w:r>
              <w:t xml:space="preserve">Groundwater Management Zone — potential land-use restrictions</w:t>
            </w:r>
          </w:p>
        </w:tc>
        <w:tc>
          <w:tcPr/>
          <w:p>
            <w:pPr>
              <w:pStyle w:val="Compact"/>
              <w:jc w:val="left"/>
            </w:pPr>
            <w:r>
              <w:t xml:space="preserve">Business risk</w:t>
            </w:r>
          </w:p>
        </w:tc>
        <w:tc>
          <w:tcPr/>
          <w:p>
            <w:pPr>
              <w:pStyle w:val="Compact"/>
              <w:jc w:val="left"/>
            </w:pPr>
            <w:r>
              <w:t xml:space="preserve">Medium</w:t>
            </w:r>
          </w:p>
        </w:tc>
      </w:tr>
      <w:tr>
        <w:tc>
          <w:tcPr/>
          <w:p>
            <w:pPr>
              <w:pStyle w:val="Compact"/>
              <w:jc w:val="left"/>
            </w:pPr>
            <w:r>
              <w:t xml:space="preserve">F-2</w:t>
            </w:r>
          </w:p>
        </w:tc>
        <w:tc>
          <w:tcPr/>
          <w:p>
            <w:pPr>
              <w:pStyle w:val="Compact"/>
              <w:jc w:val="left"/>
            </w:pPr>
            <w:r>
              <w:t xml:space="preserve">Reliance on Seller’s statements — credibility concerns</w:t>
            </w:r>
          </w:p>
        </w:tc>
        <w:tc>
          <w:tcPr/>
          <w:p>
            <w:pPr>
              <w:pStyle w:val="Compact"/>
              <w:jc w:val="left"/>
            </w:pPr>
            <w:r>
              <w:t xml:space="preserve">Business risk</w:t>
            </w:r>
          </w:p>
        </w:tc>
        <w:tc>
          <w:tcPr/>
          <w:p>
            <w:pPr>
              <w:pStyle w:val="Compact"/>
              <w:jc w:val="left"/>
            </w:pPr>
            <w:r>
              <w:t xml:space="preserve">Medium</w:t>
            </w:r>
          </w:p>
        </w:tc>
      </w:tr>
      <w:tr>
        <w:tc>
          <w:tcPr/>
          <w:p>
            <w:pPr>
              <w:pStyle w:val="Compact"/>
              <w:jc w:val="left"/>
            </w:pPr>
            <w:r>
              <w:t xml:space="preserve">F-3</w:t>
            </w:r>
          </w:p>
        </w:tc>
        <w:tc>
          <w:tcPr/>
          <w:p>
            <w:pPr>
              <w:pStyle w:val="Compact"/>
              <w:jc w:val="left"/>
            </w:pPr>
            <w:r>
              <w:t xml:space="preserve">Active 10,000-gallon diesel UST — age and post-closing obligations</w:t>
            </w:r>
          </w:p>
        </w:tc>
        <w:tc>
          <w:tcPr/>
          <w:p>
            <w:pPr>
              <w:pStyle w:val="Compact"/>
              <w:jc w:val="left"/>
            </w:pPr>
            <w:r>
              <w:t xml:space="preserve">Business risk</w:t>
            </w:r>
          </w:p>
        </w:tc>
        <w:tc>
          <w:tcPr/>
          <w:p>
            <w:pPr>
              <w:pStyle w:val="Compact"/>
              <w:jc w:val="left"/>
            </w:pPr>
            <w:r>
              <w:t xml:space="preserve">Low</w:t>
            </w:r>
          </w:p>
        </w:tc>
      </w:tr>
    </w:tbl>
    <w:p>
      <w:r>
        <w:pict>
          <v:rect style="width:0;height:1.5pt" o:hralign="center" o:hrstd="t" o:hr="t"/>
        </w:pict>
      </w:r>
    </w:p>
    <w:bookmarkEnd w:id="23"/>
    <w:bookmarkStart w:id="59" w:name="v.-detailed-discussion-of-issues"/>
    <w:p>
      <w:pPr>
        <w:pStyle w:val="Heading2"/>
      </w:pPr>
      <w:r>
        <w:t xml:space="preserve">V. Detailed Discussion of Issues</w:t>
      </w:r>
    </w:p>
    <w:bookmarkStart w:id="26" w:name="Xd200a50a6829c1b45e942e20ad9778430e1e4df"/>
    <w:p>
      <w:pPr>
        <w:pStyle w:val="Heading3"/>
      </w:pPr>
      <w:r>
        <w:t xml:space="preserve">A. Recognized Environmental Conditions (On-Site)</w:t>
      </w:r>
    </w:p>
    <w:bookmarkStart w:id="24" w:name="X14afe75d2e5b46be304c528fc42afd53d5b14e9"/>
    <w:p>
      <w:pPr>
        <w:pStyle w:val="Heading4"/>
      </w:pPr>
      <w:r>
        <w:t xml:space="preserve">A-1. REC-1 — Former TCE Vapor Degreasing Operations and Abandoned Waste-TCE Drum —</w:t>
      </w:r>
      <w:r>
        <w:t xml:space="preserve"> </w:t>
      </w:r>
      <w:r>
        <w:rPr>
          <w:b/>
          <w:bCs/>
        </w:rPr>
        <w:t xml:space="preserve">High</w:t>
      </w:r>
    </w:p>
    <w:p>
      <w:pPr>
        <w:pStyle w:val="FirstParagraph"/>
      </w:pPr>
      <w:r>
        <w:rPr>
          <w:b/>
          <w:bCs/>
        </w:rPr>
        <w:t xml:space="preserve">Identification.</w:t>
      </w:r>
      <w:r>
        <w:t xml:space="preserve"> </w:t>
      </w:r>
      <w:r>
        <w:t xml:space="preserve">TCE was used as a vapor-degreasing solvent in the northwest corner of the main manufacturing building from 1961 through approximately 1992 (Phase I ESA §1.0, §5.3, §6.3.1, §9.1). The former degreasing area exhibits dark floor staining and a photoionization-detector (</w:t>
      </w:r>
      <w:r>
        <w:t xml:space="preserve">“</w:t>
      </w:r>
      <w:r>
        <w:t xml:space="preserve">PID</w:t>
      </w:r>
      <w:r>
        <w:t xml:space="preserve">”</w:t>
      </w:r>
      <w:r>
        <w:t xml:space="preserve">) reading of</w:t>
      </w:r>
      <w:r>
        <w:t xml:space="preserve"> </w:t>
      </w:r>
      <w:r>
        <w:rPr>
          <w:b/>
          <w:bCs/>
        </w:rPr>
        <w:t xml:space="preserve">42.3 ppm</w:t>
      </w:r>
      <w:r>
        <w:t xml:space="preserve"> </w:t>
      </w:r>
      <w:r>
        <w:t xml:space="preserve">at a floor-slab crack (background &lt; 0.5 ppm), indicating residual VOC vapors emanating from beneath the slab (Phase I ESA §6.3.1). No closure, decommissioning, or confirmation-sampling documentation for the degreasing area was located (Phase I ESA §6.3.1, §7.1). An abandoned 55-gallon drum labeled</w:t>
      </w:r>
      <w:r>
        <w:t xml:space="preserve"> </w:t>
      </w:r>
      <w:r>
        <w:rPr>
          <w:b/>
          <w:bCs/>
        </w:rPr>
        <w:t xml:space="preserve">“</w:t>
      </w:r>
      <w:r>
        <w:rPr>
          <w:b/>
          <w:bCs/>
        </w:rPr>
        <w:t xml:space="preserve">WASTE TRICHLOROETHYLENE</w:t>
      </w:r>
      <w:r>
        <w:rPr>
          <w:b/>
          <w:bCs/>
        </w:rPr>
        <w:t xml:space="preserve">”</w:t>
      </w:r>
      <w:r>
        <w:t xml:space="preserve"> </w:t>
      </w:r>
      <w:r>
        <w:t xml:space="preserve">was observed behind the maintenance/utility building, approximately half full, with a rusted bottom and evidence of past leakage, over stained soil approximately 3 ft × 3 ft (Phase I ESA §6.2.3). A</w:t>
      </w:r>
      <w:r>
        <w:t xml:space="preserve"> </w:t>
      </w:r>
      <w:r>
        <w:rPr>
          <w:b/>
          <w:bCs/>
        </w:rPr>
        <w:t xml:space="preserve">March 14, 1988</w:t>
      </w:r>
      <w:r>
        <w:t xml:space="preserve"> </w:t>
      </w:r>
      <w:r>
        <w:t xml:space="preserve">Toledo Fire Department incident report documents a</w:t>
      </w:r>
      <w:r>
        <w:t xml:space="preserve"> </w:t>
      </w:r>
      <w:r>
        <w:t xml:space="preserve">“</w:t>
      </w:r>
      <w:r>
        <w:t xml:space="preserve">chemical spill</w:t>
      </w:r>
      <w:r>
        <w:t xml:space="preserve">”</w:t>
      </w:r>
      <w:r>
        <w:t xml:space="preserve"> </w:t>
      </w:r>
      <w:r>
        <w:t xml:space="preserve">of</w:t>
      </w:r>
      <w:r>
        <w:t xml:space="preserve"> </w:t>
      </w:r>
      <w:r>
        <w:t xml:space="preserve">“</w:t>
      </w:r>
      <w:r>
        <w:t xml:space="preserve">unknown quantity of degreasing solvent</w:t>
      </w:r>
      <w:r>
        <w:t xml:space="preserve">”</w:t>
      </w:r>
      <w:r>
        <w:t xml:space="preserve"> </w:t>
      </w:r>
      <w:r>
        <w:t xml:space="preserve">from an overturned drum, cleaned up by Seller’s employees with no follow-up inspection (Phase I ESA §5.1.2, §7.2).</w:t>
      </w:r>
    </w:p>
    <w:p>
      <w:pPr>
        <w:pStyle w:val="BodyText"/>
      </w:pPr>
      <w:r>
        <w:rPr>
          <w:b/>
          <w:bCs/>
        </w:rPr>
        <w:t xml:space="preserve">Why it matters.</w:t>
      </w:r>
      <w:r>
        <w:t xml:space="preserve"> </w:t>
      </w:r>
      <w:r>
        <w:t xml:space="preserve">TCE is a probable human carcinogen, is highly mobile in groundwater, and is a leading driver of vapor-intrusion risk. The combination of 30+ years of use, an elevated PID reading beneath an occupied/occupiable building, an actively leaking waste drum with stained soil, a documented 1988 spill, and the absence of any closure documentation indicates a likely release of chlorinated solvents to soil and potentially groundwater. This is a confirmed REC requiring Phase II subsurface investigation (soil borings, monitoring wells, VOC analysis) as the Phase I recommends (Phase I ESA §9.6).</w:t>
      </w:r>
    </w:p>
    <w:p>
      <w:pPr>
        <w:pStyle w:val="BodyText"/>
      </w:pPr>
      <w:r>
        <w:rPr>
          <w:b/>
          <w:bCs/>
        </w:rPr>
        <w:t xml:space="preserve">Recommendation.</w:t>
      </w:r>
      <w:r>
        <w:t xml:space="preserve"> </w:t>
      </w:r>
      <w:r>
        <w:t xml:space="preserve">Commission a Phase II ESA (ASTM E1903-19) for the former degreasing area and the drum location, including soil and groundwater VOC analysis (TCE and degradation products cis-1,2-DCE and VC) and a vapor-intrusion assessment (see B-6). Quantify remediation cost estimates (best/most-likely/worst-case) for the Lender (see C-1).</w:t>
      </w:r>
    </w:p>
    <w:bookmarkEnd w:id="24"/>
    <w:bookmarkStart w:id="25" w:name="Xe3f946d95375234ca4274e7548debf5f4210c9e"/>
    <w:p>
      <w:pPr>
        <w:pStyle w:val="Heading4"/>
      </w:pPr>
      <w:r>
        <w:t xml:space="preserve">A-2. REC-2 — Former Hexavalent Chromium/Nickel Electroplating Operations —</w:t>
      </w:r>
      <w:r>
        <w:t xml:space="preserve"> </w:t>
      </w:r>
      <w:r>
        <w:rPr>
          <w:b/>
          <w:bCs/>
        </w:rPr>
        <w:t xml:space="preserve">High</w:t>
      </w:r>
    </w:p>
    <w:p>
      <w:pPr>
        <w:pStyle w:val="FirstParagraph"/>
      </w:pPr>
      <w:r>
        <w:rPr>
          <w:b/>
          <w:bCs/>
        </w:rPr>
        <w:t xml:space="preserve">Identification.</w:t>
      </w:r>
      <w:r>
        <w:t xml:space="preserve"> </w:t>
      </w:r>
      <w:r>
        <w:t xml:space="preserve">Electroplating using hexavalent chromium and nickel was conducted in the south wing of the main building from</w:t>
      </w:r>
      <w:r>
        <w:t xml:space="preserve"> </w:t>
      </w:r>
      <w:r>
        <w:rPr>
          <w:b/>
          <w:bCs/>
        </w:rPr>
        <w:t xml:space="preserve">1965 through 2004</w:t>
      </w:r>
      <w:r>
        <w:t xml:space="preserve"> </w:t>
      </w:r>
      <w:r>
        <w:t xml:space="preserve">(~39 years) (Phase I ESA §1.0, §5.3, §6.3.2, §9.1). The former plating room exhibits prominent blue-green staining on floors and walls (consistent with chromium residues), concrete pitting/etching, and an in-ground sump containing approximately four inches of liquid with a visible iridescent sheen (Phase I ESA §6.3.2). Hazardous-waste disposal documentation exists</w:t>
      </w:r>
      <w:r>
        <w:t xml:space="preserve"> </w:t>
      </w:r>
      <w:r>
        <w:rPr>
          <w:b/>
          <w:bCs/>
        </w:rPr>
        <w:t xml:space="preserve">only for 2004</w:t>
      </w:r>
      <w:r>
        <w:t xml:space="preserve"> </w:t>
      </w:r>
      <w:r>
        <w:t xml:space="preserve">— six manifests for 14,200 lbs under RCRA codes D007 (chromium) and F006 (electroplating sludge) — with</w:t>
      </w:r>
      <w:r>
        <w:t xml:space="preserve"> </w:t>
      </w:r>
      <w:r>
        <w:rPr>
          <w:b/>
          <w:bCs/>
        </w:rPr>
        <w:t xml:space="preserve">no manifests for 1965–2003</w:t>
      </w:r>
      <w:r>
        <w:t xml:space="preserve"> </w:t>
      </w:r>
      <w:r>
        <w:t xml:space="preserve">(Phase I ESA §6.3.2, §9.1; Ohio EPA Response §1). A</w:t>
      </w:r>
      <w:r>
        <w:t xml:space="preserve"> </w:t>
      </w:r>
      <w:r>
        <w:rPr>
          <w:b/>
          <w:bCs/>
        </w:rPr>
        <w:t xml:space="preserve">2003 Ohio EPA compliance inspection</w:t>
      </w:r>
      <w:r>
        <w:t xml:space="preserve"> </w:t>
      </w:r>
      <w:r>
        <w:t xml:space="preserve">documented improper hazardous-waste storage and resulted in NOV File No. NW-2003-0471 and a consent order (Ohio EPA Response §2; Phase I ESA §5.1.2, §7.3).</w:t>
      </w:r>
    </w:p>
    <w:p>
      <w:pPr>
        <w:pStyle w:val="BodyText"/>
      </w:pPr>
      <w:r>
        <w:rPr>
          <w:b/>
          <w:bCs/>
        </w:rPr>
        <w:t xml:space="preserve">Why it matters.</w:t>
      </w:r>
      <w:r>
        <w:t xml:space="preserve"> </w:t>
      </w:r>
      <w:r>
        <w:t xml:space="preserve">Hexavalent chromium is highly toxic. The 39-year absence of hazardous-waste manifests (confirmed independently by Ohio EPA) strongly suggests that chromium-bearing wastes were not lawfully managed for decades and may have been released to the subsurface (via the sump, floor drains, or outdoor storage — see B-3). The visible staining, the sump liquid with sheen, and the documented 2003 NOV corroborate a likely release. This is a confirmed REC requiring Phase II investigation (sump-liquid characterization, soil borings through the slab, groundwater monitoring wells for metals including hexavalent chromium) as the Phase I recommends (Phase I ESA §9.6).</w:t>
      </w:r>
    </w:p>
    <w:p>
      <w:pPr>
        <w:pStyle w:val="BodyText"/>
      </w:pPr>
      <w:r>
        <w:rPr>
          <w:b/>
          <w:bCs/>
        </w:rPr>
        <w:t xml:space="preserve">Recommendation.</w:t>
      </w:r>
      <w:r>
        <w:t xml:space="preserve"> </w:t>
      </w:r>
      <w:r>
        <w:t xml:space="preserve">Commission a Phase II ESA for the former electroplating room, including sump-liquid characterization, sub-slab soil sampling for metals (hexavalent and total chromium, nickel), and groundwater monitoring wells. Quantify remediation cost estimates for the Lender (see C-1).</w:t>
      </w:r>
    </w:p>
    <w:bookmarkEnd w:id="25"/>
    <w:bookmarkEnd w:id="26"/>
    <w:bookmarkStart w:id="36" w:name="Xe61452b135cb555691dc186a34ca5370ffc1c4a"/>
    <w:p>
      <w:pPr>
        <w:pStyle w:val="Heading3"/>
      </w:pPr>
      <w:r>
        <w:t xml:space="preserve">B. Conditions Underclassified or Omitted by the Phase I ESA</w:t>
      </w:r>
    </w:p>
    <w:bookmarkStart w:id="27" w:name="Xad174d4ef0311e69cb914f76251609ed7c85c90"/>
    <w:p>
      <w:pPr>
        <w:pStyle w:val="Heading4"/>
      </w:pPr>
      <w:r>
        <w:t xml:space="preserve">B-1. Off-Site PCE Groundwater Plume Not Classified as a REC —</w:t>
      </w:r>
      <w:r>
        <w:t xml:space="preserve"> </w:t>
      </w:r>
      <w:r>
        <w:rPr>
          <w:b/>
          <w:bCs/>
        </w:rPr>
        <w:t xml:space="preserve">Critical</w:t>
      </w:r>
    </w:p>
    <w:p>
      <w:pPr>
        <w:pStyle w:val="FirstParagraph"/>
      </w:pPr>
      <w:r>
        <w:rPr>
          <w:b/>
          <w:bCs/>
        </w:rPr>
        <w:t xml:space="preserve">Identification.</w:t>
      </w:r>
      <w:r>
        <w:t xml:space="preserve"> </w:t>
      </w:r>
      <w:r>
        <w:t xml:space="preserve">The former Lake Erie Dry Cleaning facility at 4900 Lakeshore Industrial Drive, immediately</w:t>
      </w:r>
      <w:r>
        <w:t xml:space="preserve"> </w:t>
      </w:r>
      <w:r>
        <w:rPr>
          <w:b/>
          <w:bCs/>
        </w:rPr>
        <w:t xml:space="preserve">north (upgradient)</w:t>
      </w:r>
      <w:r>
        <w:t xml:space="preserve"> </w:t>
      </w:r>
      <w:r>
        <w:t xml:space="preserve">of and approximately</w:t>
      </w:r>
      <w:r>
        <w:t xml:space="preserve"> </w:t>
      </w:r>
      <w:r>
        <w:rPr>
          <w:b/>
          <w:bCs/>
        </w:rPr>
        <w:t xml:space="preserve">120 feet</w:t>
      </w:r>
      <w:r>
        <w:t xml:space="preserve"> </w:t>
      </w:r>
      <w:r>
        <w:t xml:space="preserve">from the Property boundary, is a confirmed PCE release site (Ohio EPA Master Sites List; VAP ID NW-0923) (Phase I ESA §5.1.1, Appendix A; Ohio EPA Response §4; EDR Summary, Adjacent Property A1). A 2014 investigation documented</w:t>
      </w:r>
      <w:r>
        <w:t xml:space="preserve"> </w:t>
      </w:r>
      <w:r>
        <w:rPr>
          <w:b/>
          <w:bCs/>
        </w:rPr>
        <w:t xml:space="preserve">PCE at 87 µg/L</w:t>
      </w:r>
      <w:r>
        <w:t xml:space="preserve"> </w:t>
      </w:r>
      <w:r>
        <w:t xml:space="preserve">at monitoring well MW-7 (120 ft north of the Property), versus the Ohio generic groundwater standard of</w:t>
      </w:r>
      <w:r>
        <w:t xml:space="preserve"> </w:t>
      </w:r>
      <w:r>
        <w:rPr>
          <w:b/>
          <w:bCs/>
        </w:rPr>
        <w:t xml:space="preserve">5 µg/L</w:t>
      </w:r>
      <w:r>
        <w:t xml:space="preserve"> </w:t>
      </w:r>
      <w:r>
        <w:t xml:space="preserve">— an exceedance of</w:t>
      </w:r>
      <w:r>
        <w:t xml:space="preserve"> </w:t>
      </w:r>
      <w:r>
        <w:rPr>
          <w:b/>
          <w:bCs/>
        </w:rPr>
        <w:t xml:space="preserve">17.4×</w:t>
      </w:r>
      <w:r>
        <w:t xml:space="preserve"> </w:t>
      </w:r>
      <w:r>
        <w:t xml:space="preserve">— with the plume migrating</w:t>
      </w:r>
      <w:r>
        <w:t xml:space="preserve"> </w:t>
      </w:r>
      <w:r>
        <w:rPr>
          <w:b/>
          <w:bCs/>
        </w:rPr>
        <w:t xml:space="preserve">south-southeast, toward the Property</w:t>
      </w:r>
      <w:r>
        <w:t xml:space="preserve"> </w:t>
      </w:r>
      <w:r>
        <w:t xml:space="preserve">(Ohio EPA Response §4). The Property lies within a</w:t>
      </w:r>
      <w:r>
        <w:t xml:space="preserve"> </w:t>
      </w:r>
      <w:r>
        <w:rPr>
          <w:b/>
          <w:bCs/>
        </w:rPr>
        <w:t xml:space="preserve">designated Groundwater Management Zone</w:t>
      </w:r>
      <w:r>
        <w:t xml:space="preserve"> </w:t>
      </w:r>
      <w:r>
        <w:t xml:space="preserve">established for this plume (Ohio EPA Response §4; Phase I ESA §5.1.1). The 2018 Ohio VAP Covenant Not to Sue applies</w:t>
      </w:r>
      <w:r>
        <w:t xml:space="preserve"> </w:t>
      </w:r>
      <w:r>
        <w:rPr>
          <w:b/>
          <w:bCs/>
        </w:rPr>
        <w:t xml:space="preserve">only to the dry-cleaner parcel</w:t>
      </w:r>
      <w:r>
        <w:t xml:space="preserve"> </w:t>
      </w:r>
      <w:r>
        <w:t xml:space="preserve">and</w:t>
      </w:r>
      <w:r>
        <w:t xml:space="preserve"> </w:t>
      </w:r>
      <w:r>
        <w:t xml:space="preserve">“</w:t>
      </w:r>
      <w:r>
        <w:t xml:space="preserve">does not address off-site migration of the PCE groundwater plume onto adjacent properties, including the Subject Property</w:t>
      </w:r>
      <w:r>
        <w:t xml:space="preserve">”</w:t>
      </w:r>
      <w:r>
        <w:t xml:space="preserve"> </w:t>
      </w:r>
      <w:r>
        <w:t xml:space="preserve">(Ohio EPA Response §4). Ohio EPA confirms that</w:t>
      </w:r>
      <w:r>
        <w:t xml:space="preserve"> </w:t>
      </w:r>
      <w:r>
        <w:rPr>
          <w:b/>
          <w:bCs/>
        </w:rPr>
        <w:t xml:space="preserve">“</w:t>
      </w:r>
      <w:r>
        <w:rPr>
          <w:b/>
          <w:bCs/>
        </w:rPr>
        <w:t xml:space="preserve">no investigation of PCE concentrations in groundwater beneath the Subject Property has been conducted</w:t>
      </w:r>
      <w:r>
        <w:rPr>
          <w:b/>
          <w:bCs/>
        </w:rPr>
        <w:t xml:space="preserve">”</w:t>
      </w:r>
      <w:r>
        <w:t xml:space="preserve"> </w:t>
      </w:r>
      <w:r>
        <w:t xml:space="preserve">and the plume’s extent beneath the Property is</w:t>
      </w:r>
      <w:r>
        <w:t xml:space="preserve"> </w:t>
      </w:r>
      <w:r>
        <w:rPr>
          <w:b/>
          <w:bCs/>
        </w:rPr>
        <w:t xml:space="preserve">not delineated</w:t>
      </w:r>
      <w:r>
        <w:t xml:space="preserve"> </w:t>
      </w:r>
      <w:r>
        <w:t xml:space="preserve">(Ohio EPA Response §4).</w:t>
      </w:r>
    </w:p>
    <w:p>
      <w:pPr>
        <w:pStyle w:val="BodyText"/>
      </w:pPr>
      <w:r>
        <w:t xml:space="preserve">The Phase I’s own Appendix A narrative describes this as</w:t>
      </w:r>
      <w:r>
        <w:t xml:space="preserve"> </w:t>
      </w:r>
      <w:r>
        <w:rPr>
          <w:b/>
          <w:bCs/>
        </w:rPr>
        <w:t xml:space="preserve">“</w:t>
      </w:r>
      <w:r>
        <w:rPr>
          <w:b/>
          <w:bCs/>
        </w:rPr>
        <w:t xml:space="preserve">the most significant nearby listing</w:t>
      </w:r>
      <w:r>
        <w:rPr>
          <w:b/>
          <w:bCs/>
        </w:rPr>
        <w:t xml:space="preserve">”</w:t>
      </w:r>
      <w:r>
        <w:t xml:space="preserve"> </w:t>
      </w:r>
      <w:r>
        <w:t xml:space="preserve">with a plume</w:t>
      </w:r>
      <w:r>
        <w:t xml:space="preserve"> </w:t>
      </w:r>
      <w:r>
        <w:rPr>
          <w:b/>
          <w:bCs/>
        </w:rPr>
        <w:t xml:space="preserve">“</w:t>
      </w:r>
      <w:r>
        <w:rPr>
          <w:b/>
          <w:bCs/>
        </w:rPr>
        <w:t xml:space="preserve">migrating in a south-southeast direction — toward the Subject Property</w:t>
      </w:r>
      <w:r>
        <w:rPr>
          <w:b/>
          <w:bCs/>
        </w:rPr>
        <w:t xml:space="preserve">”</w:t>
      </w:r>
      <w:r>
        <w:t xml:space="preserve"> </w:t>
      </w:r>
      <w:r>
        <w:t xml:space="preserve">(Phase I ESA, Appendix A). Yet the Findings section (§9)</w:t>
      </w:r>
      <w:r>
        <w:t xml:space="preserve"> </w:t>
      </w:r>
      <w:r>
        <w:rPr>
          <w:b/>
          <w:bCs/>
        </w:rPr>
        <w:t xml:space="preserve">does not classify the plume as a REC, CREC, or additional finding</w:t>
      </w:r>
      <w:r>
        <w:t xml:space="preserve">, and the Recommendations (§9.6) do not address it.</w:t>
      </w:r>
    </w:p>
    <w:p>
      <w:pPr>
        <w:pStyle w:val="BodyText"/>
      </w:pPr>
      <w:r>
        <w:rPr>
          <w:b/>
          <w:bCs/>
        </w:rPr>
        <w:t xml:space="preserve">Why it matters.</w:t>
      </w:r>
      <w:r>
        <w:t xml:space="preserve"> </w:t>
      </w:r>
      <w:r>
        <w:t xml:space="preserve">This is the single most significant deficiency in the Phase I ESA, for three converging reasons:</w:t>
      </w:r>
    </w:p>
    <w:p>
      <w:pPr>
        <w:numPr>
          <w:ilvl w:val="0"/>
          <w:numId w:val="1002"/>
        </w:numPr>
      </w:pPr>
      <w:r>
        <w:rPr>
          <w:b/>
          <w:bCs/>
        </w:rPr>
        <w:t xml:space="preserve">Environmental risk.</w:t>
      </w:r>
      <w:r>
        <w:t xml:space="preserve"> </w:t>
      </w:r>
      <w:r>
        <w:t xml:space="preserve">A confirmed, upgradient, migrating PCE plume at 17.4× the standard, with the Property inside the plume’s GMZ and no on-site delineation, presents a material risk of groundwater contamination beneath the Property and a material vapor-intrusion risk (PCE, like TCE, is a volatile carcinogen). The adjacent dry-cleaner parcel itself is subject to an environmental covenant requiring a sub-slab vapor-mitigation system — the same plume may affect the Property.</w:t>
      </w:r>
    </w:p>
    <w:p>
      <w:pPr>
        <w:numPr>
          <w:ilvl w:val="0"/>
          <w:numId w:val="1002"/>
        </w:numPr>
      </w:pPr>
      <w:r>
        <w:rPr>
          <w:b/>
          <w:bCs/>
        </w:rPr>
        <w:t xml:space="preserve">Direct violation of a mandatory Lender requirement.</w:t>
      </w:r>
      <w:r>
        <w:t xml:space="preserve"> </w:t>
      </w:r>
      <w:r>
        <w:t xml:space="preserve">The Lender Letter expressly requires that the Phase I</w:t>
      </w:r>
      <w:r>
        <w:t xml:space="preserve"> </w:t>
      </w:r>
      <w:r>
        <w:t xml:space="preserve">“</w:t>
      </w:r>
      <w:r>
        <w:t xml:space="preserve">evaluate off-site sources of contamination that may be migrating onto or otherwise affecting the subject Property, including but not limited to contaminated groundwater plumes,</w:t>
      </w:r>
      <w:r>
        <w:t xml:space="preserve">”</w:t>
      </w:r>
      <w:r>
        <w:t xml:space="preserve"> </w:t>
      </w:r>
      <w:r>
        <w:t xml:space="preserve">and that</w:t>
      </w:r>
      <w:r>
        <w:t xml:space="preserve"> </w:t>
      </w:r>
      <w:r>
        <w:rPr>
          <w:b/>
          <w:bCs/>
        </w:rPr>
        <w:t xml:space="preserve">“</w:t>
      </w:r>
      <w:r>
        <w:rPr>
          <w:b/>
          <w:bCs/>
        </w:rPr>
        <w:t xml:space="preserve">any such conditions must be identified as recognized environmental conditions</w:t>
      </w:r>
      <w:r>
        <w:rPr>
          <w:b/>
          <w:bCs/>
        </w:rPr>
        <w:t xml:space="preserve">”</w:t>
      </w:r>
      <w:r>
        <w:t xml:space="preserve"> </w:t>
      </w:r>
      <w:r>
        <w:t xml:space="preserve">(Lender Letter §2). The Phase I’s failure to classify the PCE plume as a REC is a direct non-compliance. The Lender’s environmental counsel (this firm) is directed to</w:t>
      </w:r>
      <w:r>
        <w:t xml:space="preserve"> </w:t>
      </w:r>
      <w:r>
        <w:t xml:space="preserve">“</w:t>
      </w:r>
      <w:r>
        <w:t xml:space="preserve">independently review the Phase I ESA for AAI compliance</w:t>
      </w:r>
      <w:r>
        <w:t xml:space="preserve">”</w:t>
      </w:r>
      <w:r>
        <w:t xml:space="preserve"> </w:t>
      </w:r>
      <w:r>
        <w:t xml:space="preserve">(Lender Letter §4), and the Lender reserves the right to decline funding where unresolved conditions prevent adequate risk characterization (Lender Letter §3.C).</w:t>
      </w:r>
    </w:p>
    <w:p>
      <w:pPr>
        <w:numPr>
          <w:ilvl w:val="0"/>
          <w:numId w:val="1002"/>
        </w:numPr>
      </w:pPr>
      <w:r>
        <w:rPr>
          <w:b/>
          <w:bCs/>
        </w:rPr>
        <w:t xml:space="preserve">AAI/BFPP exposure.</w:t>
      </w:r>
      <w:r>
        <w:t xml:space="preserve"> </w:t>
      </w:r>
      <w:r>
        <w:t xml:space="preserve">An AAI-compliant Phase I must identify RECs to support the bona fide prospective purchaser and contiguous-property-owner defenses. Omitting a migrating off-site plume from the REC findings undermines the defensive value of the report for both Buyer and the Lender (as mortgagee).</w:t>
      </w:r>
    </w:p>
    <w:p>
      <w:pPr>
        <w:pStyle w:val="FirstParagraph"/>
      </w:pPr>
      <w:r>
        <w:rPr>
          <w:b/>
          <w:bCs/>
        </w:rPr>
        <w:t xml:space="preserve">Recommendation.</w:t>
      </w:r>
      <w:r>
        <w:t xml:space="preserve"> </w:t>
      </w:r>
      <w:r>
        <w:t xml:space="preserve">Require Greenfield to issue a</w:t>
      </w:r>
      <w:r>
        <w:t xml:space="preserve"> </w:t>
      </w:r>
      <w:r>
        <w:rPr>
          <w:b/>
          <w:bCs/>
        </w:rPr>
        <w:t xml:space="preserve">supplemental letter</w:t>
      </w:r>
      <w:r>
        <w:t xml:space="preserve"> </w:t>
      </w:r>
      <w:r>
        <w:t xml:space="preserve">classifying the Lake Erie Dry Cleaning PCE plume as a REC (or, at minimum, a CREC) for the Property, and to add it to the Phase II scope (on-site groundwater monitoring wells analyzed for PCE and degradation products; vapor-intrusion assessment — see B-6). Obtain the dry-cleaner VAP file and any off-site monitoring data from Ohio EPA. Confirm GMZ restrictions with Ohio EPA’s Division of Drinking and Ground Waters (see F-1). Do not rely on the Phase I as delivered for AAI purposes until supplemented.</w:t>
      </w:r>
    </w:p>
    <w:bookmarkEnd w:id="27"/>
    <w:bookmarkStart w:id="28" w:name="X1d14c5d1e3761eaea335abac7d6c237147449c7"/>
    <w:p>
      <w:pPr>
        <w:pStyle w:val="Heading4"/>
      </w:pPr>
      <w:r>
        <w:t xml:space="preserve">B-2. 2,000-Gallon Waste-Solvent UST Not Classified or Investigated —</w:t>
      </w:r>
      <w:r>
        <w:t xml:space="preserve"> </w:t>
      </w:r>
      <w:r>
        <w:rPr>
          <w:b/>
          <w:bCs/>
        </w:rPr>
        <w:t xml:space="preserve">High</w:t>
      </w:r>
    </w:p>
    <w:p>
      <w:pPr>
        <w:pStyle w:val="FirstParagraph"/>
      </w:pPr>
      <w:r>
        <w:rPr>
          <w:b/>
          <w:bCs/>
        </w:rPr>
        <w:t xml:space="preserve">Identification.</w:t>
      </w:r>
      <w:r>
        <w:t xml:space="preserve"> </w:t>
      </w:r>
      <w:r>
        <w:t xml:space="preserve">The 1987 Sanborn fire-insurance map depicts a</w:t>
      </w:r>
      <w:r>
        <w:t xml:space="preserve"> </w:t>
      </w:r>
      <w:r>
        <w:rPr>
          <w:b/>
          <w:bCs/>
        </w:rPr>
        <w:t xml:space="preserve">2,000-gallon waste-solvent UST</w:t>
      </w:r>
      <w:r>
        <w:t xml:space="preserve"> </w:t>
      </w:r>
      <w:r>
        <w:t xml:space="preserve">on the east side of the Property, between the main building and the eastern boundary (Phase I ESA §5.2.1; EDR Summary, Sanborn table). The Phase I observed no surface evidence (fill/vent pipes) at the approximate location (Phase I ESA §6.2.2).</w:t>
      </w:r>
      <w:r>
        <w:t xml:space="preserve"> </w:t>
      </w:r>
      <w:r>
        <w:rPr>
          <w:b/>
          <w:bCs/>
        </w:rPr>
        <w:t xml:space="preserve">BUSTR has no registration, installation, closure, or removal records</w:t>
      </w:r>
      <w:r>
        <w:t xml:space="preserve"> </w:t>
      </w:r>
      <w:r>
        <w:t xml:space="preserve">for this tank (Ohio EPA Response §3; EDR Summary). The EDR Summary notes the tank’s status as</w:t>
      </w:r>
      <w:r>
        <w:t xml:space="preserve"> </w:t>
      </w:r>
      <w:r>
        <w:rPr>
          <w:b/>
          <w:bCs/>
        </w:rPr>
        <w:t xml:space="preserve">“</w:t>
      </w:r>
      <w:r>
        <w:rPr>
          <w:b/>
          <w:bCs/>
        </w:rPr>
        <w:t xml:space="preserve">UNKNOWN — No registration, no closure records. Tank may remain in place.</w:t>
      </w:r>
      <w:r>
        <w:rPr>
          <w:b/>
          <w:bCs/>
        </w:rPr>
        <w:t xml:space="preserve">”</w:t>
      </w:r>
      <w:r>
        <w:t xml:space="preserve"> </w:t>
      </w:r>
      <w:r>
        <w:t xml:space="preserve">Ohio EPA expressly recommends</w:t>
      </w:r>
      <w:r>
        <w:t xml:space="preserve"> </w:t>
      </w:r>
      <w:r>
        <w:rPr>
          <w:b/>
          <w:bCs/>
        </w:rPr>
        <w:t xml:space="preserve">“</w:t>
      </w:r>
      <w:r>
        <w:rPr>
          <w:b/>
          <w:bCs/>
        </w:rPr>
        <w:t xml:space="preserve">geophysical surveys, interviews with current and former facility personnel, and review of local fire department permit records</w:t>
      </w:r>
      <w:r>
        <w:rPr>
          <w:b/>
          <w:bCs/>
        </w:rPr>
        <w:t xml:space="preserve">”</w:t>
      </w:r>
      <w:r>
        <w:t xml:space="preserve"> </w:t>
      </w:r>
      <w:r>
        <w:t xml:space="preserve">to determine the tank’s status (Ohio EPA Response §3). The Phase I does not classify this tank as a REC and recommends no follow-up.</w:t>
      </w:r>
    </w:p>
    <w:p>
      <w:pPr>
        <w:pStyle w:val="BodyText"/>
      </w:pPr>
      <w:r>
        <w:rPr>
          <w:b/>
          <w:bCs/>
        </w:rPr>
        <w:t xml:space="preserve">Why it matters.</w:t>
      </w:r>
      <w:r>
        <w:t xml:space="preserve"> </w:t>
      </w:r>
      <w:r>
        <w:t xml:space="preserve">A 2,000-gallon UST that stored waste solvents — in the context of a facility that used TCE for degreasing for 30 years — likely contained chlorinated solvents. A UST with no registration and no closure records, of unknown disposition (</w:t>
      </w:r>
      <w:r>
        <w:t xml:space="preserve">“</w:t>
      </w:r>
      <w:r>
        <w:t xml:space="preserve">may remain in place</w:t>
      </w:r>
      <w:r>
        <w:t xml:space="preserve">”</w:t>
      </w:r>
      <w:r>
        <w:t xml:space="preserve">), in the vicinity of the former outdoor drum-storage area (B-3) and the TCE operations (A-1), is a material potential source. The Phase I’s treatment (noting only the absence of surface evidence) is insufficient; the absence of surface appurtenances does not rule out a buried tank or a past release. Ohio EPA’s recommended geophysical survey was not performed or recommended.</w:t>
      </w:r>
    </w:p>
    <w:p>
      <w:pPr>
        <w:pStyle w:val="BodyText"/>
      </w:pPr>
      <w:r>
        <w:rPr>
          <w:b/>
          <w:bCs/>
        </w:rPr>
        <w:t xml:space="preserve">Recommendation.</w:t>
      </w:r>
      <w:r>
        <w:t xml:space="preserve"> </w:t>
      </w:r>
      <w:r>
        <w:t xml:space="preserve">Classify this tank as a REC (or, at minimum, a data gap requiring affirmative investigation) and add a geophysical survey (ground-penetrating radar/electromagnetic) of the east side to the Phase II scope, followed by soil/groundwater sampling if the tank is located. Request Toledo Fire Department UST permit records.</w:t>
      </w:r>
    </w:p>
    <w:bookmarkEnd w:id="28"/>
    <w:bookmarkStart w:id="29" w:name="X68930d08bfdf654ae3f7418744eccd7b851df10"/>
    <w:p>
      <w:pPr>
        <w:pStyle w:val="Heading4"/>
      </w:pPr>
      <w:r>
        <w:t xml:space="preserve">B-3. Former East-Side Outdoor Drum-Storage Area Not Classified as a REC —</w:t>
      </w:r>
      <w:r>
        <w:t xml:space="preserve"> </w:t>
      </w:r>
      <w:r>
        <w:rPr>
          <w:b/>
          <w:bCs/>
        </w:rPr>
        <w:t xml:space="preserve">High</w:t>
      </w:r>
    </w:p>
    <w:p>
      <w:pPr>
        <w:pStyle w:val="FirstParagraph"/>
      </w:pPr>
      <w:r>
        <w:rPr>
          <w:b/>
          <w:bCs/>
        </w:rPr>
        <w:t xml:space="preserve">Identification.</w:t>
      </w:r>
      <w:r>
        <w:t xml:space="preserve"> </w:t>
      </w:r>
      <w:r>
        <w:t xml:space="preserve">An approximately 40 ft × 60 ft area on the east side of the Property, delineated by deteriorating concrete curbing, exhibits</w:t>
      </w:r>
      <w:r>
        <w:t xml:space="preserve"> </w:t>
      </w:r>
      <w:r>
        <w:rPr>
          <w:b/>
          <w:bCs/>
        </w:rPr>
        <w:t xml:space="preserve">stressed vegetation</w:t>
      </w:r>
      <w:r>
        <w:t xml:space="preserve"> </w:t>
      </w:r>
      <w:r>
        <w:t xml:space="preserve">and corresponds to the outdoor drum-storage area visible in the 1990 and 2000 aerial photographs (Phase I ESA §6.2.4). Seller’s principal acknowledged,</w:t>
      </w:r>
      <w:r>
        <w:t xml:space="preserve"> </w:t>
      </w:r>
      <w:r>
        <w:rPr>
          <w:b/>
          <w:bCs/>
        </w:rPr>
        <w:t xml:space="preserve">“</w:t>
      </w:r>
      <w:r>
        <w:rPr>
          <w:b/>
          <w:bCs/>
        </w:rPr>
        <w:t xml:space="preserve">We used to keep drums out there before the EPA came around</w:t>
      </w:r>
      <w:r>
        <w:rPr>
          <w:b/>
          <w:bCs/>
        </w:rPr>
        <w:t xml:space="preserve">”</w:t>
      </w:r>
      <w:r>
        <w:t xml:space="preserve"> </w:t>
      </w:r>
      <w:r>
        <w:t xml:space="preserve">(Phase I ESA §6.2.4, §7.1). Critically, the</w:t>
      </w:r>
      <w:r>
        <w:t xml:space="preserve"> </w:t>
      </w:r>
      <w:r>
        <w:rPr>
          <w:b/>
          <w:bCs/>
        </w:rPr>
        <w:t xml:space="preserve">2003 Ohio EPA inspection</w:t>
      </w:r>
      <w:r>
        <w:t xml:space="preserve"> </w:t>
      </w:r>
      <w:r>
        <w:t xml:space="preserve">(July 17, 2003) documented</w:t>
      </w:r>
      <w:r>
        <w:t xml:space="preserve"> </w:t>
      </w:r>
      <w:r>
        <w:rPr>
          <w:b/>
          <w:bCs/>
        </w:rPr>
        <w:t xml:space="preserve">“</w:t>
      </w:r>
      <w:r>
        <w:rPr>
          <w:b/>
          <w:bCs/>
        </w:rPr>
        <w:t xml:space="preserve">multiple rusted and visibly leaking 55-gallon drums in an outdoor storage area located on the east side of the Subject Property</w:t>
      </w:r>
      <w:r>
        <w:rPr>
          <w:b/>
          <w:bCs/>
        </w:rPr>
        <w:t xml:space="preserve">”</w:t>
      </w:r>
      <w:r>
        <w:t xml:space="preserve"> </w:t>
      </w:r>
      <w:r>
        <w:t xml:space="preserve">containing</w:t>
      </w:r>
      <w:r>
        <w:t xml:space="preserve"> </w:t>
      </w:r>
      <w:r>
        <w:rPr>
          <w:b/>
          <w:bCs/>
        </w:rPr>
        <w:t xml:space="preserve">“</w:t>
      </w:r>
      <w:r>
        <w:rPr>
          <w:b/>
          <w:bCs/>
        </w:rPr>
        <w:t xml:space="preserve">electroplating sludge and spent chromium-bearing wastewater,</w:t>
      </w:r>
      <w:r>
        <w:rPr>
          <w:b/>
          <w:bCs/>
        </w:rPr>
        <w:t xml:space="preserve">”</w:t>
      </w:r>
      <w:r>
        <w:t xml:space="preserve"> </w:t>
      </w:r>
      <w:r>
        <w:t xml:space="preserve">with</w:t>
      </w:r>
      <w:r>
        <w:t xml:space="preserve"> </w:t>
      </w:r>
      <w:r>
        <w:rPr>
          <w:b/>
          <w:bCs/>
        </w:rPr>
        <w:t xml:space="preserve">“</w:t>
      </w:r>
      <w:r>
        <w:rPr>
          <w:b/>
          <w:bCs/>
        </w:rPr>
        <w:t xml:space="preserve">staining on the ground surface beneath and around the drums</w:t>
      </w:r>
      <w:r>
        <w:rPr>
          <w:b/>
          <w:bCs/>
        </w:rPr>
        <w:t xml:space="preserve">”</w:t>
      </w:r>
      <w:r>
        <w:t xml:space="preserve"> </w:t>
      </w:r>
      <w:r>
        <w:t xml:space="preserve">(Ohio EPA Response §2). The Phase I mentions the 2003 NOV in the context of REC-2 (§5.1.2, §7.3, §9.1) but</w:t>
      </w:r>
      <w:r>
        <w:t xml:space="preserve"> </w:t>
      </w:r>
      <w:r>
        <w:rPr>
          <w:b/>
          <w:bCs/>
        </w:rPr>
        <w:t xml:space="preserve">does not connect it to the east-side drum-storage area observed during reconnaissance</w:t>
      </w:r>
      <w:r>
        <w:t xml:space="preserve">, and does not classify the area as a REC.</w:t>
      </w:r>
    </w:p>
    <w:p>
      <w:pPr>
        <w:pStyle w:val="BodyText"/>
      </w:pPr>
      <w:r>
        <w:rPr>
          <w:b/>
          <w:bCs/>
        </w:rPr>
        <w:t xml:space="preserve">Why it matters.</w:t>
      </w:r>
      <w:r>
        <w:t xml:space="preserve"> </w:t>
      </w:r>
      <w:r>
        <w:t xml:space="preserve">The Phase I observed physical evidence (curbing, stressed vegetation) at the precise location of a</w:t>
      </w:r>
      <w:r>
        <w:t xml:space="preserve"> </w:t>
      </w:r>
      <w:r>
        <w:rPr>
          <w:b/>
          <w:bCs/>
        </w:rPr>
        <w:t xml:space="preserve">documented release of chromium-bearing hazardous waste</w:t>
      </w:r>
      <w:r>
        <w:t xml:space="preserve"> </w:t>
      </w:r>
      <w:r>
        <w:t xml:space="preserve">(the 2003 NOV). Stressed vegetation over a former drum-storage area where leaking chromium drums were observed is textbook REC evidence. The failure to connect the 2003 NOV’s east-side leaking drums to the observed east-side area — and to classify the area as a REC — is a significant analytical gap that understates the chromium risk and the spatial extent of contamination (which the Phase I confines to the south-wing plating room).</w:t>
      </w:r>
    </w:p>
    <w:p>
      <w:pPr>
        <w:pStyle w:val="BodyText"/>
      </w:pPr>
      <w:r>
        <w:rPr>
          <w:b/>
          <w:bCs/>
        </w:rPr>
        <w:t xml:space="preserve">Recommendation.</w:t>
      </w:r>
      <w:r>
        <w:t xml:space="preserve"> </w:t>
      </w:r>
      <w:r>
        <w:t xml:space="preserve">Classify the east-side drum-storage area as a REC and add it to the Phase II scope (soil borings for metals, including hexavalent chromium, and VOCs). Tie the 2003 NOV’s documented release to this area in the supplemental report.</w:t>
      </w:r>
    </w:p>
    <w:bookmarkEnd w:id="29"/>
    <w:bookmarkStart w:id="30" w:name="X41c233e31a0646b70564c835a7ede1d81c4777f"/>
    <w:p>
      <w:pPr>
        <w:pStyle w:val="Heading4"/>
      </w:pPr>
      <w:r>
        <w:t xml:space="preserve">B-4. 500-Gallon Farmhouse Heating-Oil UST — HREC Classification Not Supported —</w:t>
      </w:r>
      <w:r>
        <w:t xml:space="preserve"> </w:t>
      </w:r>
      <w:r>
        <w:rPr>
          <w:b/>
          <w:bCs/>
        </w:rPr>
        <w:t xml:space="preserve">Medium</w:t>
      </w:r>
    </w:p>
    <w:p>
      <w:pPr>
        <w:pStyle w:val="FirstParagraph"/>
      </w:pPr>
      <w:r>
        <w:rPr>
          <w:b/>
          <w:bCs/>
        </w:rPr>
        <w:t xml:space="preserve">Identification.</w:t>
      </w:r>
      <w:r>
        <w:t xml:space="preserve"> </w:t>
      </w:r>
      <w:r>
        <w:t xml:space="preserve">The 1948 and 1955 Sanborn maps depict a 500-gallon heating-oil UST serving the Halstead farmhouse (demolished 1961) in the northwest portion of the Property (Phase I ESA §5.2.1, §9.3; EDR Summary, Sanborn table). The Phase I classifies this as an HREC, stating the tank was</w:t>
      </w:r>
      <w:r>
        <w:t xml:space="preserve"> </w:t>
      </w:r>
      <w:r>
        <w:t xml:space="preserve">“</w:t>
      </w:r>
      <w:r>
        <w:t xml:space="preserve">likely removed</w:t>
      </w:r>
      <w:r>
        <w:t xml:space="preserve">”</w:t>
      </w:r>
      <w:r>
        <w:t xml:space="preserve"> </w:t>
      </w:r>
      <w:r>
        <w:t xml:space="preserve">when the farmhouse was demolished and that, in Greenfield’s judgment, it</w:t>
      </w:r>
      <w:r>
        <w:t xml:space="preserve"> </w:t>
      </w:r>
      <w:r>
        <w:t xml:space="preserve">“</w:t>
      </w:r>
      <w:r>
        <w:t xml:space="preserve">does not present a current risk</w:t>
      </w:r>
      <w:r>
        <w:t xml:space="preserve">”</w:t>
      </w:r>
      <w:r>
        <w:t xml:space="preserve"> </w:t>
      </w:r>
      <w:r>
        <w:t xml:space="preserve">(Phase I ESA §9.3). However,</w:t>
      </w:r>
      <w:r>
        <w:t xml:space="preserve"> </w:t>
      </w:r>
      <w:r>
        <w:rPr>
          <w:b/>
          <w:bCs/>
        </w:rPr>
        <w:t xml:space="preserve">there are no closure records, no removal records, no regulatory sign-off, and no surface evidence</w:t>
      </w:r>
      <w:r>
        <w:t xml:space="preserve"> </w:t>
      </w:r>
      <w:r>
        <w:t xml:space="preserve">either way; BUSTR has no records (Ohio EPA Response §3). The EDR Summary states the tank</w:t>
      </w:r>
      <w:r>
        <w:t xml:space="preserve"> </w:t>
      </w:r>
      <w:r>
        <w:rPr>
          <w:b/>
          <w:bCs/>
        </w:rPr>
        <w:t xml:space="preserve">“</w:t>
      </w:r>
      <w:r>
        <w:rPr>
          <w:b/>
          <w:bCs/>
        </w:rPr>
        <w:t xml:space="preserve">may remain in place beneath current pavement/fill.</w:t>
      </w:r>
      <w:r>
        <w:rPr>
          <w:b/>
          <w:bCs/>
        </w:rPr>
        <w:t xml:space="preserve">”</w:t>
      </w:r>
    </w:p>
    <w:p>
      <w:pPr>
        <w:pStyle w:val="BodyText"/>
      </w:pPr>
      <w:r>
        <w:rPr>
          <w:b/>
          <w:bCs/>
        </w:rPr>
        <w:t xml:space="preserve">Why it matters.</w:t>
      </w:r>
      <w:r>
        <w:t xml:space="preserve"> </w:t>
      </w:r>
      <w:r>
        <w:t xml:space="preserve">An HREC requires that a past release</w:t>
      </w:r>
      <w:r>
        <w:t xml:space="preserve"> </w:t>
      </w:r>
      <w:r>
        <w:t xml:space="preserve">“</w:t>
      </w:r>
      <w:r>
        <w:t xml:space="preserve">has been addressed to the satisfaction of the applicable regulatory authority or meets unrestricted use criteria … without subjecting the property to any required controls</w:t>
      </w:r>
      <w:r>
        <w:t xml:space="preserve">”</w:t>
      </w:r>
      <w:r>
        <w:t xml:space="preserve"> </w:t>
      </w:r>
      <w:r>
        <w:t xml:space="preserve">(ASTM E1527-21 §3.2.41). Here there is</w:t>
      </w:r>
      <w:r>
        <w:t xml:space="preserve"> </w:t>
      </w:r>
      <w:r>
        <w:rPr>
          <w:b/>
          <w:bCs/>
        </w:rPr>
        <w:t xml:space="preserve">no evidence the tank was removed, let alone closed properly</w:t>
      </w:r>
      <w:r>
        <w:t xml:space="preserve"> </w:t>
      </w:r>
      <w:r>
        <w:t xml:space="preserve">— the HREC rests on an assumption (farmhouse demolition ⇒ tank removal). The classification is not well-supported and should be a REC (potential unaddressed release) or, at minimum, a data gap requiring geophysical investigation. While a 500-gallon heating-oil tank is a smaller source, the classification methodology is flawed and the tank’s status is genuinely unknown.</w:t>
      </w:r>
    </w:p>
    <w:p>
      <w:pPr>
        <w:pStyle w:val="BodyText"/>
      </w:pPr>
      <w:r>
        <w:rPr>
          <w:b/>
          <w:bCs/>
        </w:rPr>
        <w:t xml:space="preserve">Recommendation.</w:t>
      </w:r>
      <w:r>
        <w:t xml:space="preserve"> </w:t>
      </w:r>
      <w:r>
        <w:t xml:space="preserve">Reclassify as a data gap / potential REC pending a geophysical survey of the former farmhouse location (consistent with Ohio EPA’s recommendation at Ohio EPA Response §3). Add to Phase II scope if the tank is located.</w:t>
      </w:r>
    </w:p>
    <w:bookmarkEnd w:id="30"/>
    <w:bookmarkStart w:id="31" w:name="X8f0d45d9baaed1d0f6f309b55f340d01baaead2"/>
    <w:p>
      <w:pPr>
        <w:pStyle w:val="Heading4"/>
      </w:pPr>
      <w:r>
        <w:t xml:space="preserve">B-5. Monitoring Well</w:t>
      </w:r>
      <w:r>
        <w:t xml:space="preserve"> </w:t>
      </w:r>
      <w:r>
        <w:t xml:space="preserve">“</w:t>
      </w:r>
      <w:r>
        <w:t xml:space="preserve">MW-1</w:t>
      </w:r>
      <w:r>
        <w:t xml:space="preserve">”</w:t>
      </w:r>
      <w:r>
        <w:t xml:space="preserve"> </w:t>
      </w:r>
      <w:r>
        <w:t xml:space="preserve">of Unknown Origin — Uninvestigated —</w:t>
      </w:r>
      <w:r>
        <w:t xml:space="preserve"> </w:t>
      </w:r>
      <w:r>
        <w:rPr>
          <w:b/>
          <w:bCs/>
        </w:rPr>
        <w:t xml:space="preserve">Medium</w:t>
      </w:r>
    </w:p>
    <w:p>
      <w:pPr>
        <w:pStyle w:val="FirstParagraph"/>
      </w:pPr>
      <w:r>
        <w:rPr>
          <w:b/>
          <w:bCs/>
        </w:rPr>
        <w:t xml:space="preserve">Identification.</w:t>
      </w:r>
      <w:r>
        <w:t xml:space="preserve"> </w:t>
      </w:r>
      <w:r>
        <w:t xml:space="preserve">A monitoring well labeled</w:t>
      </w:r>
      <w:r>
        <w:t xml:space="preserve"> </w:t>
      </w:r>
      <w:r>
        <w:rPr>
          <w:b/>
          <w:bCs/>
        </w:rPr>
        <w:t xml:space="preserve">“</w:t>
      </w:r>
      <w:r>
        <w:rPr>
          <w:b/>
          <w:bCs/>
        </w:rPr>
        <w:t xml:space="preserve">MW-1</w:t>
      </w:r>
      <w:r>
        <w:rPr>
          <w:b/>
          <w:bCs/>
        </w:rPr>
        <w:t xml:space="preserve">”</w:t>
      </w:r>
      <w:r>
        <w:t xml:space="preserve"> </w:t>
      </w:r>
      <w:r>
        <w:t xml:space="preserve">was observed near the northeast Property boundary, in disrepair (cracked cover, loose bolting, debris) (Phase I ESA §6.2.5). No installation logs, construction details, or analytical data were located, and Seller’s principal stated he did not know who installed it, when, or why (Phase I ESA §6.2.5, §7.1). The Phase I makes no recommendation regarding the well.</w:t>
      </w:r>
    </w:p>
    <w:p>
      <w:pPr>
        <w:pStyle w:val="BodyText"/>
      </w:pPr>
      <w:r>
        <w:rPr>
          <w:b/>
          <w:bCs/>
        </w:rPr>
        <w:t xml:space="preserve">Why it matters.</w:t>
      </w:r>
      <w:r>
        <w:t xml:space="preserve"> </w:t>
      </w:r>
      <w:r>
        <w:t xml:space="preserve">A monitoring well of unknown origin near the northeast boundary — which is the direction of the upgradient Lake Erie Dry Cleaning PCE plume (B-1) — suggests that someone previously had reason to monitor groundwater at or near the Property. The well may be part of the dry-cleaner’s plume-investigation network, or it may reflect a prior on-site investigation whose data are relevant. The existence of an unexplained monitoring well is an unresolved data gap that the Lender will</w:t>
      </w:r>
      <w:r>
        <w:t xml:space="preserve"> </w:t>
      </w:r>
      <w:r>
        <w:t xml:space="preserve">“</w:t>
      </w:r>
      <w:r>
        <w:t xml:space="preserve">independently assess the materiality of</w:t>
      </w:r>
      <w:r>
        <w:t xml:space="preserve">”</w:t>
      </w:r>
      <w:r>
        <w:t xml:space="preserve"> </w:t>
      </w:r>
      <w:r>
        <w:t xml:space="preserve">(Lender Letter §2).</w:t>
      </w:r>
    </w:p>
    <w:p>
      <w:pPr>
        <w:pStyle w:val="BodyText"/>
      </w:pPr>
      <w:r>
        <w:rPr>
          <w:b/>
          <w:bCs/>
        </w:rPr>
        <w:t xml:space="preserve">Recommendation.</w:t>
      </w:r>
      <w:r>
        <w:t xml:space="preserve"> </w:t>
      </w:r>
      <w:r>
        <w:t xml:space="preserve">Investigate the well’s origin: query Ohio EPA and the dry-cleaner VAP file for well-construction and analytical data; survey the well; and, if it is a viable monitoring point, sample it for VOCs (PCE/TCE) and metals. Include in the supplemental data-gap discussion.</w:t>
      </w:r>
    </w:p>
    <w:bookmarkEnd w:id="31"/>
    <w:bookmarkStart w:id="32" w:name="X7c55a7c000eada4cd7a12fd5312294e86cba0b2"/>
    <w:p>
      <w:pPr>
        <w:pStyle w:val="Heading4"/>
      </w:pPr>
      <w:r>
        <w:t xml:space="preserve">B-6. Vapor Intrusion Not Assessed (On-Site TCE and Off-Site PCE) —</w:t>
      </w:r>
      <w:r>
        <w:t xml:space="preserve"> </w:t>
      </w:r>
      <w:r>
        <w:rPr>
          <w:b/>
          <w:bCs/>
        </w:rPr>
        <w:t xml:space="preserve">High</w:t>
      </w:r>
    </w:p>
    <w:p>
      <w:pPr>
        <w:pStyle w:val="FirstParagraph"/>
      </w:pPr>
      <w:r>
        <w:rPr>
          <w:b/>
          <w:bCs/>
        </w:rPr>
        <w:t xml:space="preserve">Identification.</w:t>
      </w:r>
      <w:r>
        <w:t xml:space="preserve"> </w:t>
      </w:r>
      <w:r>
        <w:t xml:space="preserve">The Phase I documents elevated TCE vapors beneath the main building (PID 42.3 ppm at a floor crack — A-1) and an off-site PCE plume migrating toward the Property with the Property inside the GMZ (B-1). Both TCE and PCE are volatile organic compounds. The Phase I does</w:t>
      </w:r>
      <w:r>
        <w:t xml:space="preserve"> </w:t>
      </w:r>
      <w:r>
        <w:rPr>
          <w:b/>
          <w:bCs/>
        </w:rPr>
        <w:t xml:space="preserve">not</w:t>
      </w:r>
      <w:r>
        <w:t xml:space="preserve"> </w:t>
      </w:r>
      <w:r>
        <w:t xml:space="preserve">address vapor-intrusion risk for any occupied or occupiable structure. The adjacent dry-cleaner parcel is subject to an environmental covenant requiring a sub-slab vapor-mitigation system (Ohio EPA Response §4).</w:t>
      </w:r>
    </w:p>
    <w:p>
      <w:pPr>
        <w:pStyle w:val="BodyText"/>
      </w:pPr>
      <w:r>
        <w:rPr>
          <w:b/>
          <w:bCs/>
        </w:rPr>
        <w:t xml:space="preserve">Why it matters.</w:t>
      </w:r>
      <w:r>
        <w:t xml:space="preserve"> </w:t>
      </w:r>
      <w:r>
        <w:t xml:space="preserve">The Lender Letter requires that</w:t>
      </w:r>
      <w:r>
        <w:t xml:space="preserve"> </w:t>
      </w:r>
      <w:r>
        <w:rPr>
          <w:b/>
          <w:bCs/>
        </w:rPr>
        <w:t xml:space="preserve">“</w:t>
      </w:r>
      <w:r>
        <w:rPr>
          <w:b/>
          <w:bCs/>
        </w:rPr>
        <w:t xml:space="preserve">if the Phase I ESA or Phase II ESA identifies volatile organic compounds (VOCs) in soil or groundwater at or beneath the Property, the Bank requires a vapor intrusion assessment</w:t>
      </w:r>
      <w:r>
        <w:rPr>
          <w:b/>
          <w:bCs/>
        </w:rPr>
        <w:t xml:space="preserve">”</w:t>
      </w:r>
      <w:r>
        <w:t xml:space="preserve"> </w:t>
      </w:r>
      <w:r>
        <w:t xml:space="preserve">and, if risks warrant, a vapor-mitigation plan implemented before or concurrently with closing (Lender Letter §3.B.5). The on-site TCE (elevated PID beneath a building) and the off-site PCE plume both trigger this requirement. Vapor intrusion is also a direct human-health risk for any building occupants and a CERCLA</w:t>
      </w:r>
      <w:r>
        <w:t xml:space="preserve"> </w:t>
      </w:r>
      <w:r>
        <w:t xml:space="preserve">“</w:t>
      </w:r>
      <w:r>
        <w:t xml:space="preserve">continuing obligation</w:t>
      </w:r>
      <w:r>
        <w:t xml:space="preserve">”</w:t>
      </w:r>
      <w:r>
        <w:t xml:space="preserve"> </w:t>
      </w:r>
      <w:r>
        <w:t xml:space="preserve">consideration for the BFPP defense.</w:t>
      </w:r>
    </w:p>
    <w:p>
      <w:pPr>
        <w:pStyle w:val="BodyText"/>
      </w:pPr>
      <w:r>
        <w:rPr>
          <w:b/>
          <w:bCs/>
        </w:rPr>
        <w:t xml:space="preserve">Recommendation.</w:t>
      </w:r>
      <w:r>
        <w:t xml:space="preserve"> </w:t>
      </w:r>
      <w:r>
        <w:t xml:space="preserve">Commission a vapor-intrusion assessment (sub-slab soil-gas and/or indoor-air sampling) for the main building (former degreasing and plating areas) and any other occupied/occupiable structures, in accordance with Ohio EPA/U.S. EPA guidance. Evaluate whether a vapor-mitigation system is required before closing.</w:t>
      </w:r>
    </w:p>
    <w:bookmarkEnd w:id="32"/>
    <w:bookmarkStart w:id="33" w:name="b-7.-incomplete-data-gap-analysis-medium"/>
    <w:p>
      <w:pPr>
        <w:pStyle w:val="Heading4"/>
      </w:pPr>
      <w:r>
        <w:t xml:space="preserve">B-7. Incomplete Data-Gap Analysis —</w:t>
      </w:r>
      <w:r>
        <w:t xml:space="preserve"> </w:t>
      </w:r>
      <w:r>
        <w:rPr>
          <w:b/>
          <w:bCs/>
        </w:rPr>
        <w:t xml:space="preserve">Medium</w:t>
      </w:r>
    </w:p>
    <w:p>
      <w:pPr>
        <w:pStyle w:val="FirstParagraph"/>
      </w:pPr>
      <w:r>
        <w:rPr>
          <w:b/>
          <w:bCs/>
        </w:rPr>
        <w:t xml:space="preserve">Identification.</w:t>
      </w:r>
      <w:r>
        <w:t xml:space="preserve"> </w:t>
      </w:r>
      <w:r>
        <w:t xml:space="preserve">The Phase I’s data-gap section (§8.0) identifies only two gaps: (1) hazardous-waste disposal records 1965–2003, and (2) corporate records 1961–1990 (withheld by Seller). It omits several additional, material gaps: (a) the status of the 2,000-gallon waste-solvent UST (B-2); (b) the status of the 500-gallon heating-oil UST (B-4); (c) the origin and data for MW-1 (B-5); (d) the 2003 consent order and compliance certification (archived and not produced — Ohio EPA Response §2); (e) the absence of any on-site PCE investigation (Ohio EPA Response §4); and (f) the unmapped EDR orphan sites (B-8). The Phase I also states that</w:t>
      </w:r>
      <w:r>
        <w:t xml:space="preserve"> </w:t>
      </w:r>
      <w:r>
        <w:rPr>
          <w:b/>
          <w:bCs/>
        </w:rPr>
        <w:t xml:space="preserve">“</w:t>
      </w:r>
      <w:r>
        <w:rPr>
          <w:b/>
          <w:bCs/>
        </w:rPr>
        <w:t xml:space="preserve">No attempts were made to contact former employees</w:t>
      </w:r>
      <w:r>
        <w:rPr>
          <w:b/>
          <w:bCs/>
        </w:rPr>
        <w:t xml:space="preserve">”</w:t>
      </w:r>
      <w:r>
        <w:t xml:space="preserve"> </w:t>
      </w:r>
      <w:r>
        <w:t xml:space="preserve">of Seller (Phase I ESA §7.4), a potential interview gap given the 39-year manifest gap.</w:t>
      </w:r>
    </w:p>
    <w:p>
      <w:pPr>
        <w:pStyle w:val="BodyText"/>
      </w:pPr>
      <w:r>
        <w:rPr>
          <w:b/>
          <w:bCs/>
        </w:rPr>
        <w:t xml:space="preserve">Why it matters.</w:t>
      </w:r>
      <w:r>
        <w:t xml:space="preserve"> </w:t>
      </w:r>
      <w:r>
        <w:t xml:space="preserve">The Lender requires the Phase I to</w:t>
      </w:r>
      <w:r>
        <w:t xml:space="preserve"> </w:t>
      </w:r>
      <w:r>
        <w:t xml:space="preserve">“</w:t>
      </w:r>
      <w:r>
        <w:t xml:space="preserve">identify and evaluate all data gaps</w:t>
      </w:r>
      <w:r>
        <w:t xml:space="preserve">”</w:t>
      </w:r>
      <w:r>
        <w:t xml:space="preserve"> </w:t>
      </w:r>
      <w:r>
        <w:t xml:space="preserve">and to</w:t>
      </w:r>
      <w:r>
        <w:t xml:space="preserve"> </w:t>
      </w:r>
      <w:r>
        <w:t xml:space="preserve">“</w:t>
      </w:r>
      <w:r>
        <w:t xml:space="preserve">describe in reasonable detail the efforts made … to address each identified data gap, as well as the significance of any data gaps that remain unresolved,</w:t>
      </w:r>
      <w:r>
        <w:t xml:space="preserve">”</w:t>
      </w:r>
      <w:r>
        <w:t xml:space="preserve"> </w:t>
      </w:r>
      <w:r>
        <w:t xml:space="preserve">and will</w:t>
      </w:r>
      <w:r>
        <w:t xml:space="preserve"> </w:t>
      </w:r>
      <w:r>
        <w:t xml:space="preserve">“</w:t>
      </w:r>
      <w:r>
        <w:t xml:space="preserve">independently assess the materiality of any unresolved data gaps</w:t>
      </w:r>
      <w:r>
        <w:t xml:space="preserve">”</w:t>
      </w:r>
      <w:r>
        <w:t xml:space="preserve"> </w:t>
      </w:r>
      <w:r>
        <w:t xml:space="preserve">(Lender Letter §2). An incomplete data-gap inventory understates the AAI limitations and the Lender’s risk-characterization gaps (see C-2, E-1).</w:t>
      </w:r>
    </w:p>
    <w:p>
      <w:pPr>
        <w:pStyle w:val="BodyText"/>
      </w:pPr>
      <w:r>
        <w:rPr>
          <w:b/>
          <w:bCs/>
        </w:rPr>
        <w:t xml:space="preserve">Recommendation.</w:t>
      </w:r>
      <w:r>
        <w:t xml:space="preserve"> </w:t>
      </w:r>
      <w:r>
        <w:t xml:space="preserve">Supplement the data-gap section to catalog all gaps above, describe efforts to resolve each, and assess significance. Attempt to retrieve the archived 2003 consent order and compliance certification from Ohio EPA Central Office (Ohio EPA Response §2; 30–45 business days). Attempt former-employee interviews.</w:t>
      </w:r>
    </w:p>
    <w:bookmarkEnd w:id="33"/>
    <w:bookmarkStart w:id="34" w:name="Xeb47e79f1cc80b0ddcb8942abb81e743a06864f"/>
    <w:p>
      <w:pPr>
        <w:pStyle w:val="Heading4"/>
      </w:pPr>
      <w:r>
        <w:t xml:space="preserve">B-8. Incomplete Environmental Database Review —</w:t>
      </w:r>
      <w:r>
        <w:t xml:space="preserve"> </w:t>
      </w:r>
      <w:r>
        <w:rPr>
          <w:b/>
          <w:bCs/>
        </w:rPr>
        <w:t xml:space="preserve">Medium</w:t>
      </w:r>
    </w:p>
    <w:p>
      <w:pPr>
        <w:pStyle w:val="FirstParagraph"/>
      </w:pPr>
      <w:r>
        <w:rPr>
          <w:b/>
          <w:bCs/>
        </w:rPr>
        <w:t xml:space="preserve">Identification.</w:t>
      </w:r>
      <w:r>
        <w:t xml:space="preserve"> </w:t>
      </w:r>
      <w:r>
        <w:t xml:space="preserve">The Phase I’s database discussion (§5.1.1 and Appendix A) addresses only four adjacent properties (Lake Erie Dry Cleaning; Toledo Coatings &amp; Adhesives; Lakeshore Freight Services; Norfolk Southern Railroad). The underlying EDR report (EDR Summary) identifies additional listings the Phase I does not discuss, including:</w:t>
      </w:r>
    </w:p>
    <w:p>
      <w:pPr>
        <w:pStyle w:val="Compact"/>
        <w:numPr>
          <w:ilvl w:val="0"/>
          <w:numId w:val="1003"/>
        </w:numPr>
      </w:pPr>
      <w:r>
        <w:rPr>
          <w:b/>
          <w:bCs/>
        </w:rPr>
        <w:t xml:space="preserve">Great Lakes Metal Finishing Inc., 4860 Lakeshore Industrial Drive (~350 ft ENE)</w:t>
      </w:r>
      <w:r>
        <w:t xml:space="preserve"> </w:t>
      </w:r>
      <w:r>
        <w:t xml:space="preserve">— an active RCRA Small Quantity Generator with chromium (D007) and lead (D008) waste codes, active since 1992 (EDR Summary, Adjacent A7). A nearby active chromium source at 350 ft is material in a corridor where the Property’s own chromium contamination is at issue.</w:t>
      </w:r>
    </w:p>
    <w:p>
      <w:pPr>
        <w:pStyle w:val="Compact"/>
        <w:numPr>
          <w:ilvl w:val="0"/>
          <w:numId w:val="1003"/>
        </w:numPr>
      </w:pPr>
      <w:r>
        <w:rPr>
          <w:b/>
          <w:bCs/>
        </w:rPr>
        <w:t xml:space="preserve">Lucas County Sanitary Sewer — Lakeshore Industrial Trunk Line (~75 ft south)</w:t>
      </w:r>
      <w:r>
        <w:t xml:space="preserve"> </w:t>
      </w:r>
      <w:r>
        <w:t xml:space="preserve">— flagged in the EDR report as a</w:t>
      </w:r>
      <w:r>
        <w:t xml:space="preserve"> </w:t>
      </w:r>
      <w:r>
        <w:rPr>
          <w:b/>
          <w:bCs/>
        </w:rPr>
        <w:t xml:space="preserve">“</w:t>
      </w:r>
      <w:r>
        <w:rPr>
          <w:b/>
          <w:bCs/>
        </w:rPr>
        <w:t xml:space="preserve">potential preferential pathway for contaminant migration</w:t>
      </w:r>
      <w:r>
        <w:rPr>
          <w:b/>
          <w:bCs/>
        </w:rPr>
        <w:t xml:space="preserve">”</w:t>
      </w:r>
      <w:r>
        <w:t xml:space="preserve"> </w:t>
      </w:r>
      <w:r>
        <w:t xml:space="preserve">(EDR Summary, Adjacent A9). A sewer trunk line 75 ft away is a recognized preferential pathway for VOC vapor and contaminant migration.</w:t>
      </w:r>
    </w:p>
    <w:p>
      <w:pPr>
        <w:pStyle w:val="Compact"/>
        <w:numPr>
          <w:ilvl w:val="0"/>
          <w:numId w:val="1003"/>
        </w:numPr>
      </w:pPr>
      <w:r>
        <w:rPr>
          <w:b/>
          <w:bCs/>
        </w:rPr>
        <w:t xml:space="preserve">Bayshore Auto Salvage</w:t>
      </w:r>
      <w:r>
        <w:t xml:space="preserve"> </w:t>
      </w:r>
      <w:r>
        <w:t xml:space="preserve">(closed LUST, 0.20 mi NE, plume migrating east/away);</w:t>
      </w:r>
      <w:r>
        <w:t xml:space="preserve"> </w:t>
      </w:r>
      <w:r>
        <w:rPr>
          <w:b/>
          <w:bCs/>
        </w:rPr>
        <w:t xml:space="preserve">Metro Petroleum</w:t>
      </w:r>
      <w:r>
        <w:t xml:space="preserve"> </w:t>
      </w:r>
      <w:r>
        <w:t xml:space="preserve">(compliant active station, 0.30 mi);</w:t>
      </w:r>
      <w:r>
        <w:t xml:space="preserve"> </w:t>
      </w:r>
      <w:r>
        <w:rPr>
          <w:b/>
          <w:bCs/>
        </w:rPr>
        <w:t xml:space="preserve">Former Sunoco Station #4477</w:t>
      </w:r>
      <w:r>
        <w:t xml:space="preserve"> </w:t>
      </w:r>
      <w:r>
        <w:t xml:space="preserve">(closed LUST, 0.25 mi SSW) (EDR Summary, Adjacent A5, A6, A8).</w:t>
      </w:r>
    </w:p>
    <w:p>
      <w:pPr>
        <w:pStyle w:val="Compact"/>
        <w:numPr>
          <w:ilvl w:val="0"/>
          <w:numId w:val="1003"/>
        </w:numPr>
      </w:pPr>
      <w:r>
        <w:rPr>
          <w:b/>
          <w:bCs/>
        </w:rPr>
        <w:t xml:space="preserve">Orphan sites</w:t>
      </w:r>
      <w:r>
        <w:t xml:space="preserve"> </w:t>
      </w:r>
      <w:r>
        <w:t xml:space="preserve">that could not be mapped, including</w:t>
      </w:r>
      <w:r>
        <w:t xml:space="preserve"> </w:t>
      </w:r>
      <w:r>
        <w:rPr>
          <w:b/>
          <w:bCs/>
        </w:rPr>
        <w:t xml:space="preserve">“</w:t>
      </w:r>
      <w:r>
        <w:rPr>
          <w:b/>
          <w:bCs/>
        </w:rPr>
        <w:t xml:space="preserve">Lakeshore Plating Works</w:t>
      </w:r>
      <w:r>
        <w:rPr>
          <w:b/>
          <w:bCs/>
        </w:rPr>
        <w:t xml:space="preserve">”</w:t>
      </w:r>
      <w:r>
        <w:t xml:space="preserve"> </w:t>
      </w:r>
      <w:r>
        <w:t xml:space="preserve">(RCRA-CESQG, 1998 biennial report — possibly an earlier/alternate name for an on-site or nearby facility) and</w:t>
      </w:r>
      <w:r>
        <w:t xml:space="preserve"> </w:t>
      </w:r>
      <w:r>
        <w:rPr>
          <w:b/>
          <w:bCs/>
        </w:rPr>
        <w:t xml:space="preserve">“</w:t>
      </w:r>
      <w:r>
        <w:rPr>
          <w:b/>
          <w:bCs/>
        </w:rPr>
        <w:t xml:space="preserve">Toledo Industrial Solvents</w:t>
      </w:r>
      <w:r>
        <w:rPr>
          <w:b/>
          <w:bCs/>
        </w:rPr>
        <w:t xml:space="preserve">”</w:t>
      </w:r>
      <w:r>
        <w:t xml:space="preserve"> </w:t>
      </w:r>
      <w:r>
        <w:t xml:space="preserve">(closed LUST, 1996) (EDR Summary, Orphan Sites).</w:t>
      </w:r>
    </w:p>
    <w:p>
      <w:pPr>
        <w:pStyle w:val="FirstParagraph"/>
      </w:pPr>
      <w:r>
        <w:rPr>
          <w:b/>
          <w:bCs/>
        </w:rPr>
        <w:t xml:space="preserve">Why it matters.</w:t>
      </w:r>
      <w:r>
        <w:t xml:space="preserve"> </w:t>
      </w:r>
      <w:r>
        <w:t xml:space="preserve">The Lender emphasized off-site sources and migration pathways (Lender Letter §2). Omitting a nearby active chromium source (Great Lakes Metal Finishing) and a preferential migration pathway (the sanitary sewer trunk line) is a completeness gap. The</w:t>
      </w:r>
      <w:r>
        <w:t xml:space="preserve"> </w:t>
      </w:r>
      <w:r>
        <w:t xml:space="preserve">“</w:t>
      </w:r>
      <w:r>
        <w:t xml:space="preserve">Lakeshore Plating Works</w:t>
      </w:r>
      <w:r>
        <w:t xml:space="preserve">”</w:t>
      </w:r>
      <w:r>
        <w:t xml:space="preserve"> </w:t>
      </w:r>
      <w:r>
        <w:t xml:space="preserve">orphan entry is intriguing given the Property’s electroplating history and warrants resolution.</w:t>
      </w:r>
    </w:p>
    <w:p>
      <w:pPr>
        <w:pStyle w:val="BodyText"/>
      </w:pPr>
      <w:r>
        <w:rPr>
          <w:b/>
          <w:bCs/>
        </w:rPr>
        <w:t xml:space="preserve">Recommendation.</w:t>
      </w:r>
      <w:r>
        <w:t xml:space="preserve"> </w:t>
      </w:r>
      <w:r>
        <w:t xml:space="preserve">Supplement the database discussion to address Great Lakes Metal Finishing, the sanitary-sewer preferential pathway, and the orphan sites (particularly</w:t>
      </w:r>
      <w:r>
        <w:t xml:space="preserve"> </w:t>
      </w:r>
      <w:r>
        <w:t xml:space="preserve">“</w:t>
      </w:r>
      <w:r>
        <w:t xml:space="preserve">Lakeshore Plating Works</w:t>
      </w:r>
      <w:r>
        <w:t xml:space="preserve">”</w:t>
      </w:r>
      <w:r>
        <w:t xml:space="preserve">). Confirm whether</w:t>
      </w:r>
      <w:r>
        <w:t xml:space="preserve"> </w:t>
      </w:r>
      <w:r>
        <w:t xml:space="preserve">“</w:t>
      </w:r>
      <w:r>
        <w:t xml:space="preserve">Lakeshore Plating Works</w:t>
      </w:r>
      <w:r>
        <w:t xml:space="preserve">”</w:t>
      </w:r>
      <w:r>
        <w:t xml:space="preserve"> </w:t>
      </w:r>
      <w:r>
        <w:t xml:space="preserve">relates to the Property or to Great Lakes Metal Finishing.</w:t>
      </w:r>
    </w:p>
    <w:bookmarkEnd w:id="34"/>
    <w:bookmarkStart w:id="35" w:name="X2426e77420c6d110bd80e6c0b320fdc9c4d4f94"/>
    <w:p>
      <w:pPr>
        <w:pStyle w:val="Heading4"/>
      </w:pPr>
      <w:r>
        <w:t xml:space="preserve">B-9. Asbestos-Containing Materials / Lead-Based Paint Non-Scope Observations Omitted —</w:t>
      </w:r>
      <w:r>
        <w:t xml:space="preserve"> </w:t>
      </w:r>
      <w:r>
        <w:rPr>
          <w:b/>
          <w:bCs/>
        </w:rPr>
        <w:t xml:space="preserve">Low</w:t>
      </w:r>
    </w:p>
    <w:p>
      <w:pPr>
        <w:pStyle w:val="FirstParagraph"/>
      </w:pPr>
      <w:r>
        <w:rPr>
          <w:b/>
          <w:bCs/>
        </w:rPr>
        <w:t xml:space="preserve">Identification.</w:t>
      </w:r>
      <w:r>
        <w:t xml:space="preserve"> </w:t>
      </w:r>
      <w:r>
        <w:t xml:space="preserve">The Phase I states that no asbestos or lead-based paint surveys were performed (§2.2) but, unlike a well-prepared report, does</w:t>
      </w:r>
      <w:r>
        <w:t xml:space="preserve"> </w:t>
      </w:r>
      <w:r>
        <w:rPr>
          <w:b/>
          <w:bCs/>
        </w:rPr>
        <w:t xml:space="preserve">not</w:t>
      </w:r>
      <w:r>
        <w:t xml:space="preserve"> </w:t>
      </w:r>
      <w:r>
        <w:t xml:space="preserve">flag ACM or LBP as non-scope business-environmental-risk observations. The buildings were constructed in 1962, 1972, 1978, and 1985 — ages at which ACM and lead-based paint are likely present.</w:t>
      </w:r>
    </w:p>
    <w:p>
      <w:pPr>
        <w:pStyle w:val="BodyText"/>
      </w:pPr>
      <w:r>
        <w:rPr>
          <w:b/>
          <w:bCs/>
        </w:rPr>
        <w:t xml:space="preserve">Why it matters.</w:t>
      </w:r>
      <w:r>
        <w:t xml:space="preserve"> </w:t>
      </w:r>
      <w:r>
        <w:t xml:space="preserve">ACM and LBP are non-scope under ASTM E1527-21 and not part of AAI, but they are standard business-environmental-risk notes and are material to any renovation, demolition, tenant improvement, or change in occupancy. Their omission is a minor completeness gap.</w:t>
      </w:r>
    </w:p>
    <w:p>
      <w:pPr>
        <w:pStyle w:val="BodyText"/>
      </w:pPr>
      <w:r>
        <w:rPr>
          <w:b/>
          <w:bCs/>
        </w:rPr>
        <w:t xml:space="preserve">Recommendation.</w:t>
      </w:r>
      <w:r>
        <w:t xml:space="preserve"> </w:t>
      </w:r>
      <w:r>
        <w:t xml:space="preserve">Note ACM/LBP as non-scope business environmental risks in the supplemental report; commission an ACM/LBP survey before any renovation or demolition.</w:t>
      </w:r>
    </w:p>
    <w:bookmarkEnd w:id="35"/>
    <w:bookmarkEnd w:id="36"/>
    <w:bookmarkStart w:id="41" w:name="Xccd17e8373398611b9691c19aac66c289d34eba"/>
    <w:p>
      <w:pPr>
        <w:pStyle w:val="Heading3"/>
      </w:pPr>
      <w:r>
        <w:t xml:space="preserve">C. Lender (Great Lakes Capital Bank) Requirements Compliance</w:t>
      </w:r>
    </w:p>
    <w:bookmarkStart w:id="37" w:name="Xb11f57ff66c8d0bee3e4eaf1cbd5ae5be9df480"/>
    <w:p>
      <w:pPr>
        <w:pStyle w:val="Heading4"/>
      </w:pPr>
      <w:r>
        <w:t xml:space="preserve">C-1. RECs Trigger a Cascade of Mandatory Lender Requirements Not Yet Satisfied —</w:t>
      </w:r>
      <w:r>
        <w:t xml:space="preserve"> </w:t>
      </w:r>
      <w:r>
        <w:rPr>
          <w:b/>
          <w:bCs/>
        </w:rPr>
        <w:t xml:space="preserve">High</w:t>
      </w:r>
    </w:p>
    <w:p>
      <w:pPr>
        <w:pStyle w:val="FirstParagraph"/>
      </w:pPr>
      <w:r>
        <w:rPr>
          <w:b/>
          <w:bCs/>
        </w:rPr>
        <w:t xml:space="preserve">Identification.</w:t>
      </w:r>
      <w:r>
        <w:t xml:space="preserve"> </w:t>
      </w:r>
      <w:r>
        <w:t xml:space="preserve">The Lender will</w:t>
      </w:r>
      <w:r>
        <w:t xml:space="preserve"> </w:t>
      </w:r>
      <w:r>
        <w:rPr>
          <w:b/>
          <w:bCs/>
        </w:rPr>
        <w:t xml:space="preserve">not</w:t>
      </w:r>
      <w:r>
        <w:t xml:space="preserve"> </w:t>
      </w:r>
      <w:r>
        <w:t xml:space="preserve">fund the Loan based solely on a Phase I that identifies RECs (Lender Letter §3.B). Because RECs are identified (A-1, A-2, and the underclassified B-1, B-2, B-3), the following become</w:t>
      </w:r>
      <w:r>
        <w:t xml:space="preserve"> </w:t>
      </w:r>
      <w:r>
        <w:rPr>
          <w:b/>
          <w:bCs/>
        </w:rPr>
        <w:t xml:space="preserve">mandatory conditions precedent</w:t>
      </w:r>
      <w:r>
        <w:t xml:space="preserve"> </w:t>
      </w:r>
      <w:r>
        <w:t xml:space="preserve">to funding, none of which has been satisfied:</w:t>
      </w:r>
    </w:p>
    <w:p>
      <w:pPr>
        <w:pStyle w:val="Compact"/>
        <w:numPr>
          <w:ilvl w:val="0"/>
          <w:numId w:val="1004"/>
        </w:numPr>
      </w:pPr>
      <w:r>
        <w:rPr>
          <w:b/>
          <w:bCs/>
        </w:rPr>
        <w:t xml:space="preserve">Phase II ESA (ASTM E1903-19)</w:t>
      </w:r>
      <w:r>
        <w:t xml:space="preserve"> </w:t>
      </w:r>
      <w:r>
        <w:t xml:space="preserve">with quantified remediation cost estimates — best-case, most-likely, and worst-case — each identifying assumed methodology, applicable standards, and time to completion (Lender Letter §3.B.1).</w:t>
      </w:r>
    </w:p>
    <w:p>
      <w:pPr>
        <w:pStyle w:val="Compact"/>
        <w:numPr>
          <w:ilvl w:val="0"/>
          <w:numId w:val="1004"/>
        </w:numPr>
      </w:pPr>
      <w:r>
        <w:rPr>
          <w:b/>
          <w:bCs/>
        </w:rPr>
        <w:t xml:space="preserve">Pollution Legal Liability (</w:t>
      </w:r>
      <w:r>
        <w:rPr>
          <w:b/>
          <w:bCs/>
        </w:rPr>
        <w:t xml:space="preserve">“</w:t>
      </w:r>
      <w:r>
        <w:rPr>
          <w:b/>
          <w:bCs/>
        </w:rPr>
        <w:t xml:space="preserve">PLL</w:t>
      </w:r>
      <w:r>
        <w:rPr>
          <w:b/>
          <w:bCs/>
        </w:rPr>
        <w:t xml:space="preserve">”</w:t>
      </w:r>
      <w:r>
        <w:rPr>
          <w:b/>
          <w:bCs/>
        </w:rPr>
        <w:t xml:space="preserve">) insurance</w:t>
      </w:r>
      <w:r>
        <w:t xml:space="preserve"> </w:t>
      </w:r>
      <w:r>
        <w:t xml:space="preserve">from a carrier rated A− or better, with limits of not less than the greater of the worst-case estimate or</w:t>
      </w:r>
      <w:r>
        <w:t xml:space="preserve"> </w:t>
      </w:r>
      <w:r>
        <w:rPr>
          <w:b/>
          <w:bCs/>
        </w:rPr>
        <w:t xml:space="preserve">$5,000,000</w:t>
      </w:r>
      <w:r>
        <w:t xml:space="preserve">, term ≥ 10 years, with the Bank as additional insured and loss payee (Lender Letter §3.B.2). The Lender</w:t>
      </w:r>
      <w:r>
        <w:t xml:space="preserve"> </w:t>
      </w:r>
      <w:r>
        <w:t xml:space="preserve">“</w:t>
      </w:r>
      <w:r>
        <w:t xml:space="preserve">will not rely solely on seller indemnification provisions</w:t>
      </w:r>
      <w:r>
        <w:t xml:space="preserve">”</w:t>
      </w:r>
      <w:r>
        <w:t xml:space="preserve"> </w:t>
      </w:r>
      <w:r>
        <w:t xml:space="preserve">(see D-6).</w:t>
      </w:r>
    </w:p>
    <w:p>
      <w:pPr>
        <w:pStyle w:val="Compact"/>
        <w:numPr>
          <w:ilvl w:val="0"/>
          <w:numId w:val="1004"/>
        </w:numPr>
      </w:pPr>
      <w:r>
        <w:rPr>
          <w:b/>
          <w:bCs/>
        </w:rPr>
        <w:t xml:space="preserve">Environmental Escrow</w:t>
      </w:r>
      <w:r>
        <w:t xml:space="preserve"> </w:t>
      </w:r>
      <w:r>
        <w:t xml:space="preserve">at</w:t>
      </w:r>
      <w:r>
        <w:t xml:space="preserve"> </w:t>
      </w:r>
      <w:r>
        <w:rPr>
          <w:b/>
          <w:bCs/>
        </w:rPr>
        <w:t xml:space="preserve">125% of the most-likely remediation cost estimate</w:t>
      </w:r>
      <w:r>
        <w:t xml:space="preserve"> </w:t>
      </w:r>
      <w:r>
        <w:t xml:space="preserve">if that estimate exceeds $250,000 (Lender Letter §3.B.3).</w:t>
      </w:r>
    </w:p>
    <w:p>
      <w:pPr>
        <w:pStyle w:val="Compact"/>
        <w:numPr>
          <w:ilvl w:val="0"/>
          <w:numId w:val="1004"/>
        </w:numPr>
      </w:pPr>
      <w:r>
        <w:rPr>
          <w:b/>
          <w:bCs/>
        </w:rPr>
        <w:t xml:space="preserve">Remediation Plan</w:t>
      </w:r>
      <w:r>
        <w:t xml:space="preserve"> </w:t>
      </w:r>
      <w:r>
        <w:t xml:space="preserve">(licensed professional; Ohio EPA approval if applicable; completion within 36 months) if estimated costs exceed $500,000 under either the most-likely or worst-case scenario (Lender Letter §3.B.4).</w:t>
      </w:r>
    </w:p>
    <w:p>
      <w:pPr>
        <w:pStyle w:val="Compact"/>
        <w:numPr>
          <w:ilvl w:val="0"/>
          <w:numId w:val="1004"/>
        </w:numPr>
      </w:pPr>
      <w:r>
        <w:rPr>
          <w:b/>
          <w:bCs/>
        </w:rPr>
        <w:t xml:space="preserve">Vapor-Intrusion Assessment</w:t>
      </w:r>
      <w:r>
        <w:t xml:space="preserve"> </w:t>
      </w:r>
      <w:r>
        <w:t xml:space="preserve">(and mitigation plan if warranted) — triggered by the on-site TCE and off-site PCE (see B-6) (Lender Letter §3.B.5).</w:t>
      </w:r>
    </w:p>
    <w:p>
      <w:pPr>
        <w:pStyle w:val="FirstParagraph"/>
      </w:pPr>
      <w:r>
        <w:rPr>
          <w:b/>
          <w:bCs/>
        </w:rPr>
        <w:t xml:space="preserve">Delivery deadline.</w:t>
      </w:r>
      <w:r>
        <w:t xml:space="preserve"> </w:t>
      </w:r>
      <w:r>
        <w:t xml:space="preserve">The Phase II ESA, PLL binder, and escrow evidence must be delivered</w:t>
      </w:r>
      <w:r>
        <w:t xml:space="preserve"> </w:t>
      </w:r>
      <w:r>
        <w:rPr>
          <w:b/>
          <w:bCs/>
        </w:rPr>
        <w:t xml:space="preserve">no later than November 30, 2024</w:t>
      </w:r>
      <w:r>
        <w:t xml:space="preserve"> </w:t>
      </w:r>
      <w:r>
        <w:t xml:space="preserve">(15 days before the December 15, 2024 closing) (Lender Letter §5). The Phase I was delivered October 25, 2024 — leaving approximately five weeks to complete a Phase II involving soil/groundwater sampling, monitoring-well installation, laboratory analysis, and three-scenario cost estimates.</w:t>
      </w:r>
    </w:p>
    <w:p>
      <w:pPr>
        <w:pStyle w:val="BodyText"/>
      </w:pPr>
      <w:r>
        <w:rPr>
          <w:b/>
          <w:bCs/>
        </w:rPr>
        <w:t xml:space="preserve">Why it matters.</w:t>
      </w:r>
      <w:r>
        <w:t xml:space="preserve"> </w:t>
      </w:r>
      <w:r>
        <w:t xml:space="preserve">These are non-negotiable conditions precedent. Failure to deliver by the deadlines gives the Lender the right to extend closing or decline to fund (Lender Letter §5, §7). The timeline is aggressive.</w:t>
      </w:r>
    </w:p>
    <w:p>
      <w:pPr>
        <w:pStyle w:val="BodyText"/>
      </w:pPr>
      <w:r>
        <w:rPr>
          <w:b/>
          <w:bCs/>
        </w:rPr>
        <w:t xml:space="preserve">Recommendation.</w:t>
      </w:r>
      <w:r>
        <w:t xml:space="preserve"> </w:t>
      </w:r>
      <w:r>
        <w:t xml:space="preserve">Immediately commission the Phase II ESA and the vapor-intrusion assessment; concurrently begin PLL insurance underwriting and escrow analysis; and manage to the November 30, 2024 deadline. Confirm whether the most-likely and worst-case estimates trigger the escrow ($250K) and remediation-plan ($500K) thresholds.</w:t>
      </w:r>
    </w:p>
    <w:bookmarkEnd w:id="37"/>
    <w:bookmarkStart w:id="38" w:name="X6f90661ea622029f4192e981db2200412c74e46"/>
    <w:p>
      <w:pPr>
        <w:pStyle w:val="Heading4"/>
      </w:pPr>
      <w:r>
        <w:t xml:space="preserve">C-2. Unresolved Data Gaps May Trigger the Lender’s</w:t>
      </w:r>
      <w:r>
        <w:t xml:space="preserve"> </w:t>
      </w:r>
      <w:r>
        <w:t xml:space="preserve">“</w:t>
      </w:r>
      <w:r>
        <w:t xml:space="preserve">Unacceptable Environmental Risk</w:t>
      </w:r>
      <w:r>
        <w:t xml:space="preserve">”</w:t>
      </w:r>
      <w:r>
        <w:t xml:space="preserve"> </w:t>
      </w:r>
      <w:r>
        <w:t xml:space="preserve">Determination —</w:t>
      </w:r>
      <w:r>
        <w:t xml:space="preserve"> </w:t>
      </w:r>
      <w:r>
        <w:rPr>
          <w:b/>
          <w:bCs/>
        </w:rPr>
        <w:t xml:space="preserve">Medium-High</w:t>
      </w:r>
    </w:p>
    <w:p>
      <w:pPr>
        <w:pStyle w:val="FirstParagraph"/>
      </w:pPr>
      <w:r>
        <w:rPr>
          <w:b/>
          <w:bCs/>
        </w:rPr>
        <w:t xml:space="preserve">Identification.</w:t>
      </w:r>
      <w:r>
        <w:t xml:space="preserve"> </w:t>
      </w:r>
      <w:r>
        <w:t xml:space="preserve">The Lender may decline to fund if there are</w:t>
      </w:r>
      <w:r>
        <w:t xml:space="preserve"> </w:t>
      </w:r>
      <w:r>
        <w:rPr>
          <w:b/>
          <w:bCs/>
        </w:rPr>
        <w:t xml:space="preserve">“</w:t>
      </w:r>
      <w:r>
        <w:rPr>
          <w:b/>
          <w:bCs/>
        </w:rPr>
        <w:t xml:space="preserve">unresolved data gaps that, in the Bank’s judgment, prevent adequate characterization of the environmental risk</w:t>
      </w:r>
      <w:r>
        <w:rPr>
          <w:b/>
          <w:bCs/>
        </w:rPr>
        <w:t xml:space="preserve">”</w:t>
      </w:r>
      <w:r>
        <w:t xml:space="preserve"> </w:t>
      </w:r>
      <w:r>
        <w:t xml:space="preserve">(Lender Letter §3.C(d)), and will</w:t>
      </w:r>
      <w:r>
        <w:t xml:space="preserve"> </w:t>
      </w:r>
      <w:r>
        <w:t xml:space="preserve">“</w:t>
      </w:r>
      <w:r>
        <w:t xml:space="preserve">independently assess the materiality of any unresolved data gaps</w:t>
      </w:r>
      <w:r>
        <w:t xml:space="preserve">”</w:t>
      </w:r>
      <w:r>
        <w:t xml:space="preserve"> </w:t>
      </w:r>
      <w:r>
        <w:t xml:space="preserve">(Lender Letter §2). The unresolved gaps include the withheld corporate records, the unproduced 2003 consent order/compliance certification, the unknown UST statuses (B-2, B-4), the unexplained MW-1 (B-5), and the undelineated on-site PCE plume (B-1).</w:t>
      </w:r>
    </w:p>
    <w:p>
      <w:pPr>
        <w:pStyle w:val="BodyText"/>
      </w:pPr>
      <w:r>
        <w:rPr>
          <w:b/>
          <w:bCs/>
        </w:rPr>
        <w:t xml:space="preserve">Why it matters.</w:t>
      </w:r>
      <w:r>
        <w:t xml:space="preserve"> </w:t>
      </w:r>
      <w:r>
        <w:t xml:space="preserve">The Lender retains sole discretion to deem the risk</w:t>
      </w:r>
      <w:r>
        <w:t xml:space="preserve"> </w:t>
      </w:r>
      <w:r>
        <w:t xml:space="preserve">“</w:t>
      </w:r>
      <w:r>
        <w:t xml:space="preserve">unacceptable</w:t>
      </w:r>
      <w:r>
        <w:t xml:space="preserve">”</w:t>
      </w:r>
      <w:r>
        <w:t xml:space="preserve"> </w:t>
      </w:r>
      <w:r>
        <w:t xml:space="preserve">(Lender Letter §3.C). A cluster of unresolved gaps — particularly the undelineated PCE plume and the unproduced consent order — could support such a determination even with a Phase II in progress.</w:t>
      </w:r>
    </w:p>
    <w:p>
      <w:pPr>
        <w:pStyle w:val="BodyText"/>
      </w:pPr>
      <w:r>
        <w:rPr>
          <w:b/>
          <w:bCs/>
        </w:rPr>
        <w:t xml:space="preserve">Recommendation.</w:t>
      </w:r>
      <w:r>
        <w:t xml:space="preserve"> </w:t>
      </w:r>
      <w:r>
        <w:t xml:space="preserve">Prioritize closing the highest-materiality gaps (PCE plume delineation; consent-order retrieval; UST geophysical survey) before the Lender’s review. Document all efforts to resolve each gap.</w:t>
      </w:r>
    </w:p>
    <w:bookmarkEnd w:id="38"/>
    <w:bookmarkStart w:id="39" w:name="Xdb831e4a05da5fb6437c720d0e18537f2adfd10"/>
    <w:p>
      <w:pPr>
        <w:pStyle w:val="Heading4"/>
      </w:pPr>
      <w:r>
        <w:t xml:space="preserve">C-3. Separate Reliance Letter to the Lender — Delivery Unconfirmed —</w:t>
      </w:r>
      <w:r>
        <w:t xml:space="preserve"> </w:t>
      </w:r>
      <w:r>
        <w:rPr>
          <w:b/>
          <w:bCs/>
        </w:rPr>
        <w:t xml:space="preserve">Low</w:t>
      </w:r>
    </w:p>
    <w:p>
      <w:pPr>
        <w:pStyle w:val="FirstParagraph"/>
      </w:pPr>
      <w:r>
        <w:rPr>
          <w:b/>
          <w:bCs/>
        </w:rPr>
        <w:t xml:space="preserve">Identification.</w:t>
      </w:r>
      <w:r>
        <w:t xml:space="preserve"> </w:t>
      </w:r>
      <w:r>
        <w:t xml:space="preserve">The Lender requires reliance language in the body of the report</w:t>
      </w:r>
      <w:r>
        <w:t xml:space="preserve"> </w:t>
      </w:r>
      <w:r>
        <w:rPr>
          <w:b/>
          <w:bCs/>
        </w:rPr>
        <w:t xml:space="preserve">and</w:t>
      </w:r>
      <w:r>
        <w:t xml:space="preserve"> </w:t>
      </w:r>
      <w:r>
        <w:t xml:space="preserve">“</w:t>
      </w:r>
      <w:r>
        <w:t xml:space="preserve">a separate reliance letter addressed to the Bank, if required by the environmental consultant</w:t>
      </w:r>
      <w:r>
        <w:t xml:space="preserve">”</w:t>
      </w:r>
      <w:r>
        <w:t xml:space="preserve"> </w:t>
      </w:r>
      <w:r>
        <w:t xml:space="preserve">(Lender Letter §2). The Phase I names the Bank as authorized reliance party on the cover and in §2.3, but it is unclear whether a separate reliance letter was delivered.</w:t>
      </w:r>
    </w:p>
    <w:p>
      <w:pPr>
        <w:pStyle w:val="BodyText"/>
      </w:pPr>
      <w:r>
        <w:rPr>
          <w:b/>
          <w:bCs/>
        </w:rPr>
        <w:t xml:space="preserve">Recommendation.</w:t>
      </w:r>
      <w:r>
        <w:t xml:space="preserve"> </w:t>
      </w:r>
      <w:r>
        <w:t xml:space="preserve">Confirm whether a separate reliance letter is required by Greenfield and, if so, obtain and deliver it to the Lender.</w:t>
      </w:r>
    </w:p>
    <w:bookmarkEnd w:id="39"/>
    <w:bookmarkStart w:id="40" w:name="Xd4fbfdd595889736524738cd3358611fb184d59"/>
    <w:p>
      <w:pPr>
        <w:pStyle w:val="Heading4"/>
      </w:pPr>
      <w:r>
        <w:t xml:space="preserve">C-4. Post-Closing UST Covenant — Active 10,000-Gallon Diesel UST —</w:t>
      </w:r>
      <w:r>
        <w:t xml:space="preserve"> </w:t>
      </w:r>
      <w:r>
        <w:rPr>
          <w:b/>
          <w:bCs/>
        </w:rPr>
        <w:t xml:space="preserve">Low</w:t>
      </w:r>
    </w:p>
    <w:p>
      <w:pPr>
        <w:pStyle w:val="FirstParagraph"/>
      </w:pPr>
      <w:r>
        <w:rPr>
          <w:b/>
          <w:bCs/>
        </w:rPr>
        <w:t xml:space="preserve">Identification.</w:t>
      </w:r>
      <w:r>
        <w:t xml:space="preserve"> </w:t>
      </w:r>
      <w:r>
        <w:t xml:space="preserve">The loan documents will include a covenant that the Borrower</w:t>
      </w:r>
      <w:r>
        <w:t xml:space="preserve"> </w:t>
      </w:r>
      <w:r>
        <w:rPr>
          <w:b/>
          <w:bCs/>
        </w:rPr>
        <w:t xml:space="preserve">“</w:t>
      </w:r>
      <w:r>
        <w:rPr>
          <w:b/>
          <w:bCs/>
        </w:rPr>
        <w:t xml:space="preserve">not to install, use, operate, or close any underground storage tanks (USTs) at the Property without the Bank’s prior written consent</w:t>
      </w:r>
      <w:r>
        <w:rPr>
          <w:b/>
          <w:bCs/>
        </w:rPr>
        <w:t xml:space="preserve">”</w:t>
      </w:r>
      <w:r>
        <w:t xml:space="preserve"> </w:t>
      </w:r>
      <w:r>
        <w:t xml:space="preserve">(Lender Letter §6(d)). The Property has an active, registered, compliant 10,000-gallon diesel UST (Facility ID 48-22-10-0087; installed 1978; upgraded 1998; last inspection May 2022, no violations) (Phase I ESA §6.2.2, §9.5; Ohio EPA Response §3; Purchase Agreement Schedule 4.13).</w:t>
      </w:r>
    </w:p>
    <w:p>
      <w:pPr>
        <w:pStyle w:val="BodyText"/>
      </w:pPr>
      <w:r>
        <w:rPr>
          <w:b/>
          <w:bCs/>
        </w:rPr>
        <w:t xml:space="preserve">Why it matters.</w:t>
      </w:r>
      <w:r>
        <w:t xml:space="preserve"> </w:t>
      </w:r>
      <w:r>
        <w:t xml:space="preserve">The active UST is a post-closing compliance obligation; any future UST activity (including closure) requires Lender consent. The UST is also approximately 46 years old (see F-3).</w:t>
      </w:r>
    </w:p>
    <w:p>
      <w:pPr>
        <w:pStyle w:val="BodyText"/>
      </w:pPr>
      <w:r>
        <w:rPr>
          <w:b/>
          <w:bCs/>
        </w:rPr>
        <w:t xml:space="preserve">Recommendation.</w:t>
      </w:r>
      <w:r>
        <w:t xml:space="preserve"> </w:t>
      </w:r>
      <w:r>
        <w:t xml:space="preserve">Factor the UST-consent covenant into post-closing operational planning; monitor registration/inspection status.</w:t>
      </w:r>
    </w:p>
    <w:bookmarkEnd w:id="40"/>
    <w:bookmarkEnd w:id="41"/>
    <w:bookmarkStart w:id="52" w:name="Xb5d1e0c35cf3daf6eca98959ddab0e6b29c369f"/>
    <w:p>
      <w:pPr>
        <w:pStyle w:val="Heading3"/>
      </w:pPr>
      <w:r>
        <w:t xml:space="preserve">D. Purchase Agreement — Representations, Warranties &amp; Indemnification</w:t>
      </w:r>
    </w:p>
    <w:p>
      <w:pPr>
        <w:pStyle w:val="FirstParagraph"/>
      </w:pPr>
      <w:r>
        <w:t xml:space="preserve">The Seller’s environmental representations are made</w:t>
      </w:r>
      <w:r>
        <w:t xml:space="preserve"> </w:t>
      </w:r>
      <w:r>
        <w:t xml:space="preserve">“</w:t>
      </w:r>
      <w:r>
        <w:t xml:space="preserve">to Seller’s knowledge</w:t>
      </w:r>
      <w:r>
        <w:t xml:space="preserve">”</w:t>
      </w:r>
      <w:r>
        <w:t xml:space="preserve"> </w:t>
      </w:r>
      <w:r>
        <w:t xml:space="preserve">as of the Effective Date (September 1, 2024) and the Closing Date, and are subject to the indemnification framework in Article VIII: a</w:t>
      </w:r>
      <w:r>
        <w:t xml:space="preserve"> </w:t>
      </w:r>
      <w:r>
        <w:rPr>
          <w:b/>
          <w:bCs/>
        </w:rPr>
        <w:t xml:space="preserve">Basket of $87,500</w:t>
      </w:r>
      <w:r>
        <w:t xml:space="preserve"> </w:t>
      </w:r>
      <w:r>
        <w:t xml:space="preserve">(true deductible, applying only to §8.2(a)(i) rep breaches), an</w:t>
      </w:r>
      <w:r>
        <w:t xml:space="preserve"> </w:t>
      </w:r>
      <w:r>
        <w:rPr>
          <w:b/>
          <w:bCs/>
        </w:rPr>
        <w:t xml:space="preserve">Indemnification Cap of $1,750,000</w:t>
      </w:r>
      <w:r>
        <w:t xml:space="preserve"> </w:t>
      </w:r>
      <w:r>
        <w:t xml:space="preserve">(20% of the purchase price, applying to all §8.2 claims including Pre-Closing Environmental Liabilities), and a</w:t>
      </w:r>
      <w:r>
        <w:t xml:space="preserve"> </w:t>
      </w:r>
      <w:r>
        <w:rPr>
          <w:b/>
          <w:bCs/>
        </w:rPr>
        <w:t xml:space="preserve">Survival Period of 3 years</w:t>
      </w:r>
      <w:r>
        <w:t xml:space="preserve"> </w:t>
      </w:r>
      <w:r>
        <w:t xml:space="preserve">— with an exception for</w:t>
      </w:r>
      <w:r>
        <w:t xml:space="preserve"> </w:t>
      </w:r>
      <w:r>
        <w:rPr>
          <w:b/>
          <w:bCs/>
        </w:rPr>
        <w:t xml:space="preserve">fraud or intentional misrepresentation</w:t>
      </w:r>
      <w:r>
        <w:t xml:space="preserve"> </w:t>
      </w:r>
      <w:r>
        <w:t xml:space="preserve">that pierces all three limitations (Purchase Agreement §§8.4(a)–(d)).</w:t>
      </w:r>
    </w:p>
    <w:bookmarkStart w:id="42" w:name="X023df6932bc93d936296517421487089126fe16"/>
    <w:p>
      <w:pPr>
        <w:pStyle w:val="Heading4"/>
      </w:pPr>
      <w:r>
        <w:t xml:space="preserve">D-1. § 4.12(a) Environmental Representation — Potentially Breached —</w:t>
      </w:r>
      <w:r>
        <w:t xml:space="preserve"> </w:t>
      </w:r>
      <w:r>
        <w:rPr>
          <w:b/>
          <w:bCs/>
        </w:rPr>
        <w:t xml:space="preserve">High</w:t>
      </w:r>
    </w:p>
    <w:p>
      <w:pPr>
        <w:pStyle w:val="FirstParagraph"/>
      </w:pPr>
      <w:r>
        <w:rPr>
          <w:b/>
          <w:bCs/>
        </w:rPr>
        <w:t xml:space="preserve">Identification.</w:t>
      </w:r>
      <w:r>
        <w:t xml:space="preserve"> </w:t>
      </w:r>
      <w:r>
        <w:t xml:space="preserve">Seller represents that, to its knowledge,</w:t>
      </w:r>
      <w:r>
        <w:t xml:space="preserve"> </w:t>
      </w:r>
      <w:r>
        <w:rPr>
          <w:b/>
          <w:bCs/>
        </w:rPr>
        <w:t xml:space="preserve">“</w:t>
      </w:r>
      <w:r>
        <w:rPr>
          <w:b/>
          <w:bCs/>
        </w:rPr>
        <w:t xml:space="preserve">there has been no Release of any Hazardous Substances at, on, under, or from the Property, and no Hazardous Substances are present … in concentrations that exceed applicable Environmental Law standards or that would require investigation or remediation</w:t>
      </w:r>
      <w:r>
        <w:rPr>
          <w:b/>
          <w:bCs/>
        </w:rPr>
        <w:t xml:space="preserve">”</w:t>
      </w:r>
      <w:r>
        <w:t xml:space="preserve"> </w:t>
      </w:r>
      <w:r>
        <w:t xml:space="preserve">(Purchase Agreement §4.12(a); Schedule 4.12(a):</w:t>
      </w:r>
      <w:r>
        <w:t xml:space="preserve"> </w:t>
      </w:r>
      <w:r>
        <w:t xml:space="preserve">“</w:t>
      </w:r>
      <w:r>
        <w:t xml:space="preserve">None</w:t>
      </w:r>
      <w:r>
        <w:t xml:space="preserve">”</w:t>
      </w:r>
      <w:r>
        <w:t xml:space="preserve">).</w:t>
      </w:r>
    </w:p>
    <w:p>
      <w:pPr>
        <w:pStyle w:val="BodyText"/>
      </w:pPr>
      <w:r>
        <w:rPr>
          <w:b/>
          <w:bCs/>
        </w:rPr>
        <w:t xml:space="preserve">Why it matters.</w:t>
      </w:r>
      <w:r>
        <w:t xml:space="preserve"> </w:t>
      </w:r>
      <w:r>
        <w:t xml:space="preserve">This is contradicted by the documented record: the TCE release evidence (A-1: PID 42.3 ppm, leaking waste-TCE drum, stained soil, 1988 spill); the chromium release evidence (A-2: staining, sump liquid, 2003 NOV leaking drums with ground staining); and the 39-year manifest gap. The</w:t>
      </w:r>
      <w:r>
        <w:t xml:space="preserve"> </w:t>
      </w:r>
      <w:r>
        <w:t xml:space="preserve">“</w:t>
      </w:r>
      <w:r>
        <w:t xml:space="preserve">to Seller’s knowledge</w:t>
      </w:r>
      <w:r>
        <w:t xml:space="preserve">”</w:t>
      </w:r>
      <w:r>
        <w:t xml:space="preserve"> </w:t>
      </w:r>
      <w:r>
        <w:t xml:space="preserve">qualifier is weakened by Seller’s principal’s documented awareness of the 1988 spill and the 2003 NOV (see D-8). A breach supports an indemnification claim under §8.2(a)(i) and/or §8.2(a)(iii) (Pre-Closing Environmental Liabilities), subject to the basket/cap/survival — unless fraud/intentional misrepresentation is established (§8.4(d)).</w:t>
      </w:r>
    </w:p>
    <w:p>
      <w:pPr>
        <w:pStyle w:val="BodyText"/>
      </w:pPr>
      <w:r>
        <w:rPr>
          <w:b/>
          <w:bCs/>
        </w:rPr>
        <w:t xml:space="preserve">Recommendation.</w:t>
      </w:r>
      <w:r>
        <w:t xml:space="preserve"> </w:t>
      </w:r>
      <w:r>
        <w:t xml:space="preserve">Demand that Seller correct Schedule 4.12(a) to disclose the documented releases, or obtain a specific indemnity/escrow for the identified conditions. Preserve all evidence of Seller’s knowledge for a potential §8.4(d) claim.</w:t>
      </w:r>
    </w:p>
    <w:bookmarkEnd w:id="42"/>
    <w:bookmarkStart w:id="43" w:name="X56f161d1a87449765e0d992c07b7bda731dfb9e"/>
    <w:p>
      <w:pPr>
        <w:pStyle w:val="Heading4"/>
      </w:pPr>
      <w:r>
        <w:t xml:space="preserve">D-2. § 4.12(b) Compliance Representation — Potentially Breached —</w:t>
      </w:r>
      <w:r>
        <w:t xml:space="preserve"> </w:t>
      </w:r>
      <w:r>
        <w:rPr>
          <w:b/>
          <w:bCs/>
        </w:rPr>
        <w:t xml:space="preserve">High</w:t>
      </w:r>
    </w:p>
    <w:p>
      <w:pPr>
        <w:pStyle w:val="FirstParagraph"/>
      </w:pPr>
      <w:r>
        <w:rPr>
          <w:b/>
          <w:bCs/>
        </w:rPr>
        <w:t xml:space="preserve">Identification.</w:t>
      </w:r>
      <w:r>
        <w:t xml:space="preserve"> </w:t>
      </w:r>
      <w:r>
        <w:t xml:space="preserve">Seller represents that it</w:t>
      </w:r>
      <w:r>
        <w:t xml:space="preserve"> </w:t>
      </w:r>
      <w:r>
        <w:t xml:space="preserve">“</w:t>
      </w:r>
      <w:r>
        <w:t xml:space="preserve">has at all times conducted its operations at the Property in material compliance with all applicable Environmental Laws,</w:t>
      </w:r>
      <w:r>
        <w:t xml:space="preserve">”</w:t>
      </w:r>
      <w:r>
        <w:t xml:space="preserve"> </w:t>
      </w:r>
      <w:r>
        <w:t xml:space="preserve">including hazardous-waste generation/transportation/disposal requirements, and that it</w:t>
      </w:r>
      <w:r>
        <w:t xml:space="preserve"> </w:t>
      </w:r>
      <w:r>
        <w:t xml:space="preserve">“</w:t>
      </w:r>
      <w:r>
        <w:t xml:space="preserve">has obtained, maintained, and complied with all permits</w:t>
      </w:r>
      <w:r>
        <w:t xml:space="preserve">”</w:t>
      </w:r>
      <w:r>
        <w:t xml:space="preserve"> </w:t>
      </w:r>
      <w:r>
        <w:t xml:space="preserve">(Purchase Agreement §4.12(b)).</w:t>
      </w:r>
    </w:p>
    <w:p>
      <w:pPr>
        <w:pStyle w:val="BodyText"/>
      </w:pPr>
      <w:r>
        <w:rPr>
          <w:b/>
          <w:bCs/>
        </w:rPr>
        <w:t xml:space="preserve">Why it matters.</w:t>
      </w:r>
      <w:r>
        <w:t xml:space="preserve"> </w:t>
      </w:r>
      <w:r>
        <w:t xml:space="preserve">Contradicted by: the 2003 NOV for improper hazardous-waste storage (Ohio EPA Response §2); the 39-year absence of hazardous-waste manifests and biennial reports (Ohio EPA Response §1), indicating non-compliance with RCRA manifest and biennial-reporting requirements; and the 1988 spill. Material non-compliance with RCRA over decades is a serious breach.</w:t>
      </w:r>
    </w:p>
    <w:p>
      <w:pPr>
        <w:pStyle w:val="BodyText"/>
      </w:pPr>
      <w:r>
        <w:rPr>
          <w:b/>
          <w:bCs/>
        </w:rPr>
        <w:t xml:space="preserve">Recommendation.</w:t>
      </w:r>
      <w:r>
        <w:t xml:space="preserve"> </w:t>
      </w:r>
      <w:r>
        <w:t xml:space="preserve">Demand correction/disclosure; evaluate the compliance history as part of the indemnification and insurance analysis.</w:t>
      </w:r>
    </w:p>
    <w:bookmarkEnd w:id="43"/>
    <w:bookmarkStart w:id="44" w:name="X14688516a8ebbc6a5017a70e11685f18ea76b39"/>
    <w:p>
      <w:pPr>
        <w:pStyle w:val="Heading4"/>
      </w:pPr>
      <w:r>
        <w:t xml:space="preserve">D-3. § 4.12(c) Environmental-Notice Representation — Breached —</w:t>
      </w:r>
      <w:r>
        <w:t xml:space="preserve"> </w:t>
      </w:r>
      <w:r>
        <w:rPr>
          <w:b/>
          <w:bCs/>
        </w:rPr>
        <w:t xml:space="preserve">High</w:t>
      </w:r>
    </w:p>
    <w:p>
      <w:pPr>
        <w:pStyle w:val="FirstParagraph"/>
      </w:pPr>
      <w:r>
        <w:rPr>
          <w:b/>
          <w:bCs/>
        </w:rPr>
        <w:t xml:space="preserve">Identification.</w:t>
      </w:r>
      <w:r>
        <w:t xml:space="preserve"> </w:t>
      </w:r>
      <w:r>
        <w:t xml:space="preserve">Seller represents that, except as set forth on Schedule 4.12(c), it</w:t>
      </w:r>
      <w:r>
        <w:t xml:space="preserve"> </w:t>
      </w:r>
      <w:r>
        <w:rPr>
          <w:b/>
          <w:bCs/>
        </w:rPr>
        <w:t xml:space="preserve">“</w:t>
      </w:r>
      <w:r>
        <w:rPr>
          <w:b/>
          <w:bCs/>
        </w:rPr>
        <w:t xml:space="preserve">has not received any Environmental Notice from any Governmental Authority regarding the Property,</w:t>
      </w:r>
      <w:r>
        <w:rPr>
          <w:b/>
          <w:bCs/>
        </w:rPr>
        <w:t xml:space="preserve">”</w:t>
      </w:r>
      <w:r>
        <w:t xml:space="preserve"> </w:t>
      </w:r>
      <w:r>
        <w:t xml:space="preserve">and that</w:t>
      </w:r>
      <w:r>
        <w:t xml:space="preserve"> </w:t>
      </w:r>
      <w:r>
        <w:rPr>
          <w:b/>
          <w:bCs/>
        </w:rPr>
        <w:t xml:space="preserve">“</w:t>
      </w:r>
      <w:r>
        <w:rPr>
          <w:b/>
          <w:bCs/>
        </w:rPr>
        <w:t xml:space="preserve">there are no outstanding consent orders, consent decrees, administrative orders, settlement agreements, or court orders</w:t>
      </w:r>
      <w:r>
        <w:rPr>
          <w:b/>
          <w:bCs/>
        </w:rPr>
        <w:t xml:space="preserve">”</w:t>
      </w:r>
      <w:r>
        <w:t xml:space="preserve"> </w:t>
      </w:r>
      <w:r>
        <w:t xml:space="preserve">relating to Environmental Law or Hazardous-Substance releases (Purchase Agreement §4.12(c); Schedule 4.12(c):</w:t>
      </w:r>
      <w:r>
        <w:t xml:space="preserve"> </w:t>
      </w:r>
      <w:r>
        <w:t xml:space="preserve">“</w:t>
      </w:r>
      <w:r>
        <w:t xml:space="preserve">None</w:t>
      </w:r>
      <w:r>
        <w:t xml:space="preserve">”</w:t>
      </w:r>
      <w:r>
        <w:t xml:space="preserve">).</w:t>
      </w:r>
    </w:p>
    <w:p>
      <w:pPr>
        <w:pStyle w:val="BodyText"/>
      </w:pPr>
      <w:r>
        <w:rPr>
          <w:b/>
          <w:bCs/>
        </w:rPr>
        <w:t xml:space="preserve">Why it matters.</w:t>
      </w:r>
      <w:r>
        <w:t xml:space="preserve"> </w:t>
      </w:r>
      <w:r>
        <w:t xml:space="preserve">This is the clearest breach. The</w:t>
      </w:r>
      <w:r>
        <w:t xml:space="preserve"> </w:t>
      </w:r>
      <w:r>
        <w:rPr>
          <w:b/>
          <w:bCs/>
        </w:rPr>
        <w:t xml:space="preserve">2003 NOV (File No. NW-2003-0471) is an</w:t>
      </w:r>
      <w:r>
        <w:rPr>
          <w:b/>
          <w:bCs/>
        </w:rPr>
        <w:t xml:space="preserve"> </w:t>
      </w:r>
      <w:r>
        <w:rPr>
          <w:b/>
          <w:bCs/>
        </w:rPr>
        <w:t xml:space="preserve">“</w:t>
      </w:r>
      <w:r>
        <w:rPr>
          <w:b/>
          <w:bCs/>
        </w:rPr>
        <w:t xml:space="preserve">Environmental Notice</w:t>
      </w:r>
      <w:r>
        <w:rPr>
          <w:b/>
          <w:bCs/>
        </w:rPr>
        <w:t xml:space="preserve">”</w:t>
      </w:r>
      <w:r>
        <w:t xml:space="preserve"> </w:t>
      </w:r>
      <w:r>
        <w:t xml:space="preserve">as defined in §1.1, and it was addressed to Breckenridge Manufacturing Co. </w:t>
      </w:r>
      <w:r>
        <w:rPr>
          <w:b/>
          <w:bCs/>
        </w:rPr>
        <w:t xml:space="preserve">and Gerald Breckenridge III personally</w:t>
      </w:r>
      <w:r>
        <w:t xml:space="preserve"> </w:t>
      </w:r>
      <w:r>
        <w:t xml:space="preserve">(Ohio EPA Response §2). The NOV was resolved through a</w:t>
      </w:r>
      <w:r>
        <w:t xml:space="preserve"> </w:t>
      </w:r>
      <w:r>
        <w:rPr>
          <w:b/>
          <w:bCs/>
        </w:rPr>
        <w:t xml:space="preserve">Director’s Final Findings and Orders (consent order)</w:t>
      </w:r>
      <w:r>
        <w:t xml:space="preserve"> </w:t>
      </w:r>
      <w:r>
        <w:t xml:space="preserve">— an</w:t>
      </w:r>
      <w:r>
        <w:t xml:space="preserve"> </w:t>
      </w:r>
      <w:r>
        <w:t xml:space="preserve">“</w:t>
      </w:r>
      <w:r>
        <w:t xml:space="preserve">outstanding consent order</w:t>
      </w:r>
      <w:r>
        <w:t xml:space="preserve">”</w:t>
      </w:r>
      <w:r>
        <w:t xml:space="preserve"> </w:t>
      </w:r>
      <w:r>
        <w:t xml:space="preserve">within the meaning of §4.12(c), the resolution of which is</w:t>
      </w:r>
      <w:r>
        <w:t xml:space="preserve"> </w:t>
      </w:r>
      <w:r>
        <w:rPr>
          <w:b/>
          <w:bCs/>
        </w:rPr>
        <w:t xml:space="preserve">unverified</w:t>
      </w:r>
      <w:r>
        <w:t xml:space="preserve"> </w:t>
      </w:r>
      <w:r>
        <w:t xml:space="preserve">(the consent-order file is archived and the compliance certification was not produced — Ohio EPA Response §2). Schedule 4.12(c) discloses</w:t>
      </w:r>
      <w:r>
        <w:t xml:space="preserve"> </w:t>
      </w:r>
      <w:r>
        <w:t xml:space="preserve">“</w:t>
      </w:r>
      <w:r>
        <w:t xml:space="preserve">None,</w:t>
      </w:r>
      <w:r>
        <w:t xml:space="preserve">”</w:t>
      </w:r>
      <w:r>
        <w:t xml:space="preserve"> </w:t>
      </w:r>
      <w:r>
        <w:t xml:space="preserve">which is inaccurate. This breach is not dependent on the</w:t>
      </w:r>
      <w:r>
        <w:t xml:space="preserve"> </w:t>
      </w:r>
      <w:r>
        <w:t xml:space="preserve">“</w:t>
      </w:r>
      <w:r>
        <w:t xml:space="preserve">to Seller’s knowledge</w:t>
      </w:r>
      <w:r>
        <w:t xml:space="preserve">”</w:t>
      </w:r>
      <w:r>
        <w:t xml:space="preserve"> </w:t>
      </w:r>
      <w:r>
        <w:t xml:space="preserve">qualifier (the NOV was issued to Seller directly).</w:t>
      </w:r>
    </w:p>
    <w:p>
      <w:pPr>
        <w:pStyle w:val="BodyText"/>
      </w:pPr>
      <w:r>
        <w:rPr>
          <w:b/>
          <w:bCs/>
        </w:rPr>
        <w:t xml:space="preserve">Recommendation.</w:t>
      </w:r>
      <w:r>
        <w:t xml:space="preserve"> </w:t>
      </w:r>
      <w:r>
        <w:t xml:space="preserve">Demand immediate correction of Schedule 4.12(c) to disclose the 2003 NOV and consent order. Obtain the archived consent order and compliance certification from Ohio EPA Central Office to verify whether the corrective actions were completed. Evaluate a §8.4(d) fraud theory given that the NOV was addressed to Seller’s principal personally.</w:t>
      </w:r>
    </w:p>
    <w:bookmarkEnd w:id="44"/>
    <w:bookmarkStart w:id="45" w:name="X0f9f4d1dfb149e15eb863beb64eb4ae806fdbe9"/>
    <w:p>
      <w:pPr>
        <w:pStyle w:val="Heading4"/>
      </w:pPr>
      <w:r>
        <w:t xml:space="preserve">D-4. § 4.12(d) Document-Delivery Representation — Potentially Breached —</w:t>
      </w:r>
      <w:r>
        <w:t xml:space="preserve"> </w:t>
      </w:r>
      <w:r>
        <w:rPr>
          <w:b/>
          <w:bCs/>
        </w:rPr>
        <w:t xml:space="preserve">Medium-High</w:t>
      </w:r>
    </w:p>
    <w:p>
      <w:pPr>
        <w:pStyle w:val="FirstParagraph"/>
      </w:pPr>
      <w:r>
        <w:rPr>
          <w:b/>
          <w:bCs/>
        </w:rPr>
        <w:t xml:space="preserve">Identification.</w:t>
      </w:r>
      <w:r>
        <w:t xml:space="preserve"> </w:t>
      </w:r>
      <w:r>
        <w:t xml:space="preserve">Seller represents that it</w:t>
      </w:r>
      <w:r>
        <w:t xml:space="preserve"> </w:t>
      </w:r>
      <w:r>
        <w:t xml:space="preserve">“</w:t>
      </w:r>
      <w:r>
        <w:t xml:space="preserve">has delivered or made available to Buyer true, correct, and complete copies of all environmental reports, studies, assessments, audits, monitoring data, correspondence with Governmental Authorities, and other documents relating to environmental conditions at the Property that are in Seller’s possession or control,</w:t>
      </w:r>
      <w:r>
        <w:t xml:space="preserve">”</w:t>
      </w:r>
      <w:r>
        <w:t xml:space="preserve"> </w:t>
      </w:r>
      <w:r>
        <w:t xml:space="preserve">and that it</w:t>
      </w:r>
      <w:r>
        <w:t xml:space="preserve"> </w:t>
      </w:r>
      <w:r>
        <w:t xml:space="preserve">“</w:t>
      </w:r>
      <w:r>
        <w:t xml:space="preserve">has not withheld any documents or information that would be material</w:t>
      </w:r>
      <w:r>
        <w:t xml:space="preserve">”</w:t>
      </w:r>
      <w:r>
        <w:t xml:space="preserve"> </w:t>
      </w:r>
      <w:r>
        <w:t xml:space="preserve">(Purchase Agreement §4.12(d)).</w:t>
      </w:r>
    </w:p>
    <w:p>
      <w:pPr>
        <w:pStyle w:val="BodyText"/>
      </w:pPr>
      <w:r>
        <w:rPr>
          <w:b/>
          <w:bCs/>
        </w:rPr>
        <w:t xml:space="preserve">Why it matters.</w:t>
      </w:r>
      <w:r>
        <w:t xml:space="preserve"> </w:t>
      </w:r>
      <w:r>
        <w:t xml:space="preserve">Potentially contradicted by: Seller’s refusal to provide corporate records 1961–1990 (Phase I ESA §7.1, §8.0, Data Gap 2); the non-production of the 2003 consent order and compliance certification (Ohio EPA Response §2); and the absence of any closure records for the 2,000-gallon waste-solvent UST and 500-gallon heating-oil UST (Ohio EPA Response §3). If any of these documents are in Seller’s possession or control, the representation is inaccurate.</w:t>
      </w:r>
    </w:p>
    <w:p>
      <w:pPr>
        <w:pStyle w:val="BodyText"/>
      </w:pPr>
      <w:r>
        <w:rPr>
          <w:b/>
          <w:bCs/>
        </w:rPr>
        <w:t xml:space="preserve">Recommendation.</w:t>
      </w:r>
      <w:r>
        <w:t xml:space="preserve"> </w:t>
      </w:r>
      <w:r>
        <w:t xml:space="preserve">Demand production of the 2003 consent order, compliance certification, and any UST-related records; renew the request for corporate records 1961–1990. Document Seller’s responses for the indemnification/§8.4(d) analysis.</w:t>
      </w:r>
    </w:p>
    <w:bookmarkEnd w:id="45"/>
    <w:bookmarkStart w:id="46" w:name="X719b61d52e80e00400a935af7dbb087d0460a77"/>
    <w:p>
      <w:pPr>
        <w:pStyle w:val="Heading4"/>
      </w:pPr>
      <w:r>
        <w:t xml:space="preserve">D-5. § 4.13(a) UST-List Representation — Breached —</w:t>
      </w:r>
      <w:r>
        <w:t xml:space="preserve"> </w:t>
      </w:r>
      <w:r>
        <w:rPr>
          <w:b/>
          <w:bCs/>
        </w:rPr>
        <w:t xml:space="preserve">High</w:t>
      </w:r>
    </w:p>
    <w:p>
      <w:pPr>
        <w:pStyle w:val="FirstParagraph"/>
      </w:pPr>
      <w:r>
        <w:rPr>
          <w:b/>
          <w:bCs/>
        </w:rPr>
        <w:t xml:space="preserve">Identification.</w:t>
      </w:r>
      <w:r>
        <w:t xml:space="preserve"> </w:t>
      </w:r>
      <w:r>
        <w:t xml:space="preserve">Seller represents that</w:t>
      </w:r>
      <w:r>
        <w:t xml:space="preserve"> </w:t>
      </w:r>
      <w:r>
        <w:rPr>
          <w:b/>
          <w:bCs/>
        </w:rPr>
        <w:t xml:space="preserve">Schedule 4.13</w:t>
      </w:r>
      <w:r>
        <w:rPr>
          <w:b/>
          <w:bCs/>
        </w:rPr>
        <w:t xml:space="preserve"> </w:t>
      </w:r>
      <w:r>
        <w:rPr>
          <w:b/>
          <w:bCs/>
        </w:rPr>
        <w:t xml:space="preserve">“</w:t>
      </w:r>
      <w:r>
        <w:rPr>
          <w:b/>
          <w:bCs/>
        </w:rPr>
        <w:t xml:space="preserve">sets forth a true, correct, and complete list of all Underground Storage Tanks that are or have been located on the Property,</w:t>
      </w:r>
      <w:r>
        <w:rPr>
          <w:b/>
          <w:bCs/>
        </w:rPr>
        <w:t xml:space="preserve">”</w:t>
      </w:r>
      <w:r>
        <w:t xml:space="preserve"> </w:t>
      </w:r>
      <w:r>
        <w:t xml:space="preserve">and that all USTs</w:t>
      </w:r>
      <w:r>
        <w:t xml:space="preserve"> </w:t>
      </w:r>
      <w:r>
        <w:t xml:space="preserve">“</w:t>
      </w:r>
      <w:r>
        <w:t xml:space="preserve">have been properly registered … and … properly closed in accordance with all applicable Environmental Laws</w:t>
      </w:r>
      <w:r>
        <w:t xml:space="preserve">”</w:t>
      </w:r>
      <w:r>
        <w:t xml:space="preserve"> </w:t>
      </w:r>
      <w:r>
        <w:t xml:space="preserve">(Purchase Agreement §4.13(a)). Schedule 4.13 lists</w:t>
      </w:r>
      <w:r>
        <w:t xml:space="preserve"> </w:t>
      </w:r>
      <w:r>
        <w:rPr>
          <w:b/>
          <w:bCs/>
        </w:rPr>
        <w:t xml:space="preserve">only</w:t>
      </w:r>
      <w:r>
        <w:t xml:space="preserve"> </w:t>
      </w:r>
      <w:r>
        <w:t xml:space="preserve">the active 10,000-gallon diesel UST (Facility ID 48-22-10-0087) and states:</w:t>
      </w:r>
      <w:r>
        <w:t xml:space="preserve"> </w:t>
      </w:r>
      <w:r>
        <w:rPr>
          <w:b/>
          <w:bCs/>
        </w:rPr>
        <w:t xml:space="preserve">“</w:t>
      </w:r>
      <w:r>
        <w:rPr>
          <w:b/>
          <w:bCs/>
        </w:rPr>
        <w:t xml:space="preserve">No other Underground Storage Tanks are or have been located on the Property.</w:t>
      </w:r>
      <w:r>
        <w:rPr>
          <w:b/>
          <w:bCs/>
        </w:rPr>
        <w:t xml:space="preserve">”</w:t>
      </w:r>
    </w:p>
    <w:p>
      <w:pPr>
        <w:pStyle w:val="BodyText"/>
      </w:pPr>
      <w:r>
        <w:rPr>
          <w:b/>
          <w:bCs/>
        </w:rPr>
        <w:t xml:space="preserve">Why it matters.</w:t>
      </w:r>
      <w:r>
        <w:t xml:space="preserve"> </w:t>
      </w:r>
      <w:r>
        <w:t xml:space="preserve">This is breached. Historical Sanborn maps document</w:t>
      </w:r>
      <w:r>
        <w:t xml:space="preserve"> </w:t>
      </w:r>
      <w:r>
        <w:rPr>
          <w:b/>
          <w:bCs/>
        </w:rPr>
        <w:t xml:space="preserve">two additional USTs</w:t>
      </w:r>
      <w:r>
        <w:t xml:space="preserve"> </w:t>
      </w:r>
      <w:r>
        <w:t xml:space="preserve">that are omitted from Schedule 4.13: (i) the</w:t>
      </w:r>
      <w:r>
        <w:t xml:space="preserve"> </w:t>
      </w:r>
      <w:r>
        <w:rPr>
          <w:b/>
          <w:bCs/>
        </w:rPr>
        <w:t xml:space="preserve">2,000-gallon waste-solvent UST</w:t>
      </w:r>
      <w:r>
        <w:t xml:space="preserve"> </w:t>
      </w:r>
      <w:r>
        <w:t xml:space="preserve">(1987 Sanborn — B-2) and (ii) the</w:t>
      </w:r>
      <w:r>
        <w:t xml:space="preserve"> </w:t>
      </w:r>
      <w:r>
        <w:rPr>
          <w:b/>
          <w:bCs/>
        </w:rPr>
        <w:t xml:space="preserve">500-gallon heating-oil UST</w:t>
      </w:r>
      <w:r>
        <w:t xml:space="preserve"> </w:t>
      </w:r>
      <w:r>
        <w:t xml:space="preserve">(1948/1955 Sanborn — B-4). Neither has BUSTR registration or closure records (Ohio EPA Response §3). The representation that all USTs</w:t>
      </w:r>
      <w:r>
        <w:t xml:space="preserve"> </w:t>
      </w:r>
      <w:r>
        <w:t xml:space="preserve">“</w:t>
      </w:r>
      <w:r>
        <w:t xml:space="preserve">have been properly registered … and … properly closed</w:t>
      </w:r>
      <w:r>
        <w:t xml:space="preserve">”</w:t>
      </w:r>
      <w:r>
        <w:t xml:space="preserve"> </w:t>
      </w:r>
      <w:r>
        <w:t xml:space="preserve">is therefore inaccurate for these two tanks, whose status is unknown (and which</w:t>
      </w:r>
      <w:r>
        <w:t xml:space="preserve"> </w:t>
      </w:r>
      <w:r>
        <w:t xml:space="preserve">“</w:t>
      </w:r>
      <w:r>
        <w:t xml:space="preserve">may remain in place</w:t>
      </w:r>
      <w:r>
        <w:t xml:space="preserve">”</w:t>
      </w:r>
      <w:r>
        <w:t xml:space="preserve"> </w:t>
      </w:r>
      <w:r>
        <w:t xml:space="preserve">per the EDR Summary). The §4.13(b) representation that</w:t>
      </w:r>
      <w:r>
        <w:t xml:space="preserve"> </w:t>
      </w:r>
      <w:r>
        <w:t xml:space="preserve">“</w:t>
      </w:r>
      <w:r>
        <w:t xml:space="preserve">no Underground Storage Tank … has been the subject of any … closure assessment</w:t>
      </w:r>
      <w:r>
        <w:t xml:space="preserve">”</w:t>
      </w:r>
      <w:r>
        <w:t xml:space="preserve"> </w:t>
      </w:r>
      <w:r>
        <w:t xml:space="preserve">is also implicated, since no closure assessment exists for these tanks.</w:t>
      </w:r>
    </w:p>
    <w:p>
      <w:pPr>
        <w:pStyle w:val="BodyText"/>
      </w:pPr>
      <w:r>
        <w:rPr>
          <w:b/>
          <w:bCs/>
        </w:rPr>
        <w:t xml:space="preserve">Recommendation.</w:t>
      </w:r>
      <w:r>
        <w:t xml:space="preserve"> </w:t>
      </w:r>
      <w:r>
        <w:t xml:space="preserve">Demand immediate correction of Schedule 4.13 to disclose the two historical USTs. Make the UST investigation (geophysical survey — B-2, B-4) a condition of proceeding. Evaluate a specific indemnity for UST-related remediation.</w:t>
      </w:r>
    </w:p>
    <w:bookmarkEnd w:id="46"/>
    <w:bookmarkStart w:id="47" w:name="Xda80c36d65e3eb604a1edaccbc977d481d60bf1"/>
    <w:p>
      <w:pPr>
        <w:pStyle w:val="Heading4"/>
      </w:pPr>
      <w:r>
        <w:t xml:space="preserve">D-6. Indemnification Cap ($1.75M) Likely Insufficient —</w:t>
      </w:r>
      <w:r>
        <w:t xml:space="preserve"> </w:t>
      </w:r>
      <w:r>
        <w:rPr>
          <w:b/>
          <w:bCs/>
        </w:rPr>
        <w:t xml:space="preserve">High</w:t>
      </w:r>
    </w:p>
    <w:p>
      <w:pPr>
        <w:pStyle w:val="FirstParagraph"/>
      </w:pPr>
      <w:r>
        <w:rPr>
          <w:b/>
          <w:bCs/>
        </w:rPr>
        <w:t xml:space="preserve">Identification.</w:t>
      </w:r>
      <w:r>
        <w:t xml:space="preserve"> </w:t>
      </w:r>
      <w:r>
        <w:t xml:space="preserve">Seller’s aggregate indemnification liability is capped at</w:t>
      </w:r>
      <w:r>
        <w:t xml:space="preserve"> </w:t>
      </w:r>
      <w:r>
        <w:rPr>
          <w:b/>
          <w:bCs/>
        </w:rPr>
        <w:t xml:space="preserve">$1,750,000</w:t>
      </w:r>
      <w:r>
        <w:t xml:space="preserve"> </w:t>
      </w:r>
      <w:r>
        <w:t xml:space="preserve">(20% of the purchase price), applying to all §8.2 claims including Pre-Closing Environmental Liabilities (Purchase Agreement §8.4(b)). The Lender Letter requires PLL insurance of not less than the greater of the worst-case remediation estimate or</w:t>
      </w:r>
      <w:r>
        <w:t xml:space="preserve"> </w:t>
      </w:r>
      <w:r>
        <w:rPr>
          <w:b/>
          <w:bCs/>
        </w:rPr>
        <w:t xml:space="preserve">$5,000,000</w:t>
      </w:r>
      <w:r>
        <w:t xml:space="preserve">, and states that the Lender</w:t>
      </w:r>
      <w:r>
        <w:t xml:space="preserve"> </w:t>
      </w:r>
      <w:r>
        <w:rPr>
          <w:b/>
          <w:bCs/>
        </w:rPr>
        <w:t xml:space="preserve">“</w:t>
      </w:r>
      <w:r>
        <w:rPr>
          <w:b/>
          <w:bCs/>
        </w:rPr>
        <w:t xml:space="preserve">will not rely solely on seller indemnification provisions in the purchase agreement to address environmental risk, as such provisions are typically subject to caps, baskets, deductibles, and survival periods that may be insufficient to cover full remediation costs over the duration of the Bank’s exposure</w:t>
      </w:r>
      <w:r>
        <w:rPr>
          <w:b/>
          <w:bCs/>
        </w:rPr>
        <w:t xml:space="preserve">”</w:t>
      </w:r>
      <w:r>
        <w:t xml:space="preserve"> </w:t>
      </w:r>
      <w:r>
        <w:t xml:space="preserve">(Lender Letter §3.B.2).</w:t>
      </w:r>
    </w:p>
    <w:p>
      <w:pPr>
        <w:pStyle w:val="BodyText"/>
      </w:pPr>
      <w:r>
        <w:rPr>
          <w:b/>
          <w:bCs/>
        </w:rPr>
        <w:t xml:space="preserve">Why it matters.</w:t>
      </w:r>
      <w:r>
        <w:t xml:space="preserve"> </w:t>
      </w:r>
      <w:r>
        <w:t xml:space="preserve">The potential remediation costs here — TCE in soil/groundwater with vapor intrusion (A-1), hexavalent chromium in soil/groundwater over a 39-year period (A-2), a migrating PCE plume (B-1), two uncharacterized USTs (B-2, B-4), and the east-side drum area (B-3) — could readily exceed $1,750,000, particularly if groundwater remediation or vapor mitigation is required. The $1.75M cap is the precise insufficiency the Lender anticipated. Buyer’s recourse against Seller is capped; the gap must be covered by PLL insurance and/or an environmental escrow.</w:t>
      </w:r>
    </w:p>
    <w:p>
      <w:pPr>
        <w:pStyle w:val="BodyText"/>
      </w:pPr>
      <w:r>
        <w:rPr>
          <w:b/>
          <w:bCs/>
        </w:rPr>
        <w:t xml:space="preserve">Recommendation.</w:t>
      </w:r>
      <w:r>
        <w:t xml:space="preserve"> </w:t>
      </w:r>
      <w:r>
        <w:t xml:space="preserve">Size the PLL policy and escrow to the worst-case Phase II estimate, not to the indemnification cap. Consider negotiating an increase to the cap or a carve-out for the identified RECs (separate from the general cap). Preserve the §8.4(d) fraud theory (D-8) as the means to pierce the cap.</w:t>
      </w:r>
    </w:p>
    <w:bookmarkEnd w:id="47"/>
    <w:bookmarkStart w:id="48" w:name="Xe97a377ab0962dbef5872b61a8f40ae889f99f4"/>
    <w:p>
      <w:pPr>
        <w:pStyle w:val="Heading4"/>
      </w:pPr>
      <w:r>
        <w:t xml:space="preserve">D-7. 3-Year Survival Period May Be Inadequate for Latent Environmental Claims —</w:t>
      </w:r>
      <w:r>
        <w:t xml:space="preserve"> </w:t>
      </w:r>
      <w:r>
        <w:rPr>
          <w:b/>
          <w:bCs/>
        </w:rPr>
        <w:t xml:space="preserve">Medium-High</w:t>
      </w:r>
    </w:p>
    <w:p>
      <w:pPr>
        <w:pStyle w:val="FirstParagraph"/>
      </w:pPr>
      <w:r>
        <w:rPr>
          <w:b/>
          <w:bCs/>
        </w:rPr>
        <w:t xml:space="preserve">Identification.</w:t>
      </w:r>
      <w:r>
        <w:t xml:space="preserve"> </w:t>
      </w:r>
      <w:r>
        <w:t xml:space="preserve">The representations survive for</w:t>
      </w:r>
      <w:r>
        <w:t xml:space="preserve"> </w:t>
      </w:r>
      <w:r>
        <w:rPr>
          <w:b/>
          <w:bCs/>
        </w:rPr>
        <w:t xml:space="preserve">3 years</w:t>
      </w:r>
      <w:r>
        <w:t xml:space="preserve"> </w:t>
      </w:r>
      <w:r>
        <w:t xml:space="preserve">after the Closing Date, and Seller’s Pre-Closing Environmental Liabilities indemnity</w:t>
      </w:r>
      <w:r>
        <w:t xml:space="preserve"> </w:t>
      </w:r>
      <w:r>
        <w:rPr>
          <w:b/>
          <w:bCs/>
        </w:rPr>
        <w:t xml:space="preserve">“</w:t>
      </w:r>
      <w:r>
        <w:rPr>
          <w:b/>
          <w:bCs/>
        </w:rPr>
        <w:t xml:space="preserve">shall also expire upon the expiration of the Survival Period</w:t>
      </w:r>
      <w:r>
        <w:rPr>
          <w:b/>
          <w:bCs/>
        </w:rPr>
        <w:t xml:space="preserve">”</w:t>
      </w:r>
      <w:r>
        <w:t xml:space="preserve"> </w:t>
      </w:r>
      <w:r>
        <w:t xml:space="preserve">unless written notice of a claim is delivered before expiration (Purchase Agreement §8.4(c)).</w:t>
      </w:r>
    </w:p>
    <w:p>
      <w:pPr>
        <w:pStyle w:val="BodyText"/>
      </w:pPr>
      <w:r>
        <w:rPr>
          <w:b/>
          <w:bCs/>
        </w:rPr>
        <w:t xml:space="preserve">Why it matters.</w:t>
      </w:r>
      <w:r>
        <w:t xml:space="preserve"> </w:t>
      </w:r>
      <w:r>
        <w:t xml:space="preserve">Environmental conditions — especially groundwater contamination, vapor intrusion, and plume migration — frequently manifest or are discovered more than three years after closing. A claim discovered in year 4 (e.g., the PCE plume reaching a receptor, or a UST discovered during redevelopment) would be time-barred against Seller, leaving Buyer to the PLL insurance and escrow. The 3-year period is short for environmental matters.</w:t>
      </w:r>
    </w:p>
    <w:p>
      <w:pPr>
        <w:pStyle w:val="BodyText"/>
      </w:pPr>
      <w:r>
        <w:rPr>
          <w:b/>
          <w:bCs/>
        </w:rPr>
        <w:t xml:space="preserve">Recommendation.</w:t>
      </w:r>
      <w:r>
        <w:t xml:space="preserve"> </w:t>
      </w:r>
      <w:r>
        <w:t xml:space="preserve">Negotiate a longer survival period (e.g., the statutory limitations period for environmental claims, or 5–10 years) for Pre-Closing Environmental Liabilities, or a discovery-based tolling provision. Ensure the PLL policy term (≥ 10 years per the Lender) covers the gap. Preserve the §8.4(d) fraud theory, which is not time-limited.</w:t>
      </w:r>
    </w:p>
    <w:bookmarkEnd w:id="48"/>
    <w:bookmarkStart w:id="49" w:name="X41d5aecb6fd9a0b89eb5c8fe7af713a79f7f590"/>
    <w:p>
      <w:pPr>
        <w:pStyle w:val="Heading4"/>
      </w:pPr>
      <w:r>
        <w:t xml:space="preserve">D-8. Potential Fraud / Intentional Misrepresentation — Seller’s Denials Contradicted by the Record —</w:t>
      </w:r>
      <w:r>
        <w:t xml:space="preserve"> </w:t>
      </w:r>
      <w:r>
        <w:rPr>
          <w:b/>
          <w:bCs/>
        </w:rPr>
        <w:t xml:space="preserve">High</w:t>
      </w:r>
    </w:p>
    <w:p>
      <w:pPr>
        <w:pStyle w:val="FirstParagraph"/>
      </w:pPr>
      <w:r>
        <w:rPr>
          <w:b/>
          <w:bCs/>
        </w:rPr>
        <w:t xml:space="preserve">Identification.</w:t>
      </w:r>
      <w:r>
        <w:t xml:space="preserve"> </w:t>
      </w:r>
      <w:r>
        <w:t xml:space="preserve">Seller’s principal, Gerald Breckenridge III, made the following statements to Greenfield that are contradicted by the documented record (Phase I ESA §7.1):</w:t>
      </w:r>
    </w:p>
    <w:p>
      <w:pPr>
        <w:pStyle w:val="Compact"/>
        <w:numPr>
          <w:ilvl w:val="0"/>
          <w:numId w:val="1005"/>
        </w:numPr>
      </w:pPr>
      <w:r>
        <w:t xml:space="preserve">He stated he was</w:t>
      </w:r>
      <w:r>
        <w:t xml:space="preserve"> </w:t>
      </w:r>
      <w:r>
        <w:rPr>
          <w:b/>
          <w:bCs/>
        </w:rPr>
        <w:t xml:space="preserve">“</w:t>
      </w:r>
      <w:r>
        <w:rPr>
          <w:b/>
          <w:bCs/>
        </w:rPr>
        <w:t xml:space="preserve">not aware of any spills</w:t>
      </w:r>
      <w:r>
        <w:rPr>
          <w:b/>
          <w:bCs/>
        </w:rPr>
        <w:t xml:space="preserve">”</w:t>
      </w:r>
      <w:r>
        <w:t xml:space="preserve"> </w:t>
      </w:r>
      <w:r>
        <w:t xml:space="preserve">— contradicted by the</w:t>
      </w:r>
      <w:r>
        <w:t xml:space="preserve"> </w:t>
      </w:r>
      <w:r>
        <w:rPr>
          <w:b/>
          <w:bCs/>
        </w:rPr>
        <w:t xml:space="preserve">March 14, 1988</w:t>
      </w:r>
      <w:r>
        <w:t xml:space="preserve"> </w:t>
      </w:r>
      <w:r>
        <w:t xml:space="preserve">Toledo Fire Department chemical-spill report (Phase I ESA §5.1.2, §7.2).</w:t>
      </w:r>
    </w:p>
    <w:p>
      <w:pPr>
        <w:pStyle w:val="Compact"/>
        <w:numPr>
          <w:ilvl w:val="0"/>
          <w:numId w:val="1005"/>
        </w:numPr>
      </w:pPr>
      <w:r>
        <w:t xml:space="preserve">He characterized the 2003 NOV as</w:t>
      </w:r>
      <w:r>
        <w:t xml:space="preserve"> </w:t>
      </w:r>
      <w:r>
        <w:rPr>
          <w:b/>
          <w:bCs/>
        </w:rPr>
        <w:t xml:space="preserve">“</w:t>
      </w:r>
      <w:r>
        <w:rPr>
          <w:b/>
          <w:bCs/>
        </w:rPr>
        <w:t xml:space="preserve">resolved years ago</w:t>
      </w:r>
      <w:r>
        <w:rPr>
          <w:b/>
          <w:bCs/>
        </w:rPr>
        <w:t xml:space="preserve">”</w:t>
      </w:r>
      <w:r>
        <w:t xml:space="preserve"> </w:t>
      </w:r>
      <w:r>
        <w:t xml:space="preserve">and a</w:t>
      </w:r>
      <w:r>
        <w:t xml:space="preserve"> </w:t>
      </w:r>
      <w:r>
        <w:t xml:space="preserve">“</w:t>
      </w:r>
      <w:r>
        <w:t xml:space="preserve">routine regulatory matter,</w:t>
      </w:r>
      <w:r>
        <w:t xml:space="preserve">”</w:t>
      </w:r>
      <w:r>
        <w:t xml:space="preserve"> </w:t>
      </w:r>
      <w:r>
        <w:t xml:space="preserve">but</w:t>
      </w:r>
      <w:r>
        <w:t xml:space="preserve"> </w:t>
      </w:r>
      <w:r>
        <w:rPr>
          <w:b/>
          <w:bCs/>
        </w:rPr>
        <w:t xml:space="preserve">could not produce the consent order</w:t>
      </w:r>
      <w:r>
        <w:t xml:space="preserve"> </w:t>
      </w:r>
      <w:r>
        <w:t xml:space="preserve">(Phase I ESA §7.1) — and the 2003 NOV was addressed to him</w:t>
      </w:r>
      <w:r>
        <w:t xml:space="preserve"> </w:t>
      </w:r>
      <w:r>
        <w:rPr>
          <w:b/>
          <w:bCs/>
        </w:rPr>
        <w:t xml:space="preserve">personally</w:t>
      </w:r>
      <w:r>
        <w:t xml:space="preserve"> </w:t>
      </w:r>
      <w:r>
        <w:t xml:space="preserve">(Ohio EPA Response §2).</w:t>
      </w:r>
    </w:p>
    <w:p>
      <w:pPr>
        <w:pStyle w:val="Compact"/>
        <w:numPr>
          <w:ilvl w:val="0"/>
          <w:numId w:val="1005"/>
        </w:numPr>
      </w:pPr>
      <w:r>
        <w:t xml:space="preserve">He claimed</w:t>
      </w:r>
      <w:r>
        <w:t xml:space="preserve"> </w:t>
      </w:r>
      <w:r>
        <w:rPr>
          <w:b/>
          <w:bCs/>
        </w:rPr>
        <w:t xml:space="preserve">“</w:t>
      </w:r>
      <w:r>
        <w:rPr>
          <w:b/>
          <w:bCs/>
        </w:rPr>
        <w:t xml:space="preserve">all the chemicals were handled properly</w:t>
      </w:r>
      <w:r>
        <w:rPr>
          <w:b/>
          <w:bCs/>
        </w:rPr>
        <w:t xml:space="preserve">”</w:t>
      </w:r>
      <w:r>
        <w:t xml:space="preserve"> </w:t>
      </w:r>
      <w:r>
        <w:t xml:space="preserve">throughout operations but acknowledged he had</w:t>
      </w:r>
      <w:r>
        <w:t xml:space="preserve"> </w:t>
      </w:r>
      <w:r>
        <w:rPr>
          <w:b/>
          <w:bCs/>
        </w:rPr>
        <w:t xml:space="preserve">no documentation</w:t>
      </w:r>
      <w:r>
        <w:t xml:space="preserve"> </w:t>
      </w:r>
      <w:r>
        <w:t xml:space="preserve">to support that assertion, particularly pre-1990 (Phase I ESA §7.1) — contradicted by the 39-year manifest gap (Ohio EPA Response §1).</w:t>
      </w:r>
    </w:p>
    <w:p>
      <w:pPr>
        <w:pStyle w:val="Compact"/>
        <w:numPr>
          <w:ilvl w:val="0"/>
          <w:numId w:val="1005"/>
        </w:numPr>
      </w:pPr>
      <w:r>
        <w:t xml:space="preserve">He</w:t>
      </w:r>
      <w:r>
        <w:t xml:space="preserve"> </w:t>
      </w:r>
      <w:r>
        <w:rPr>
          <w:b/>
          <w:bCs/>
        </w:rPr>
        <w:t xml:space="preserve">declined to provide corporate records 1961–1990</w:t>
      </w:r>
      <w:r>
        <w:t xml:space="preserve"> </w:t>
      </w:r>
      <w:r>
        <w:t xml:space="preserve">(Phase I ESA §7.1, §8.0).</w:t>
      </w:r>
    </w:p>
    <w:p>
      <w:pPr>
        <w:pStyle w:val="FirstParagraph"/>
      </w:pPr>
      <w:r>
        <w:rPr>
          <w:b/>
          <w:bCs/>
        </w:rPr>
        <w:t xml:space="preserve">Why it matters.</w:t>
      </w:r>
      <w:r>
        <w:t xml:space="preserve"> </w:t>
      </w:r>
      <w:r>
        <w:t xml:space="preserve">If Seller’s principal had actual knowledge of the 1988 spill and the 2003 NOV (he was involved with the company since the mid-1980s and the NOV was addressed to him personally), the</w:t>
      </w:r>
      <w:r>
        <w:t xml:space="preserve"> </w:t>
      </w:r>
      <w:r>
        <w:t xml:space="preserve">“</w:t>
      </w:r>
      <w:r>
        <w:t xml:space="preserve">to Seller’s knowledge</w:t>
      </w:r>
      <w:r>
        <w:t xml:space="preserve">”</w:t>
      </w:r>
      <w:r>
        <w:t xml:space="preserve"> </w:t>
      </w:r>
      <w:r>
        <w:t xml:space="preserve">representations in §§4.12(a)–(c) may constitute</w:t>
      </w:r>
      <w:r>
        <w:t xml:space="preserve"> </w:t>
      </w:r>
      <w:r>
        <w:rPr>
          <w:b/>
          <w:bCs/>
        </w:rPr>
        <w:t xml:space="preserve">intentional misrepresentation or fraud</w:t>
      </w:r>
      <w:r>
        <w:t xml:space="preserve">, which under §8.4(d)</w:t>
      </w:r>
      <w:r>
        <w:t xml:space="preserve"> </w:t>
      </w:r>
      <w:r>
        <w:rPr>
          <w:b/>
          <w:bCs/>
        </w:rPr>
        <w:t xml:space="preserve">is not subject to the Basket, the Indemnification Cap, or the Survival Period</w:t>
      </w:r>
      <w:r>
        <w:t xml:space="preserve"> </w:t>
      </w:r>
      <w:r>
        <w:t xml:space="preserve">— exposing Seller to the full amount of Losses without limitation. This is both a significant leverage point in negotiations and a potential post-closing litigation theory. The</w:t>
      </w:r>
      <w:r>
        <w:t xml:space="preserve"> </w:t>
      </w:r>
      <w:r>
        <w:t xml:space="preserve">“</w:t>
      </w:r>
      <w:r>
        <w:t xml:space="preserve">sole and exclusive remedy</w:t>
      </w:r>
      <w:r>
        <w:t xml:space="preserve">”</w:t>
      </w:r>
      <w:r>
        <w:t xml:space="preserve"> </w:t>
      </w:r>
      <w:r>
        <w:t xml:space="preserve">provision (§8.2(b)) itself carves out</w:t>
      </w:r>
      <w:r>
        <w:t xml:space="preserve"> </w:t>
      </w:r>
      <w:r>
        <w:t xml:space="preserve">“</w:t>
      </w:r>
      <w:r>
        <w:t xml:space="preserve">fraud or intentional misrepresentation.</w:t>
      </w:r>
      <w:r>
        <w:t xml:space="preserve">”</w:t>
      </w:r>
    </w:p>
    <w:p>
      <w:pPr>
        <w:pStyle w:val="BodyText"/>
      </w:pPr>
      <w:r>
        <w:rPr>
          <w:b/>
          <w:bCs/>
        </w:rPr>
        <w:t xml:space="preserve">Recommendation.</w:t>
      </w:r>
      <w:r>
        <w:t xml:space="preserve"> </w:t>
      </w:r>
      <w:r>
        <w:t xml:space="preserve">Preserve all evidence of Seller’s knowledge (the 1988 report; the NOV addressed to Breckenridge personally; his documented denials). Consider a targeted re-interview or written questions to Seller to lock in the knowledge record. Evaluate whether to assert the fraud exception in negotiations (e.g., to negotiate cap/survival relief) and preserve it for post-closing.</w:t>
      </w:r>
    </w:p>
    <w:bookmarkEnd w:id="49"/>
    <w:bookmarkStart w:id="50" w:name="Xd73d843c48006d054f25cdfa5d1cebd0341dd03"/>
    <w:p>
      <w:pPr>
        <w:pStyle w:val="Heading4"/>
      </w:pPr>
      <w:r>
        <w:t xml:space="preserve">D-9. $500,000 Termination Threshold (§ 6.3(b)) — Buyer Decision Required by October 31, 2024 —</w:t>
      </w:r>
      <w:r>
        <w:t xml:space="preserve"> </w:t>
      </w:r>
      <w:r>
        <w:rPr>
          <w:b/>
          <w:bCs/>
        </w:rPr>
        <w:t xml:space="preserve">High</w:t>
      </w:r>
    </w:p>
    <w:p>
      <w:pPr>
        <w:pStyle w:val="FirstParagraph"/>
      </w:pPr>
      <w:r>
        <w:rPr>
          <w:b/>
          <w:bCs/>
        </w:rPr>
        <w:t xml:space="preserve">Identification.</w:t>
      </w:r>
      <w:r>
        <w:t xml:space="preserve"> </w:t>
      </w:r>
      <w:r>
        <w:t xml:space="preserve">Buyer may terminate the Purchase Agreement and recover the Earnest Money Deposit ($437,500) if the Phase I (or any environmental investigation) identifies RECs that, in Buyer’s reasonable judgment,</w:t>
      </w:r>
      <w:r>
        <w:t xml:space="preserve"> </w:t>
      </w:r>
      <w:r>
        <w:rPr>
          <w:b/>
          <w:bCs/>
        </w:rPr>
        <w:t xml:space="preserve">“</w:t>
      </w:r>
      <w:r>
        <w:rPr>
          <w:b/>
          <w:bCs/>
        </w:rPr>
        <w:t xml:space="preserve">could result in Remediation Costs exceeding Five Hundred Thousand Dollars ($500,000),</w:t>
      </w:r>
      <w:r>
        <w:rPr>
          <w:b/>
          <w:bCs/>
        </w:rPr>
        <w:t xml:space="preserve">”</w:t>
      </w:r>
      <w:r>
        <w:t xml:space="preserve"> </w:t>
      </w:r>
      <w:r>
        <w:t xml:space="preserve">by written notice delivered</w:t>
      </w:r>
      <w:r>
        <w:t xml:space="preserve"> </w:t>
      </w:r>
      <w:r>
        <w:rPr>
          <w:b/>
          <w:bCs/>
        </w:rPr>
        <w:t xml:space="preserve">no later than 5:00 p.m. Eastern Time on October 31, 2024</w:t>
      </w:r>
      <w:r>
        <w:t xml:space="preserve"> </w:t>
      </w:r>
      <w:r>
        <w:t xml:space="preserve">(the end of the Environmental Due Diligence Period) (Purchase Agreement §6.3(b)). If Buyer fails to deliver a termination notice by that deadline,</w:t>
      </w:r>
      <w:r>
        <w:t xml:space="preserve"> </w:t>
      </w:r>
      <w:r>
        <w:rPr>
          <w:b/>
          <w:bCs/>
        </w:rPr>
        <w:t xml:space="preserve">Buyer’s environmental termination right is deemed automatically waived</w:t>
      </w:r>
      <w:r>
        <w:t xml:space="preserve"> </w:t>
      </w:r>
      <w:r>
        <w:t xml:space="preserve">(§6.3(c)) — though indemnification rights under Article VIII survive.</w:t>
      </w:r>
    </w:p>
    <w:p>
      <w:pPr>
        <w:pStyle w:val="BodyText"/>
      </w:pPr>
      <w:r>
        <w:rPr>
          <w:b/>
          <w:bCs/>
        </w:rPr>
        <w:t xml:space="preserve">Why it matters.</w:t>
      </w:r>
      <w:r>
        <w:t xml:space="preserve"> </w:t>
      </w:r>
      <w:r>
        <w:t xml:space="preserve">The Phase I (delivered October 25, 2024) identifies two RECs (A-1, A-2) plus the underclassified PCE plume (B-1) and other conditions. It is readily plausible that remediation costs could exceed $500,000 (39 years of undocumented chromium electroplating; 30 years of TCE degreasing with an active leaking drum; a migrating PCE plume). Buyer has only</w:t>
      </w:r>
      <w:r>
        <w:t xml:space="preserve"> </w:t>
      </w:r>
      <w:r>
        <w:rPr>
          <w:b/>
          <w:bCs/>
        </w:rPr>
        <w:t xml:space="preserve">six days</w:t>
      </w:r>
      <w:r>
        <w:t xml:space="preserve"> </w:t>
      </w:r>
      <w:r>
        <w:t xml:space="preserve">from delivery of the Phase I to the October 31 deadline to evaluate and decide — without the benefit of a Phase II. If Buyer does not terminate, the environmental termination right is lost and Buyer must rely on indemnification (capped at $1.75M — D-6) and insurance.</w:t>
      </w:r>
    </w:p>
    <w:p>
      <w:pPr>
        <w:pStyle w:val="BodyText"/>
      </w:pPr>
      <w:r>
        <w:rPr>
          <w:b/>
          <w:bCs/>
        </w:rPr>
        <w:t xml:space="preserve">Recommendation.</w:t>
      </w:r>
      <w:r>
        <w:t xml:space="preserve"> </w:t>
      </w:r>
      <w:r>
        <w:t xml:space="preserve">Immediately evaluate, with the Phase II consultant’s preliminary input, whether the identified RECs</w:t>
      </w:r>
      <w:r>
        <w:t xml:space="preserve"> </w:t>
      </w:r>
      <w:r>
        <w:t xml:space="preserve">“</w:t>
      </w:r>
      <w:r>
        <w:t xml:space="preserve">could result in Remediation Costs exceeding $500,000.</w:t>
      </w:r>
      <w:r>
        <w:t xml:space="preserve">”</w:t>
      </w:r>
      <w:r>
        <w:t xml:space="preserve"> </w:t>
      </w:r>
      <w:r>
        <w:t xml:space="preserve">If so, and if the Seller will not address the issues through price reduction, escrow, or expanded indemnity, consider delivering a §6.3(b) termination notice before October 31, 2024. If Buyer intends to proceed, document the waiver decision and the reliance on indemnity/insurance. Note that proceeding does not waive Article VIII indemnification rights (§6.3(c)).</w:t>
      </w:r>
    </w:p>
    <w:bookmarkEnd w:id="50"/>
    <w:bookmarkStart w:id="51" w:name="d-10.-due-diligence-timing-risk-medium"/>
    <w:p>
      <w:pPr>
        <w:pStyle w:val="Heading4"/>
      </w:pPr>
      <w:r>
        <w:t xml:space="preserve">D-10. Due-Diligence Timing Risk —</w:t>
      </w:r>
      <w:r>
        <w:t xml:space="preserve"> </w:t>
      </w:r>
      <w:r>
        <w:rPr>
          <w:b/>
          <w:bCs/>
        </w:rPr>
        <w:t xml:space="preserve">Medium</w:t>
      </w:r>
    </w:p>
    <w:p>
      <w:pPr>
        <w:pStyle w:val="FirstParagraph"/>
      </w:pPr>
      <w:r>
        <w:rPr>
          <w:b/>
          <w:bCs/>
        </w:rPr>
        <w:t xml:space="preserve">Identification.</w:t>
      </w:r>
      <w:r>
        <w:t xml:space="preserve"> </w:t>
      </w:r>
      <w:r>
        <w:t xml:space="preserve">The Environmental Due Diligence Period ends</w:t>
      </w:r>
      <w:r>
        <w:t xml:space="preserve"> </w:t>
      </w:r>
      <w:r>
        <w:rPr>
          <w:b/>
          <w:bCs/>
        </w:rPr>
        <w:t xml:space="preserve">October 31, 2024</w:t>
      </w:r>
      <w:r>
        <w:t xml:space="preserve"> </w:t>
      </w:r>
      <w:r>
        <w:t xml:space="preserve">(Purchase Agreement §1.1, §6.3). The Phase I was delivered</w:t>
      </w:r>
      <w:r>
        <w:t xml:space="preserve"> </w:t>
      </w:r>
      <w:r>
        <w:rPr>
          <w:b/>
          <w:bCs/>
        </w:rPr>
        <w:t xml:space="preserve">October 25, 2024</w:t>
      </w:r>
      <w:r>
        <w:t xml:space="preserve"> </w:t>
      </w:r>
      <w:r>
        <w:t xml:space="preserve">— six days before the deadline. The Lender requires the Phase II ESA, PLL binder, and escrow evidence</w:t>
      </w:r>
      <w:r>
        <w:t xml:space="preserve"> </w:t>
      </w:r>
      <w:r>
        <w:rPr>
          <w:b/>
          <w:bCs/>
        </w:rPr>
        <w:t xml:space="preserve">no later than November 30, 2024</w:t>
      </w:r>
      <w:r>
        <w:t xml:space="preserve"> </w:t>
      </w:r>
      <w:r>
        <w:t xml:space="preserve">(15 days before the December 15, 2024 closing) (Lender Letter §5).</w:t>
      </w:r>
    </w:p>
    <w:p>
      <w:pPr>
        <w:pStyle w:val="BodyText"/>
      </w:pPr>
      <w:r>
        <w:rPr>
          <w:b/>
          <w:bCs/>
        </w:rPr>
        <w:t xml:space="preserve">Why it matters.</w:t>
      </w:r>
      <w:r>
        <w:t xml:space="preserve"> </w:t>
      </w:r>
      <w:r>
        <w:t xml:space="preserve">The window to commission and complete a Phase II (soil/groundwater sampling, monitoring-well installation, laboratory analysis, three-scenario cost estimates), underwrite PLL insurance, and establish an escrow is approximately five weeks — aggressive for a site with this complexity. The Lender may extend closing or decline to fund if deliverables are late (Lender Letter §5, §7).</w:t>
      </w:r>
    </w:p>
    <w:p>
      <w:pPr>
        <w:pStyle w:val="BodyText"/>
      </w:pPr>
      <w:r>
        <w:rPr>
          <w:b/>
          <w:bCs/>
        </w:rPr>
        <w:t xml:space="preserve">Recommendation.</w:t>
      </w:r>
      <w:r>
        <w:t xml:space="preserve"> </w:t>
      </w:r>
      <w:r>
        <w:t xml:space="preserve">Mobilize the Phase II and vapor-intrusion assessment immediately; engage an insurance broker for the PLL policy in parallel; and consider requesting a written extension of the Environmental Due Diligence Period from Seller (which requires a written amendment — §1.1) if the Phase II cannot be completed in time to inform the §6.3(b) decision.</w:t>
      </w:r>
    </w:p>
    <w:bookmarkEnd w:id="51"/>
    <w:bookmarkEnd w:id="52"/>
    <w:bookmarkStart w:id="54" w:name="e.-aai-cercla-defenses"/>
    <w:p>
      <w:pPr>
        <w:pStyle w:val="Heading3"/>
      </w:pPr>
      <w:r>
        <w:t xml:space="preserve">E. AAI / CERCLA Defenses</w:t>
      </w:r>
    </w:p>
    <w:bookmarkStart w:id="53" w:name="X87cc41fe79f7f6d81527612d76d4f8b6c11d0e7"/>
    <w:p>
      <w:pPr>
        <w:pStyle w:val="Heading4"/>
      </w:pPr>
      <w:r>
        <w:t xml:space="preserve">E-1. AAI Completeness at Risk — Could Jeopardize CERCLA Defenses for Buyer and the Lender —</w:t>
      </w:r>
      <w:r>
        <w:t xml:space="preserve"> </w:t>
      </w:r>
      <w:r>
        <w:rPr>
          <w:b/>
          <w:bCs/>
        </w:rPr>
        <w:t xml:space="preserve">Medium-High</w:t>
      </w:r>
    </w:p>
    <w:p>
      <w:pPr>
        <w:pStyle w:val="FirstParagraph"/>
      </w:pPr>
      <w:r>
        <w:rPr>
          <w:b/>
          <w:bCs/>
        </w:rPr>
        <w:t xml:space="preserve">Identification.</w:t>
      </w:r>
      <w:r>
        <w:t xml:space="preserve"> </w:t>
      </w:r>
      <w:r>
        <w:t xml:space="preserve">The Phase I is intended to satisfy the AAI rule (40 C.F.R. Part 312) to support the bona fide prospective purchaser, innocent-landowner, and contiguous-property-owner defenses under CERCLA (Phase I ESA §2.1; Lender Letter §4). The Lender’s environmental counsel is directed to</w:t>
      </w:r>
      <w:r>
        <w:t xml:space="preserve"> </w:t>
      </w:r>
      <w:r>
        <w:t xml:space="preserve">“</w:t>
      </w:r>
      <w:r>
        <w:t xml:space="preserve">independently review the Phase I ESA for AAI compliance</w:t>
      </w:r>
      <w:r>
        <w:t xml:space="preserve">”</w:t>
      </w:r>
      <w:r>
        <w:t xml:space="preserve"> </w:t>
      </w:r>
      <w:r>
        <w:t xml:space="preserve">(Lender Letter §4), and the Lender warns that</w:t>
      </w:r>
      <w:r>
        <w:t xml:space="preserve"> </w:t>
      </w:r>
      <w:r>
        <w:t xml:space="preserve">“</w:t>
      </w:r>
      <w:r>
        <w:t xml:space="preserve">failure to satisfy AAI requirements may expose both the Borrower … and the Bank … to CERCLA liability without available statutory defenses</w:t>
      </w:r>
      <w:r>
        <w:t xml:space="preserve">”</w:t>
      </w:r>
      <w:r>
        <w:t xml:space="preserve"> </w:t>
      </w:r>
      <w:r>
        <w:t xml:space="preserve">(Lender Letter §4).</w:t>
      </w:r>
    </w:p>
    <w:p>
      <w:pPr>
        <w:pStyle w:val="BodyText"/>
      </w:pPr>
      <w:r>
        <w:rPr>
          <w:b/>
          <w:bCs/>
        </w:rPr>
        <w:t xml:space="preserve">Why it matters.</w:t>
      </w:r>
      <w:r>
        <w:t xml:space="preserve"> </w:t>
      </w:r>
      <w:r>
        <w:t xml:space="preserve">Several features of the Phase I put AAI completeness at risk: (a) the failure to classify the migrating PCE plume as a REC (B-1) — a material condition omitted from the REC findings; (b) the incomplete data-gap analysis (B-7); (c) the withheld corporate records and unproduced consent order (D-4); (d) the statement that</w:t>
      </w:r>
      <w:r>
        <w:t xml:space="preserve"> </w:t>
      </w:r>
      <w:r>
        <w:rPr>
          <w:b/>
          <w:bCs/>
        </w:rPr>
        <w:t xml:space="preserve">“</w:t>
      </w:r>
      <w:r>
        <w:rPr>
          <w:b/>
          <w:bCs/>
        </w:rPr>
        <w:t xml:space="preserve">No attempts were made to contact former employees</w:t>
      </w:r>
      <w:r>
        <w:rPr>
          <w:b/>
          <w:bCs/>
        </w:rPr>
        <w:t xml:space="preserve">”</w:t>
      </w:r>
      <w:r>
        <w:t xml:space="preserve"> </w:t>
      </w:r>
      <w:r>
        <w:t xml:space="preserve">of Seller (Phase I ESA §7.4) — a potential interview-practice gap given the 39-year manifest gap and the value of historical-operations knowledge; and (e) the unexplained MW-1 (B-5). If the Lender’s counsel concludes that AAI is incomplete, the BFPP defense — the stated purpose of the Phase I — could be jeopardized for both Buyer and the Lender (as mortgagee holding a security interest).</w:t>
      </w:r>
    </w:p>
    <w:p>
      <w:pPr>
        <w:pStyle w:val="BodyText"/>
      </w:pPr>
      <w:r>
        <w:rPr>
          <w:b/>
          <w:bCs/>
        </w:rPr>
        <w:t xml:space="preserve">Recommendation.</w:t>
      </w:r>
      <w:r>
        <w:t xml:space="preserve"> </w:t>
      </w:r>
      <w:r>
        <w:t xml:space="preserve">Supplement the Phase I to cure the REC-classification and data-gap deficiencies (B-1, B-7); attempt former-employee interviews and document the effort; retrieve the consent order; and have the supplemented report reviewed for AAI compliance before reliance. Maintain the continuing-obligation requirements (reasonable steps, cooperation, compliance with institutional controls) post-closing.</w:t>
      </w:r>
    </w:p>
    <w:bookmarkEnd w:id="53"/>
    <w:bookmarkEnd w:id="54"/>
    <w:bookmarkStart w:id="58" w:name="f.-other-business-environmental-risk"/>
    <w:p>
      <w:pPr>
        <w:pStyle w:val="Heading3"/>
      </w:pPr>
      <w:r>
        <w:t xml:space="preserve">F. Other / Business Environmental Risk</w:t>
      </w:r>
    </w:p>
    <w:bookmarkStart w:id="55" w:name="Xdc902e0ea6dd1183c126a5a750e51eabba16476"/>
    <w:p>
      <w:pPr>
        <w:pStyle w:val="Heading4"/>
      </w:pPr>
      <w:r>
        <w:t xml:space="preserve">F-1. Groundwater Management Zone — Potential Land-Use Restrictions —</w:t>
      </w:r>
      <w:r>
        <w:t xml:space="preserve"> </w:t>
      </w:r>
      <w:r>
        <w:rPr>
          <w:b/>
          <w:bCs/>
        </w:rPr>
        <w:t xml:space="preserve">Medium</w:t>
      </w:r>
    </w:p>
    <w:p>
      <w:pPr>
        <w:pStyle w:val="FirstParagraph"/>
      </w:pPr>
      <w:r>
        <w:rPr>
          <w:b/>
          <w:bCs/>
        </w:rPr>
        <w:t xml:space="preserve">Identification.</w:t>
      </w:r>
      <w:r>
        <w:t xml:space="preserve"> </w:t>
      </w:r>
      <w:r>
        <w:t xml:space="preserve">The Property is within a designated Groundwater Management Zone established for the Lake Erie Dry Cleaning PCE plume (Ohio EPA Response §4; Phase I ESA §5.1.1). Ohio EPA advises that the GMZ</w:t>
      </w:r>
      <w:r>
        <w:t xml:space="preserve"> </w:t>
      </w:r>
      <w:r>
        <w:rPr>
          <w:b/>
          <w:bCs/>
        </w:rPr>
        <w:t xml:space="preserve">“</w:t>
      </w:r>
      <w:r>
        <w:rPr>
          <w:b/>
          <w:bCs/>
        </w:rPr>
        <w:t xml:space="preserve">may impose restrictions on new groundwater withdrawals, new well installations, and certain land uses</w:t>
      </w:r>
      <w:r>
        <w:rPr>
          <w:b/>
          <w:bCs/>
        </w:rPr>
        <w:t xml:space="preserve">”</w:t>
      </w:r>
      <w:r>
        <w:t xml:space="preserve"> </w:t>
      </w:r>
      <w:r>
        <w:t xml:space="preserve">and recommends consulting Ohio EPA’s Division of Drinking and Ground Waters (Ohio EPA Response §4).</w:t>
      </w:r>
    </w:p>
    <w:p>
      <w:pPr>
        <w:pStyle w:val="BodyText"/>
      </w:pPr>
      <w:r>
        <w:rPr>
          <w:b/>
          <w:bCs/>
        </w:rPr>
        <w:t xml:space="preserve">Why it matters.</w:t>
      </w:r>
      <w:r>
        <w:t xml:space="preserve"> </w:t>
      </w:r>
      <w:r>
        <w:t xml:space="preserve">The GMZ may restrict Buyer’s ability to install wells (including monitoring wells for the Phase II — coordinate with Ohio EPA) or withdraw groundwater, and may affect certain land uses. The Purchase Agreement §4.12(e) represents that there are no institutional controls or AULs</w:t>
      </w:r>
      <w:r>
        <w:t xml:space="preserve"> </w:t>
      </w:r>
      <w:r>
        <w:t xml:space="preserve">“</w:t>
      </w:r>
      <w:r>
        <w:t xml:space="preserve">applicable to the Property</w:t>
      </w:r>
      <w:r>
        <w:t xml:space="preserve">”</w:t>
      </w:r>
      <w:r>
        <w:t xml:space="preserve"> </w:t>
      </w:r>
      <w:r>
        <w:t xml:space="preserve">— a GMZ is arguably an institutional control, though not a recorded deed restriction, and the representation may be narrowly accurate. Buyer should confirm the GMZ’s actual restrictions.</w:t>
      </w:r>
    </w:p>
    <w:p>
      <w:pPr>
        <w:pStyle w:val="BodyText"/>
      </w:pPr>
      <w:r>
        <w:rPr>
          <w:b/>
          <w:bCs/>
        </w:rPr>
        <w:t xml:space="preserve">Recommendation.</w:t>
      </w:r>
      <w:r>
        <w:t xml:space="preserve"> </w:t>
      </w:r>
      <w:r>
        <w:t xml:space="preserve">Consult Ohio EPA’s Division of Drinking and Ground Waters to confirm GMZ restrictions; coordinate any Phase II monitoring-well installation with Ohio EPA; and confirm whether the GMZ affects the §4.12(e) representation or Buyer’s planned use.</w:t>
      </w:r>
    </w:p>
    <w:bookmarkEnd w:id="55"/>
    <w:bookmarkStart w:id="56" w:name="Xfe2e26ca5fa720843953133e6b9ec401f57dfb6"/>
    <w:p>
      <w:pPr>
        <w:pStyle w:val="Heading4"/>
      </w:pPr>
      <w:r>
        <w:t xml:space="preserve">F-2. Reliance on Seller’s Statements — Credibility Concerns —</w:t>
      </w:r>
      <w:r>
        <w:t xml:space="preserve"> </w:t>
      </w:r>
      <w:r>
        <w:rPr>
          <w:b/>
          <w:bCs/>
        </w:rPr>
        <w:t xml:space="preserve">Medium</w:t>
      </w:r>
    </w:p>
    <w:p>
      <w:pPr>
        <w:pStyle w:val="FirstParagraph"/>
      </w:pPr>
      <w:r>
        <w:rPr>
          <w:b/>
          <w:bCs/>
        </w:rPr>
        <w:t xml:space="preserve">Identification.</w:t>
      </w:r>
      <w:r>
        <w:t xml:space="preserve"> </w:t>
      </w:r>
      <w:r>
        <w:t xml:space="preserve">The Phase I’s findings rely in part on Seller’s principal’s representations — e.g., that</w:t>
      </w:r>
      <w:r>
        <w:t xml:space="preserve"> </w:t>
      </w:r>
      <w:r>
        <w:t xml:space="preserve">“</w:t>
      </w:r>
      <w:r>
        <w:t xml:space="preserve">TCE drums were removed</w:t>
      </w:r>
      <w:r>
        <w:t xml:space="preserve">”</w:t>
      </w:r>
      <w:r>
        <w:t xml:space="preserve"> </w:t>
      </w:r>
      <w:r>
        <w:t xml:space="preserve">in 1992, that electroplating sludge</w:t>
      </w:r>
      <w:r>
        <w:t xml:space="preserve"> </w:t>
      </w:r>
      <w:r>
        <w:t xml:space="preserve">“</w:t>
      </w:r>
      <w:r>
        <w:t xml:space="preserve">was disposed of</w:t>
      </w:r>
      <w:r>
        <w:t xml:space="preserve">”</w:t>
      </w:r>
      <w:r>
        <w:t xml:space="preserve"> </w:t>
      </w:r>
      <w:r>
        <w:t xml:space="preserve">in 2004, and that</w:t>
      </w:r>
      <w:r>
        <w:t xml:space="preserve"> </w:t>
      </w:r>
      <w:r>
        <w:t xml:space="preserve">“</w:t>
      </w:r>
      <w:r>
        <w:t xml:space="preserve">all the chemicals were handled properly</w:t>
      </w:r>
      <w:r>
        <w:t xml:space="preserve">”</w:t>
      </w:r>
      <w:r>
        <w:t xml:space="preserve"> </w:t>
      </w:r>
      <w:r>
        <w:t xml:space="preserve">(Phase I ESA §7.1). Seller’s principal’s credibility is compromised: he denied knowledge of the documented 1988 spill, could not produce the 2003 consent order, could not explain MW-1 or the east-side drum area, and refused to produce corporate records (Phase I ESA §7.1; D-8).</w:t>
      </w:r>
    </w:p>
    <w:p>
      <w:pPr>
        <w:pStyle w:val="BodyText"/>
      </w:pPr>
      <w:r>
        <w:rPr>
          <w:b/>
          <w:bCs/>
        </w:rPr>
        <w:t xml:space="preserve">Why it matters.</w:t>
      </w:r>
      <w:r>
        <w:t xml:space="preserve"> </w:t>
      </w:r>
      <w:r>
        <w:t xml:space="preserve">Seller’s unverified statements should not be relied upon for risk characterization. The 2004 disposal claim is corroborated by manifests (Ohio EPA Response §1), but the 1992</w:t>
      </w:r>
      <w:r>
        <w:t xml:space="preserve"> </w:t>
      </w:r>
      <w:r>
        <w:t xml:space="preserve">“</w:t>
      </w:r>
      <w:r>
        <w:t xml:space="preserve">TCE drums removed</w:t>
      </w:r>
      <w:r>
        <w:t xml:space="preserve">”</w:t>
      </w:r>
      <w:r>
        <w:t xml:space="preserve"> </w:t>
      </w:r>
      <w:r>
        <w:t xml:space="preserve">claim is uncorroborated, and the</w:t>
      </w:r>
      <w:r>
        <w:t xml:space="preserve"> </w:t>
      </w:r>
      <w:r>
        <w:t xml:space="preserve">“</w:t>
      </w:r>
      <w:r>
        <w:t xml:space="preserve">all chemicals handled properly</w:t>
      </w:r>
      <w:r>
        <w:t xml:space="preserve">”</w:t>
      </w:r>
      <w:r>
        <w:t xml:space="preserve"> </w:t>
      </w:r>
      <w:r>
        <w:t xml:space="preserve">claim is contradicted by the manifest gap and the 2003 NOV.</w:t>
      </w:r>
    </w:p>
    <w:p>
      <w:pPr>
        <w:pStyle w:val="BodyText"/>
      </w:pPr>
      <w:r>
        <w:rPr>
          <w:b/>
          <w:bCs/>
        </w:rPr>
        <w:t xml:space="preserve">Recommendation.</w:t>
      </w:r>
      <w:r>
        <w:t xml:space="preserve"> </w:t>
      </w:r>
      <w:r>
        <w:t xml:space="preserve">Treat Seller’s statements as unverified; confirm key facts through the Phase II, Ohio EPA records, and independent document review. Do not credit Seller’s</w:t>
      </w:r>
      <w:r>
        <w:t xml:space="preserve"> </w:t>
      </w:r>
      <w:r>
        <w:t xml:space="preserve">“</w:t>
      </w:r>
      <w:r>
        <w:t xml:space="preserve">no knowledge</w:t>
      </w:r>
      <w:r>
        <w:t xml:space="preserve">”</w:t>
      </w:r>
      <w:r>
        <w:t xml:space="preserve"> </w:t>
      </w:r>
      <w:r>
        <w:t xml:space="preserve">statements in the AAI record.</w:t>
      </w:r>
    </w:p>
    <w:bookmarkEnd w:id="56"/>
    <w:bookmarkStart w:id="57" w:name="X2f78a5761dad9e60b0a9cfe455717c0f9592241"/>
    <w:p>
      <w:pPr>
        <w:pStyle w:val="Heading4"/>
      </w:pPr>
      <w:r>
        <w:t xml:space="preserve">F-3. Active 10,000-Gallon Diesel UST — Age and Post-Closing Obligations —</w:t>
      </w:r>
      <w:r>
        <w:t xml:space="preserve"> </w:t>
      </w:r>
      <w:r>
        <w:rPr>
          <w:b/>
          <w:bCs/>
        </w:rPr>
        <w:t xml:space="preserve">Low</w:t>
      </w:r>
    </w:p>
    <w:p>
      <w:pPr>
        <w:pStyle w:val="FirstParagraph"/>
      </w:pPr>
      <w:r>
        <w:rPr>
          <w:b/>
          <w:bCs/>
        </w:rPr>
        <w:t xml:space="preserve">Identification.</w:t>
      </w:r>
      <w:r>
        <w:t xml:space="preserve"> </w:t>
      </w:r>
      <w:r>
        <w:t xml:space="preserve">The active 10,000-gallon diesel UST (Facility ID 48-22-10-0087) was installed in 1978 (approximately 46 years old), upgraded with cathodic protection in 1998, and last inspected May 2022 with no violations (Phase I ESA §6.2.2, §9.5; Ohio EPA Response §3; Purchase Agreement Schedule 4.13).</w:t>
      </w:r>
    </w:p>
    <w:p>
      <w:pPr>
        <w:pStyle w:val="BodyText"/>
      </w:pPr>
      <w:r>
        <w:rPr>
          <w:b/>
          <w:bCs/>
        </w:rPr>
        <w:t xml:space="preserve">Why it matters.</w:t>
      </w:r>
      <w:r>
        <w:t xml:space="preserve"> </w:t>
      </w:r>
      <w:r>
        <w:t xml:space="preserve">While currently compliant, a 46-year-old UST carries increasing age-related release risk. Post-closing, any UST activity requires Lender consent (C-4).</w:t>
      </w:r>
    </w:p>
    <w:p>
      <w:pPr>
        <w:pStyle w:val="BodyText"/>
      </w:pPr>
      <w:r>
        <w:rPr>
          <w:b/>
          <w:bCs/>
        </w:rPr>
        <w:t xml:space="preserve">Recommendation.</w:t>
      </w:r>
      <w:r>
        <w:t xml:space="preserve"> </w:t>
      </w:r>
      <w:r>
        <w:t xml:space="preserve">Monitor registration and inspection status; plan for eventual UST replacement or closure (with Lender consent); and confirm the UST is properly registered to Buyer at closing.</w:t>
      </w:r>
    </w:p>
    <w:p>
      <w:r>
        <w:pict>
          <v:rect style="width:0;height:1.5pt" o:hralign="center" o:hrstd="t" o:hr="t"/>
        </w:pict>
      </w:r>
    </w:p>
    <w:bookmarkEnd w:id="57"/>
    <w:bookmarkEnd w:id="58"/>
    <w:bookmarkEnd w:id="59"/>
    <w:bookmarkStart w:id="60" w:name="vi.-recommendations-and-next-steps"/>
    <w:p>
      <w:pPr>
        <w:pStyle w:val="Heading2"/>
      </w:pPr>
      <w:r>
        <w:t xml:space="preserve">VI. Recommendations and Next Steps</w:t>
      </w:r>
    </w:p>
    <w:p>
      <w:pPr>
        <w:numPr>
          <w:ilvl w:val="0"/>
          <w:numId w:val="1006"/>
        </w:numPr>
      </w:pPr>
      <w:r>
        <w:rPr>
          <w:b/>
          <w:bCs/>
        </w:rPr>
        <w:t xml:space="preserve">Supplement the Phase I ESA (Critical).</w:t>
      </w:r>
      <w:r>
        <w:t xml:space="preserve"> </w:t>
      </w:r>
      <w:r>
        <w:t xml:space="preserve">Require Greenfield to issue a supplemental letter that (a) classifies the Lake Erie Dry Cleaning PCE plume as a REC/CREC for the Property (B-1); (b) classifies the 2,000-gallon waste-solvent UST (B-2) and the east-side drum-storage area (B-3) as RECs; (c) reclassifies or investigates the 500-gallon heating-oil UST (B-4); (d) addresses MW-1 (B-5); (e) adds a vapor-intrusion discussion (B-6); (f) completes the data-gap analysis (B-7) and database review (B-8); and (g) notes ACM/LBP as non-scope business environmental risk (B-9). Do not rely on the Phase I as delivered for AAI purposes until supplemented.</w:t>
      </w:r>
    </w:p>
    <w:p>
      <w:pPr>
        <w:numPr>
          <w:ilvl w:val="0"/>
          <w:numId w:val="1006"/>
        </w:numPr>
      </w:pPr>
      <w:r>
        <w:rPr>
          <w:b/>
          <w:bCs/>
        </w:rPr>
        <w:t xml:space="preserve">Commission the Phase II ESA and vapor-intrusion assessment immediately (High).</w:t>
      </w:r>
      <w:r>
        <w:t xml:space="preserve"> </w:t>
      </w:r>
      <w:r>
        <w:t xml:space="preserve">Scope to include: former degreasing area and TCE drum (A-1); former electroplating room and sump (A-2); east-side drum-storage area (B-3); geophysical survey for the two unregistered USTs (B-2, B-4); on-site groundwater monitoring wells analyzed for PCE/TCE and metals, to delineate the off-site plume beneath the Property (B-1); and sub-slab/indoor-air vapor-intrusion sampling (B-6). Require best/most-likely/worst-case remediation cost estimates (Lender Letter §3.B.1).</w:t>
      </w:r>
    </w:p>
    <w:p>
      <w:pPr>
        <w:numPr>
          <w:ilvl w:val="0"/>
          <w:numId w:val="1006"/>
        </w:numPr>
      </w:pPr>
      <w:r>
        <w:rPr>
          <w:b/>
          <w:bCs/>
        </w:rPr>
        <w:t xml:space="preserve">Satisfy the Lender’s conditional requirements (High).</w:t>
      </w:r>
      <w:r>
        <w:t xml:space="preserve"> </w:t>
      </w:r>
      <w:r>
        <w:t xml:space="preserve">In parallel, underwrite the PLL insurance (≥ $5,000,000, 10-year term, Bank as additional insured/loss payee); establish the Environmental Escrow if the most-likely estimate exceeds $250,000 (125% of that estimate); and prepare a remediation plan if costs exceed $500,000. Deliver all to the Lender by</w:t>
      </w:r>
      <w:r>
        <w:t xml:space="preserve"> </w:t>
      </w:r>
      <w:r>
        <w:rPr>
          <w:b/>
          <w:bCs/>
        </w:rPr>
        <w:t xml:space="preserve">November 30, 2024</w:t>
      </w:r>
      <w:r>
        <w:t xml:space="preserve"> </w:t>
      </w:r>
      <w:r>
        <w:t xml:space="preserve">(C-1).</w:t>
      </w:r>
    </w:p>
    <w:p>
      <w:pPr>
        <w:numPr>
          <w:ilvl w:val="0"/>
          <w:numId w:val="1006"/>
        </w:numPr>
      </w:pPr>
      <w:r>
        <w:rPr>
          <w:b/>
          <w:bCs/>
        </w:rPr>
        <w:t xml:space="preserve">Address the Seller-representation breaches before closing (High).</w:t>
      </w:r>
      <w:r>
        <w:t xml:space="preserve"> </w:t>
      </w:r>
      <w:r>
        <w:t xml:space="preserve">Demand correction of Schedule 4.12(c) (the 2003 NOV/consent order — D-3) and Schedule 4.13 (the two omitted USTs — D-5), and disclosure on Schedule 4.12(a) of the documented releases (D-1). Retrieve the archived 2003 consent order and compliance certification (D-4). Evaluate the §8.4(d) fraud/intentional-misrepresentation theory and preserve the knowledge record (D-8).</w:t>
      </w:r>
    </w:p>
    <w:p>
      <w:pPr>
        <w:numPr>
          <w:ilvl w:val="0"/>
          <w:numId w:val="1006"/>
        </w:numPr>
      </w:pPr>
      <w:r>
        <w:rPr>
          <w:b/>
          <w:bCs/>
        </w:rPr>
        <w:t xml:space="preserve">Evaluate the §6.3(b) termination right before October 31, 2024 (High).</w:t>
      </w:r>
      <w:r>
        <w:t xml:space="preserve"> </w:t>
      </w:r>
      <w:r>
        <w:t xml:space="preserve">Determine, with preliminary Phase II input, whether the identified RECs</w:t>
      </w:r>
      <w:r>
        <w:t xml:space="preserve"> </w:t>
      </w:r>
      <w:r>
        <w:t xml:space="preserve">“</w:t>
      </w:r>
      <w:r>
        <w:t xml:space="preserve">could result in Remediation Costs exceeding $500,000.</w:t>
      </w:r>
      <w:r>
        <w:t xml:space="preserve">”</w:t>
      </w:r>
      <w:r>
        <w:t xml:space="preserve"> </w:t>
      </w:r>
      <w:r>
        <w:t xml:space="preserve">If so, and if Seller will not provide adequate price/escrow/indemnity relief, consider terminating and recovering the Earnest Money Deposit. If proceeding, document the waiver and the reliance on indemnity/insurance (D-9).</w:t>
      </w:r>
    </w:p>
    <w:p>
      <w:pPr>
        <w:numPr>
          <w:ilvl w:val="0"/>
          <w:numId w:val="1006"/>
        </w:numPr>
      </w:pPr>
      <w:r>
        <w:rPr>
          <w:b/>
          <w:bCs/>
        </w:rPr>
        <w:t xml:space="preserve">Remediate the indemnification insufficiency (High).</w:t>
      </w:r>
      <w:r>
        <w:t xml:space="preserve"> </w:t>
      </w:r>
      <w:r>
        <w:t xml:space="preserve">The $1.75M cap and 3-year survival period are likely insufficient (D-6, D-7). Negotiate a cap increase or environmental carve-out, a longer survival period (or discovery-based tolling), and size the PLL policy and escrow to the worst-case estimate — not to the cap. The Lender will not rely on Seller indemnity alone (Lender Letter §3.B.2).</w:t>
      </w:r>
    </w:p>
    <w:p>
      <w:pPr>
        <w:numPr>
          <w:ilvl w:val="0"/>
          <w:numId w:val="1006"/>
        </w:numPr>
      </w:pPr>
      <w:r>
        <w:rPr>
          <w:b/>
          <w:bCs/>
        </w:rPr>
        <w:t xml:space="preserve">Confirm AAI compliance before reliance (Medium-High).</w:t>
      </w:r>
      <w:r>
        <w:t xml:space="preserve"> </w:t>
      </w:r>
      <w:r>
        <w:t xml:space="preserve">Have the supplemented Phase I reviewed for AAI completeness; attempt former-employee interviews; and maintain continuing obligations post-closing (E-1).</w:t>
      </w:r>
    </w:p>
    <w:p>
      <w:pPr>
        <w:numPr>
          <w:ilvl w:val="0"/>
          <w:numId w:val="1006"/>
        </w:numPr>
      </w:pPr>
      <w:r>
        <w:rPr>
          <w:b/>
          <w:bCs/>
        </w:rPr>
        <w:t xml:space="preserve">Confirm GMZ restrictions and coordinate with Ohio EPA (Medium).</w:t>
      </w:r>
      <w:r>
        <w:t xml:space="preserve"> </w:t>
      </w:r>
      <w:r>
        <w:t xml:space="preserve">Consult Ohio EPA’s Division of Drinking and Ground Waters regarding GMZ land-use and well-installation restrictions; coordinate Phase II monitoring-well installation accordingly (F-1).</w:t>
      </w:r>
    </w:p>
    <w:p>
      <w:pPr>
        <w:numPr>
          <w:ilvl w:val="0"/>
          <w:numId w:val="1006"/>
        </w:numPr>
      </w:pPr>
      <w:r>
        <w:rPr>
          <w:b/>
          <w:bCs/>
        </w:rPr>
        <w:t xml:space="preserve">Manage timing (Medium).</w:t>
      </w:r>
      <w:r>
        <w:t xml:space="preserve"> </w:t>
      </w:r>
      <w:r>
        <w:t xml:space="preserve">Mobilize the Phase II and insurance underwriting immediately; consider a written extension of the Environmental Due Diligence Period if needed to inform the §6.3(b) decision (D-10).</w:t>
      </w:r>
    </w:p>
    <w:p>
      <w:r>
        <w:pict>
          <v:rect style="width:0;height:1.5pt" o:hralign="center" o:hrstd="t" o:hr="t"/>
        </w:pict>
      </w:r>
    </w:p>
    <w:bookmarkEnd w:id="60"/>
    <w:bookmarkStart w:id="61" w:name="vii.-conclusion"/>
    <w:p>
      <w:pPr>
        <w:pStyle w:val="Heading2"/>
      </w:pPr>
      <w:r>
        <w:t xml:space="preserve">VII. Conclusion</w:t>
      </w:r>
    </w:p>
    <w:p>
      <w:pPr>
        <w:pStyle w:val="FirstParagraph"/>
      </w:pPr>
      <w:r>
        <w:t xml:space="preserve">The Phase I ESA correctly identifies two serious on-site RECs (TCE degreasing and hexavalent-chromium electroplating) but materially understates the environmental risk by failing to classify the migrating off-site PCE plume as a REC — a failure that directly violates the Lender’s mandatory due-diligence requirements and puts both loan funding and the AAI/CERCLA defensive value of the report at risk. Several additional on-site conditions (the unregistered 2,000-gallon waste-solvent UST, the east-side drum-storage area that corresponds to the 2003 NOV’s leaking chromium drums, the unexplained monitoring well, and vapor-intrusion risk) are underclassified or omitted, and the data-gap and database analyses are incomplete.</w:t>
      </w:r>
    </w:p>
    <w:p>
      <w:pPr>
        <w:pStyle w:val="BodyText"/>
      </w:pPr>
      <w:r>
        <w:t xml:space="preserve">Cross-referencing the Phase I against the Purchase Agreement reveals apparent breaches of multiple Seller representations — most clearly the environmental-notice representation (§4.12(c)) and the UST-list representation (§4.13(a)/Schedule 4.13) — and a credible fraud/intentional-misrepresentation theory arising from Seller’s principal’s denials of matters documented in the record and addressed to him personally. The indemnification cap ($1.75M) and survival period (3 years) are likely insufficient for the potential remediation costs, which is the insufficiency the Lender anticipated and requires to be backstopped by PLL insurance and escrow.</w:t>
      </w:r>
    </w:p>
    <w:p>
      <w:pPr>
        <w:pStyle w:val="BodyText"/>
      </w:pPr>
      <w:r>
        <w:t xml:space="preserve">The transaction can proceed, but only if the Phase I is supplemented, a Phase II ESA and vapor-intrusion assessment are completed with quantified cost estimates, the Lender’s PLL/escrow/remediation-plan conditions are satisfied by November 30, 2024, the Seller-representation breaches are corrected and the indemnity gap is closed, and Buyer makes an informed election regarding the §6.3(b) termination right on or before October 31, 2024. We are available to assist with the supplemental Phase I scope, the Phase II engagement, the Lender deliverables, the Seller-disclosure negotiations, and the §6.3(b) determination.</w:t>
      </w:r>
    </w:p>
    <w:p>
      <w:r>
        <w:pict>
          <v:rect style="width:0;height:1.5pt" o:hralign="center" o:hrstd="t" o:hr="t"/>
        </w:pict>
      </w:r>
    </w:p>
    <w:p>
      <w:pPr>
        <w:pStyle w:val="FirstParagraph"/>
      </w:pPr>
      <w:r>
        <w:rPr>
          <w:i/>
          <w:iCs/>
        </w:rPr>
        <w:t xml:space="preserve">This memorandum is privileged and confidential, constitutes attorney work product prepared in anticipation of litigation, and is provided for the use of Cornerstone Industrial Partners LLC, Great Lakes Capital Bank, and their counsel in connection with the referenced transaction. It is based on the documents listed in Section I and is subject to the limitations of those documents; it is not a guarantee of environmental conditions at the Property.</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2026-06-27T20:26:08Z</dcterms:created>
  <dcterms:modified xsi:type="dcterms:W3CDTF">2026-06-27T20:26:08Z</dcterms:modified>
</cp:coreProperties>
</file>

<file path=docProps/custom.xml><?xml version="1.0" encoding="utf-8"?>
<Properties xmlns="http://schemas.openxmlformats.org/officeDocument/2006/custom-properties" xmlns:vt="http://schemas.openxmlformats.org/officeDocument/2006/docPropsVTypes"/>
</file>