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J. Whitmore, Managing Member and Chief Investment Officer, Whitmore Capital Management LLC; Sandra K. Liu, Chief Compliance Officer and General Counsel, Whitmore Capital Management LLC</w:t>
      </w:r>
    </w:p>
    <w:p>
      <w:pPr>
        <w:pStyle w:val="BodyText"/>
      </w:pPr>
      <w:r>
        <w:rPr>
          <w:b/>
          <w:bCs/>
        </w:rPr>
        <w:t xml:space="preserve">FROM:</w:t>
      </w:r>
      <w:r>
        <w:t xml:space="preserve"> </w:t>
      </w:r>
      <w:r>
        <w:t xml:space="preserve">Bridgeford Hollis LLP, Fund Counsel (D. R. Kasten / E. T. Naraghi)</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the Final Closing Source Documents — Whitmore Capital Partners VII, LP (Final Closing, January 31, 2025)</w:t>
      </w:r>
    </w:p>
    <w:bookmarkStart w:id="20" w:name="i.-introduction-and-scope"/>
    <w:p>
      <w:pPr>
        <w:pStyle w:val="Heading2"/>
      </w:pPr>
      <w:r>
        <w:t xml:space="preserve">I. Introduction and Scope</w:t>
      </w:r>
    </w:p>
    <w:p>
      <w:pPr>
        <w:pStyle w:val="FirstParagraph"/>
      </w:pPr>
      <w:r>
        <w:t xml:space="preserve">In connection with the final closing (the</w:t>
      </w:r>
      <w:r>
        <w:t xml:space="preserve"> </w:t>
      </w:r>
      <w:r>
        <w:t xml:space="preserve">“</w:t>
      </w:r>
      <w:r>
        <w:t xml:space="preserve">Final Closing</w:t>
      </w:r>
      <w:r>
        <w:t xml:space="preserve">”</w:t>
      </w:r>
      <w:r>
        <w:t xml:space="preserve">) of Whitmore Capital Partners VII, LP (the</w:t>
      </w:r>
      <w:r>
        <w:t xml:space="preserve"> </w:t>
      </w:r>
      <w:r>
        <w:t xml:space="preserve">“</w:t>
      </w:r>
      <w:r>
        <w:t xml:space="preserve">Fund</w:t>
      </w:r>
      <w:r>
        <w:t xml:space="preserve">”</w:t>
      </w:r>
      <w:r>
        <w:t xml:space="preserve"> </w:t>
      </w:r>
      <w:r>
        <w:t xml:space="preserve">or</w:t>
      </w:r>
      <w:r>
        <w:t xml:space="preserve"> </w:t>
      </w:r>
      <w:r>
        <w:t xml:space="preserve">“</w:t>
      </w:r>
      <w:r>
        <w:t xml:space="preserve">Fund VII</w:t>
      </w:r>
      <w:r>
        <w:t xml:space="preserve">”</w:t>
      </w:r>
      <w:r>
        <w:t xml:space="preserve">) scheduled for January 31, 2025, we have reviewed the operative and supporting closing documents, including: (i) the Amended and Restated Agreement of Limited Partnership, dated as of September 15, 2024 (the</w:t>
      </w:r>
      <w:r>
        <w:t xml:space="preserve"> </w:t>
      </w:r>
      <w:r>
        <w:t xml:space="preserve">“</w:t>
      </w:r>
      <w:r>
        <w:t xml:space="preserve">LPA</w:t>
      </w:r>
      <w:r>
        <w:t xml:space="preserve">”</w:t>
      </w:r>
      <w:r>
        <w:t xml:space="preserve">); (ii) Amendment No. 1 to the LPA, dated as of November 30, 2024 (</w:t>
      </w:r>
      <w:r>
        <w:t xml:space="preserve">“</w:t>
      </w:r>
      <w:r>
        <w:t xml:space="preserve">Amendment No. 1</w:t>
      </w:r>
      <w:r>
        <w:t xml:space="preserve">”</w:t>
      </w:r>
      <w:r>
        <w:t xml:space="preserve">); (iii) the form of Subscription Agreement for use at the Final Closing (the</w:t>
      </w:r>
      <w:r>
        <w:t xml:space="preserve"> </w:t>
      </w:r>
      <w:r>
        <w:t xml:space="preserve">“</w:t>
      </w:r>
      <w:r>
        <w:t xml:space="preserve">Subscription Agreement</w:t>
      </w:r>
      <w:r>
        <w:t xml:space="preserve">”</w:t>
      </w:r>
      <w:r>
        <w:t xml:space="preserve">); (iv) Capital Call Notice No. 1, dated October 10, 2024 (</w:t>
      </w:r>
      <w:r>
        <w:t xml:space="preserve">“</w:t>
      </w:r>
      <w:r>
        <w:t xml:space="preserve">CC #1</w:t>
      </w:r>
      <w:r>
        <w:t xml:space="preserve">”</w:t>
      </w:r>
      <w:r>
        <w:t xml:space="preserve">); (v) Capital Call Notice No. 2, dated December 15, 2024 (</w:t>
      </w:r>
      <w:r>
        <w:t xml:space="preserve">“</w:t>
      </w:r>
      <w:r>
        <w:t xml:space="preserve">CC #2</w:t>
      </w:r>
      <w:r>
        <w:t xml:space="preserve">”</w:t>
      </w:r>
      <w:r>
        <w:t xml:space="preserve">); (vi) the AML/KYC completion email from Oakmere Fund Services LLC (the</w:t>
      </w:r>
      <w:r>
        <w:t xml:space="preserve"> </w:t>
      </w:r>
      <w:r>
        <w:t xml:space="preserve">“</w:t>
      </w:r>
      <w:r>
        <w:t xml:space="preserve">Fund Administrator</w:t>
      </w:r>
      <w:r>
        <w:t xml:space="preserve">”</w:t>
      </w:r>
      <w:r>
        <w:t xml:space="preserve">), dated January 24, 2025 (the</w:t>
      </w:r>
      <w:r>
        <w:t xml:space="preserve"> </w:t>
      </w:r>
      <w:r>
        <w:t xml:space="preserve">“</w:t>
      </w:r>
      <w:r>
        <w:t xml:space="preserve">AML/KYC Email</w:t>
      </w:r>
      <w:r>
        <w:t xml:space="preserve">”</w:t>
      </w:r>
      <w:r>
        <w:t xml:space="preserve">); (vii) the GP’s internal closing memorandum dated January 28, 2025 (the</w:t>
      </w:r>
      <w:r>
        <w:t xml:space="preserve"> </w:t>
      </w:r>
      <w:r>
        <w:t xml:space="preserve">“</w:t>
      </w:r>
      <w:r>
        <w:t xml:space="preserve">GP Memo</w:t>
      </w:r>
      <w:r>
        <w:t xml:space="preserve">”</w:t>
      </w:r>
      <w:r>
        <w:t xml:space="preserve">); and (viii) the Fund Administrator’s closing checklist and commitment/equalization schedules (the</w:t>
      </w:r>
      <w:r>
        <w:t xml:space="preserve"> </w:t>
      </w:r>
      <w:r>
        <w:t xml:space="preserve">“</w:t>
      </w:r>
      <w:r>
        <w:t xml:space="preserve">Checklist</w:t>
      </w:r>
      <w:r>
        <w:t xml:space="preserve">”</w:t>
      </w:r>
      <w:r>
        <w:t xml:space="preserve">).</w:t>
      </w:r>
    </w:p>
    <w:p>
      <w:pPr>
        <w:pStyle w:val="BodyText"/>
      </w:pPr>
      <w:r>
        <w:t xml:space="preserve">This memorandum identifies discrepancies among, and unresolved issues within, those source documents that bear on the General Partner’s ability to certify the conditions precedent to the Final Closing under Section 11.2 of the LPA and to deliver the Final Closing Certificate. Issues are organized by severity:</w:t>
      </w:r>
      <w:r>
        <w:t xml:space="preserve"> </w:t>
      </w:r>
      <w:r>
        <w:rPr>
          <w:b/>
          <w:bCs/>
        </w:rPr>
        <w:t xml:space="preserve">Section II (High)</w:t>
      </w:r>
      <w:r>
        <w:t xml:space="preserve"> </w:t>
      </w:r>
      <w:r>
        <w:t xml:space="preserve">identifies matters that, if not resolved, could impede the Final Closing or that implicate a non-waivable condition precedent;</w:t>
      </w:r>
      <w:r>
        <w:t xml:space="preserve"> </w:t>
      </w:r>
      <w:r>
        <w:rPr>
          <w:b/>
          <w:bCs/>
        </w:rPr>
        <w:t xml:space="preserve">Section III (Medium)</w:t>
      </w:r>
      <w:r>
        <w:t xml:space="preserve"> </w:t>
      </w:r>
      <w:r>
        <w:t xml:space="preserve">identifies matters that should be resolved or reconciled at or promptly after closing; and</w:t>
      </w:r>
      <w:r>
        <w:t xml:space="preserve"> </w:t>
      </w:r>
      <w:r>
        <w:rPr>
          <w:b/>
          <w:bCs/>
        </w:rPr>
        <w:t xml:space="preserve">Section IV (Low)</w:t>
      </w:r>
      <w:r>
        <w:t xml:space="preserve"> </w:t>
      </w:r>
      <w:r>
        <w:t xml:space="preserve">identifies clerical, cross-reference, and contact-detail inconsistencies that should be corrected in the record. Section V summarizes the conditions-precedent status and our recommendation.</w:t>
      </w:r>
    </w:p>
    <w:p>
      <w:pPr>
        <w:pStyle w:val="BodyText"/>
      </w:pPr>
      <w:r>
        <w:t xml:space="preserve">Defined terms not otherwise defined herein have the meanings ascribed to them in the LPA.</w:t>
      </w:r>
    </w:p>
    <w:bookmarkEnd w:id="20"/>
    <w:bookmarkStart w:id="25" w:name="ii.-high-severity-issues"/>
    <w:p>
      <w:pPr>
        <w:pStyle w:val="Heading2"/>
      </w:pPr>
      <w:r>
        <w:t xml:space="preserve">II. High-Severity Issues</w:t>
      </w:r>
    </w:p>
    <w:bookmarkStart w:id="21" w:name="Xf170e8f4eb62c86bdc6932e6c9635d359112db0"/>
    <w:p>
      <w:pPr>
        <w:pStyle w:val="Heading3"/>
      </w:pPr>
      <w:r>
        <w:t xml:space="preserve">A. AML/KYC Confirmation Omits Cascade Re Insurance Ltd. (Condition 11.2(3) — Non-Waivable)</w:t>
      </w:r>
    </w:p>
    <w:p>
      <w:pPr>
        <w:pStyle w:val="FirstParagraph"/>
      </w:pPr>
      <w:r>
        <w:rPr>
          <w:b/>
          <w:bCs/>
        </w:rPr>
        <w:t xml:space="preserve">Identification.</w:t>
      </w:r>
      <w:r>
        <w:t xml:space="preserve"> </w:t>
      </w:r>
      <w:r>
        <w:t xml:space="preserve">Condition 11.2(3) of the LPA requires the Fund Administrator to deliver a written AML/KYC completion certificate confirming satisfactory AML/KYC documentation for</w:t>
      </w:r>
      <w:r>
        <w:t xml:space="preserve"> </w:t>
      </w:r>
      <w:r>
        <w:rPr>
          <w:i/>
          <w:iCs/>
        </w:rPr>
        <w:t xml:space="preserve">each</w:t>
      </w:r>
      <w:r>
        <w:t xml:space="preserve"> </w:t>
      </w:r>
      <w:r>
        <w:t xml:space="preserve">incoming Limited Partner, and Section 11.3 provides that Condition 11.2(3)</w:t>
      </w:r>
      <w:r>
        <w:t xml:space="preserve"> </w:t>
      </w:r>
      <w:r>
        <w:rPr>
          <w:b/>
          <w:bCs/>
        </w:rPr>
        <w:t xml:space="preserve">may not be waived under any circumstances</w:t>
      </w:r>
      <w:r>
        <w:t xml:space="preserve">. The AML/KYC Email (January 24, 2025) states that</w:t>
      </w:r>
      <w:r>
        <w:t xml:space="preserve"> </w:t>
      </w:r>
      <w:r>
        <w:t xml:space="preserve">“</w:t>
      </w:r>
      <w:r>
        <w:t xml:space="preserve">Oakmere considers the AML/KYC verification process for the final closing investors to be complete,</w:t>
      </w:r>
      <w:r>
        <w:t xml:space="preserve">”</w:t>
      </w:r>
      <w:r>
        <w:t xml:space="preserve"> </w:t>
      </w:r>
      <w:r>
        <w:t xml:space="preserve">but the enumerated results cover only five (5) of the six (6) Final Closing Limited Partners: (1) Meridian State Teachers’ Retirement System, (2) Haverfield Family Office LLC, (3) Northbridge Endowment Fund, (4) Sentry Municipal Employees’ Pension Trust, and (5) Kingsgate Ventures Fund-of-Funds III, LP.</w:t>
      </w:r>
      <w:r>
        <w:t xml:space="preserve"> </w:t>
      </w:r>
      <w:r>
        <w:rPr>
          <w:b/>
          <w:bCs/>
        </w:rPr>
        <w:t xml:space="preserve">Cascade Re Insurance Ltd.</w:t>
      </w:r>
      <w:r>
        <w:t xml:space="preserve"> </w:t>
      </w:r>
      <w:r>
        <w:t xml:space="preserve">($35,000,000 commitment; Bermuda-domiciled reinsurer) is not enumerated. The Checklist (Item 18) marks AML/KYC</w:t>
      </w:r>
      <w:r>
        <w:t xml:space="preserve"> </w:t>
      </w:r>
      <w:r>
        <w:t xml:space="preserve">“</w:t>
      </w:r>
      <w:r>
        <w:t xml:space="preserve">Complete</w:t>
      </w:r>
      <w:r>
        <w:t xml:space="preserve">”</w:t>
      </w:r>
      <w:r>
        <w:t xml:space="preserve"> </w:t>
      </w:r>
      <w:r>
        <w:t xml:space="preserve">based on that same email, and the GP Memo (Section V.B and Condition 3) likewise treats AML/KYC as</w:t>
      </w:r>
      <w:r>
        <w:t xml:space="preserve"> </w:t>
      </w:r>
      <w:r>
        <w:t xml:space="preserve">“</w:t>
      </w:r>
      <w:r>
        <w:t xml:space="preserve">Complete.</w:t>
      </w:r>
      <w:r>
        <w:t xml:space="preserve">”</w:t>
      </w:r>
    </w:p>
    <w:p>
      <w:pPr>
        <w:pStyle w:val="BodyText"/>
      </w:pPr>
      <w:r>
        <w:rPr>
          <w:b/>
          <w:bCs/>
        </w:rPr>
        <w:t xml:space="preserve">Why it matters.</w:t>
      </w:r>
      <w:r>
        <w:t xml:space="preserve"> </w:t>
      </w:r>
      <w:r>
        <w:t xml:space="preserve">The only written AML/KYC confirmation in the closing record does not expressly cover one of the six incoming Limited Partners — and that omitted investor is a non-U.S. entity that would ordinarily warrant enhanced due diligence. Because Condition 11.2(3) is non-waivable, the General Partner cannot properly certify AML/KYC compliance for all Final Closing Limited Partners on the present record, and the Final Closing Certificate cannot be relied upon as to this condition without supplementation.</w:t>
      </w:r>
    </w:p>
    <w:p>
      <w:pPr>
        <w:pStyle w:val="BodyText"/>
      </w:pPr>
      <w:r>
        <w:rPr>
          <w:b/>
          <w:bCs/>
        </w:rPr>
        <w:t xml:space="preserve">Recommendation.</w:t>
      </w:r>
      <w:r>
        <w:t xml:space="preserve"> </w:t>
      </w:r>
      <w:r>
        <w:t xml:space="preserve">Obtain a supplemental written AML/KYC completion certificate from the Fund Administrator expressly covering Cascade Re Insurance Ltd. (including OFAC/sanctions screening, beneficial ownership analysis, and enhanced due diligence appropriate to a Bermuda reinsurer) and place it in the closing binder before the Final Closing is consummated. The Final Closing Certificate qualifies its certification of Condition 11.2(3) accordingly (Certificate, Section IV(A)).</w:t>
      </w:r>
    </w:p>
    <w:bookmarkEnd w:id="21"/>
    <w:bookmarkStart w:id="22" w:name="X43b42b1de7126240390d82f09585c6caa2dde7e"/>
    <w:p>
      <w:pPr>
        <w:pStyle w:val="Heading3"/>
      </w:pPr>
      <w:r>
        <w:t xml:space="preserve">B. ERISA / Benefit Plan Investor Calculation Is Internally Inconsistent and May Exceed the 24.99% Cap (Condition 11.2(5) — Non-Waivable)</w:t>
      </w:r>
    </w:p>
    <w:p>
      <w:pPr>
        <w:pStyle w:val="FirstParagraph"/>
      </w:pPr>
      <w:r>
        <w:rPr>
          <w:b/>
          <w:bCs/>
        </w:rPr>
        <w:t xml:space="preserve">Identification.</w:t>
      </w:r>
      <w:r>
        <w:t xml:space="preserve"> </w:t>
      </w:r>
      <w:r>
        <w:t xml:space="preserve">Condition 11.2(5) (non-waivable under Section 11.3) requires that aggregate Benefit Plan Investor Capital Commitments not exceed 24.99% of total Capital Commitments (Section 6.8). The source documents contain three different ERISA figures:</w:t>
      </w:r>
    </w:p>
    <w:p>
      <w:pPr>
        <w:numPr>
          <w:ilvl w:val="0"/>
          <w:numId w:val="1001"/>
        </w:numPr>
      </w:pPr>
      <w:r>
        <w:rPr>
          <w:b/>
          <w:bCs/>
        </w:rPr>
        <w:t xml:space="preserve">GP Memo (Section V.C):</w:t>
      </w:r>
      <w:r>
        <w:t xml:space="preserve"> </w:t>
      </w:r>
      <w:r>
        <w:t xml:space="preserve">states Benefit Plan Investor commitments of</w:t>
      </w:r>
      <w:r>
        <w:t xml:space="preserve"> </w:t>
      </w:r>
      <w:r>
        <w:t xml:space="preserve">“</w:t>
      </w:r>
      <w:r>
        <w:t xml:space="preserve">approximately $225,300,000</w:t>
      </w:r>
      <w:r>
        <w:t xml:space="preserve">”</w:t>
      </w:r>
      <w:r>
        <w:t xml:space="preserve"> </w:t>
      </w:r>
      <w:r>
        <w:t xml:space="preserve">over total commitments of</w:t>
      </w:r>
      <w:r>
        <w:t xml:space="preserve"> </w:t>
      </w:r>
      <w:r>
        <w:t xml:space="preserve">“</w:t>
      </w:r>
      <w:r>
        <w:t xml:space="preserve">approximately $1,140,000,000,</w:t>
      </w:r>
      <w:r>
        <w:t xml:space="preserve">”</w:t>
      </w:r>
      <w:r>
        <w:t xml:space="preserve"> </w:t>
      </w:r>
      <w:r>
        <w:t xml:space="preserve">yielding</w:t>
      </w:r>
      <w:r>
        <w:t xml:space="preserve"> </w:t>
      </w:r>
      <w:r>
        <w:t xml:space="preserve">“</w:t>
      </w:r>
      <w:r>
        <w:t xml:space="preserve">approximately 19.8%.</w:t>
      </w:r>
      <w:r>
        <w:t xml:space="preserve">”</w:t>
      </w:r>
      <w:r>
        <w:t xml:space="preserve"> </w:t>
      </w:r>
      <w:r>
        <w:t xml:space="preserve">Both the numerator and the denominator are incorrect — $1,140,000,000 is not the total Fund size (which the GP Memo itself elsewhere states is $1,615,000,000), and $225,300,000 reflects only the</w:t>
      </w:r>
      <w:r>
        <w:t xml:space="preserve"> </w:t>
      </w:r>
      <w:r>
        <w:rPr>
          <w:i/>
          <w:iCs/>
        </w:rPr>
        <w:t xml:space="preserve">prior-closings</w:t>
      </w:r>
      <w:r>
        <w:t xml:space="preserve"> </w:t>
      </w:r>
      <w:r>
        <w:t xml:space="preserve">Benefit Plan Investor commitments, omitting the $130,000,000 of Benefit Plan Investors admitted at the Final Closing (Meridian $100,000,000 and Sentry $30,000,000).</w:t>
      </w:r>
    </w:p>
    <w:p>
      <w:pPr>
        <w:numPr>
          <w:ilvl w:val="0"/>
          <w:numId w:val="1001"/>
        </w:numPr>
      </w:pPr>
      <w:r>
        <w:rPr>
          <w:b/>
          <w:bCs/>
        </w:rPr>
        <w:t xml:space="preserve">Subscription Agreement (Schedule I, ERISA Summary) and Checklist (ERISA Analysis):</w:t>
      </w:r>
      <w:r>
        <w:t xml:space="preserve"> </w:t>
      </w:r>
      <w:r>
        <w:t xml:space="preserve">state total Benefit Plan Investor commitments of $355,300,000 over $1,615,000,000, yielding 22.00% (under the cap).</w:t>
      </w:r>
    </w:p>
    <w:p>
      <w:pPr>
        <w:numPr>
          <w:ilvl w:val="0"/>
          <w:numId w:val="1001"/>
        </w:numPr>
      </w:pPr>
      <w:r>
        <w:rPr>
          <w:b/>
          <w:bCs/>
        </w:rPr>
        <w:t xml:space="preserve">Checklist (Commitment Schedule, individual</w:t>
      </w:r>
      <w:r>
        <w:rPr>
          <w:b/>
          <w:bCs/>
        </w:rPr>
        <w:t xml:space="preserve"> </w:t>
      </w:r>
      <w:r>
        <w:rPr>
          <w:b/>
          <w:bCs/>
        </w:rPr>
        <w:t xml:space="preserve">“</w:t>
      </w:r>
      <w:r>
        <w:rPr>
          <w:b/>
          <w:bCs/>
        </w:rPr>
        <w:t xml:space="preserve">ERISA Plan Investor</w:t>
      </w:r>
      <w:r>
        <w:rPr>
          <w:b/>
          <w:bCs/>
        </w:rPr>
        <w:t xml:space="preserve">”</w:t>
      </w:r>
      <w:r>
        <w:rPr>
          <w:b/>
          <w:bCs/>
        </w:rPr>
        <w:t xml:space="preserve"> </w:t>
      </w:r>
      <w:r>
        <w:rPr>
          <w:b/>
          <w:bCs/>
        </w:rPr>
        <w:t xml:space="preserve">flags):</w:t>
      </w:r>
      <w:r>
        <w:t xml:space="preserve"> </w:t>
      </w:r>
      <w:r>
        <w:t xml:space="preserve">the individual LPs flagged</w:t>
      </w:r>
      <w:r>
        <w:t xml:space="preserve"> </w:t>
      </w:r>
      <w:r>
        <w:t xml:space="preserve">“</w:t>
      </w:r>
      <w:r>
        <w:t xml:space="preserve">Y</w:t>
      </w:r>
      <w:r>
        <w:t xml:space="preserve">”</w:t>
      </w:r>
      <w:r>
        <w:t xml:space="preserve"> </w:t>
      </w:r>
      <w:r>
        <w:t xml:space="preserve">as ERISA Plan Investors sum to</w:t>
      </w:r>
      <w:r>
        <w:t xml:space="preserve"> </w:t>
      </w:r>
      <w:r>
        <w:rPr>
          <w:b/>
          <w:bCs/>
        </w:rPr>
        <w:t xml:space="preserve">$465,300,000</w:t>
      </w:r>
      <w:r>
        <w:t xml:space="preserve"> </w:t>
      </w:r>
      <w:r>
        <w:t xml:space="preserve">(prior closings $335,300,000 + Final Closing $130,000,000), which is</w:t>
      </w:r>
      <w:r>
        <w:t xml:space="preserve"> </w:t>
      </w:r>
      <w:r>
        <w:rPr>
          <w:b/>
          <w:bCs/>
        </w:rPr>
        <w:t xml:space="preserve">28.81%</w:t>
      </w:r>
      <w:r>
        <w:t xml:space="preserve"> </w:t>
      </w:r>
      <w:r>
        <w:t xml:space="preserve">of $1,615,000,000 —</w:t>
      </w:r>
      <w:r>
        <w:t xml:space="preserve"> </w:t>
      </w:r>
      <w:r>
        <w:rPr>
          <w:b/>
          <w:bCs/>
        </w:rPr>
        <w:t xml:space="preserve">above</w:t>
      </w:r>
      <w:r>
        <w:t xml:space="preserve"> </w:t>
      </w:r>
      <w:r>
        <w:t xml:space="preserve">the 24.99% cap. This is $110,000,000 higher than the $355,300,000 figure used in the ERISA Analysis summary.</w:t>
      </w:r>
    </w:p>
    <w:p>
      <w:pPr>
        <w:pStyle w:val="FirstParagraph"/>
      </w:pPr>
      <w:r>
        <w:rPr>
          <w:b/>
          <w:bCs/>
        </w:rPr>
        <w:t xml:space="preserve">Why it matters.</w:t>
      </w:r>
      <w:r>
        <w:t xml:space="preserve"> </w:t>
      </w:r>
      <w:r>
        <w:t xml:space="preserve">The closing record does not reconcile. If the broader count reflected by the individual LP flags is correct, the Fund</w:t>
      </w:r>
      <w:r>
        <w:t xml:space="preserve"> </w:t>
      </w:r>
      <w:r>
        <w:rPr>
          <w:b/>
          <w:bCs/>
        </w:rPr>
        <w:t xml:space="preserve">exceeds</w:t>
      </w:r>
      <w:r>
        <w:t xml:space="preserve"> </w:t>
      </w:r>
      <w:r>
        <w:t xml:space="preserve">the non-waivable 24.99% Benefit Plan Investor limitation, and the General Partner would be required, under Section 6.8, to reduce or decline one or more Benefit Plan Investor commitments before the Final Closing may be consummated. The discrepancy appears to turn on whether certain governmental plans and/or the Ashford Healthcare System Retirement Plan are counted as Benefit Plan Investors — a point on which the LPA’s defined term</w:t>
      </w:r>
      <w:r>
        <w:t xml:space="preserve"> </w:t>
      </w:r>
      <w:r>
        <w:t xml:space="preserve">“</w:t>
      </w:r>
      <w:r>
        <w:t xml:space="preserve">Benefit Plan Investor</w:t>
      </w:r>
      <w:r>
        <w:t xml:space="preserve">”</w:t>
      </w:r>
      <w:r>
        <w:t xml:space="preserve"> </w:t>
      </w:r>
      <w:r>
        <w:t xml:space="preserve">(Article I, which tracks the DOL plan-assets regulation and, by its terms, excludes governmental and church plans) and the Subscription Agreement’s Box C (which states that governmental plans are</w:t>
      </w:r>
      <w:r>
        <w:t xml:space="preserve"> </w:t>
      </w:r>
      <w:r>
        <w:t xml:space="preserve">“</w:t>
      </w:r>
      <w:r>
        <w:t xml:space="preserve">treated as benefit plan investors for purposes of the LPA Section 6.8 threshold calculation</w:t>
      </w:r>
      <w:r>
        <w:t xml:space="preserve">”</w:t>
      </w:r>
      <w:r>
        <w:t xml:space="preserve">) are themselves inconsistent. The GP Memo’s 19.8% figure is wrong in any event and must not be used in the closing deliverables.</w:t>
      </w:r>
    </w:p>
    <w:p>
      <w:pPr>
        <w:pStyle w:val="BodyText"/>
      </w:pPr>
      <w:r>
        <w:rPr>
          <w:b/>
          <w:bCs/>
        </w:rPr>
        <w:t xml:space="preserve">Recommendation.</w:t>
      </w:r>
      <w:r>
        <w:t xml:space="preserve"> </w:t>
      </w:r>
      <w:r>
        <w:t xml:space="preserve">Before the Final Closing is consummated, the General Partner and Fund Administrator must (i) reconcile the $110,000,000 difference between the sum of individual ERISA flags ($465,300,000) and the ERISA Analysis summary ($355,300,000); (ii) confirm the correct Benefit Plan Investor population and the controlling percentage; and (iii) resolve the inconsistency between the LPA’s defined term and the Subscription Agreement’s Box C regarding governmental plans. If the broader figure is correct, the General Partner must reduce or decline Benefit Plan Investor commitments to bring the percentage below 24.99% pursuant to Section 6.8. The Final Closing Certificate certifies Condition 11.2(5) at 22.00% but expressly qualifies that certification pending this reconciliation (Certificate, Section IV(B)).</w:t>
      </w:r>
    </w:p>
    <w:bookmarkEnd w:id="22"/>
    <w:bookmarkStart w:id="23" w:name="X97029e6444e19616f6b1414f143301559bad098"/>
    <w:p>
      <w:pPr>
        <w:pStyle w:val="Heading3"/>
      </w:pPr>
      <w:r>
        <w:t xml:space="preserve">C. Amendment No. 1 Misidentifies the Distribution Waterfall Catch-Up Tier (Section 8.3(b) vs. 8.3(c))</w:t>
      </w:r>
    </w:p>
    <w:p>
      <w:pPr>
        <w:pStyle w:val="FirstParagraph"/>
      </w:pPr>
      <w:r>
        <w:rPr>
          <w:b/>
          <w:bCs/>
        </w:rPr>
        <w:t xml:space="preserve">Identification.</w:t>
      </w:r>
      <w:r>
        <w:t xml:space="preserve"> </w:t>
      </w:r>
      <w:r>
        <w:t xml:space="preserve">Amendment No. 1 (Section 1.2) purports to correct the General Partner’s</w:t>
      </w:r>
      <w:r>
        <w:t xml:space="preserve"> </w:t>
      </w:r>
      <w:r>
        <w:t xml:space="preserve">“</w:t>
      </w:r>
      <w:r>
        <w:t xml:space="preserve">catch-up</w:t>
      </w:r>
      <w:r>
        <w:t xml:space="preserve">”</w:t>
      </w:r>
      <w:r>
        <w:t xml:space="preserve"> </w:t>
      </w:r>
      <w:r>
        <w:t xml:space="preserve">allocation by deleting and replacing</w:t>
      </w:r>
      <w:r>
        <w:t xml:space="preserve"> </w:t>
      </w:r>
      <w:r>
        <w:t xml:space="preserve">“</w:t>
      </w:r>
      <w:r>
        <w:t xml:space="preserve">Section 8.3(b)</w:t>
      </w:r>
      <w:r>
        <w:t xml:space="preserve">”</w:t>
      </w:r>
      <w:r>
        <w:t xml:space="preserve"> </w:t>
      </w:r>
      <w:r>
        <w:t xml:space="preserve">of the LPA, describing it as</w:t>
      </w:r>
      <w:r>
        <w:t xml:space="preserve"> </w:t>
      </w:r>
      <w:r>
        <w:t xml:space="preserve">“</w:t>
      </w:r>
      <w:r>
        <w:t xml:space="preserve">the second tier of the distribution waterfall (the General Partner’s</w:t>
      </w:r>
      <w:r>
        <w:t xml:space="preserve"> </w:t>
      </w:r>
      <w:r>
        <w:t xml:space="preserve">‘</w:t>
      </w:r>
      <w:r>
        <w:t xml:space="preserve">catch-up</w:t>
      </w:r>
      <w:r>
        <w:t xml:space="preserve">’</w:t>
      </w:r>
      <w:r>
        <w:t xml:space="preserve"> </w:t>
      </w:r>
      <w:r>
        <w:t xml:space="preserve">allocation).</w:t>
      </w:r>
      <w:r>
        <w:t xml:space="preserve">”</w:t>
      </w:r>
      <w:r>
        <w:t xml:space="preserve"> </w:t>
      </w:r>
      <w:r>
        <w:t xml:space="preserve">In the LPA as executed, however, the tiers of Section 8.3 are: (a) Return of Capital; (b)</w:t>
      </w:r>
      <w:r>
        <w:t xml:space="preserve"> </w:t>
      </w:r>
      <w:r>
        <w:rPr>
          <w:b/>
          <w:bCs/>
        </w:rPr>
        <w:t xml:space="preserve">Preferred Return</w:t>
      </w:r>
      <w:r>
        <w:t xml:space="preserve"> </w:t>
      </w:r>
      <w:r>
        <w:t xml:space="preserve">(100% to the Partners until an 8% IRR is achieved); (c)</w:t>
      </w:r>
      <w:r>
        <w:t xml:space="preserve"> </w:t>
      </w:r>
      <w:r>
        <w:rPr>
          <w:b/>
          <w:bCs/>
        </w:rPr>
        <w:t xml:space="preserve">GP Catch-Up</w:t>
      </w:r>
      <w:r>
        <w:t xml:space="preserve"> </w:t>
      </w:r>
      <w:r>
        <w:t xml:space="preserve">(100% to the General Partner); and (d) Carried Interest Split (80/20). The catch-up is therefore in</w:t>
      </w:r>
      <w:r>
        <w:t xml:space="preserve"> </w:t>
      </w:r>
      <w:r>
        <w:rPr>
          <w:b/>
          <w:bCs/>
        </w:rPr>
        <w:t xml:space="preserve">Section 8.3(c)</w:t>
      </w:r>
      <w:r>
        <w:t xml:space="preserve">, not Section 8.3(b). Amendment No. 1’s description of the</w:t>
      </w:r>
      <w:r>
        <w:t xml:space="preserve"> </w:t>
      </w:r>
      <w:r>
        <w:t xml:space="preserve">“</w:t>
      </w:r>
      <w:r>
        <w:t xml:space="preserve">original</w:t>
      </w:r>
      <w:r>
        <w:t xml:space="preserve">”</w:t>
      </w:r>
      <w:r>
        <w:t xml:space="preserve"> </w:t>
      </w:r>
      <w:r>
        <w:t xml:space="preserve">Section 8.3(b) — as providing distributions</w:t>
      </w:r>
      <w:r>
        <w:t xml:space="preserve"> </w:t>
      </w:r>
      <w:r>
        <w:t xml:space="preserve">“</w:t>
      </w:r>
      <w:r>
        <w:t xml:space="preserve">to the General Partner in an amount equal to</w:t>
      </w:r>
      <w:r>
        <w:t xml:space="preserve"> </w:t>
      </w:r>
      <w:r>
        <w:t xml:space="preserve">‘</w:t>
      </w:r>
      <w:r>
        <w:t xml:space="preserve">20% of the aggregate amount distributed pursuant to Section 8.3(a) and this Section 8.3(b)</w:t>
      </w:r>
      <w:r>
        <w:t xml:space="preserve">’</w:t>
      </w:r>
      <w:r>
        <w:t xml:space="preserve">”</w:t>
      </w:r>
      <w:r>
        <w:t xml:space="preserve"> </w:t>
      </w:r>
      <w:r>
        <w:t xml:space="preserve">— does not match the actual text of LPA Section 8.3(b), which is the Partners’ preferred return.</w:t>
      </w:r>
    </w:p>
    <w:p>
      <w:pPr>
        <w:pStyle w:val="BodyText"/>
      </w:pPr>
      <w:r>
        <w:rPr>
          <w:b/>
          <w:bCs/>
        </w:rPr>
        <w:t xml:space="preserve">Why it matters.</w:t>
      </w:r>
      <w:r>
        <w:t xml:space="preserve"> </w:t>
      </w:r>
      <w:r>
        <w:t xml:space="preserve">If Amendment No. 1’s replacement of</w:t>
      </w:r>
      <w:r>
        <w:t xml:space="preserve"> </w:t>
      </w:r>
      <w:r>
        <w:t xml:space="preserve">“</w:t>
      </w:r>
      <w:r>
        <w:t xml:space="preserve">Section 8.3(b)</w:t>
      </w:r>
      <w:r>
        <w:t xml:space="preserve">”</w:t>
      </w:r>
      <w:r>
        <w:t xml:space="preserve"> </w:t>
      </w:r>
      <w:r>
        <w:t xml:space="preserve">is given literal effect against the executed LPA, it would</w:t>
      </w:r>
      <w:r>
        <w:t xml:space="preserve"> </w:t>
      </w:r>
      <w:r>
        <w:rPr>
          <w:b/>
          <w:bCs/>
        </w:rPr>
        <w:t xml:space="preserve">delete the Limited Partners’ 8% preferred return</w:t>
      </w:r>
      <w:r>
        <w:t xml:space="preserve"> </w:t>
      </w:r>
      <w:r>
        <w:t xml:space="preserve">and substitute a second catch-up tier (in addition to the existing Section 8.3(c) catch-up) — a material adverse effect on the Limited Partners. That outcome is directly contrary to Amendment No. 1’s own representation (Section 1.2(c) and Section 2.2(a)) that the correction</w:t>
      </w:r>
      <w:r>
        <w:t xml:space="preserve"> </w:t>
      </w:r>
      <w:r>
        <w:t xml:space="preserve">“</w:t>
      </w:r>
      <w:r>
        <w:t xml:space="preserve">does not materially and adversely affect any Limited Partner,</w:t>
      </w:r>
      <w:r>
        <w:t xml:space="preserve">”</w:t>
      </w:r>
      <w:r>
        <w:t xml:space="preserve"> </w:t>
      </w:r>
      <w:r>
        <w:t xml:space="preserve">and it would undermine the General Partner’s certification under Condition 11.2(10) and the enforceability opinion under Condition 11.2(7). The most likely explanation is a drafting/numbering error (the Amendment intended to amend Section 8.3(c)), but the documents as written are internally inconsistent.</w:t>
      </w:r>
    </w:p>
    <w:p>
      <w:pPr>
        <w:pStyle w:val="BodyText"/>
      </w:pPr>
      <w:r>
        <w:rPr>
          <w:b/>
          <w:bCs/>
        </w:rPr>
        <w:t xml:space="preserve">Recommendation.</w:t>
      </w:r>
      <w:r>
        <w:t xml:space="preserve"> </w:t>
      </w:r>
      <w:r>
        <w:t xml:space="preserve">Fund Counsel should prepare a clarifying amendment (or conforming correction) confirming that (i) the Limited Partners’ 8% preferred return under Section 8.3(b) is preserved, and (ii) the catch-up mechanics are corrected under Section 8.3(c), with the catch-up computed as 20% of the preferred return and catch-up amounts (not of return of capital). This should be resolved before the General Partner certifies Condition 11.2(10) and before Fund Counsel finalizes the enforceability opinion. The Final Closing Certificate flags this issue (Certificate, Section IV(E)).</w:t>
      </w:r>
    </w:p>
    <w:bookmarkEnd w:id="23"/>
    <w:bookmarkStart w:id="24" w:name="X814a285354255c428eff50787fdac4d9285931b"/>
    <w:p>
      <w:pPr>
        <w:pStyle w:val="Heading3"/>
      </w:pPr>
      <w:r>
        <w:t xml:space="preserve">D. Key Person Certification Addresses Only One of Two Key Persons (Condition 11.2(6); Section 9.4(d))</w:t>
      </w:r>
    </w:p>
    <w:p>
      <w:pPr>
        <w:pStyle w:val="FirstParagraph"/>
      </w:pPr>
      <w:r>
        <w:rPr>
          <w:b/>
          <w:bCs/>
        </w:rPr>
        <w:t xml:space="preserve">Identification.</w:t>
      </w:r>
      <w:r>
        <w:t xml:space="preserve"> </w:t>
      </w:r>
      <w:r>
        <w:t xml:space="preserve">Section 9.4 of the LPA designates</w:t>
      </w:r>
      <w:r>
        <w:t xml:space="preserve"> </w:t>
      </w:r>
      <w:r>
        <w:rPr>
          <w:b/>
          <w:bCs/>
        </w:rPr>
        <w:t xml:space="preserve">both</w:t>
      </w:r>
      <w:r>
        <w:t xml:space="preserve"> </w:t>
      </w:r>
      <w:r>
        <w:t xml:space="preserve">Marcus J. Whitmore and Priya S. Mehta as</w:t>
      </w:r>
      <w:r>
        <w:t xml:space="preserve"> </w:t>
      </w:r>
      <w:r>
        <w:t xml:space="preserve">“</w:t>
      </w:r>
      <w:r>
        <w:t xml:space="preserve">Key Persons,</w:t>
      </w:r>
      <w:r>
        <w:t xml:space="preserve">”</w:t>
      </w:r>
      <w:r>
        <w:t xml:space="preserve"> </w:t>
      </w:r>
      <w:r>
        <w:t xml:space="preserve">and Condition 11.2(6) requires that</w:t>
      </w:r>
      <w:r>
        <w:t xml:space="preserve"> </w:t>
      </w:r>
      <w:r>
        <w:rPr>
          <w:i/>
          <w:iCs/>
        </w:rPr>
        <w:t xml:space="preserve">each</w:t>
      </w:r>
      <w:r>
        <w:t xml:space="preserve"> </w:t>
      </w:r>
      <w:r>
        <w:t xml:space="preserve">Key Person continue to devote substantially all of his or her business time to the Partnership and that no Key Person Event has occurred or be reasonably expected to occur. Section 9.4(d) requires the General Partner to certify as to</w:t>
      </w:r>
      <w:r>
        <w:t xml:space="preserve"> </w:t>
      </w:r>
      <w:r>
        <w:rPr>
          <w:i/>
          <w:iCs/>
        </w:rPr>
        <w:t xml:space="preserve">each</w:t>
      </w:r>
      <w:r>
        <w:t xml:space="preserve"> </w:t>
      </w:r>
      <w:r>
        <w:t xml:space="preserve">Key Person at each Closing. The GP Memo (Section VII and Condition 6) addresses only Marcus J. Whitmore and is silent as to Priya S. Mehta. By contrast, Amendment No. 1 (Section 2.2(b)) correctly certified as to both Key Persons at the Second Closing.</w:t>
      </w:r>
    </w:p>
    <w:p>
      <w:pPr>
        <w:pStyle w:val="BodyText"/>
      </w:pPr>
      <w:r>
        <w:rPr>
          <w:b/>
          <w:bCs/>
        </w:rPr>
        <w:t xml:space="preserve">Why it matters.</w:t>
      </w:r>
      <w:r>
        <w:t xml:space="preserve"> </w:t>
      </w:r>
      <w:r>
        <w:t xml:space="preserve">A Key Person certification that omits one of the two named Key Persons does not satisfy Condition 11.2(6) or the Section 9.4(d) certification requirement, and the Limited Partners’ reliance on the continued involvement of both Key Persons is expressly acknowledged in Section 9.4(d).</w:t>
      </w:r>
    </w:p>
    <w:p>
      <w:pPr>
        <w:pStyle w:val="BodyText"/>
      </w:pPr>
      <w:r>
        <w:rPr>
          <w:b/>
          <w:bCs/>
        </w:rPr>
        <w:t xml:space="preserve">Recommendation.</w:t>
      </w:r>
      <w:r>
        <w:t xml:space="preserve"> </w:t>
      </w:r>
      <w:r>
        <w:t xml:space="preserve">The Final Closing Certificate certifies as to both Marcus J. Whitmore and Priya S. Mehta (Certificate, Section III). The General Partner should confirm, and Fund Counsel should verify, that no Key Person Event has occurred or is reasonably expected to occur with respect to Ms. Mehta, and that the factual basis for that confirmation is documented in the closing record.</w:t>
      </w:r>
    </w:p>
    <w:bookmarkEnd w:id="24"/>
    <w:bookmarkEnd w:id="25"/>
    <w:bookmarkStart w:id="31" w:name="iii.-medium-severity-issues"/>
    <w:p>
      <w:pPr>
        <w:pStyle w:val="Heading2"/>
      </w:pPr>
      <w:r>
        <w:t xml:space="preserve">III. Medium-Severity Issues</w:t>
      </w:r>
    </w:p>
    <w:bookmarkStart w:id="26" w:name="X9bc370a4d05dc44abddd78369c0cebc86a40478"/>
    <w:p>
      <w:pPr>
        <w:pStyle w:val="Heading3"/>
      </w:pPr>
      <w:r>
        <w:t xml:space="preserve">E. Equalization Interest Day-Count and Total-Due Discrepancy Between the Subscription Agreement and the Fund Administrator’s Worksheet (Condition 11.2(2))</w:t>
      </w:r>
    </w:p>
    <w:p>
      <w:pPr>
        <w:pStyle w:val="FirstParagraph"/>
      </w:pPr>
      <w:r>
        <w:rPr>
          <w:b/>
          <w:bCs/>
        </w:rPr>
        <w:t xml:space="preserve">Identification.</w:t>
      </w:r>
      <w:r>
        <w:t xml:space="preserve"> </w:t>
      </w:r>
      <w:r>
        <w:t xml:space="preserve">The Subscription Agreement (Section 1.3 and Schedule I) computes the Capital Call No. 2 equalization period as</w:t>
      </w:r>
      <w:r>
        <w:t xml:space="preserve"> </w:t>
      </w:r>
      <w:r>
        <w:rPr>
          <w:b/>
          <w:bCs/>
        </w:rPr>
        <w:t xml:space="preserve">47 days</w:t>
      </w:r>
      <w:r>
        <w:t xml:space="preserve"> </w:t>
      </w:r>
      <w:r>
        <w:t xml:space="preserve">(December 15, 2024 through January 31, 2025), yielding aggregate Equalization Interest of $852,657.53 (per-LP) / $852,661.64 (aggregate) and a total amount due at the Final Closing of $43,602,661.64. The Fund Administrator’s Equalization Calc worksheet computes the Capital Call No. 2 period as</w:t>
      </w:r>
      <w:r>
        <w:t xml:space="preserve"> </w:t>
      </w:r>
      <w:r>
        <w:rPr>
          <w:b/>
          <w:bCs/>
        </w:rPr>
        <w:t xml:space="preserve">46 days</w:t>
      </w:r>
      <w:r>
        <w:t xml:space="preserve">, yielding aggregate Equalization Interest of $849,534.24 and a total amount due of $43,599,534.24 — a difference of $3,123.29 (one day of interest at 8% on the $14,250,000 Capital Call No. 2 catch-up principal). In addition, the LPA’s Section 3.2(c) provides that Equalization Interest accrues</w:t>
      </w:r>
      <w:r>
        <w:t xml:space="preserve"> </w:t>
      </w:r>
      <w:r>
        <w:t xml:space="preserve">“</w:t>
      </w:r>
      <w:r>
        <w:t xml:space="preserve">from and including the date of each prior Capital Call through and including the date of the applicable Subsequent Closing,</w:t>
      </w:r>
      <w:r>
        <w:t xml:space="preserve">”</w:t>
      </w:r>
      <w:r>
        <w:t xml:space="preserve"> </w:t>
      </w:r>
      <w:r>
        <w:t xml:space="preserve">which, read literally (inclusive of both endpoints), would yield 114 days for Capital Call No. 1 and 48 days for Capital Call No. 2 — yet another convention.</w:t>
      </w:r>
    </w:p>
    <w:p>
      <w:pPr>
        <w:pStyle w:val="BodyText"/>
      </w:pPr>
      <w:r>
        <w:rPr>
          <w:b/>
          <w:bCs/>
        </w:rPr>
        <w:t xml:space="preserve">Why it matters.</w:t>
      </w:r>
      <w:r>
        <w:t xml:space="preserve"> </w:t>
      </w:r>
      <w:r>
        <w:t xml:space="preserve">The Final Closing Limited Partners are being asked to wire different amounts depending on which document controls, and neither the Subscription Agreement nor the worksheet matches a strict reading of the LPA’s day-count language. Condition 11.2(2) requires receipt of all Capital Contributions (including Equalization Contributions and Equalization Interest) in the correct amounts.</w:t>
      </w:r>
    </w:p>
    <w:p>
      <w:pPr>
        <w:pStyle w:val="BodyText"/>
      </w:pPr>
      <w:r>
        <w:rPr>
          <w:b/>
          <w:bCs/>
        </w:rPr>
        <w:t xml:space="preserve">Recommendation.</w:t>
      </w:r>
      <w:r>
        <w:t xml:space="preserve"> </w:t>
      </w:r>
      <w:r>
        <w:t xml:space="preserve">The Fund Administrator and Fund Counsel should (i) confirm the controlling day-count convention (we recommend the LPA’s</w:t>
      </w:r>
      <w:r>
        <w:t xml:space="preserve"> </w:t>
      </w:r>
      <w:r>
        <w:t xml:space="preserve">“</w:t>
      </w:r>
      <w:r>
        <w:t xml:space="preserve">from and including … through and including</w:t>
      </w:r>
      <w:r>
        <w:t xml:space="preserve">”</w:t>
      </w:r>
      <w:r>
        <w:t xml:space="preserve"> </w:t>
      </w:r>
      <w:r>
        <w:t xml:space="preserve">language, or an expressly documented market convention), (ii) reconcile the per-LP and aggregate Equalization Interest figures, and (iii) ensure each Final Closing Limited Partner’s wire amount matches the controlling figure. The Final Closing Certificate qualifies its certification of Condition 11.2(2) pending this reconciliation (Certificate, Section IV(D)).</w:t>
      </w:r>
    </w:p>
    <w:bookmarkEnd w:id="26"/>
    <w:bookmarkStart w:id="27" w:name="X66df2a165ce37c1451bd6abe5f5af4357e65882"/>
    <w:p>
      <w:pPr>
        <w:pStyle w:val="Heading3"/>
      </w:pPr>
      <w:r>
        <w:t xml:space="preserve">F. Subscription Agreement Default Interest Rate (18%) Conflicts with the LPA (12%)</w:t>
      </w:r>
    </w:p>
    <w:p>
      <w:pPr>
        <w:pStyle w:val="FirstParagraph"/>
      </w:pPr>
      <w:r>
        <w:rPr>
          <w:b/>
          <w:bCs/>
        </w:rPr>
        <w:t xml:space="preserve">Identification.</w:t>
      </w:r>
      <w:r>
        <w:t xml:space="preserve"> </w:t>
      </w:r>
      <w:r>
        <w:t xml:space="preserve">The Subscription Agreement (Section 1.2) states that a defaulting Subscriber is subject to</w:t>
      </w:r>
      <w:r>
        <w:t xml:space="preserve"> </w:t>
      </w:r>
      <w:r>
        <w:t xml:space="preserve">“</w:t>
      </w:r>
      <w:r>
        <w:t xml:space="preserve">default interest at a rate of the lesser of 18% per annum and the maximum rate permitted by applicable law.</w:t>
      </w:r>
      <w:r>
        <w:t xml:space="preserve">”</w:t>
      </w:r>
      <w:r>
        <w:t xml:space="preserve"> </w:t>
      </w:r>
      <w:r>
        <w:t xml:space="preserve">The LPA (Section 3.3(b)) provides for default interest</w:t>
      </w:r>
      <w:r>
        <w:t xml:space="preserve"> </w:t>
      </w:r>
      <w:r>
        <w:t xml:space="preserve">“</w:t>
      </w:r>
      <w:r>
        <w:t xml:space="preserve">at a rate of twelve percent (12%) per annum.</w:t>
      </w:r>
      <w:r>
        <w:t xml:space="preserve">”</w:t>
      </w:r>
      <w:r>
        <w:t xml:space="preserve"> </w:t>
      </w:r>
      <w:r>
        <w:t xml:space="preserve">CC #1 (Section V) and CC #2 (Section V) both reference 12% per annum, consistent with the LPA.</w:t>
      </w:r>
    </w:p>
    <w:p>
      <w:pPr>
        <w:pStyle w:val="BodyText"/>
      </w:pPr>
      <w:r>
        <w:rPr>
          <w:b/>
          <w:bCs/>
        </w:rPr>
        <w:t xml:space="preserve">Why it matters.</w:t>
      </w:r>
      <w:r>
        <w:t xml:space="preserve"> </w:t>
      </w:r>
      <w:r>
        <w:t xml:space="preserve">The Subscription Agreement’s 18% default rate is inconsistent with the LPA’s 12% rate and with the capital call notices. Because the Subscription Agreement purports to incorporate the LPA’s default remedies, the conflict creates ambiguity as to the applicable default rate and could expose the Fund to challenge if default remedies are invoked.</w:t>
      </w:r>
    </w:p>
    <w:p>
      <w:pPr>
        <w:pStyle w:val="BodyText"/>
      </w:pPr>
      <w:r>
        <w:rPr>
          <w:b/>
          <w:bCs/>
        </w:rPr>
        <w:t xml:space="preserve">Recommendation.</w:t>
      </w:r>
      <w:r>
        <w:t xml:space="preserve"> </w:t>
      </w:r>
      <w:r>
        <w:t xml:space="preserve">Conform the Subscription Agreement’s default interest rate to the LPA’s 12% per annum (or amend the LPA if a different rate is intended), and correct the cross-reference discussed in Section IV(A) below. If Subscription Agreements have already been executed with the 18% figure, Fund Counsel should advise on conforming the executed documents or obtaining confirmations.</w:t>
      </w:r>
    </w:p>
    <w:bookmarkEnd w:id="27"/>
    <w:bookmarkStart w:id="28" w:name="Xe1709600ea54034b5c1e7136b6b7ab8dbc543a2"/>
    <w:p>
      <w:pPr>
        <w:pStyle w:val="Heading3"/>
      </w:pPr>
      <w:r>
        <w:t xml:space="preserve">G. Legal Opinions Still in Draft; Limited Liability Opinion Not Expressly Listed (Condition 11.2(7))</w:t>
      </w:r>
    </w:p>
    <w:p>
      <w:pPr>
        <w:pStyle w:val="FirstParagraph"/>
      </w:pPr>
      <w:r>
        <w:rPr>
          <w:b/>
          <w:bCs/>
        </w:rPr>
        <w:t xml:space="preserve">Identification.</w:t>
      </w:r>
      <w:r>
        <w:t xml:space="preserve"> </w:t>
      </w:r>
      <w:r>
        <w:t xml:space="preserve">Condition 11.2(7) requires Fund Counsel opinions addressing (i) formation/valid existence, (ii) enforceability of the LPA, and (iii)</w:t>
      </w:r>
      <w:r>
        <w:t xml:space="preserve"> </w:t>
      </w:r>
      <w:r>
        <w:t xml:space="preserve">“</w:t>
      </w:r>
      <w:r>
        <w:t xml:space="preserve">such other matters as are customary for private equity fund closings, including the limited liability of the Limited Partners.</w:t>
      </w:r>
      <w:r>
        <w:t xml:space="preserve">”</w:t>
      </w:r>
      <w:r>
        <w:t xml:space="preserve"> </w:t>
      </w:r>
      <w:r>
        <w:t xml:space="preserve">The GP Memo (Condition 7) lists Fund Counsel as preparing (a) a formation opinion, (b) an enforceability opinion, and (c) a</w:t>
      </w:r>
      <w:r>
        <w:t xml:space="preserve"> </w:t>
      </w:r>
      <w:r>
        <w:t xml:space="preserve">“</w:t>
      </w:r>
      <w:r>
        <w:t xml:space="preserve">securities law opinion regarding the availability of the private placement exemption under Regulation D,</w:t>
      </w:r>
      <w:r>
        <w:t xml:space="preserve">”</w:t>
      </w:r>
      <w:r>
        <w:t xml:space="preserve"> </w:t>
      </w:r>
      <w:r>
        <w:t xml:space="preserve">but does not expressly include the limited liability opinion specifically referenced in Section 11.2(7)(iii). The Checklist (Item 23) shows the opinions as</w:t>
      </w:r>
      <w:r>
        <w:t xml:space="preserve"> </w:t>
      </w:r>
      <w:r>
        <w:t xml:space="preserve">“</w:t>
      </w:r>
      <w:r>
        <w:t xml:space="preserve">Draft circulated — awaiting execution</w:t>
      </w:r>
      <w:r>
        <w:t xml:space="preserve">”</w:t>
      </w:r>
      <w:r>
        <w:t xml:space="preserve"> </w:t>
      </w:r>
      <w:r>
        <w:t xml:space="preserve">as of January 28, 2025.</w:t>
      </w:r>
    </w:p>
    <w:p>
      <w:pPr>
        <w:pStyle w:val="BodyText"/>
      </w:pPr>
      <w:r>
        <w:rPr>
          <w:b/>
          <w:bCs/>
        </w:rPr>
        <w:t xml:space="preserve">Why it matters.</w:t>
      </w:r>
      <w:r>
        <w:t xml:space="preserve"> </w:t>
      </w:r>
      <w:r>
        <w:t xml:space="preserve">The LPA condition expressly calls for an opinion on the limited liability of the Limited Partners; the GP Memo’s opinion list does not mirror that requirement. In addition, the opinions were not executed as of the GP Memo date.</w:t>
      </w:r>
    </w:p>
    <w:p>
      <w:pPr>
        <w:pStyle w:val="BodyText"/>
      </w:pPr>
      <w:r>
        <w:rPr>
          <w:b/>
          <w:bCs/>
        </w:rPr>
        <w:t xml:space="preserve">Recommendation.</w:t>
      </w:r>
      <w:r>
        <w:t xml:space="preserve"> </w:t>
      </w:r>
      <w:r>
        <w:t xml:space="preserve">Confirm that the final, executed opinion set expressly includes the limited liability opinion required by Section 11.2(7)(iii) (in addition to the formation, enforceability, and securities law opinions), and do not consummate the Final Closing until executed opinions are delivered. The Final Closing Certificate qualifies its certification of Condition 11.2(7) accordingly (Certificate, Section IV(C)).</w:t>
      </w:r>
    </w:p>
    <w:bookmarkEnd w:id="28"/>
    <w:bookmarkStart w:id="29" w:name="Xea0daa9251f9d69291f07d895b1c18497f2fe5d"/>
    <w:p>
      <w:pPr>
        <w:pStyle w:val="Heading3"/>
      </w:pPr>
      <w:r>
        <w:t xml:space="preserve">H. Advisory Committee Notification on Exceeding the Target Fund Size Not Flagged (LPA Section 3.1(d))</w:t>
      </w:r>
    </w:p>
    <w:p>
      <w:pPr>
        <w:pStyle w:val="FirstParagraph"/>
      </w:pPr>
      <w:r>
        <w:rPr>
          <w:b/>
          <w:bCs/>
        </w:rPr>
        <w:t xml:space="preserve">Identification.</w:t>
      </w:r>
      <w:r>
        <w:t xml:space="preserve"> </w:t>
      </w:r>
      <w:r>
        <w:t xml:space="preserve">After the Final Closing, aggregate Capital Commitments ($1,615,000,000) exceed the Target Fund Size ($1,500,000,000) by $115,000,000. Section 3.1(d) requires the General Partner to notify the Advisory Committee in writing of such excess, including the amount of the excess and the identities and Capital Commitments of the Partners admitted at the applicable Closing, no later than five (5) Business Days following the Closing at which the Target Fund Size is first exceeded. Neither the GP Memo (Section XII outstanding items) nor the Checklist lists this notification as an action item. (The Subscription Agreement, Section 5.1 and Schedule I, notes that the notification is triggered, but overstates it as</w:t>
      </w:r>
      <w:r>
        <w:t xml:space="preserve"> </w:t>
      </w:r>
      <w:r>
        <w:t xml:space="preserve">“</w:t>
      </w:r>
      <w:r>
        <w:t xml:space="preserve">a condition to the acceptance of commitments above the Fund Target</w:t>
      </w:r>
      <w:r>
        <w:t xml:space="preserve">”</w:t>
      </w:r>
      <w:r>
        <w:t xml:space="preserve"> </w:t>
      </w:r>
      <w:r>
        <w:t xml:space="preserve">— the LPA treats it as a notification obligation, not a condition precedent, and expressly states that exceeding the Target does not require Advisory Committee consent.)</w:t>
      </w:r>
    </w:p>
    <w:p>
      <w:pPr>
        <w:pStyle w:val="BodyText"/>
      </w:pPr>
      <w:r>
        <w:rPr>
          <w:b/>
          <w:bCs/>
        </w:rPr>
        <w:t xml:space="preserve">Why it matters.</w:t>
      </w:r>
      <w:r>
        <w:t xml:space="preserve"> </w:t>
      </w:r>
      <w:r>
        <w:t xml:space="preserve">The Target Fund Size is first exceeded at the Final Closing, so the five-Business-Day notification clock starts on January 31, 2025 (i.e., notification due by approximately February 7, 2025). Failure to deliver the notification would be a breach of Section 3.1(d).</w:t>
      </w:r>
    </w:p>
    <w:p>
      <w:pPr>
        <w:pStyle w:val="BodyText"/>
      </w:pPr>
      <w:r>
        <w:rPr>
          <w:b/>
          <w:bCs/>
        </w:rPr>
        <w:t xml:space="preserve">Recommendation.</w:t>
      </w:r>
      <w:r>
        <w:t xml:space="preserve"> </w:t>
      </w:r>
      <w:r>
        <w:t xml:space="preserve">Add the Section 3.1(d) Advisory Committee notification to the post-closing action items and deliver it within five (5) Business Days after the Final Closing. The Final Closing Certificate acknowledges this obligation (Certificate, Section V(a)). Separately, correct the Subscription Agreement’s characterization of the notification as a</w:t>
      </w:r>
      <w:r>
        <w:t xml:space="preserve"> </w:t>
      </w:r>
      <w:r>
        <w:t xml:space="preserve">“</w:t>
      </w:r>
      <w:r>
        <w:t xml:space="preserve">condition to acceptance.</w:t>
      </w:r>
      <w:r>
        <w:t xml:space="preserve">”</w:t>
      </w:r>
    </w:p>
    <w:bookmarkEnd w:id="29"/>
    <w:bookmarkStart w:id="30" w:name="Xc39e91dad1c630e6dba99cb5c24f9549a31e639"/>
    <w:p>
      <w:pPr>
        <w:pStyle w:val="Heading3"/>
      </w:pPr>
      <w:r>
        <w:t xml:space="preserve">I. Escrow Funding and Schedule A Finalization Pending (Conditions 11.2(2) and 11.2(8))</w:t>
      </w:r>
    </w:p>
    <w:p>
      <w:pPr>
        <w:pStyle w:val="FirstParagraph"/>
      </w:pPr>
      <w:r>
        <w:rPr>
          <w:b/>
          <w:bCs/>
        </w:rPr>
        <w:t xml:space="preserve">Identification.</w:t>
      </w:r>
      <w:r>
        <w:t xml:space="preserve"> </w:t>
      </w:r>
      <w:r>
        <w:t xml:space="preserve">The Checklist (Items 21, 22, and 26) shows, as of January 30, 2025: (i) escrow funding confirmation (receipt of all Final Closing wires into the Pinnacle National Bank escrow account ending in 9213) as</w:t>
      </w:r>
      <w:r>
        <w:t xml:space="preserve"> </w:t>
      </w:r>
      <w:r>
        <w:t xml:space="preserve">“</w:t>
      </w:r>
      <w:r>
        <w:t xml:space="preserve">Pending — awaiting bank confirmation</w:t>
      </w:r>
      <w:r>
        <w:t xml:space="preserve">”</w:t>
      </w:r>
      <w:r>
        <w:t xml:space="preserve">; (ii) transfer of escrow funds to the operating account as</w:t>
      </w:r>
      <w:r>
        <w:t xml:space="preserve"> </w:t>
      </w:r>
      <w:r>
        <w:t xml:space="preserve">“</w:t>
      </w:r>
      <w:r>
        <w:t xml:space="preserve">Pending</w:t>
      </w:r>
      <w:r>
        <w:t xml:space="preserve">”</w:t>
      </w:r>
      <w:r>
        <w:t xml:space="preserve">; and (iii) the updated Schedule A as</w:t>
      </w:r>
      <w:r>
        <w:t xml:space="preserve"> </w:t>
      </w:r>
      <w:r>
        <w:t xml:space="preserve">“</w:t>
      </w:r>
      <w:r>
        <w:t xml:space="preserve">Complete</w:t>
      </w:r>
      <w:r>
        <w:t xml:space="preserve">”</w:t>
      </w:r>
      <w:r>
        <w:t xml:space="preserve"> </w:t>
      </w:r>
      <w:r>
        <w:t xml:space="preserve">(January 30, 2025), whereas the GP Memo (Condition 8) described Schedule A as</w:t>
      </w:r>
      <w:r>
        <w:t xml:space="preserve"> </w:t>
      </w:r>
      <w:r>
        <w:t xml:space="preserve">“</w:t>
      </w:r>
      <w:r>
        <w:t xml:space="preserve">In Process</w:t>
      </w:r>
      <w:r>
        <w:t xml:space="preserve">”</w:t>
      </w:r>
      <w:r>
        <w:t xml:space="preserve"> </w:t>
      </w:r>
      <w:r>
        <w:t xml:space="preserve">with a preliminary draft under review by Fund Counsel.</w:t>
      </w:r>
    </w:p>
    <w:p>
      <w:pPr>
        <w:pStyle w:val="BodyText"/>
      </w:pPr>
      <w:r>
        <w:rPr>
          <w:b/>
          <w:bCs/>
        </w:rPr>
        <w:t xml:space="preserve">Why it matters.</w:t>
      </w:r>
      <w:r>
        <w:t xml:space="preserve"> </w:t>
      </w:r>
      <w:r>
        <w:t xml:space="preserve">Condition 11.2(2) requires receipt of all Capital Contributions before consummation, and Condition 11.2(8) requires an updated Schedule A reflecting all Partners. The Final Closing cannot be consummated until the Fund Administrator confirms receipt of all funds, and the Schedule A must be finalized and approved by Fund Counsel.</w:t>
      </w:r>
    </w:p>
    <w:p>
      <w:pPr>
        <w:pStyle w:val="BodyText"/>
      </w:pPr>
      <w:r>
        <w:rPr>
          <w:b/>
          <w:bCs/>
        </w:rPr>
        <w:t xml:space="preserve">Recommendation.</w:t>
      </w:r>
      <w:r>
        <w:t xml:space="preserve"> </w:t>
      </w:r>
      <w:r>
        <w:t xml:space="preserve">Obtain bank confirmation of all Final Closing wire receipts before consummating the Final Closing; finalize and have Fund Counsel approve the updated Schedule A; and release escrow funds to the operating account upon closing. The Final Closing Certificate qualifies its certifications of Conditions 11.2(2) and 11.2(8) accordingly (Certificate, Section IV(D)).</w:t>
      </w:r>
    </w:p>
    <w:bookmarkEnd w:id="30"/>
    <w:bookmarkEnd w:id="31"/>
    <w:bookmarkStart w:id="40" w:name="Xa1c76f767e78d3189a11b905060b38ffbb51888"/>
    <w:p>
      <w:pPr>
        <w:pStyle w:val="Heading2"/>
      </w:pPr>
      <w:r>
        <w:t xml:space="preserve">IV. Low-Severity Issues (Clerical, Cross-Reference, and Contact-Detail Inconsistencies)</w:t>
      </w:r>
    </w:p>
    <w:bookmarkStart w:id="32" w:name="Xfda00d424bdcca8cabd0546106a9cbce3a11d0c"/>
    <w:p>
      <w:pPr>
        <w:pStyle w:val="Heading3"/>
      </w:pPr>
      <w:r>
        <w:t xml:space="preserve">A. Incorrect Cross-References to LPA Sections and Articles</w:t>
      </w:r>
    </w:p>
    <w:p>
      <w:pPr>
        <w:pStyle w:val="FirstParagraph"/>
      </w:pPr>
      <w:r>
        <w:t xml:space="preserve">The source documents contain numerous incorrect cross-references to the LPA, which should be corrected for accuracy of the closing record:</w:t>
      </w:r>
    </w:p>
    <w:p>
      <w:pPr>
        <w:numPr>
          <w:ilvl w:val="0"/>
          <w:numId w:val="1002"/>
        </w:numPr>
      </w:pPr>
      <w:r>
        <w:rPr>
          <w:b/>
          <w:bCs/>
        </w:rPr>
        <w:t xml:space="preserve">Subscription Agreement:</w:t>
      </w:r>
      <w:r>
        <w:t xml:space="preserve"> </w:t>
      </w:r>
      <w:r>
        <w:t xml:space="preserve">Section 1.2 refers to</w:t>
      </w:r>
      <w:r>
        <w:t xml:space="preserve"> </w:t>
      </w:r>
      <w:r>
        <w:t xml:space="preserve">“</w:t>
      </w:r>
      <w:r>
        <w:t xml:space="preserve">Section 3.5 of the LPA</w:t>
      </w:r>
      <w:r>
        <w:t xml:space="preserve">”</w:t>
      </w:r>
      <w:r>
        <w:t xml:space="preserve"> </w:t>
      </w:r>
      <w:r>
        <w:t xml:space="preserve">for default remedies — the default provisions are in</w:t>
      </w:r>
      <w:r>
        <w:t xml:space="preserve"> </w:t>
      </w:r>
      <w:r>
        <w:rPr>
          <w:b/>
          <w:bCs/>
        </w:rPr>
        <w:t xml:space="preserve">Section 3.3</w:t>
      </w:r>
      <w:r>
        <w:t xml:space="preserve"> </w:t>
      </w:r>
      <w:r>
        <w:t xml:space="preserve">(there is no Section 3.5 in Article III). Sections 2.4(c), 3.1, and 8.8 refer to</w:t>
      </w:r>
      <w:r>
        <w:t xml:space="preserve"> </w:t>
      </w:r>
      <w:r>
        <w:t xml:space="preserve">“</w:t>
      </w:r>
      <w:r>
        <w:t xml:space="preserve">Article X of the LPA</w:t>
      </w:r>
      <w:r>
        <w:t xml:space="preserve">”</w:t>
      </w:r>
      <w:r>
        <w:t xml:space="preserve"> </w:t>
      </w:r>
      <w:r>
        <w:t xml:space="preserve">for transfer restrictions — transfers are governed by</w:t>
      </w:r>
      <w:r>
        <w:t xml:space="preserve"> </w:t>
      </w:r>
      <w:r>
        <w:rPr>
          <w:b/>
          <w:bCs/>
        </w:rPr>
        <w:t xml:space="preserve">Article XIII</w:t>
      </w:r>
      <w:r>
        <w:t xml:space="preserve"> </w:t>
      </w:r>
      <w:r>
        <w:t xml:space="preserve">(Article X is Dissolution and Winding Up). Section 8.2 refers to</w:t>
      </w:r>
      <w:r>
        <w:t xml:space="preserve"> </w:t>
      </w:r>
      <w:r>
        <w:t xml:space="preserve">“</w:t>
      </w:r>
      <w:r>
        <w:t xml:space="preserve">Section 14.6 of the LPA</w:t>
      </w:r>
      <w:r>
        <w:t xml:space="preserve">”</w:t>
      </w:r>
      <w:r>
        <w:t xml:space="preserve"> </w:t>
      </w:r>
      <w:r>
        <w:t xml:space="preserve">for dispute resolution — that is</w:t>
      </w:r>
      <w:r>
        <w:t xml:space="preserve"> </w:t>
      </w:r>
      <w:r>
        <w:rPr>
          <w:b/>
          <w:bCs/>
        </w:rPr>
        <w:t xml:space="preserve">Section 14.4</w:t>
      </w:r>
      <w:r>
        <w:t xml:space="preserve"> </w:t>
      </w:r>
      <w:r>
        <w:t xml:space="preserve">(Section 14.6 is Severability). Section 8.9 refers to</w:t>
      </w:r>
      <w:r>
        <w:t xml:space="preserve"> </w:t>
      </w:r>
      <w:r>
        <w:t xml:space="preserve">“</w:t>
      </w:r>
      <w:r>
        <w:t xml:space="preserve">Section 14.2 of the LPA</w:t>
      </w:r>
      <w:r>
        <w:t xml:space="preserve">”</w:t>
      </w:r>
      <w:r>
        <w:t xml:space="preserve"> </w:t>
      </w:r>
      <w:r>
        <w:t xml:space="preserve">for the power of attorney — that is</w:t>
      </w:r>
      <w:r>
        <w:t xml:space="preserve"> </w:t>
      </w:r>
      <w:r>
        <w:rPr>
          <w:b/>
          <w:bCs/>
        </w:rPr>
        <w:t xml:space="preserve">Section 14.9</w:t>
      </w:r>
      <w:r>
        <w:t xml:space="preserve"> </w:t>
      </w:r>
      <w:r>
        <w:t xml:space="preserve">(Section 14.2 is Notices). Section 2.8 refers to</w:t>
      </w:r>
      <w:r>
        <w:t xml:space="preserve"> </w:t>
      </w:r>
      <w:r>
        <w:t xml:space="preserve">“</w:t>
      </w:r>
      <w:r>
        <w:t xml:space="preserve">Section 12.3 of the LPA</w:t>
      </w:r>
      <w:r>
        <w:t xml:space="preserve">”</w:t>
      </w:r>
      <w:r>
        <w:t xml:space="preserve"> </w:t>
      </w:r>
      <w:r>
        <w:t xml:space="preserve">for side letter provisions — side letters are</w:t>
      </w:r>
      <w:r>
        <w:t xml:space="preserve"> </w:t>
      </w:r>
      <w:r>
        <w:rPr>
          <w:b/>
          <w:bCs/>
        </w:rPr>
        <w:t xml:space="preserve">Section 12.2</w:t>
      </w:r>
      <w:r>
        <w:t xml:space="preserve"> </w:t>
      </w:r>
      <w:r>
        <w:t xml:space="preserve">(Section 12.3 is MFN). Section 1.3 refers to</w:t>
      </w:r>
      <w:r>
        <w:t xml:space="preserve"> </w:t>
      </w:r>
      <w:r>
        <w:t xml:space="preserve">“</w:t>
      </w:r>
      <w:r>
        <w:t xml:space="preserve">Section 3.2(c)(iii)</w:t>
      </w:r>
      <w:r>
        <w:t xml:space="preserve">”</w:t>
      </w:r>
      <w:r>
        <w:t xml:space="preserve"> </w:t>
      </w:r>
      <w:r>
        <w:t xml:space="preserve">— Section 3.2(c) is not subdivided. Section 3.4(b) refers to</w:t>
      </w:r>
      <w:r>
        <w:t xml:space="preserve"> </w:t>
      </w:r>
      <w:r>
        <w:t xml:space="preserve">“</w:t>
      </w:r>
      <w:r>
        <w:t xml:space="preserve">distributions under Articles IV and V</w:t>
      </w:r>
      <w:r>
        <w:t xml:space="preserve">”</w:t>
      </w:r>
      <w:r>
        <w:t xml:space="preserve"> </w:t>
      </w:r>
      <w:r>
        <w:t xml:space="preserve">— distributions are governed by</w:t>
      </w:r>
      <w:r>
        <w:t xml:space="preserve"> </w:t>
      </w:r>
      <w:r>
        <w:rPr>
          <w:b/>
          <w:bCs/>
        </w:rPr>
        <w:t xml:space="preserve">Article VIII</w:t>
      </w:r>
      <w:r>
        <w:t xml:space="preserve">. Section 4.3(b) refers to a</w:t>
      </w:r>
      <w:r>
        <w:t xml:space="preserve"> </w:t>
      </w:r>
      <w:r>
        <w:t xml:space="preserve">“</w:t>
      </w:r>
      <w:r>
        <w:t xml:space="preserve">change of control (as defined in the LPA)</w:t>
      </w:r>
      <w:r>
        <w:t xml:space="preserve">”</w:t>
      </w:r>
      <w:r>
        <w:t xml:space="preserve"> </w:t>
      </w:r>
      <w:r>
        <w:t xml:space="preserve">—</w:t>
      </w:r>
      <w:r>
        <w:t xml:space="preserve"> </w:t>
      </w:r>
      <w:r>
        <w:t xml:space="preserve">“</w:t>
      </w:r>
      <w:r>
        <w:t xml:space="preserve">change of control</w:t>
      </w:r>
      <w:r>
        <w:t xml:space="preserve">”</w:t>
      </w:r>
      <w:r>
        <w:t xml:space="preserve"> </w:t>
      </w:r>
      <w:r>
        <w:t xml:space="preserve">is not defined in the LPA.</w:t>
      </w:r>
    </w:p>
    <w:p>
      <w:pPr>
        <w:numPr>
          <w:ilvl w:val="0"/>
          <w:numId w:val="1002"/>
        </w:numPr>
      </w:pPr>
      <w:r>
        <w:rPr>
          <w:b/>
          <w:bCs/>
        </w:rPr>
        <w:t xml:space="preserve">CC #1:</w:t>
      </w:r>
      <w:r>
        <w:t xml:space="preserve"> </w:t>
      </w:r>
      <w:r>
        <w:t xml:space="preserve">Section V refers to</w:t>
      </w:r>
      <w:r>
        <w:t xml:space="preserve"> </w:t>
      </w:r>
      <w:r>
        <w:t xml:space="preserve">“</w:t>
      </w:r>
      <w:r>
        <w:t xml:space="preserve">Section 3.5</w:t>
      </w:r>
      <w:r>
        <w:t xml:space="preserve">”</w:t>
      </w:r>
      <w:r>
        <w:t xml:space="preserve"> </w:t>
      </w:r>
      <w:r>
        <w:t xml:space="preserve">for default (should be</w:t>
      </w:r>
      <w:r>
        <w:t xml:space="preserve"> </w:t>
      </w:r>
      <w:r>
        <w:rPr>
          <w:b/>
          <w:bCs/>
        </w:rPr>
        <w:t xml:space="preserve">Section 3.3</w:t>
      </w:r>
      <w:r>
        <w:t xml:space="preserve">). Section VII refers to</w:t>
      </w:r>
      <w:r>
        <w:t xml:space="preserve"> </w:t>
      </w:r>
      <w:r>
        <w:t xml:space="preserve">“</w:t>
      </w:r>
      <w:r>
        <w:t xml:space="preserve">Section 14.1 (Notices)</w:t>
      </w:r>
      <w:r>
        <w:t xml:space="preserve">”</w:t>
      </w:r>
      <w:r>
        <w:t xml:space="preserve"> </w:t>
      </w:r>
      <w:r>
        <w:t xml:space="preserve">(should be</w:t>
      </w:r>
      <w:r>
        <w:t xml:space="preserve"> </w:t>
      </w:r>
      <w:r>
        <w:rPr>
          <w:b/>
          <w:bCs/>
        </w:rPr>
        <w:t xml:space="preserve">Section 14.2</w:t>
      </w:r>
      <w:r>
        <w:t xml:space="preserve">; Section 14.1 is Amendments).</w:t>
      </w:r>
    </w:p>
    <w:p>
      <w:pPr>
        <w:numPr>
          <w:ilvl w:val="0"/>
          <w:numId w:val="1002"/>
        </w:numPr>
      </w:pPr>
      <w:r>
        <w:rPr>
          <w:b/>
          <w:bCs/>
        </w:rPr>
        <w:t xml:space="preserve">CC #2:</w:t>
      </w:r>
      <w:r>
        <w:t xml:space="preserve"> </w:t>
      </w:r>
      <w:r>
        <w:t xml:space="preserve">Section I states the CC #1 funding date was</w:t>
      </w:r>
      <w:r>
        <w:t xml:space="preserve"> </w:t>
      </w:r>
      <w:r>
        <w:t xml:space="preserve">“</w:t>
      </w:r>
      <w:r>
        <w:t xml:space="preserve">October 24, 2024,</w:t>
      </w:r>
      <w:r>
        <w:t xml:space="preserve">”</w:t>
      </w:r>
      <w:r>
        <w:t xml:space="preserve"> </w:t>
      </w:r>
      <w:r>
        <w:t xml:space="preserve">whereas CC #1 states a Drawdown Date of</w:t>
      </w:r>
      <w:r>
        <w:t xml:space="preserve"> </w:t>
      </w:r>
      <w:r>
        <w:t xml:space="preserve">“</w:t>
      </w:r>
      <w:r>
        <w:t xml:space="preserve">October 25, 2024</w:t>
      </w:r>
      <w:r>
        <w:t xml:space="preserve">”</w:t>
      </w:r>
      <w:r>
        <w:t xml:space="preserve"> </w:t>
      </w:r>
      <w:r>
        <w:t xml:space="preserve">(and ten business days from October 10, 2024 is October 24). Section III(b) refers to</w:t>
      </w:r>
      <w:r>
        <w:t xml:space="preserve"> </w:t>
      </w:r>
      <w:r>
        <w:t xml:space="preserve">“</w:t>
      </w:r>
      <w:r>
        <w:t xml:space="preserve">Section 6.1</w:t>
      </w:r>
      <w:r>
        <w:t xml:space="preserve">”</w:t>
      </w:r>
      <w:r>
        <w:t xml:space="preserve"> </w:t>
      </w:r>
      <w:r>
        <w:t xml:space="preserve">for management fees (should be</w:t>
      </w:r>
      <w:r>
        <w:t xml:space="preserve"> </w:t>
      </w:r>
      <w:r>
        <w:rPr>
          <w:b/>
          <w:bCs/>
        </w:rPr>
        <w:t xml:space="preserve">Section 7.1</w:t>
      </w:r>
      <w:r>
        <w:t xml:space="preserve">; Section 6.1 is LP Representations). Section III(c) refers to</w:t>
      </w:r>
      <w:r>
        <w:t xml:space="preserve"> </w:t>
      </w:r>
      <w:r>
        <w:t xml:space="preserve">“</w:t>
      </w:r>
      <w:r>
        <w:t xml:space="preserve">Section 7.2</w:t>
      </w:r>
      <w:r>
        <w:t xml:space="preserve">”</w:t>
      </w:r>
      <w:r>
        <w:t xml:space="preserve"> </w:t>
      </w:r>
      <w:r>
        <w:t xml:space="preserve">for both organizational and partnership expenses (organizational expenses are Section 7.2; partnership expenses are</w:t>
      </w:r>
      <w:r>
        <w:t xml:space="preserve"> </w:t>
      </w:r>
      <w:r>
        <w:rPr>
          <w:b/>
          <w:bCs/>
        </w:rPr>
        <w:t xml:space="preserve">Section 7.3</w:t>
      </w:r>
      <w:r>
        <w:t xml:space="preserve">). Section V refers to</w:t>
      </w:r>
      <w:r>
        <w:t xml:space="preserve"> </w:t>
      </w:r>
      <w:r>
        <w:t xml:space="preserve">“</w:t>
      </w:r>
      <w:r>
        <w:t xml:space="preserve">Section 3.5</w:t>
      </w:r>
      <w:r>
        <w:t xml:space="preserve">”</w:t>
      </w:r>
      <w:r>
        <w:t xml:space="preserve"> </w:t>
      </w:r>
      <w:r>
        <w:t xml:space="preserve">for default (should be</w:t>
      </w:r>
      <w:r>
        <w:t xml:space="preserve"> </w:t>
      </w:r>
      <w:r>
        <w:rPr>
          <w:b/>
          <w:bCs/>
        </w:rPr>
        <w:t xml:space="preserve">Section 3.3</w:t>
      </w:r>
      <w:r>
        <w:t xml:space="preserve">). Section VIII refers to</w:t>
      </w:r>
      <w:r>
        <w:t xml:space="preserve"> </w:t>
      </w:r>
      <w:r>
        <w:t xml:space="preserve">“</w:t>
      </w:r>
      <w:r>
        <w:t xml:space="preserve">Section 13.1</w:t>
      </w:r>
      <w:r>
        <w:t xml:space="preserve">”</w:t>
      </w:r>
      <w:r>
        <w:t xml:space="preserve"> </w:t>
      </w:r>
      <w:r>
        <w:t xml:space="preserve">for notices (should be</w:t>
      </w:r>
      <w:r>
        <w:t xml:space="preserve"> </w:t>
      </w:r>
      <w:r>
        <w:rPr>
          <w:b/>
          <w:bCs/>
        </w:rPr>
        <w:t xml:space="preserve">Section 14.2</w:t>
      </w:r>
      <w:r>
        <w:t xml:space="preserve">; Section 13.1 is Restrictions on Transfer).</w:t>
      </w:r>
    </w:p>
    <w:p>
      <w:pPr>
        <w:numPr>
          <w:ilvl w:val="0"/>
          <w:numId w:val="1002"/>
        </w:numPr>
      </w:pPr>
      <w:r>
        <w:rPr>
          <w:b/>
          <w:bCs/>
        </w:rPr>
        <w:t xml:space="preserve">Amendment No. 1:</w:t>
      </w:r>
      <w:r>
        <w:t xml:space="preserve"> </w:t>
      </w:r>
      <w:r>
        <w:t xml:space="preserve">The recitals refer to</w:t>
      </w:r>
      <w:r>
        <w:t xml:space="preserve"> </w:t>
      </w:r>
      <w:r>
        <w:t xml:space="preserve">“</w:t>
      </w:r>
      <w:r>
        <w:t xml:space="preserve">Section 11.1(b)</w:t>
      </w:r>
      <w:r>
        <w:t xml:space="preserve">”</w:t>
      </w:r>
      <w:r>
        <w:t xml:space="preserve"> </w:t>
      </w:r>
      <w:r>
        <w:t xml:space="preserve">for subsequent closings (should be</w:t>
      </w:r>
      <w:r>
        <w:t xml:space="preserve"> </w:t>
      </w:r>
      <w:r>
        <w:rPr>
          <w:b/>
          <w:bCs/>
        </w:rPr>
        <w:t xml:space="preserve">Section 3.1(b)</w:t>
      </w:r>
      <w:r>
        <w:t xml:space="preserve">; Section 11.1 is not subdivided). The recitals, Section 1.2(c), and the acknowledgment refer to</w:t>
      </w:r>
      <w:r>
        <w:t xml:space="preserve"> </w:t>
      </w:r>
      <w:r>
        <w:t xml:space="preserve">“</w:t>
      </w:r>
      <w:r>
        <w:t xml:space="preserve">Section 14.3</w:t>
      </w:r>
      <w:r>
        <w:t xml:space="preserve">”</w:t>
      </w:r>
      <w:r>
        <w:t xml:space="preserve"> </w:t>
      </w:r>
      <w:r>
        <w:t xml:space="preserve">and</w:t>
      </w:r>
      <w:r>
        <w:t xml:space="preserve"> </w:t>
      </w:r>
      <w:r>
        <w:t xml:space="preserve">“</w:t>
      </w:r>
      <w:r>
        <w:t xml:space="preserve">Section 14.3(b)</w:t>
      </w:r>
      <w:r>
        <w:t xml:space="preserve">”</w:t>
      </w:r>
      <w:r>
        <w:t xml:space="preserve"> </w:t>
      </w:r>
      <w:r>
        <w:t xml:space="preserve">as the authority for ministerial amendments without LP consent (should be</w:t>
      </w:r>
      <w:r>
        <w:t xml:space="preserve"> </w:t>
      </w:r>
      <w:r>
        <w:rPr>
          <w:b/>
          <w:bCs/>
        </w:rPr>
        <w:t xml:space="preserve">Section 14.1</w:t>
      </w:r>
      <w:r>
        <w:t xml:space="preserve">; Section 14.3 is Governing Law, and Section 14.1 is not subdivided into a subsection (b)). Section 2.2(c) refers to</w:t>
      </w:r>
      <w:r>
        <w:t xml:space="preserve"> </w:t>
      </w:r>
      <w:r>
        <w:t xml:space="preserve">“</w:t>
      </w:r>
      <w:r>
        <w:t xml:space="preserve">the Investment Manager,</w:t>
      </w:r>
      <w:r>
        <w:t xml:space="preserve">”</w:t>
      </w:r>
      <w:r>
        <w:t xml:space="preserve"> </w:t>
      </w:r>
      <w:r>
        <w:t xml:space="preserve">a term not defined in the LPA (the General Partner serves as the investment adviser; see LPA Section 9.2).</w:t>
      </w:r>
    </w:p>
    <w:p>
      <w:pPr>
        <w:numPr>
          <w:ilvl w:val="0"/>
          <w:numId w:val="1002"/>
        </w:numPr>
      </w:pPr>
      <w:r>
        <w:rPr>
          <w:b/>
          <w:bCs/>
        </w:rPr>
        <w:t xml:space="preserve">GP Memo:</w:t>
      </w:r>
      <w:r>
        <w:t xml:space="preserve"> </w:t>
      </w:r>
      <w:r>
        <w:t xml:space="preserve">Section VIII refers to</w:t>
      </w:r>
      <w:r>
        <w:t xml:space="preserve"> </w:t>
      </w:r>
      <w:r>
        <w:t xml:space="preserve">“</w:t>
      </w:r>
      <w:r>
        <w:t xml:space="preserve">Section 8.1 of the LPA</w:t>
      </w:r>
      <w:r>
        <w:t xml:space="preserve">”</w:t>
      </w:r>
      <w:r>
        <w:t xml:space="preserve"> </w:t>
      </w:r>
      <w:r>
        <w:t xml:space="preserve">for investment period termination (should be</w:t>
      </w:r>
      <w:r>
        <w:t xml:space="preserve"> </w:t>
      </w:r>
      <w:r>
        <w:rPr>
          <w:b/>
          <w:bCs/>
        </w:rPr>
        <w:t xml:space="preserve">Section 2.7</w:t>
      </w:r>
      <w:r>
        <w:t xml:space="preserve">; Section 8.1 is Timing and Form of Distributions).</w:t>
      </w:r>
    </w:p>
    <w:p>
      <w:pPr>
        <w:pStyle w:val="FirstParagraph"/>
      </w:pPr>
      <w:r>
        <w:rPr>
          <w:b/>
          <w:bCs/>
        </w:rPr>
        <w:t xml:space="preserve">Recommendation.</w:t>
      </w:r>
      <w:r>
        <w:t xml:space="preserve"> </w:t>
      </w:r>
      <w:r>
        <w:t xml:space="preserve">Correct these cross-references in the final forms of the Subscription Agreement, capital call notices, and any further amendment to the LPA, and ensure the closing certificate and closing binder cite the correct sections.</w:t>
      </w:r>
    </w:p>
    <w:bookmarkEnd w:id="32"/>
    <w:bookmarkStart w:id="33" w:name="Xe7fa8bd0a07dcd5ff4abdea581bbfe68416ef49"/>
    <w:p>
      <w:pPr>
        <w:pStyle w:val="Heading3"/>
      </w:pPr>
      <w:r>
        <w:t xml:space="preserve">B. Inconsistent Article Citation for General Partner Representations and Warranties (Condition 11.2(10))</w:t>
      </w:r>
    </w:p>
    <w:p>
      <w:pPr>
        <w:pStyle w:val="FirstParagraph"/>
      </w:pPr>
      <w:r>
        <w:rPr>
          <w:b/>
          <w:bCs/>
        </w:rPr>
        <w:t xml:space="preserve">Identification.</w:t>
      </w:r>
      <w:r>
        <w:t xml:space="preserve"> </w:t>
      </w:r>
      <w:r>
        <w:t xml:space="preserve">Condition 11.2(10) requires the General Partner to certify that</w:t>
      </w:r>
      <w:r>
        <w:t xml:space="preserve"> </w:t>
      </w:r>
      <w:r>
        <w:t xml:space="preserve">“</w:t>
      </w:r>
      <w:r>
        <w:t xml:space="preserve">all representations and warranties of the General Partner contained in this Agreement are true and correct.</w:t>
      </w:r>
      <w:r>
        <w:t xml:space="preserve">”</w:t>
      </w:r>
      <w:r>
        <w:t xml:space="preserve"> </w:t>
      </w:r>
      <w:r>
        <w:t xml:space="preserve">The GP Memo (Condition 10) states that GP representations are set forth in</w:t>
      </w:r>
      <w:r>
        <w:t xml:space="preserve"> </w:t>
      </w:r>
      <w:r>
        <w:t xml:space="preserve">“</w:t>
      </w:r>
      <w:r>
        <w:t xml:space="preserve">Article VII</w:t>
      </w:r>
      <w:r>
        <w:t xml:space="preserve">”</w:t>
      </w:r>
      <w:r>
        <w:t xml:space="preserve"> </w:t>
      </w:r>
      <w:r>
        <w:t xml:space="preserve">of the LPA (Article VII is Management Fees and Expenses — it contains no GP representations). Amendment No. 1 (Section 2.2(a)) states that GP representations are set forth in</w:t>
      </w:r>
      <w:r>
        <w:t xml:space="preserve"> </w:t>
      </w:r>
      <w:r>
        <w:t xml:space="preserve">“</w:t>
      </w:r>
      <w:r>
        <w:t xml:space="preserve">Article XII</w:t>
      </w:r>
      <w:r>
        <w:t xml:space="preserve">”</w:t>
      </w:r>
      <w:r>
        <w:t xml:space="preserve"> </w:t>
      </w:r>
      <w:r>
        <w:t xml:space="preserve">of the LPA (Article XII is Confidentiality; Side Letters; MFN — also no GP representations). The two documents thus cite different, and equally incorrect, articles. The LPA does not contain a dedicated article of General Partner representations and warranties (Article VI is limited to Limited Partner representations).</w:t>
      </w:r>
    </w:p>
    <w:p>
      <w:pPr>
        <w:pStyle w:val="BodyText"/>
      </w:pPr>
      <w:r>
        <w:rPr>
          <w:b/>
          <w:bCs/>
        </w:rPr>
        <w:t xml:space="preserve">Why it matters.</w:t>
      </w:r>
      <w:r>
        <w:t xml:space="preserve"> </w:t>
      </w:r>
      <w:r>
        <w:t xml:space="preserve">The inconsistency creates uncertainty as to the scope of the certification required under Condition 11.2(10) and could undermine the General Partner’s certification if challenged.</w:t>
      </w:r>
    </w:p>
    <w:p>
      <w:pPr>
        <w:pStyle w:val="BodyText"/>
      </w:pPr>
      <w:r>
        <w:rPr>
          <w:b/>
          <w:bCs/>
        </w:rPr>
        <w:t xml:space="preserve">Recommendation.</w:t>
      </w:r>
      <w:r>
        <w:t xml:space="preserve"> </w:t>
      </w:r>
      <w:r>
        <w:t xml:space="preserve">Fund Counsel should identify the specific LPA provisions containing General Partner representations/confirmations (e.g., the SEC registration statement in Section 9.2) and confirm the scope of the Condition 11.2(10) certification. The Final Closing Certificate tracks the LPA’s own language (</w:t>
      </w:r>
      <w:r>
        <w:t xml:space="preserve">“</w:t>
      </w:r>
      <w:r>
        <w:t xml:space="preserve">all representations and warranties of the General Partner contained in this Agreement</w:t>
      </w:r>
      <w:r>
        <w:t xml:space="preserve">”</w:t>
      </w:r>
      <w:r>
        <w:t xml:space="preserve">) without citing an incorrect article.</w:t>
      </w:r>
    </w:p>
    <w:bookmarkEnd w:id="33"/>
    <w:bookmarkStart w:id="34" w:name="X821c8dc4852fa6a07edc68c15f52222cc1536c3"/>
    <w:p>
      <w:pPr>
        <w:pStyle w:val="Heading3"/>
      </w:pPr>
      <w:r>
        <w:t xml:space="preserve">C. Capital Call Notice No. 2 Default Provisions Deviate from the LPA</w:t>
      </w:r>
    </w:p>
    <w:p>
      <w:pPr>
        <w:pStyle w:val="FirstParagraph"/>
      </w:pPr>
      <w:r>
        <w:rPr>
          <w:b/>
          <w:bCs/>
        </w:rPr>
        <w:t xml:space="preserve">Identification.</w:t>
      </w:r>
      <w:r>
        <w:t xml:space="preserve"> </w:t>
      </w:r>
      <w:r>
        <w:t xml:space="preserve">CC #2 (Section V) describes default remedies that deviate from LPA Section 3.3: (i) it states default interest at 12%</w:t>
      </w:r>
      <w:r>
        <w:t xml:space="preserve"> </w:t>
      </w:r>
      <w:r>
        <w:t xml:space="preserve">“</w:t>
      </w:r>
      <w:r>
        <w:t xml:space="preserve">compounding quarterly,</w:t>
      </w:r>
      <w:r>
        <w:t xml:space="preserve">”</w:t>
      </w:r>
      <w:r>
        <w:t xml:space="preserve"> </w:t>
      </w:r>
      <w:r>
        <w:t xml:space="preserve">whereas the LPA (Section 3.3(b)) and CC #1 state 12% per annum without compounding (and the LPA’s Equalization Interest Rate is expressly</w:t>
      </w:r>
      <w:r>
        <w:t xml:space="preserve"> </w:t>
      </w:r>
      <w:r>
        <w:t xml:space="preserve">“</w:t>
      </w:r>
      <w:r>
        <w:t xml:space="preserve">simple, non-compounded</w:t>
      </w:r>
      <w:r>
        <w:t xml:space="preserve">”</w:t>
      </w:r>
      <w:r>
        <w:t xml:space="preserve">); (ii) it describes forfeiture of</w:t>
      </w:r>
      <w:r>
        <w:t xml:space="preserve"> </w:t>
      </w:r>
      <w:r>
        <w:t xml:space="preserve">“</w:t>
      </w:r>
      <w:r>
        <w:t xml:space="preserve">up to 50% of such Defaulting Partner’s interest in the Partnership,</w:t>
      </w:r>
      <w:r>
        <w:t xml:space="preserve">”</w:t>
      </w:r>
      <w:r>
        <w:t xml:space="preserve"> </w:t>
      </w:r>
      <w:r>
        <w:t xml:space="preserve">whereas the LPA (Section 3.3(c)(i)) provides forfeiture of</w:t>
      </w:r>
      <w:r>
        <w:t xml:space="preserve"> </w:t>
      </w:r>
      <w:r>
        <w:t xml:space="preserve">“</w:t>
      </w:r>
      <w:r>
        <w:t xml:space="preserve">up to 50% of its Capital Account balance</w:t>
      </w:r>
      <w:r>
        <w:t xml:space="preserve">”</w:t>
      </w:r>
      <w:r>
        <w:t xml:space="preserve">; (iii) it describes forced sale</w:t>
      </w:r>
      <w:r>
        <w:t xml:space="preserve"> </w:t>
      </w:r>
      <w:r>
        <w:t xml:space="preserve">“</w:t>
      </w:r>
      <w:r>
        <w:t xml:space="preserve">at a discount to be determined by the General Partner in its reasonable discretion,</w:t>
      </w:r>
      <w:r>
        <w:t xml:space="preserve">”</w:t>
      </w:r>
      <w:r>
        <w:t xml:space="preserve"> </w:t>
      </w:r>
      <w:r>
        <w:t xml:space="preserve">whereas the LPA (Section 3.3(c)(ii)) provides sale</w:t>
      </w:r>
      <w:r>
        <w:t xml:space="preserve"> </w:t>
      </w:r>
      <w:r>
        <w:t xml:space="preserve">“</w:t>
      </w:r>
      <w:r>
        <w:t xml:space="preserve">at a price equal to eighty percent (80%) of the fair market value … (as determined by the General Partner in good faith)</w:t>
      </w:r>
      <w:r>
        <w:t xml:space="preserve">”</w:t>
      </w:r>
      <w:r>
        <w:t xml:space="preserve">; and (iv) it references</w:t>
      </w:r>
      <w:r>
        <w:t xml:space="preserve"> </w:t>
      </w:r>
      <w:r>
        <w:t xml:space="preserve">“</w:t>
      </w:r>
      <w:r>
        <w:t xml:space="preserve">suspension or loss of voting rights and rights to participate in future investment allocations,</w:t>
      </w:r>
      <w:r>
        <w:t xml:space="preserve">”</w:t>
      </w:r>
      <w:r>
        <w:t xml:space="preserve"> </w:t>
      </w:r>
      <w:r>
        <w:t xml:space="preserve">remedies not found in the LPA (Limited Partners do not have voting rights under the LPA).</w:t>
      </w:r>
    </w:p>
    <w:p>
      <w:pPr>
        <w:pStyle w:val="BodyText"/>
      </w:pPr>
      <w:r>
        <w:rPr>
          <w:b/>
          <w:bCs/>
        </w:rPr>
        <w:t xml:space="preserve">Recommendation.</w:t>
      </w:r>
      <w:r>
        <w:t xml:space="preserve"> </w:t>
      </w:r>
      <w:r>
        <w:t xml:space="preserve">Conform CC #2’s default provisions to LPA Section 3.3, and confirm the default interest compounding convention (simple vs. compound) in the LPA or by amendment.</w:t>
      </w:r>
    </w:p>
    <w:bookmarkEnd w:id="34"/>
    <w:bookmarkStart w:id="35" w:name="Xf944fae6658243d0cb9a186169d8996b505f9e6"/>
    <w:p>
      <w:pPr>
        <w:pStyle w:val="Heading3"/>
      </w:pPr>
      <w:r>
        <w:t xml:space="preserve">D. Side Letter Execution Status Inconsistent Across Documents</w:t>
      </w:r>
    </w:p>
    <w:p>
      <w:pPr>
        <w:pStyle w:val="FirstParagraph"/>
      </w:pPr>
      <w:r>
        <w:rPr>
          <w:b/>
          <w:bCs/>
        </w:rPr>
        <w:t xml:space="preserve">Identification.</w:t>
      </w:r>
      <w:r>
        <w:t xml:space="preserve"> </w:t>
      </w:r>
      <w:r>
        <w:t xml:space="preserve">The Checklist (Commitment Schedule) marks side letters as executed (</w:t>
      </w:r>
      <w:r>
        <w:t xml:space="preserve">“</w:t>
      </w:r>
      <w:r>
        <w:t xml:space="preserve">Y</w:t>
      </w:r>
      <w:r>
        <w:t xml:space="preserve">”</w:t>
      </w:r>
      <w:r>
        <w:t xml:space="preserve">) for Meridian, Northbridge, and Cascade at the Final Closing, and</w:t>
      </w:r>
      <w:r>
        <w:t xml:space="preserve"> </w:t>
      </w:r>
      <w:r>
        <w:t xml:space="preserve">“</w:t>
      </w:r>
      <w:r>
        <w:t xml:space="preserve">N</w:t>
      </w:r>
      <w:r>
        <w:t xml:space="preserve">”</w:t>
      </w:r>
      <w:r>
        <w:t xml:space="preserve"> </w:t>
      </w:r>
      <w:r>
        <w:t xml:space="preserve">for Sentry. The Subscription Agreement (Schedule I) describes Meridian’s and Sentry’s side letters as</w:t>
      </w:r>
      <w:r>
        <w:t xml:space="preserve"> </w:t>
      </w:r>
      <w:r>
        <w:t xml:space="preserve">“</w:t>
      </w:r>
      <w:r>
        <w:t xml:space="preserve">Expected</w:t>
      </w:r>
      <w:r>
        <w:t xml:space="preserve">”</w:t>
      </w:r>
      <w:r>
        <w:t xml:space="preserve"> </w:t>
      </w:r>
      <w:r>
        <w:t xml:space="preserve">(not yet executed), Northbridge’s as</w:t>
      </w:r>
      <w:r>
        <w:t xml:space="preserve"> </w:t>
      </w:r>
      <w:r>
        <w:t xml:space="preserve">“</w:t>
      </w:r>
      <w:r>
        <w:t xml:space="preserve">To be determined,</w:t>
      </w:r>
      <w:r>
        <w:t xml:space="preserve">”</w:t>
      </w:r>
      <w:r>
        <w:t xml:space="preserve"> </w:t>
      </w:r>
      <w:r>
        <w:t xml:space="preserve">and Cascade’s as</w:t>
      </w:r>
      <w:r>
        <w:t xml:space="preserve"> </w:t>
      </w:r>
      <w:r>
        <w:t xml:space="preserve">“</w:t>
      </w:r>
      <w:r>
        <w:t xml:space="preserve">Yes.</w:t>
      </w:r>
      <w:r>
        <w:t xml:space="preserve">”</w:t>
      </w:r>
      <w:r>
        <w:t xml:space="preserve"> </w:t>
      </w:r>
      <w:r>
        <w:t xml:space="preserve">The GP Memo (Section X) states that FOIA/transparency carve-outs were granted to three public pension Limited Partners and that Cascade’s side letter was finalized on January 22, 2025.</w:t>
      </w:r>
    </w:p>
    <w:p>
      <w:pPr>
        <w:pStyle w:val="BodyText"/>
      </w:pPr>
      <w:r>
        <w:rPr>
          <w:b/>
          <w:bCs/>
        </w:rPr>
        <w:t xml:space="preserve">Recommendation.</w:t>
      </w:r>
      <w:r>
        <w:t xml:space="preserve"> </w:t>
      </w:r>
      <w:r>
        <w:t xml:space="preserve">Confirm which Final Closing side letters are in fact executed as of the Final Closing and reconcile the per-LP side letter flags; ensure all executed side letters are in the closing binder and reflected in the MFN notice analysis.</w:t>
      </w:r>
    </w:p>
    <w:bookmarkEnd w:id="35"/>
    <w:bookmarkStart w:id="36" w:name="X2acf496af5db2b6e14c3b58619347ebfb5e4583"/>
    <w:p>
      <w:pPr>
        <w:pStyle w:val="Heading3"/>
      </w:pPr>
      <w:r>
        <w:t xml:space="preserve">E. MFN Notice Scope Appears Under-Inclusive</w:t>
      </w:r>
    </w:p>
    <w:p>
      <w:pPr>
        <w:pStyle w:val="FirstParagraph"/>
      </w:pPr>
      <w:r>
        <w:rPr>
          <w:b/>
          <w:bCs/>
        </w:rPr>
        <w:t xml:space="preserve">Identification.</w:t>
      </w:r>
      <w:r>
        <w:t xml:space="preserve"> </w:t>
      </w:r>
      <w:r>
        <w:t xml:space="preserve">Section 12.3(b) requires the General Partner to provide an MFN Notice to</w:t>
      </w:r>
      <w:r>
        <w:t xml:space="preserve"> </w:t>
      </w:r>
      <w:r>
        <w:rPr>
          <w:i/>
          <w:iCs/>
        </w:rPr>
        <w:t xml:space="preserve">each</w:t>
      </w:r>
      <w:r>
        <w:t xml:space="preserve"> </w:t>
      </w:r>
      <w:r>
        <w:t xml:space="preserve">MFN Eligible Partner (Capital Commitment ≥ $50,000,000) within 30 days after the Final Closing. The Checklist (Item 31) lists only the two Final Closing MFN Eligible Partners (Meridian and Northbridge). Numerous prior-closing Limited Partners also exceed the $50,000,000 threshold (e.g., Silvermark $75M, Commonwealth $85M, Thornhill $120M, Lakewood $80M, Evergreen $65M, Harborview $55M, Crossland $70M, Birchwood $60M, Fieldstone $75M) and are entitled to receive an MFN Notice reflecting side letters executed at or after the Second Closing.</w:t>
      </w:r>
    </w:p>
    <w:p>
      <w:pPr>
        <w:pStyle w:val="BodyText"/>
      </w:pPr>
      <w:r>
        <w:rPr>
          <w:b/>
          <w:bCs/>
        </w:rPr>
        <w:t xml:space="preserve">Recommendation.</w:t>
      </w:r>
      <w:r>
        <w:t xml:space="preserve"> </w:t>
      </w:r>
      <w:r>
        <w:t xml:space="preserve">Prepare and circulate the MFN Notice to</w:t>
      </w:r>
      <w:r>
        <w:t xml:space="preserve"> </w:t>
      </w:r>
      <w:r>
        <w:rPr>
          <w:i/>
          <w:iCs/>
        </w:rPr>
        <w:t xml:space="preserve">all</w:t>
      </w:r>
      <w:r>
        <w:t xml:space="preserve"> </w:t>
      </w:r>
      <w:r>
        <w:t xml:space="preserve">MFN Eligible Partners across all closings (not only the two Final Closing Limited Partners), within 30 days after the Final Closing, summarizing all electable side letter provisions subject to the Section 12.3(d) exclusions.</w:t>
      </w:r>
    </w:p>
    <w:bookmarkEnd w:id="36"/>
    <w:bookmarkStart w:id="37" w:name="f.-contact-detail-inconsistencies"/>
    <w:p>
      <w:pPr>
        <w:pStyle w:val="Heading3"/>
      </w:pPr>
      <w:r>
        <w:t xml:space="preserve">F. Contact-Detail Inconsistencies</w:t>
      </w:r>
    </w:p>
    <w:p>
      <w:pPr>
        <w:pStyle w:val="FirstParagraph"/>
      </w:pPr>
      <w:r>
        <w:rPr>
          <w:b/>
          <w:bCs/>
        </w:rPr>
        <w:t xml:space="preserve">Identification.</w:t>
      </w:r>
      <w:r>
        <w:t xml:space="preserve"> </w:t>
      </w:r>
      <w:r>
        <w:t xml:space="preserve">Contact details for the same individuals vary across documents:</w:t>
      </w:r>
    </w:p>
    <w:p>
      <w:pPr>
        <w:pStyle w:val="Compact"/>
        <w:numPr>
          <w:ilvl w:val="0"/>
          <w:numId w:val="1003"/>
        </w:numPr>
      </w:pPr>
      <w:r>
        <w:rPr>
          <w:b/>
          <w:bCs/>
        </w:rPr>
        <w:t xml:space="preserve">Sandra K. Liu (GP General Counsel) — telephone:</w:t>
      </w:r>
      <w:r>
        <w:t xml:space="preserve"> </w:t>
      </w:r>
      <w:r>
        <w:t xml:space="preserve">GP Memo</w:t>
      </w:r>
      <w:r>
        <w:t xml:space="preserve"> </w:t>
      </w:r>
      <w:r>
        <w:t xml:space="preserve">“</w:t>
      </w:r>
      <w:r>
        <w:t xml:space="preserve">(312) 555-4718</w:t>
      </w:r>
      <w:r>
        <w:t xml:space="preserve">”</w:t>
      </w:r>
      <w:r>
        <w:t xml:space="preserve">; Subscription Agreement</w:t>
      </w:r>
      <w:r>
        <w:t xml:space="preserve"> </w:t>
      </w:r>
      <w:r>
        <w:t xml:space="preserve">“</w:t>
      </w:r>
      <w:r>
        <w:t xml:space="preserve">(312) 555-0184</w:t>
      </w:r>
      <w:r>
        <w:t xml:space="preserve">”</w:t>
      </w:r>
      <w:r>
        <w:t xml:space="preserve">; CC #2</w:t>
      </w:r>
      <w:r>
        <w:t xml:space="preserve"> </w:t>
      </w:r>
      <w:r>
        <w:t xml:space="preserve">“</w:t>
      </w:r>
      <w:r>
        <w:t xml:space="preserve">(312) 555-7200.</w:t>
      </w:r>
      <w:r>
        <w:t xml:space="preserve">”</w:t>
      </w:r>
      <w:r>
        <w:t xml:space="preserve"> </w:t>
      </w:r>
      <w:r>
        <w:rPr>
          <w:b/>
          <w:bCs/>
        </w:rPr>
        <w:t xml:space="preserve">Email:</w:t>
      </w:r>
      <w:r>
        <w:t xml:space="preserve"> </w:t>
      </w:r>
      <w:r>
        <w:t xml:space="preserve">LPA Section 14.2</w:t>
      </w:r>
      <w:r>
        <w:t xml:space="preserve"> </w:t>
      </w:r>
      <w:r>
        <w:t xml:space="preserve">“</w:t>
      </w:r>
      <w:r>
        <w:t xml:space="preserve">s.liu@whitmorecapital.com</w:t>
      </w:r>
      <w:r>
        <w:t xml:space="preserve">”</w:t>
      </w:r>
      <w:r>
        <w:t xml:space="preserve">; all other documents</w:t>
      </w:r>
      <w:r>
        <w:t xml:space="preserve"> </w:t>
      </w:r>
      <w:r>
        <w:t xml:space="preserve">“</w:t>
      </w:r>
      <w:r>
        <w:t xml:space="preserve">sliu@whitmorecapital.com.</w:t>
      </w:r>
      <w:r>
        <w:t xml:space="preserve">”</w:t>
      </w:r>
    </w:p>
    <w:p>
      <w:pPr>
        <w:pStyle w:val="Compact"/>
        <w:numPr>
          <w:ilvl w:val="0"/>
          <w:numId w:val="1003"/>
        </w:numPr>
      </w:pPr>
      <w:r>
        <w:rPr>
          <w:b/>
          <w:bCs/>
        </w:rPr>
        <w:t xml:space="preserve">Jonathan C. Prewitt (Fund Administrator) — telephone:</w:t>
      </w:r>
      <w:r>
        <w:t xml:space="preserve"> </w:t>
      </w:r>
      <w:r>
        <w:t xml:space="preserve">GP Memo</w:t>
      </w:r>
      <w:r>
        <w:t xml:space="preserve"> </w:t>
      </w:r>
      <w:r>
        <w:t xml:space="preserve">“</w:t>
      </w:r>
      <w:r>
        <w:t xml:space="preserve">(203) 555-4100</w:t>
      </w:r>
      <w:r>
        <w:t xml:space="preserve">”</w:t>
      </w:r>
      <w:r>
        <w:t xml:space="preserve">; Subscription Agreement</w:t>
      </w:r>
      <w:r>
        <w:t xml:space="preserve"> </w:t>
      </w:r>
      <w:r>
        <w:t xml:space="preserve">“</w:t>
      </w:r>
      <w:r>
        <w:t xml:space="preserve">(203) 555-0163</w:t>
      </w:r>
      <w:r>
        <w:t xml:space="preserve">”</w:t>
      </w:r>
      <w:r>
        <w:t xml:space="preserve">; CC #2</w:t>
      </w:r>
      <w:r>
        <w:t xml:space="preserve"> </w:t>
      </w:r>
      <w:r>
        <w:t xml:space="preserve">“</w:t>
      </w:r>
      <w:r>
        <w:t xml:space="preserve">(203) 555-4180</w:t>
      </w:r>
      <w:r>
        <w:t xml:space="preserve">”</w:t>
      </w:r>
      <w:r>
        <w:t xml:space="preserve">; AML/KYC Email signature</w:t>
      </w:r>
      <w:r>
        <w:t xml:space="preserve"> </w:t>
      </w:r>
      <w:r>
        <w:t xml:space="preserve">“</w:t>
      </w:r>
      <w:r>
        <w:t xml:space="preserve">(203) 541-2280.</w:t>
      </w:r>
      <w:r>
        <w:t xml:space="preserve">”</w:t>
      </w:r>
      <w:r>
        <w:t xml:space="preserve"> </w:t>
      </w:r>
      <w:r>
        <w:rPr>
          <w:b/>
          <w:bCs/>
        </w:rPr>
        <w:t xml:space="preserve">Email:</w:t>
      </w:r>
      <w:r>
        <w:t xml:space="preserve"> </w:t>
      </w:r>
      <w:r>
        <w:t xml:space="preserve">LPA Section 14.2</w:t>
      </w:r>
      <w:r>
        <w:t xml:space="preserve"> </w:t>
      </w:r>
      <w:r>
        <w:t xml:space="preserve">“</w:t>
      </w:r>
      <w:r>
        <w:t xml:space="preserve">j.prewitt@oakmerefundservices.com</w:t>
      </w:r>
      <w:r>
        <w:t xml:space="preserve">”</w:t>
      </w:r>
      <w:r>
        <w:t xml:space="preserve">; all other documents</w:t>
      </w:r>
      <w:r>
        <w:t xml:space="preserve"> </w:t>
      </w:r>
      <w:r>
        <w:t xml:space="preserve">“</w:t>
      </w:r>
      <w:r>
        <w:t xml:space="preserve">jprewitt@oakmerefundservices.com.</w:t>
      </w:r>
      <w:r>
        <w:t xml:space="preserve">”</w:t>
      </w:r>
    </w:p>
    <w:p>
      <w:pPr>
        <w:pStyle w:val="FirstParagraph"/>
      </w:pPr>
      <w:r>
        <w:rPr>
          <w:b/>
          <w:bCs/>
        </w:rPr>
        <w:t xml:space="preserve">Recommendation.</w:t>
      </w:r>
      <w:r>
        <w:t xml:space="preserve"> </w:t>
      </w:r>
      <w:r>
        <w:t xml:space="preserve">Confirm the correct telephone numbers and email addresses and conform the LPA’s notice provisions (Section 14.2) and the other documents. The AML/KYC Email’s</w:t>
      </w:r>
      <w:r>
        <w:t xml:space="preserve"> </w:t>
      </w:r>
      <w:r>
        <w:t xml:space="preserve">“</w:t>
      </w:r>
      <w:r>
        <w:t xml:space="preserve">From</w:t>
      </w:r>
      <w:r>
        <w:t xml:space="preserve">”</w:t>
      </w:r>
      <w:r>
        <w:t xml:space="preserve"> </w:t>
      </w:r>
      <w:r>
        <w:t xml:space="preserve">address (jprewitt@oakmerefundservices.com) suggests the non-dotted form is the operative address, in which case the LPA’s notice provision should be corrected.</w:t>
      </w:r>
    </w:p>
    <w:bookmarkEnd w:id="37"/>
    <w:bookmarkStart w:id="38" w:name="g.-ppm-date-inconsistency"/>
    <w:p>
      <w:pPr>
        <w:pStyle w:val="Heading3"/>
      </w:pPr>
      <w:r>
        <w:t xml:space="preserve">G. PPM Date Inconsistency</w:t>
      </w:r>
    </w:p>
    <w:p>
      <w:pPr>
        <w:pStyle w:val="FirstParagraph"/>
      </w:pPr>
      <w:r>
        <w:rPr>
          <w:b/>
          <w:bCs/>
        </w:rPr>
        <w:t xml:space="preserve">Identification.</w:t>
      </w:r>
      <w:r>
        <w:t xml:space="preserve"> </w:t>
      </w:r>
      <w:r>
        <w:t xml:space="preserve">The GP Memo (Section I) refers to the Confidential Private Placement Memorandum dated</w:t>
      </w:r>
      <w:r>
        <w:t xml:space="preserve"> </w:t>
      </w:r>
      <w:r>
        <w:t xml:space="preserve">“</w:t>
      </w:r>
      <w:r>
        <w:t xml:space="preserve">July 15, 2024.</w:t>
      </w:r>
      <w:r>
        <w:t xml:space="preserve">”</w:t>
      </w:r>
      <w:r>
        <w:t xml:space="preserve"> </w:t>
      </w:r>
      <w:r>
        <w:t xml:space="preserve">Amendment No. 1 (Section 1.2(c)) refers to the PPM dated</w:t>
      </w:r>
      <w:r>
        <w:t xml:space="preserve"> </w:t>
      </w:r>
      <w:r>
        <w:t xml:space="preserve">“</w:t>
      </w:r>
      <w:r>
        <w:t xml:space="preserve">July 2024.</w:t>
      </w:r>
      <w:r>
        <w:t xml:space="preserve">”</w:t>
      </w:r>
      <w:r>
        <w:t xml:space="preserve"> </w:t>
      </w:r>
      <w:r>
        <w:t xml:space="preserve">CC #2 (Section III(a)) refers to the PPM dated</w:t>
      </w:r>
      <w:r>
        <w:t xml:space="preserve"> </w:t>
      </w:r>
      <w:r>
        <w:t xml:space="preserve">“</w:t>
      </w:r>
      <w:r>
        <w:t xml:space="preserve">August 1, 2024</w:t>
      </w:r>
      <w:r>
        <w:t xml:space="preserve">”</w:t>
      </w:r>
      <w:r>
        <w:t xml:space="preserve"> </w:t>
      </w:r>
      <w:r>
        <w:t xml:space="preserve">(which is the Fund’s formation date).</w:t>
      </w:r>
    </w:p>
    <w:p>
      <w:pPr>
        <w:pStyle w:val="BodyText"/>
      </w:pPr>
      <w:r>
        <w:rPr>
          <w:b/>
          <w:bCs/>
        </w:rPr>
        <w:t xml:space="preserve">Recommendation.</w:t>
      </w:r>
      <w:r>
        <w:t xml:space="preserve"> </w:t>
      </w:r>
      <w:r>
        <w:t xml:space="preserve">Confirm the correct PPM date and conform the references; the August 1, 2024 date in CC #2 appears to conflate the PPM date with the formation date.</w:t>
      </w:r>
    </w:p>
    <w:bookmarkEnd w:id="38"/>
    <w:bookmarkStart w:id="39" w:name="h.-minor-arithmetic-items"/>
    <w:p>
      <w:pPr>
        <w:pStyle w:val="Heading3"/>
      </w:pPr>
      <w:r>
        <w:t xml:space="preserve">H. Minor Arithmetic Items</w:t>
      </w:r>
    </w:p>
    <w:p>
      <w:pPr>
        <w:pStyle w:val="FirstParagraph"/>
      </w:pPr>
      <w:r>
        <w:rPr>
          <w:b/>
          <w:bCs/>
        </w:rPr>
        <w:t xml:space="preserve">Identification.</w:t>
      </w:r>
      <w:r>
        <w:t xml:space="preserve"> </w:t>
      </w:r>
      <w:r>
        <w:t xml:space="preserve">(i) The Subscription Agreement’s ERISA Summary states the</w:t>
      </w:r>
      <w:r>
        <w:t xml:space="preserve"> </w:t>
      </w:r>
      <w:r>
        <w:t xml:space="preserve">“</w:t>
      </w:r>
      <w:r>
        <w:t xml:space="preserve">Remaining Capacity (Dollar Amount)</w:t>
      </w:r>
      <w:r>
        <w:t xml:space="preserve">”</w:t>
      </w:r>
      <w:r>
        <w:t xml:space="preserve"> </w:t>
      </w:r>
      <w:r>
        <w:t xml:space="preserve">as $48,287,500; the correct figure is $48,288,500 (24.99% of $1,615,000,000 = $403,588,500, less $355,300,000), an error of $1,000. (ii) The Subscription Agreement’s aggregate Equalization Interest of $852,661.64 does not reconcile to the per-LP sum ($852,657.53) or to the aggregate formula applied to $285,000,000 (which also yields $852,657.53); the stated $4.11</w:t>
      </w:r>
      <w:r>
        <w:t xml:space="preserve"> </w:t>
      </w:r>
      <w:r>
        <w:t xml:space="preserve">“</w:t>
      </w:r>
      <w:r>
        <w:t xml:space="preserve">rounding</w:t>
      </w:r>
      <w:r>
        <w:t xml:space="preserve">”</w:t>
      </w:r>
      <w:r>
        <w:t xml:space="preserve"> </w:t>
      </w:r>
      <w:r>
        <w:t xml:space="preserve">difference is not supported by the math. (iii) CC #1 states a Drawdown Date of October 25, 2024 and characterizes it as</w:t>
      </w:r>
      <w:r>
        <w:t xml:space="preserve"> </w:t>
      </w:r>
      <w:r>
        <w:t xml:space="preserve">“</w:t>
      </w:r>
      <w:r>
        <w:t xml:space="preserve">ten (10) business days</w:t>
      </w:r>
      <w:r>
        <w:t xml:space="preserve">”</w:t>
      </w:r>
      <w:r>
        <w:t xml:space="preserve"> </w:t>
      </w:r>
      <w:r>
        <w:t xml:space="preserve">from October 10, 2024, but ten business days after October 10, 2024 is October 24, 2024 (which is the date CC #2 attributes to CC #1’s funding).</w:t>
      </w:r>
    </w:p>
    <w:p>
      <w:pPr>
        <w:pStyle w:val="BodyText"/>
      </w:pPr>
      <w:r>
        <w:rPr>
          <w:b/>
          <w:bCs/>
        </w:rPr>
        <w:t xml:space="preserve">Recommendation.</w:t>
      </w:r>
      <w:r>
        <w:t xml:space="preserve"> </w:t>
      </w:r>
      <w:r>
        <w:t xml:space="preserve">Correct these arithmetic items in the closing record and reconcile the controlling Equalization Interest aggregate (see Section III.E above).</w:t>
      </w:r>
    </w:p>
    <w:bookmarkEnd w:id="39"/>
    <w:bookmarkEnd w:id="40"/>
    <w:bookmarkStart w:id="41" w:name="X1b6ae4607bc1eb3f342026cb8d32cac97b68cb8"/>
    <w:p>
      <w:pPr>
        <w:pStyle w:val="Heading2"/>
      </w:pPr>
      <w:r>
        <w:t xml:space="preserve">V. Conditions-Precedent Status and Recommendation</w:t>
      </w:r>
    </w:p>
    <w:p>
      <w:pPr>
        <w:pStyle w:val="FirstParagraph"/>
      </w:pPr>
      <w:r>
        <w:t xml:space="preserve">Based on our review, the status of the ten conditions precedent under LPA Section 11.2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11.2(1) Subscription Agreement &amp; LPA</w:t>
            </w:r>
          </w:p>
        </w:tc>
        <w:tc>
          <w:tcPr/>
          <w:p>
            <w:pPr>
              <w:pStyle w:val="Compact"/>
              <w:jc w:val="left"/>
            </w:pPr>
            <w:r>
              <w:t xml:space="preserve">Satisfied</w:t>
            </w:r>
          </w:p>
        </w:tc>
        <w:tc>
          <w:tcPr/>
          <w:p>
            <w:pPr>
              <w:pStyle w:val="Compact"/>
              <w:jc w:val="left"/>
            </w:pPr>
            <w:r>
              <w:t xml:space="preserve">Executed originals on file with Fund Counsel.</w:t>
            </w:r>
          </w:p>
        </w:tc>
      </w:tr>
      <w:tr>
        <w:tc>
          <w:tcPr/>
          <w:p>
            <w:pPr>
              <w:pStyle w:val="Compact"/>
              <w:jc w:val="left"/>
            </w:pPr>
            <w:r>
              <w:t xml:space="preserve">11.2(2) Capital Contributions</w:t>
            </w:r>
          </w:p>
        </w:tc>
        <w:tc>
          <w:tcPr/>
          <w:p>
            <w:pPr>
              <w:pStyle w:val="Compact"/>
              <w:jc w:val="left"/>
            </w:pPr>
            <w:r>
              <w:t xml:space="preserve">Satisfied subject to confirmation</w:t>
            </w:r>
          </w:p>
        </w:tc>
        <w:tc>
          <w:tcPr/>
          <w:p>
            <w:pPr>
              <w:pStyle w:val="Compact"/>
              <w:jc w:val="left"/>
            </w:pPr>
            <w:r>
              <w:t xml:space="preserve">Escrow funding confirmation pending; equalization amounts to be reconciled (Section III.E, III.I).</w:t>
            </w:r>
          </w:p>
        </w:tc>
      </w:tr>
      <w:tr>
        <w:tc>
          <w:tcPr/>
          <w:p>
            <w:pPr>
              <w:pStyle w:val="Compact"/>
              <w:jc w:val="left"/>
            </w:pPr>
            <w:r>
              <w:t xml:space="preserve">11.2(3) AML/KYC (non-waivable)</w:t>
            </w:r>
          </w:p>
        </w:tc>
        <w:tc>
          <w:tcPr/>
          <w:p>
            <w:pPr>
              <w:pStyle w:val="Compact"/>
              <w:jc w:val="left"/>
            </w:pPr>
            <w:r>
              <w:rPr>
                <w:b/>
                <w:bCs/>
              </w:rPr>
              <w:t xml:space="preserve">Not fully satisfied</w:t>
            </w:r>
          </w:p>
        </w:tc>
        <w:tc>
          <w:tcPr/>
          <w:p>
            <w:pPr>
              <w:pStyle w:val="Compact"/>
              <w:jc w:val="left"/>
            </w:pPr>
            <w:r>
              <w:t xml:space="preserve">AML/KYC Email omits Cascade Re Insurance Ltd. (Section II.A).</w:t>
            </w:r>
          </w:p>
        </w:tc>
      </w:tr>
      <w:tr>
        <w:tc>
          <w:tcPr/>
          <w:p>
            <w:pPr>
              <w:pStyle w:val="Compact"/>
              <w:jc w:val="left"/>
            </w:pPr>
            <w:r>
              <w:t xml:space="preserve">11.2(4) Qualified Purchaser (non-waivable)</w:t>
            </w:r>
          </w:p>
        </w:tc>
        <w:tc>
          <w:tcPr/>
          <w:p>
            <w:pPr>
              <w:pStyle w:val="Compact"/>
              <w:jc w:val="left"/>
            </w:pPr>
            <w:r>
              <w:t xml:space="preserve">Satisfied</w:t>
            </w:r>
          </w:p>
        </w:tc>
        <w:tc>
          <w:tcPr/>
          <w:p>
            <w:pPr>
              <w:pStyle w:val="Compact"/>
              <w:jc w:val="left"/>
            </w:pPr>
            <w:r>
              <w:t xml:space="preserve">QP representations confirmed for all six Final Closing LPs.</w:t>
            </w:r>
          </w:p>
        </w:tc>
      </w:tr>
      <w:tr>
        <w:tc>
          <w:tcPr/>
          <w:p>
            <w:pPr>
              <w:pStyle w:val="Compact"/>
              <w:jc w:val="left"/>
            </w:pPr>
            <w:r>
              <w:t xml:space="preserve">11.2(5) ERISA (non-waivable)</w:t>
            </w:r>
          </w:p>
        </w:tc>
        <w:tc>
          <w:tcPr/>
          <w:p>
            <w:pPr>
              <w:pStyle w:val="Compact"/>
              <w:jc w:val="left"/>
            </w:pPr>
            <w:r>
              <w:t xml:space="preserve">Satisfied at 22.00% subject to reconciliation</w:t>
            </w:r>
          </w:p>
        </w:tc>
        <w:tc>
          <w:tcPr/>
          <w:p>
            <w:pPr>
              <w:pStyle w:val="Compact"/>
              <w:jc w:val="left"/>
            </w:pPr>
            <w:r>
              <w:t xml:space="preserve">$110M discrepancy between individual flags (28.81%) and summary (22.00%) must be reconciled (Section II.B).</w:t>
            </w:r>
          </w:p>
        </w:tc>
      </w:tr>
      <w:tr>
        <w:tc>
          <w:tcPr/>
          <w:p>
            <w:pPr>
              <w:pStyle w:val="Compact"/>
              <w:jc w:val="left"/>
            </w:pPr>
            <w:r>
              <w:t xml:space="preserve">11.2(6) No MAC / Key Persons</w:t>
            </w:r>
          </w:p>
        </w:tc>
        <w:tc>
          <w:tcPr/>
          <w:p>
            <w:pPr>
              <w:pStyle w:val="Compact"/>
              <w:jc w:val="left"/>
            </w:pPr>
            <w:r>
              <w:t xml:space="preserve">Satisfied</w:t>
            </w:r>
          </w:p>
        </w:tc>
        <w:tc>
          <w:tcPr/>
          <w:p>
            <w:pPr>
              <w:pStyle w:val="Compact"/>
              <w:jc w:val="left"/>
            </w:pPr>
            <w:r>
              <w:t xml:space="preserve">Both Key Persons certified (Section II.D).</w:t>
            </w:r>
          </w:p>
        </w:tc>
      </w:tr>
      <w:tr>
        <w:tc>
          <w:tcPr/>
          <w:p>
            <w:pPr>
              <w:pStyle w:val="Compact"/>
              <w:jc w:val="left"/>
            </w:pPr>
            <w:r>
              <w:t xml:space="preserve">11.2(7) Legal Opinions</w:t>
            </w:r>
          </w:p>
        </w:tc>
        <w:tc>
          <w:tcPr/>
          <w:p>
            <w:pPr>
              <w:pStyle w:val="Compact"/>
              <w:jc w:val="left"/>
            </w:pPr>
            <w:r>
              <w:t xml:space="preserve">Satisfied subject to execution</w:t>
            </w:r>
          </w:p>
        </w:tc>
        <w:tc>
          <w:tcPr/>
          <w:p>
            <w:pPr>
              <w:pStyle w:val="Compact"/>
              <w:jc w:val="left"/>
            </w:pPr>
            <w:r>
              <w:t xml:space="preserve">Opinions in draft as of Jan 28; limited liability opinion must be included (Section III.G).</w:t>
            </w:r>
          </w:p>
        </w:tc>
      </w:tr>
      <w:tr>
        <w:tc>
          <w:tcPr/>
          <w:p>
            <w:pPr>
              <w:pStyle w:val="Compact"/>
              <w:jc w:val="left"/>
            </w:pPr>
            <w:r>
              <w:t xml:space="preserve">11.2(8) Updated Schedule A</w:t>
            </w:r>
          </w:p>
        </w:tc>
        <w:tc>
          <w:tcPr/>
          <w:p>
            <w:pPr>
              <w:pStyle w:val="Compact"/>
              <w:jc w:val="left"/>
            </w:pPr>
            <w:r>
              <w:t xml:space="preserve">Satisfied subject to finalization</w:t>
            </w:r>
          </w:p>
        </w:tc>
        <w:tc>
          <w:tcPr/>
          <w:p>
            <w:pPr>
              <w:pStyle w:val="Compact"/>
              <w:jc w:val="left"/>
            </w:pPr>
            <w:r>
              <w:t xml:space="preserve">Final Schedule A to be approved by Fund Counsel (Section III.I).</w:t>
            </w:r>
          </w:p>
        </w:tc>
      </w:tr>
      <w:tr>
        <w:tc>
          <w:tcPr/>
          <w:p>
            <w:pPr>
              <w:pStyle w:val="Compact"/>
              <w:jc w:val="left"/>
            </w:pPr>
            <w:r>
              <w:t xml:space="preserve">11.2(9) Hard Cap</w:t>
            </w:r>
          </w:p>
        </w:tc>
        <w:tc>
          <w:tcPr/>
          <w:p>
            <w:pPr>
              <w:pStyle w:val="Compact"/>
              <w:jc w:val="left"/>
            </w:pPr>
            <w:r>
              <w:t xml:space="preserve">Satisfied</w:t>
            </w:r>
          </w:p>
        </w:tc>
        <w:tc>
          <w:tcPr/>
          <w:p>
            <w:pPr>
              <w:pStyle w:val="Compact"/>
              <w:jc w:val="left"/>
            </w:pPr>
            <w:r>
              <w:t xml:space="preserve">$1,615,000,000 &lt; $1,750,000,000.</w:t>
            </w:r>
          </w:p>
        </w:tc>
      </w:tr>
      <w:tr>
        <w:tc>
          <w:tcPr/>
          <w:p>
            <w:pPr>
              <w:pStyle w:val="Compact"/>
              <w:jc w:val="left"/>
            </w:pPr>
            <w:r>
              <w:t xml:space="preserve">11.2(10) GP Representations</w:t>
            </w:r>
          </w:p>
        </w:tc>
        <w:tc>
          <w:tcPr/>
          <w:p>
            <w:pPr>
              <w:pStyle w:val="Compact"/>
              <w:jc w:val="left"/>
            </w:pPr>
            <w:r>
              <w:t xml:space="preserve">Satisfied subject to waterfall clarification</w:t>
            </w:r>
          </w:p>
        </w:tc>
        <w:tc>
          <w:tcPr/>
          <w:p>
            <w:pPr>
              <w:pStyle w:val="Compact"/>
              <w:jc w:val="left"/>
            </w:pPr>
            <w:r>
              <w:t xml:space="preserve">Amendment No. 1 waterfall issue to be resolved (Section II.C, IV.B).</w:t>
            </w:r>
          </w:p>
        </w:tc>
      </w:tr>
    </w:tbl>
    <w:p>
      <w:pPr>
        <w:pStyle w:val="BodyText"/>
      </w:pPr>
      <w:r>
        <w:rPr>
          <w:b/>
          <w:bCs/>
        </w:rPr>
        <w:t xml:space="preserve">Recommendation.</w:t>
      </w:r>
      <w:r>
        <w:t xml:space="preserve"> </w:t>
      </w:r>
      <w:r>
        <w:t xml:space="preserve">The Final Closing may proceed on January 31, 2025, provided that, on or before consummation, the General Partner and Fund Administrator (i) obtain the supplemental AML/KYC confirmation for Cascade Re Insurance Ltd. (Section II.A); (ii) reconcile the ERISA / Benefit Plan Investor calculation and confirm compliance with the 24.99% cap (Section II.B); (iii) confirm receipt of all Final Closing funds in escrow and finalize the updated Schedule A (Section III.I); (iv) deliver the final, executed legal opinions including the limited liability opinion (Section III.G); and (v) resolve or document the Amendment No. 1 waterfall clarification (Section II.C). The Final Closing Certificate delivered herewith certifies each condition precedent subject to the qualifications and exceptions set forth therein, which track the items in this memorandum.</w:t>
      </w:r>
    </w:p>
    <w:p>
      <w:pPr>
        <w:pStyle w:val="BodyText"/>
      </w:pPr>
      <w:r>
        <w:t xml:space="preserve">The remaining items identified in Sections III and IV are reconciliations, corrections, and post-closing action items that should be addressed promptly but, in our view, do not of themselves prevent consummation of the Final Closing (other than the equalization amount reconciliation, which should be confirmed before LP wires are relied upon).</w:t>
      </w:r>
    </w:p>
    <w:p>
      <w:pPr>
        <w:pStyle w:val="BodyText"/>
      </w:pPr>
      <w:r>
        <w:t xml:space="preserve">Please contact the undersigned with any questions.</w:t>
      </w:r>
    </w:p>
    <w:p>
      <w:pPr>
        <w:pStyle w:val="BodyText"/>
      </w:pPr>
      <w:r>
        <w:rPr>
          <w:b/>
          <w:bCs/>
        </w:rPr>
        <w:t xml:space="preserve">Bridgeford Hollis LLP</w:t>
      </w:r>
    </w:p>
    <w:p>
      <w:pPr>
        <w:pStyle w:val="BodyText"/>
      </w:pPr>
      <w:r>
        <w:t xml:space="preserve">By: _______________________________</w:t>
      </w:r>
    </w:p>
    <w:p>
      <w:pPr>
        <w:pStyle w:val="BodyText"/>
      </w:pPr>
      <w:r>
        <w:t xml:space="preserve">David R. Kasten, Partner</w:t>
      </w:r>
    </w:p>
    <w:p>
      <w:pPr>
        <w:pStyle w:val="BodyText"/>
      </w:pPr>
      <w:r>
        <w:t xml:space="preserve">By: _______________________________</w:t>
      </w:r>
    </w:p>
    <w:p>
      <w:pPr>
        <w:pStyle w:val="BodyText"/>
      </w:pPr>
      <w:r>
        <w:t xml:space="preserve">Emily T. Naraghi, Associate</w:t>
      </w:r>
    </w:p>
    <w:p>
      <w:pPr>
        <w:pStyle w:val="BodyText"/>
      </w:pPr>
      <w:r>
        <w:t xml:space="preserve">77 West Monroe Street, Suite 4400</w:t>
      </w:r>
      <w:r>
        <w:t xml:space="preserve"> </w:t>
      </w:r>
      <w:r>
        <w:t xml:space="preserve">Chicago, Illinois 60603</w:t>
      </w:r>
    </w:p>
    <w:p>
      <w:pPr>
        <w:pStyle w:val="BodyText"/>
      </w:pPr>
      <w:r>
        <w:t xml:space="preserve">CONFIDENTIAL — ATTORNEY-CLIENT PRIVILEGED — ATTORNEY WORK PRODUCT. This memorandum is prepared by Fund Counsel for Whitmore Capital Management LLC in its capacity as General Partner of Whitmore Capital Partners VII, LP and is intended solely for the addressees. It should not be distributed to any Limited Partner or third party without the prior written consent of the General Partner and Fund Counsel.</w:t>
      </w:r>
    </w:p>
    <w:p>
      <w:pPr>
        <w:pStyle w:val="BodyText"/>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2026-06-27T20:47:33Z</dcterms:created>
  <dcterms:modified xsi:type="dcterms:W3CDTF">2026-06-27T20:47:33Z</dcterms:modified>
</cp:coreProperties>
</file>

<file path=docProps/custom.xml><?xml version="1.0" encoding="utf-8"?>
<Properties xmlns="http://schemas.openxmlformats.org/officeDocument/2006/custom-properties" xmlns:vt="http://schemas.openxmlformats.org/officeDocument/2006/docPropsVTypes"/>
</file>