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4ba7c9753b9d7672065600b3b084a0f20f0fcf"/>
    <w:p>
      <w:pPr>
        <w:pStyle w:val="Heading1"/>
      </w:pPr>
      <w:r>
        <w:t xml:space="preserve">PRIVILEGED &amp; CONFIDENTIAL — ATTORNEY WORK PRODUCT / ATTORNEY-CLIENT COMMUNICATION</w:t>
      </w:r>
    </w:p>
    <w:p>
      <w:pPr>
        <w:pStyle w:val="FirstParagraph"/>
      </w:pPr>
      <w:r>
        <w:rPr>
          <w:b/>
          <w:bCs/>
        </w:rPr>
        <w:t xml:space="preserve">HARGROVE, TEMPLETON &amp; BLISS LLP</w:t>
      </w:r>
      <w:r>
        <w:t xml:space="preserve"> </w:t>
      </w:r>
      <w:r>
        <w:t xml:space="preserve">1750 K Street NW, Suite 900, Washington, DC 20006</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Pressman, Partner</w:t>
      </w:r>
      <w:r>
        <w:t xml:space="preserve"> </w:t>
      </w:r>
      <w:r>
        <w:rPr>
          <w:b/>
          <w:bCs/>
        </w:rPr>
        <w:t xml:space="preserve">CC:</w:t>
      </w:r>
      <w:r>
        <w:t xml:space="preserve"> </w:t>
      </w:r>
      <w:r>
        <w:t xml:space="preserve">Linda Fessenden, Vice President, Regulatory Affairs, Clearfield Medical Devices, Inc.; Dr. Evelyn Marsh, RAC, Principal Consultant, Ridgepoint Consulting Group</w:t>
      </w:r>
      <w:r>
        <w:t xml:space="preserve"> </w:t>
      </w:r>
      <w:r>
        <w:rPr>
          <w:b/>
          <w:bCs/>
        </w:rPr>
        <w:t xml:space="preserve">FROM:</w:t>
      </w:r>
      <w:r>
        <w:t xml:space="preserve"> </w:t>
      </w:r>
      <w:r>
        <w:t xml:space="preserve">Daniel J. Yoo, Senior Associate</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Prioritized Issue Memorandum — Review of Draft Pre-Submission (Q-Sub) Package for the VascuClear 3000 Thrombectomy System</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At your request, I have conducted a comprehensive review of the draft Pre-Submission (Q-Sub) package prepared for the VascuClear 3000 Thrombectomy System (the</w:t>
      </w:r>
      <w:r>
        <w:t xml:space="preserve"> </w:t>
      </w:r>
      <w:r>
        <w:t xml:space="preserve">“</w:t>
      </w:r>
      <w:r>
        <w:t xml:space="preserve">Device</w:t>
      </w:r>
      <w:r>
        <w:t xml:space="preserve">”</w:t>
      </w:r>
      <w:r>
        <w:t xml:space="preserve">) in advance of the targeted June 15, 2025 filing. The package reviewed consists of the following documents:</w:t>
      </w:r>
    </w:p>
    <w:p>
      <w:pPr>
        <w:pStyle w:val="Compact"/>
        <w:numPr>
          <w:ilvl w:val="0"/>
          <w:numId w:val="1001"/>
        </w:numPr>
      </w:pPr>
      <w:r>
        <w:rPr>
          <w:b/>
          <w:bCs/>
        </w:rPr>
        <w:t xml:space="preserve">Cover Letter</w:t>
      </w:r>
      <w:r>
        <w:t xml:space="preserve"> </w:t>
      </w:r>
      <w:r>
        <w:t xml:space="preserve">—</w:t>
      </w:r>
      <w:r>
        <w:t xml:space="preserve"> </w:t>
      </w:r>
      <w:r>
        <w:rPr>
          <w:i/>
          <w:iCs/>
        </w:rPr>
        <w:t xml:space="preserve">presub-cover-letter.docx</w:t>
      </w:r>
      <w:r>
        <w:t xml:space="preserve"> </w:t>
      </w:r>
      <w:r>
        <w:t xml:space="preserve">(dated May 19, 2025)</w:t>
      </w:r>
    </w:p>
    <w:p>
      <w:pPr>
        <w:pStyle w:val="Compact"/>
        <w:numPr>
          <w:ilvl w:val="0"/>
          <w:numId w:val="1001"/>
        </w:numPr>
      </w:pPr>
      <w:r>
        <w:rPr>
          <w:b/>
          <w:bCs/>
        </w:rPr>
        <w:t xml:space="preserve">Device Description and Predicate Comparison</w:t>
      </w:r>
      <w:r>
        <w:t xml:space="preserve"> </w:t>
      </w:r>
      <w:r>
        <w:t xml:space="preserve">—</w:t>
      </w:r>
      <w:r>
        <w:t xml:space="preserve"> </w:t>
      </w:r>
      <w:r>
        <w:rPr>
          <w:i/>
          <w:iCs/>
        </w:rPr>
        <w:t xml:space="preserve">device-description-predicate-comparison.docx</w:t>
      </w:r>
      <w:r>
        <w:t xml:space="preserve"> </w:t>
      </w:r>
      <w:r>
        <w:t xml:space="preserve">(Enclosure 1)</w:t>
      </w:r>
    </w:p>
    <w:p>
      <w:pPr>
        <w:pStyle w:val="Compact"/>
        <w:numPr>
          <w:ilvl w:val="0"/>
          <w:numId w:val="1001"/>
        </w:numPr>
      </w:pPr>
      <w:r>
        <w:rPr>
          <w:b/>
          <w:bCs/>
        </w:rPr>
        <w:t xml:space="preserve">Proposed Testing Plan</w:t>
      </w:r>
      <w:r>
        <w:t xml:space="preserve"> </w:t>
      </w:r>
      <w:r>
        <w:t xml:space="preserve">—</w:t>
      </w:r>
      <w:r>
        <w:t xml:space="preserve"> </w:t>
      </w:r>
      <w:r>
        <w:rPr>
          <w:i/>
          <w:iCs/>
        </w:rPr>
        <w:t xml:space="preserve">proposed-testing-plan.docx</w:t>
      </w:r>
      <w:r>
        <w:t xml:space="preserve"> </w:t>
      </w:r>
      <w:r>
        <w:t xml:space="preserve">(Enclosure 2, Draft 2.1)</w:t>
      </w:r>
    </w:p>
    <w:p>
      <w:pPr>
        <w:pStyle w:val="Compact"/>
        <w:numPr>
          <w:ilvl w:val="0"/>
          <w:numId w:val="1001"/>
        </w:numPr>
      </w:pPr>
      <w:r>
        <w:rPr>
          <w:b/>
          <w:bCs/>
        </w:rPr>
        <w:t xml:space="preserve">Clinical Study Synopsis</w:t>
      </w:r>
      <w:r>
        <w:t xml:space="preserve"> </w:t>
      </w:r>
      <w:r>
        <w:t xml:space="preserve">—</w:t>
      </w:r>
      <w:r>
        <w:t xml:space="preserve"> </w:t>
      </w:r>
      <w:r>
        <w:rPr>
          <w:i/>
          <w:iCs/>
        </w:rPr>
        <w:t xml:space="preserve">clinical-study-synopsis.docx</w:t>
      </w:r>
      <w:r>
        <w:t xml:space="preserve"> </w:t>
      </w:r>
      <w:r>
        <w:t xml:space="preserve">(Enclosure 3, Protocol CLR-VC3-001, Draft 1.0)</w:t>
      </w:r>
    </w:p>
    <w:p>
      <w:pPr>
        <w:pStyle w:val="Compact"/>
        <w:numPr>
          <w:ilvl w:val="0"/>
          <w:numId w:val="1001"/>
        </w:numPr>
      </w:pPr>
      <w:r>
        <w:rPr>
          <w:b/>
          <w:bCs/>
        </w:rPr>
        <w:t xml:space="preserve">Draft Instructions for Use</w:t>
      </w:r>
      <w:r>
        <w:t xml:space="preserve"> </w:t>
      </w:r>
      <w:r>
        <w:t xml:space="preserve">—</w:t>
      </w:r>
      <w:r>
        <w:t xml:space="preserve"> </w:t>
      </w:r>
      <w:r>
        <w:rPr>
          <w:i/>
          <w:iCs/>
        </w:rPr>
        <w:t xml:space="preserve">draft-ifu-vasculear-3000.docx</w:t>
      </w:r>
      <w:r>
        <w:t xml:space="preserve"> </w:t>
      </w:r>
      <w:r>
        <w:t xml:space="preserve">(Enclosure 4, IFU-VC3000-001, Rev. A)</w:t>
      </w:r>
    </w:p>
    <w:p>
      <w:pPr>
        <w:pStyle w:val="Compact"/>
        <w:numPr>
          <w:ilvl w:val="0"/>
          <w:numId w:val="1001"/>
        </w:numPr>
      </w:pPr>
      <w:r>
        <w:rPr>
          <w:b/>
          <w:bCs/>
        </w:rPr>
        <w:t xml:space="preserve">ThrombEx 200 (K192847) 510(k) Summary</w:t>
      </w:r>
      <w:r>
        <w:t xml:space="preserve"> </w:t>
      </w:r>
      <w:r>
        <w:t xml:space="preserve">—</w:t>
      </w:r>
      <w:r>
        <w:t xml:space="preserve"> </w:t>
      </w:r>
      <w:r>
        <w:rPr>
          <w:i/>
          <w:iCs/>
        </w:rPr>
        <w:t xml:space="preserve">thrombex-200-510k-summary.docx</w:t>
      </w:r>
      <w:r>
        <w:t xml:space="preserve"> </w:t>
      </w:r>
      <w:r>
        <w:t xml:space="preserve">(Enclosure 5, the proposed predicate)</w:t>
      </w:r>
    </w:p>
    <w:p>
      <w:pPr>
        <w:pStyle w:val="FirstParagraph"/>
      </w:pPr>
      <w:r>
        <w:t xml:space="preserve">I have also reviewed the internal strategy email chain among Linda Fessenden, Dr. Evelyn Marsh, and you (April 22 – May 12, 2025), which frames the two threshold questions you asked me to address (combination product classification and the IDE question) and confirms the scope of this review.</w:t>
      </w:r>
    </w:p>
    <w:p>
      <w:pPr>
        <w:pStyle w:val="BodyText"/>
      </w:pPr>
      <w:r>
        <w:t xml:space="preserve">This memorandum identifies regulatory, scientific, and strategic deficiencies in the package as currently drafted. Issues are prioritized into four tiers:</w:t>
      </w:r>
      <w:r>
        <w:t xml:space="preserve"> </w:t>
      </w:r>
      <w:r>
        <w:rPr>
          <w:b/>
          <w:bCs/>
        </w:rPr>
        <w:t xml:space="preserve">Tier 1 (Critical)</w:t>
      </w:r>
      <w:r>
        <w:t xml:space="preserve"> </w:t>
      </w:r>
      <w:r>
        <w:t xml:space="preserve">— issues that may alter the regulatory pathway or invite FDA rejection of the proposed approach;</w:t>
      </w:r>
      <w:r>
        <w:t xml:space="preserve"> </w:t>
      </w:r>
      <w:r>
        <w:rPr>
          <w:b/>
          <w:bCs/>
        </w:rPr>
        <w:t xml:space="preserve">Tier 2 (High)</w:t>
      </w:r>
      <w:r>
        <w:t xml:space="preserve"> </w:t>
      </w:r>
      <w:r>
        <w:t xml:space="preserve">— significant scientific or testing deficiencies and material inconsistencies;</w:t>
      </w:r>
      <w:r>
        <w:t xml:space="preserve"> </w:t>
      </w:r>
      <w:r>
        <w:rPr>
          <w:b/>
          <w:bCs/>
        </w:rPr>
        <w:t xml:space="preserve">Tier 3 (Medium)</w:t>
      </w:r>
      <w:r>
        <w:t xml:space="preserve"> </w:t>
      </w:r>
      <w:r>
        <w:t xml:space="preserve">— gaps FDA will likely request be filled, plus notable cross-document inconsistencies; and</w:t>
      </w:r>
      <w:r>
        <w:t xml:space="preserve"> </w:t>
      </w:r>
      <w:r>
        <w:rPr>
          <w:b/>
          <w:bCs/>
        </w:rPr>
        <w:t xml:space="preserve">Tier 4 (Lower)</w:t>
      </w:r>
      <w:r>
        <w:t xml:space="preserve"> </w:t>
      </w:r>
      <w:r>
        <w:t xml:space="preserve">— items that should be corrected but are unlikely, standing alone, to change the pathway. For each issue I provide (a) a precise identification with citation to the source record, (b) why it matters, and (c) a concrete recommendation.</w:t>
      </w:r>
    </w:p>
    <w:p>
      <w:pPr>
        <w:pStyle w:val="BodyText"/>
      </w:pPr>
      <w:r>
        <w:t xml:space="preserve">A consolidated action list appears in Section VIII.</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package is well-organized and reflects genuine effort, but it contains a small number of</w:t>
      </w:r>
      <w:r>
        <w:t xml:space="preserve"> </w:t>
      </w:r>
      <w:r>
        <w:rPr>
          <w:b/>
          <w:bCs/>
        </w:rPr>
        <w:t xml:space="preserve">pathway-altering</w:t>
      </w:r>
      <w:r>
        <w:t xml:space="preserve"> </w:t>
      </w:r>
      <w:r>
        <w:t xml:space="preserve">problems and a larger number of scientific and consistency defects that, taken together, make the package unsuitable for filing in its current form. The most serious problems are not drafting errors but</w:t>
      </w:r>
      <w:r>
        <w:t xml:space="preserve"> </w:t>
      </w:r>
      <w:r>
        <w:rPr>
          <w:b/>
          <w:bCs/>
        </w:rPr>
        <w:t xml:space="preserve">strategic and legal mischaracterizations</w:t>
      </w:r>
      <w:r>
        <w:t xml:space="preserve"> </w:t>
      </w:r>
      <w:r>
        <w:t xml:space="preserve">that FDA is likely to challenge at the Pre-Submission meeting:</w:t>
      </w:r>
    </w:p>
    <w:p>
      <w:pPr>
        <w:pStyle w:val="Compact"/>
        <w:numPr>
          <w:ilvl w:val="0"/>
          <w:numId w:val="1002"/>
        </w:numPr>
      </w:pPr>
      <w:r>
        <w:t xml:space="preserve">The Device’s defining feature — an integrated lumen purpose-built for simultaneous thrombolytic drug delivery, claimed as a co-primary therapeutic function in the indication — is not addressed anywhere in the package as a potential</w:t>
      </w:r>
      <w:r>
        <w:t xml:space="preserve"> </w:t>
      </w:r>
      <w:r>
        <w:rPr>
          <w:b/>
          <w:bCs/>
        </w:rPr>
        <w:t xml:space="preserve">combination product</w:t>
      </w:r>
      <w:r>
        <w:t xml:space="preserve"> </w:t>
      </w:r>
      <w:r>
        <w:t xml:space="preserve">under 21 CFR Part 3, and the question is not posed to FDA. The proposed predicate has</w:t>
      </w:r>
      <w:r>
        <w:t xml:space="preserve"> </w:t>
      </w:r>
      <w:r>
        <w:rPr>
          <w:b/>
          <w:bCs/>
        </w:rPr>
        <w:t xml:space="preserve">no drug-delivery capability whatsoever</w:t>
      </w:r>
      <w:r>
        <w:t xml:space="preserve">, so there is no predicate precedent for the pharmacomechanical approach.</w:t>
      </w:r>
    </w:p>
    <w:p>
      <w:pPr>
        <w:pStyle w:val="Compact"/>
        <w:numPr>
          <w:ilvl w:val="0"/>
          <w:numId w:val="1002"/>
        </w:numPr>
      </w:pPr>
      <w:r>
        <w:t xml:space="preserve">The clinical study is repeatedly characterized as</w:t>
      </w:r>
      <w:r>
        <w:t xml:space="preserve"> </w:t>
      </w:r>
      <w:r>
        <w:rPr>
          <w:b/>
          <w:bCs/>
        </w:rPr>
        <w:t xml:space="preserve">“</w:t>
      </w:r>
      <w:r>
        <w:rPr>
          <w:b/>
          <w:bCs/>
        </w:rPr>
        <w:t xml:space="preserve">post-clearance</w:t>
      </w:r>
      <w:r>
        <w:rPr>
          <w:b/>
          <w:bCs/>
        </w:rPr>
        <w:t xml:space="preserve">”</w:t>
      </w:r>
      <w:r>
        <w:t xml:space="preserve"> </w:t>
      </w:r>
      <w:r>
        <w:t xml:space="preserve">and as not requiring an IDE, even though the Device has not been cleared and the study is expressly intended to</w:t>
      </w:r>
      <w:r>
        <w:t xml:space="preserve"> </w:t>
      </w:r>
      <w:r>
        <w:rPr>
          <w:b/>
          <w:bCs/>
        </w:rPr>
        <w:t xml:space="preserve">support</w:t>
      </w:r>
      <w:r>
        <w:t xml:space="preserve"> </w:t>
      </w:r>
      <w:r>
        <w:t xml:space="preserve">the 510(k). This is internally contradictory and legally incorrect under 21 CFR Part 812.</w:t>
      </w:r>
    </w:p>
    <w:p>
      <w:pPr>
        <w:pStyle w:val="Compact"/>
        <w:numPr>
          <w:ilvl w:val="0"/>
          <w:numId w:val="1002"/>
        </w:numPr>
      </w:pPr>
      <w:r>
        <w:t xml:space="preserve">The</w:t>
      </w:r>
      <w:r>
        <w:t xml:space="preserve"> </w:t>
      </w:r>
      <w:r>
        <w:rPr>
          <w:b/>
          <w:bCs/>
        </w:rPr>
        <w:t xml:space="preserve">substantial equivalence</w:t>
      </w:r>
      <w:r>
        <w:t xml:space="preserve"> </w:t>
      </w:r>
      <w:r>
        <w:t xml:space="preserve">argument rests on a single predicate that lacks the two features that most distinguish the subject Device (a rotating impeller and a drug-delivery lumen) and uses a fundamentally different mechanism of action.</w:t>
      </w:r>
    </w:p>
    <w:p>
      <w:pPr>
        <w:pStyle w:val="Compact"/>
        <w:numPr>
          <w:ilvl w:val="0"/>
          <w:numId w:val="1002"/>
        </w:numPr>
      </w:pPr>
      <w:r>
        <w:t xml:space="preserve">Your May 12 recommendation to add the combination-product and IDE questions to the Pre-Submission has</w:t>
      </w:r>
      <w:r>
        <w:t xml:space="preserve"> </w:t>
      </w:r>
      <w:r>
        <w:rPr>
          <w:b/>
          <w:bCs/>
        </w:rPr>
        <w:t xml:space="preserve">not been implemented</w:t>
      </w:r>
      <w:r>
        <w:t xml:space="preserve"> </w:t>
      </w:r>
      <w:r>
        <w:t xml:space="preserve">in the cover letter.</w:t>
      </w:r>
    </w:p>
    <w:p>
      <w:pPr>
        <w:pStyle w:val="FirstParagraph"/>
      </w:pPr>
      <w:r>
        <w:t xml:space="preserve">In addition, the package contains several</w:t>
      </w:r>
      <w:r>
        <w:t xml:space="preserve"> </w:t>
      </w:r>
      <w:r>
        <w:rPr>
          <w:b/>
          <w:bCs/>
        </w:rPr>
        <w:t xml:space="preserve">scientific/testing deficiencies</w:t>
      </w:r>
      <w:r>
        <w:t xml:space="preserve"> </w:t>
      </w:r>
      <w:r>
        <w:t xml:space="preserve">that FDA will predictably raise: a biocompatibility contact-duration classification that is contradicted by the IFU’s 72-hour indwell claim; an impeller fatigue test that, as written, amounts to roughly</w:t>
      </w:r>
      <w:r>
        <w:t xml:space="preserve"> </w:t>
      </w:r>
      <w:r>
        <w:rPr>
          <w:b/>
          <w:bCs/>
        </w:rPr>
        <w:t xml:space="preserve">2.5 seconds</w:t>
      </w:r>
      <w:r>
        <w:t xml:space="preserve"> </w:t>
      </w:r>
      <w:r>
        <w:t xml:space="preserve">of operation; a software</w:t>
      </w:r>
      <w:r>
        <w:t xml:space="preserve"> </w:t>
      </w:r>
      <w:r>
        <w:t xml:space="preserve">“</w:t>
      </w:r>
      <w:r>
        <w:t xml:space="preserve">Minor</w:t>
      </w:r>
      <w:r>
        <w:t xml:space="preserve">”</w:t>
      </w:r>
      <w:r>
        <w:t xml:space="preserve"> </w:t>
      </w:r>
      <w:r>
        <w:t xml:space="preserve">level of concern that is lower than the predicate’s</w:t>
      </w:r>
      <w:r>
        <w:t xml:space="preserve"> </w:t>
      </w:r>
      <w:r>
        <w:t xml:space="preserve">“</w:t>
      </w:r>
      <w:r>
        <w:t xml:space="preserve">Moderate</w:t>
      </w:r>
      <w:r>
        <w:t xml:space="preserve">”</w:t>
      </w:r>
      <w:r>
        <w:t xml:space="preserve"> </w:t>
      </w:r>
      <w:r>
        <w:t xml:space="preserve">despite greater software complexity; a complete omission of</w:t>
      </w:r>
      <w:r>
        <w:t xml:space="preserve"> </w:t>
      </w:r>
      <w:r>
        <w:rPr>
          <w:b/>
          <w:bCs/>
        </w:rPr>
        <w:t xml:space="preserve">EMC testing</w:t>
      </w:r>
      <w:r>
        <w:t xml:space="preserve">; an unsupported statistical power claim; and a</w:t>
      </w:r>
      <w:r>
        <w:t xml:space="preserve"> </w:t>
      </w:r>
      <w:r>
        <w:rPr>
          <w:b/>
          <w:bCs/>
        </w:rPr>
        <w:t xml:space="preserve">December 31, 2025 clearance milestone that is not achievable</w:t>
      </w:r>
      <w:r>
        <w:t xml:space="preserve"> </w:t>
      </w:r>
      <w:r>
        <w:t xml:space="preserve">on the package’s own timelines.</w:t>
      </w:r>
    </w:p>
    <w:p>
      <w:pPr>
        <w:pStyle w:val="BodyText"/>
      </w:pPr>
      <w:r>
        <w:t xml:space="preserve">Finally, numerous</w:t>
      </w:r>
      <w:r>
        <w:t xml:space="preserve"> </w:t>
      </w:r>
      <w:r>
        <w:rPr>
          <w:b/>
          <w:bCs/>
        </w:rPr>
        <w:t xml:space="preserve">cross-document inconsistencies</w:t>
      </w:r>
      <w:r>
        <w:t xml:space="preserve"> </w:t>
      </w:r>
      <w:r>
        <w:t xml:space="preserve">(console dimensions and weight, impeller material, the predicate’s patient population, the predicate’s aspiration pressure, contact telephone numbers) must be reconciled before filing, as several of them materially affect the substantial-equivalence comparison.</w:t>
      </w:r>
    </w:p>
    <w:p>
      <w:pPr>
        <w:pStyle w:val="BodyText"/>
      </w:pPr>
      <w:r>
        <w:t xml:space="preserve">I recommend that the package</w:t>
      </w:r>
      <w:r>
        <w:t xml:space="preserve"> </w:t>
      </w:r>
      <w:r>
        <w:rPr>
          <w:b/>
          <w:bCs/>
        </w:rPr>
        <w:t xml:space="preserve">not</w:t>
      </w:r>
      <w:r>
        <w:t xml:space="preserve"> </w:t>
      </w:r>
      <w:r>
        <w:t xml:space="preserve">be filed on June 15 until the Tier 1 issues are resolved and the Tier 2 scientific gaps are at least acknowledged with a plan. Several Tier 1 items can be mitigated cheaply by adding questions to the Pre-Submission — which is, after all, the purpose of a Q-Sub.</w:t>
      </w:r>
    </w:p>
    <w:p>
      <w:r>
        <w:pict>
          <v:rect style="width:0;height:1.5pt" o:hralign="center" o:hrstd="t" o:hr="t"/>
        </w:pict>
      </w:r>
    </w:p>
    <w:bookmarkEnd w:id="22"/>
    <w:bookmarkStart w:id="27" w:name="X99d730ced25edcdf885d050c3239ccba978fb6e"/>
    <w:p>
      <w:pPr>
        <w:pStyle w:val="Heading2"/>
      </w:pPr>
      <w:r>
        <w:t xml:space="preserve">III. Tier 1 — Critical Issues (Pathway-Altering)</w:t>
      </w:r>
    </w:p>
    <w:bookmarkStart w:id="23" w:name="Xb31585dee814b781ce6352722bb4d1b5d568dc8"/>
    <w:p>
      <w:pPr>
        <w:pStyle w:val="Heading3"/>
      </w:pPr>
      <w:r>
        <w:t xml:space="preserve">Issue 1 — Combination product classification is unresolved and is not posed to FDA</w:t>
      </w:r>
    </w:p>
    <w:p>
      <w:pPr>
        <w:pStyle w:val="FirstParagraph"/>
      </w:pPr>
      <w:r>
        <w:rPr>
          <w:b/>
          <w:bCs/>
        </w:rPr>
        <w:t xml:space="preserve">Identification.</w:t>
      </w:r>
      <w:r>
        <w:t xml:space="preserve"> </w:t>
      </w:r>
      <w:r>
        <w:t xml:space="preserve">The Device incorporates a</w:t>
      </w:r>
      <w:r>
        <w:t xml:space="preserve"> </w:t>
      </w:r>
      <w:r>
        <w:t xml:space="preserve">“</w:t>
      </w:r>
      <w:r>
        <w:t xml:space="preserve">proprietary integrated thrombolytic infusion lumen</w:t>
      </w:r>
      <w:r>
        <w:t xml:space="preserve">”</w:t>
      </w:r>
      <w:r>
        <w:t xml:space="preserve"> </w:t>
      </w:r>
      <w:r>
        <w:t xml:space="preserve">that is</w:t>
      </w:r>
      <w:r>
        <w:t xml:space="preserve"> </w:t>
      </w:r>
      <w:r>
        <w:t xml:space="preserve">“</w:t>
      </w:r>
      <w:r>
        <w:t xml:space="preserve">purpose-built for drug delivery</w:t>
      </w:r>
      <w:r>
        <w:t xml:space="preserve">”</w:t>
      </w:r>
      <w:r>
        <w:t xml:space="preserve"> </w:t>
      </w:r>
      <w:r>
        <w:t xml:space="preserve">and is described throughout the package as enabling</w:t>
      </w:r>
      <w:r>
        <w:t xml:space="preserve"> </w:t>
      </w:r>
      <w:r>
        <w:t xml:space="preserve">“</w:t>
      </w:r>
      <w:r>
        <w:t xml:space="preserve">pharmacomechanical thrombectomy — the simultaneous mechanical removal of thrombus and localized delivery of thrombolytic agents.</w:t>
      </w:r>
      <w:r>
        <w:t xml:space="preserve">”</w:t>
      </w:r>
      <w:r>
        <w:t xml:space="preserve"> </w:t>
      </w:r>
      <w:r>
        <w:rPr>
          <w:i/>
          <w:iCs/>
        </w:rPr>
        <w:t xml:space="preserve">Cover Letter</w:t>
      </w:r>
      <w:r>
        <w:t xml:space="preserve"> </w:t>
      </w:r>
      <w:r>
        <w:t xml:space="preserve">§ II;</w:t>
      </w:r>
      <w:r>
        <w:t xml:space="preserve"> </w:t>
      </w:r>
      <w:r>
        <w:rPr>
          <w:i/>
          <w:iCs/>
        </w:rPr>
        <w:t xml:space="preserve">Device Description</w:t>
      </w:r>
      <w:r>
        <w:t xml:space="preserve"> </w:t>
      </w:r>
      <w:r>
        <w:t xml:space="preserve">§§ 2.1, 2.2(c), 2.4;</w:t>
      </w:r>
      <w:r>
        <w:t xml:space="preserve"> </w:t>
      </w:r>
      <w:r>
        <w:rPr>
          <w:i/>
          <w:iCs/>
        </w:rPr>
        <w:t xml:space="preserve">Testing Plan</w:t>
      </w:r>
      <w:r>
        <w:t xml:space="preserve"> </w:t>
      </w:r>
      <w:r>
        <w:t xml:space="preserve">§ 1;</w:t>
      </w:r>
      <w:r>
        <w:t xml:space="preserve"> </w:t>
      </w:r>
      <w:r>
        <w:rPr>
          <w:i/>
          <w:iCs/>
        </w:rPr>
        <w:t xml:space="preserve">Clinical Synopsis</w:t>
      </w:r>
      <w:r>
        <w:t xml:space="preserve"> </w:t>
      </w:r>
      <w:r>
        <w:t xml:space="preserve">§ 2;</w:t>
      </w:r>
      <w:r>
        <w:t xml:space="preserve"> </w:t>
      </w:r>
      <w:r>
        <w:rPr>
          <w:i/>
          <w:iCs/>
        </w:rPr>
        <w:t xml:space="preserve">Draft IFU</w:t>
      </w:r>
      <w:r>
        <w:t xml:space="preserve"> </w:t>
      </w:r>
      <w:r>
        <w:t xml:space="preserve">§§ 1, 2, 9. The proposed indication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w:t>
      </w:r>
      <w:r>
        <w:t xml:space="preserve"> </w:t>
      </w:r>
      <w:r>
        <w:rPr>
          <w:i/>
          <w:iCs/>
        </w:rPr>
        <w:t xml:space="preserve">Cover Letter</w:t>
      </w:r>
      <w:r>
        <w:t xml:space="preserve"> </w:t>
      </w:r>
      <w:r>
        <w:t xml:space="preserve">§ IV;</w:t>
      </w:r>
      <w:r>
        <w:t xml:space="preserve"> </w:t>
      </w:r>
      <w:r>
        <w:rPr>
          <w:i/>
          <w:iCs/>
        </w:rPr>
        <w:t xml:space="preserve">Device Description</w:t>
      </w:r>
      <w:r>
        <w:t xml:space="preserve"> </w:t>
      </w:r>
      <w:r>
        <w:t xml:space="preserve">§ 2.4;</w:t>
      </w:r>
      <w:r>
        <w:t xml:space="preserve"> </w:t>
      </w:r>
      <w:r>
        <w:rPr>
          <w:i/>
          <w:iCs/>
        </w:rPr>
        <w:t xml:space="preserve">Draft IFU</w:t>
      </w:r>
      <w:r>
        <w:t xml:space="preserve"> </w:t>
      </w:r>
      <w:r>
        <w:t xml:space="preserve">§ 2. The Draft IFU § 9 enumerates specific compatible agents (alteplase, reteplase, tenecteplase). The clinical study protocol administers alteplase at specified doses (0.5–1.0 mg/hr) through the lumen.</w:t>
      </w:r>
      <w:r>
        <w:t xml:space="preserve"> </w:t>
      </w:r>
      <w:r>
        <w:rPr>
          <w:i/>
          <w:iCs/>
        </w:rPr>
        <w:t xml:space="preserve">Clinical Synopsis</w:t>
      </w:r>
      <w:r>
        <w:t xml:space="preserve"> </w:t>
      </w:r>
      <w:r>
        <w:t xml:space="preserve">§ 8.2, step 5. Nowhere in the package is the Device analyzed as a potential</w:t>
      </w:r>
      <w:r>
        <w:t xml:space="preserve"> </w:t>
      </w:r>
      <w:r>
        <w:rPr>
          <w:b/>
          <w:bCs/>
        </w:rPr>
        <w:t xml:space="preserve">combination product</w:t>
      </w:r>
      <w:r>
        <w:t xml:space="preserve"> </w:t>
      </w:r>
      <w:r>
        <w:t xml:space="preserve">under 21 CFR 3.2(e), and the cover letter’s six questions for FDA (</w:t>
      </w:r>
      <w:r>
        <w:rPr>
          <w:i/>
          <w:iCs/>
        </w:rPr>
        <w:t xml:space="preserve">Cover Letter</w:t>
      </w:r>
      <w:r>
        <w:t xml:space="preserve"> </w:t>
      </w:r>
      <w:r>
        <w:t xml:space="preserve">§ VI) do not ask FDA whether the Device should be so classified.</w:t>
      </w:r>
    </w:p>
    <w:p>
      <w:pPr>
        <w:pStyle w:val="BodyText"/>
      </w:pPr>
      <w:r>
        <w:rPr>
          <w:b/>
          <w:bCs/>
        </w:rPr>
        <w:t xml:space="preserve">Why it matters.</w:t>
      </w:r>
      <w:r>
        <w:t xml:space="preserve"> </w:t>
      </w:r>
      <w:r>
        <w:t xml:space="preserve">Under 21 CFR 3.2(e), a combination product includes, among other things, a device</w:t>
      </w:r>
      <w:r>
        <w:t xml:space="preserve"> </w:t>
      </w:r>
      <w:r>
        <w:t xml:space="preserve">“</w:t>
      </w:r>
      <w:r>
        <w:t xml:space="preserve">intended for use with</w:t>
      </w:r>
      <w:r>
        <w:t xml:space="preserve">”</w:t>
      </w:r>
      <w:r>
        <w:t xml:space="preserve"> </w:t>
      </w:r>
      <w:r>
        <w:t xml:space="preserve">a specified drug product where both are required to achieve the intended use, purpose, or effect. The Device is physically engineered to deliver a thrombolytic, the indication claims drug delivery as a co-primary function, the IFU names specific agents, and the clinical study delivers a specific drug at a specific dose through the lumen. Dr. Marsh’s</w:t>
      </w:r>
      <w:r>
        <w:t xml:space="preserve"> </w:t>
      </w:r>
      <w:r>
        <w:t xml:space="preserve">“</w:t>
      </w:r>
      <w:r>
        <w:t xml:space="preserve">infusion pump analogy</w:t>
      </w:r>
      <w:r>
        <w:t xml:space="preserve">”</w:t>
      </w:r>
      <w:r>
        <w:t xml:space="preserve"> </w:t>
      </w:r>
      <w:r>
        <w:t xml:space="preserve">(email of April 28) is distinguishable: a general-purpose infusion pump is indicated for fluid delivery without reference to any particular therapeutic effect, whereas the VascuClear indication ties the lumen to a specific therapeutic class (thrombolytics) for a specific therapeutic purpose (thrombolysis). You correctly flagged this distinction in your email of May 5. If FDA concludes the Device is a combination product, the consequences are significant: jurisdiction may shift to or be shared with the Office of Combination Products, a Request for Designation (RFD) may be required, the review timeline and special controls may change, and the predicate-only 510(k) strategy may be inadequate. Notably, Dr. Marsh conceded in her May 9 email that she</w:t>
      </w:r>
      <w:r>
        <w:t xml:space="preserve"> </w:t>
      </w:r>
      <w:r>
        <w:t xml:space="preserve">“</w:t>
      </w:r>
      <w:r>
        <w:t xml:space="preserve">ha[s] not done an exhaustive search of the OCP database</w:t>
      </w:r>
      <w:r>
        <w:t xml:space="preserve">”</w:t>
      </w:r>
      <w:r>
        <w:t xml:space="preserve"> </w:t>
      </w:r>
      <w:r>
        <w:t xml:space="preserve">on pharmacomechanical thrombectomy combination-product precedent — so the package’s confident</w:t>
      </w:r>
      <w:r>
        <w:t xml:space="preserve"> </w:t>
      </w:r>
      <w:r>
        <w:t xml:space="preserve">“</w:t>
      </w:r>
      <w:r>
        <w:t xml:space="preserve">not a combination product</w:t>
      </w:r>
      <w:r>
        <w:t xml:space="preserve">”</w:t>
      </w:r>
      <w:r>
        <w:t xml:space="preserve"> </w:t>
      </w:r>
      <w:r>
        <w:t xml:space="preserve">posture rests on an incomplete precedent search.</w:t>
      </w:r>
    </w:p>
    <w:p>
      <w:pPr>
        <w:pStyle w:val="BodyText"/>
      </w:pPr>
      <w:r>
        <w:rPr>
          <w:b/>
          <w:bCs/>
        </w:rPr>
        <w:t xml:space="preserve">Recommendation.</w:t>
      </w:r>
      <w:r>
        <w:t xml:space="preserve"> </w:t>
      </w:r>
      <w:r>
        <w:t xml:space="preserve">(a) Add a direct question to the cover letter asking FDA whether the VascuClear 3000 should be classified as a combination product under 21 CFR Part 3, and whether FDA recommends an RFD to the Office of Combination Products. This is the</w:t>
      </w:r>
      <w:r>
        <w:t xml:space="preserve"> </w:t>
      </w:r>
      <w:r>
        <w:t xml:space="preserve">“</w:t>
      </w:r>
      <w:r>
        <w:t xml:space="preserve">cheap insurance</w:t>
      </w:r>
      <w:r>
        <w:t xml:space="preserve">”</w:t>
      </w:r>
      <w:r>
        <w:t xml:space="preserve"> </w:t>
      </w:r>
      <w:r>
        <w:t xml:space="preserve">you recommended on May 12 and it has not been done. (b) Conduct (or commission) an actual search of the OCP designation database and the 510(k) database for cleared pharmacomechanical/rheolytic thrombectomy devices with drug-delivery claims (e.g., devices in the AngioJet, Trellis, or Cleaner device families) to determine whether analogous devices were cleared as standalone devices or as combination products, and cite that precedent in the package. (c) Reconcile the indication language with the combination-product analysis (see Issue 9). (d) If there is a real possibility the pathway changes, loop in Kendrick &amp; Hale regarding the Braddock Ventures milestone (see Issue 10 / Section VII).</w:t>
      </w:r>
    </w:p>
    <w:bookmarkEnd w:id="23"/>
    <w:bookmarkStart w:id="24" w:name="X63857db3f5bd7aa4168ec616c69c4d40e851d50"/>
    <w:p>
      <w:pPr>
        <w:pStyle w:val="Heading3"/>
      </w:pPr>
      <w:r>
        <w:t xml:space="preserve">Issue 2 — The clinical study is mischaracterized as</w:t>
      </w:r>
      <w:r>
        <w:t xml:space="preserve"> </w:t>
      </w:r>
      <w:r>
        <w:t xml:space="preserve">“</w:t>
      </w:r>
      <w:r>
        <w:t xml:space="preserve">post-clearance,</w:t>
      </w:r>
      <w:r>
        <w:t xml:space="preserve">”</w:t>
      </w:r>
      <w:r>
        <w:t xml:space="preserve"> </w:t>
      </w:r>
      <w:r>
        <w:t xml:space="preserve">and the IDE question is not posed to FDA</w:t>
      </w:r>
    </w:p>
    <w:p>
      <w:pPr>
        <w:pStyle w:val="FirstParagraph"/>
      </w:pPr>
      <w:r>
        <w:rPr>
          <w:b/>
          <w:bCs/>
        </w:rPr>
        <w:t xml:space="preserve">Identification.</w:t>
      </w:r>
      <w:r>
        <w:t xml:space="preserve"> </w:t>
      </w:r>
      <w:r>
        <w:t xml:space="preserve">The Clinical Synopsis states that</w:t>
      </w:r>
      <w:r>
        <w:t xml:space="preserve"> </w:t>
      </w:r>
      <w:r>
        <w:t xml:space="preserve">“</w:t>
      </w:r>
      <w:r>
        <w:t xml:space="preserve">[a]n Investigational Device Exemption (IDE) is not anticipated for this study</w:t>
      </w:r>
      <w:r>
        <w:t xml:space="preserve">”</w:t>
      </w:r>
      <w:r>
        <w:t xml:space="preserve"> </w:t>
      </w:r>
      <w:r>
        <w:t xml:space="preserve">and that</w:t>
      </w:r>
      <w:r>
        <w:t xml:space="preserve"> </w:t>
      </w:r>
      <w:r>
        <w:t xml:space="preserve">“</w:t>
      </w:r>
      <w:r>
        <w:t xml:space="preserve">[t]he clinical study is designed as a post-clearance data collection effort, and the VascuClear 3000 is expected to have received 510(k) clearance prior to study initiation.</w:t>
      </w:r>
      <w:r>
        <w:t xml:space="preserve">”</w:t>
      </w:r>
      <w:r>
        <w:t xml:space="preserve"> </w:t>
      </w:r>
      <w:r>
        <w:rPr>
          <w:i/>
          <w:iCs/>
        </w:rPr>
        <w:t xml:space="preserve">Clinical Synopsis</w:t>
      </w:r>
      <w:r>
        <w:t xml:space="preserve"> </w:t>
      </w:r>
      <w:r>
        <w:t xml:space="preserve">§ 6. It further asserts the study</w:t>
      </w:r>
      <w:r>
        <w:t xml:space="preserve"> </w:t>
      </w:r>
      <w:r>
        <w:t xml:space="preserve">“</w:t>
      </w:r>
      <w:r>
        <w:t xml:space="preserve">is not considered a significant risk device study.</w:t>
      </w:r>
      <w:r>
        <w:t xml:space="preserve">”</w:t>
      </w:r>
      <w:r>
        <w:t xml:space="preserve"> </w:t>
      </w:r>
      <w:r>
        <w:rPr>
          <w:i/>
          <w:iCs/>
        </w:rPr>
        <w:t xml:space="preserve">Id.</w:t>
      </w:r>
      <w:r>
        <w:t xml:space="preserve"> </w:t>
      </w:r>
      <w:r>
        <w:t xml:space="preserve">Yet the same document states that</w:t>
      </w:r>
      <w:r>
        <w:t xml:space="preserve"> </w:t>
      </w:r>
      <w:r>
        <w:t xml:space="preserve">“</w:t>
      </w:r>
      <w:r>
        <w:t xml:space="preserve">[c]linical data generated in the proposed study is intended to support the 510(k) submission.</w:t>
      </w:r>
      <w:r>
        <w:t xml:space="preserve">”</w:t>
      </w:r>
      <w:r>
        <w:t xml:space="preserve"> </w:t>
      </w:r>
      <w:r>
        <w:rPr>
          <w:i/>
          <w:iCs/>
        </w:rPr>
        <w:t xml:space="preserve">Clinical Synopsis</w:t>
      </w:r>
      <w:r>
        <w:t xml:space="preserve"> </w:t>
      </w:r>
      <w:r>
        <w:t xml:space="preserve">§ 3. The Cover Letter Question 4 asks whether the study</w:t>
      </w:r>
      <w:r>
        <w:t xml:space="preserve"> </w:t>
      </w:r>
      <w:r>
        <w:t xml:space="preserve">“</w:t>
      </w:r>
      <w:r>
        <w:t xml:space="preserve">provides adequate supportive evidence for the 510(k) submission.</w:t>
      </w:r>
      <w:r>
        <w:t xml:space="preserve">”</w:t>
      </w:r>
      <w:r>
        <w:t xml:space="preserve"> </w:t>
      </w:r>
      <w:r>
        <w:rPr>
          <w:i/>
          <w:iCs/>
        </w:rPr>
        <w:t xml:space="preserve">Cover Letter</w:t>
      </w:r>
      <w:r>
        <w:t xml:space="preserve"> </w:t>
      </w:r>
      <w:r>
        <w:t xml:space="preserve">§ VI. The package’s own timelines confirm the study cannot be post-clearance: the 510(k) clearance target is December 31, 2025 (</w:t>
      </w:r>
      <w:r>
        <w:rPr>
          <w:i/>
          <w:iCs/>
        </w:rPr>
        <w:t xml:space="preserve">Testing Plan</w:t>
      </w:r>
      <w:r>
        <w:t xml:space="preserve"> </w:t>
      </w:r>
      <w:r>
        <w:t xml:space="preserve">§ 9.2; email chain), while first patient enrollment is Q4 2025, enrollment completion is Q2 2026, and the clinical study report is not finalized until Q4 2026.</w:t>
      </w:r>
      <w:r>
        <w:t xml:space="preserve"> </w:t>
      </w:r>
      <w:r>
        <w:rPr>
          <w:i/>
          <w:iCs/>
        </w:rPr>
        <w:t xml:space="preserve">Clinical Synopsis</w:t>
      </w:r>
      <w:r>
        <w:t xml:space="preserve"> </w:t>
      </w:r>
      <w:r>
        <w:t xml:space="preserve">§ 15. The cover letter’s six questions do not ask FDA whether an IDE is required.</w:t>
      </w:r>
      <w:r>
        <w:t xml:space="preserve"> </w:t>
      </w:r>
      <w:r>
        <w:rPr>
          <w:i/>
          <w:iCs/>
        </w:rPr>
        <w:t xml:space="preserve">Cover Letter</w:t>
      </w:r>
      <w:r>
        <w:t xml:space="preserve"> </w:t>
      </w:r>
      <w:r>
        <w:t xml:space="preserve">§ VI.</w:t>
      </w:r>
    </w:p>
    <w:p>
      <w:pPr>
        <w:pStyle w:val="BodyText"/>
      </w:pPr>
      <w:r>
        <w:rPr>
          <w:b/>
          <w:bCs/>
        </w:rPr>
        <w:t xml:space="preserve">Why it matters.</w:t>
      </w:r>
      <w:r>
        <w:t xml:space="preserve"> </w:t>
      </w:r>
      <w:r>
        <w:t xml:space="preserve">The</w:t>
      </w:r>
      <w:r>
        <w:t xml:space="preserve"> </w:t>
      </w:r>
      <w:r>
        <w:t xml:space="preserve">“</w:t>
      </w:r>
      <w:r>
        <w:t xml:space="preserve">post-clearance</w:t>
      </w:r>
      <w:r>
        <w:t xml:space="preserve">”</w:t>
      </w:r>
      <w:r>
        <w:t xml:space="preserve"> </w:t>
      </w:r>
      <w:r>
        <w:t xml:space="preserve">characterization is internally contradictory and legally untenable. Under 21 CFR 812.3(m), an</w:t>
      </w:r>
      <w:r>
        <w:t xml:space="preserve"> </w:t>
      </w:r>
      <w:r>
        <w:t xml:space="preserve">“</w:t>
      </w:r>
      <w:r>
        <w:t xml:space="preserve">investigational device</w:t>
      </w:r>
      <w:r>
        <w:t xml:space="preserve">”</w:t>
      </w:r>
      <w:r>
        <w:t xml:space="preserve"> </w:t>
      </w:r>
      <w:r>
        <w:t xml:space="preserve">is a device that is the object of an investigation; a device that has not received 510(k) clearance and is being studied to generate data in support of that clearance is an investigational device. You raised precisely this point on May 5. Dr. Marsh’s response conflates two distinct questions: (i) whether clinical data is the</w:t>
      </w:r>
      <w:r>
        <w:t xml:space="preserve"> </w:t>
      </w:r>
      <w:r>
        <w:t xml:space="preserve">“</w:t>
      </w:r>
      <w:r>
        <w:t xml:space="preserve">primary</w:t>
      </w:r>
      <w:r>
        <w:t xml:space="preserve">”</w:t>
      </w:r>
      <w:r>
        <w:t xml:space="preserve"> </w:t>
      </w:r>
      <w:r>
        <w:t xml:space="preserve">versus</w:t>
      </w:r>
      <w:r>
        <w:t xml:space="preserve"> </w:t>
      </w:r>
      <w:r>
        <w:t xml:space="preserve">“</w:t>
      </w:r>
      <w:r>
        <w:t xml:space="preserve">supportive</w:t>
      </w:r>
      <w:r>
        <w:t xml:space="preserve">”</w:t>
      </w:r>
      <w:r>
        <w:t xml:space="preserve"> </w:t>
      </w:r>
      <w:r>
        <w:t xml:space="preserve">basis for clearance, and (ii) whether an IDE is required. The</w:t>
      </w:r>
      <w:r>
        <w:t xml:space="preserve"> </w:t>
      </w:r>
      <w:r>
        <w:t xml:space="preserve">“</w:t>
      </w:r>
      <w:r>
        <w:t xml:space="preserve">supportive vs. primary</w:t>
      </w:r>
      <w:r>
        <w:t xml:space="preserve">”</w:t>
      </w:r>
      <w:r>
        <w:t xml:space="preserve"> </w:t>
      </w:r>
      <w:r>
        <w:t xml:space="preserve">distinction bears on the</w:t>
      </w:r>
      <w:r>
        <w:t xml:space="preserve"> </w:t>
      </w:r>
      <w:r>
        <w:rPr>
          <w:i/>
          <w:iCs/>
        </w:rPr>
        <w:t xml:space="preserve">weight</w:t>
      </w:r>
      <w:r>
        <w:t xml:space="preserve"> </w:t>
      </w:r>
      <w:r>
        <w:t xml:space="preserve">of the data, not on whether the device is investigational. Even supportive clinical data collected before clearance requires either an approved IDE (if the study is significant risk) or, at minimum, IRB approval plus sponsor non-significant-risk (NSR) determination with IRB concurrence and compliance with the abbreviated IDE requirements of 21 CFR 812.2(b). The synopsis’s blanket</w:t>
      </w:r>
      <w:r>
        <w:t xml:space="preserve"> </w:t>
      </w:r>
      <w:r>
        <w:t xml:space="preserve">“</w:t>
      </w:r>
      <w:r>
        <w:t xml:space="preserve">no IDE</w:t>
      </w:r>
      <w:r>
        <w:t xml:space="preserve">”</w:t>
      </w:r>
      <w:r>
        <w:t xml:space="preserve"> </w:t>
      </w:r>
      <w:r>
        <w:t xml:space="preserve">statement and its self-determination that the study is</w:t>
      </w:r>
      <w:r>
        <w:t xml:space="preserve"> </w:t>
      </w:r>
      <w:r>
        <w:t xml:space="preserve">“</w:t>
      </w:r>
      <w:r>
        <w:t xml:space="preserve">not significant risk</w:t>
      </w:r>
      <w:r>
        <w:t xml:space="preserve">”</w:t>
      </w:r>
      <w:r>
        <w:t xml:space="preserve"> </w:t>
      </w:r>
      <w:r>
        <w:t xml:space="preserve">are premature: the NSR/SR determination is ultimately the IRB’s to make (and FDA’s to review if the IRB disagrees), and a novel 10 Fr catheter with a 12,000 RPM rotating impeller plus concurrent tPA infusion is a plausible SR candidate. If the combination-product question (Issue 1) cuts against Clearfield, the study may also implicate drug-investigational requirements, as you noted on May 5. Proceeding to IRB submissions at five sites on the stated</w:t>
      </w:r>
      <w:r>
        <w:t xml:space="preserve"> </w:t>
      </w:r>
      <w:r>
        <w:t xml:space="preserve">“</w:t>
      </w:r>
      <w:r>
        <w:t xml:space="preserve">no IDE / post-clearance</w:t>
      </w:r>
      <w:r>
        <w:t xml:space="preserve">”</w:t>
      </w:r>
      <w:r>
        <w:t xml:space="preserve"> </w:t>
      </w:r>
      <w:r>
        <w:t xml:space="preserve">theory risks rejection by the IRBs and, worse, enrollment without required approvals.</w:t>
      </w:r>
    </w:p>
    <w:p>
      <w:pPr>
        <w:pStyle w:val="BodyText"/>
      </w:pPr>
      <w:r>
        <w:rPr>
          <w:b/>
          <w:bCs/>
        </w:rPr>
        <w:t xml:space="preserve">Recommendation.</w:t>
      </w:r>
      <w:r>
        <w:t xml:space="preserve"> </w:t>
      </w:r>
      <w:r>
        <w:t xml:space="preserve">(a) Add a direct question to the cover letter asking FDA whether an IDE is required for the proposed clinical study, and, if so, whether FDA considers the study significant risk or non-significant risk. (b) Delete or fundamentally revise the</w:t>
      </w:r>
      <w:r>
        <w:t xml:space="preserve"> </w:t>
      </w:r>
      <w:r>
        <w:t xml:space="preserve">“</w:t>
      </w:r>
      <w:r>
        <w:t xml:space="preserve">post-clearance</w:t>
      </w:r>
      <w:r>
        <w:t xml:space="preserve">”</w:t>
      </w:r>
      <w:r>
        <w:t xml:space="preserve"> </w:t>
      </w:r>
      <w:r>
        <w:t xml:space="preserve">characterization in Clinical Synopsis §§ 5 and 6 — the study is pre-clearance and investigational. (c) Prepare for both contingencies: an NSR pathway (sponsor NSR determination + IRB concurrence + abbreviated 21 CFR 812.2(b) requirements) and an SR/IDE pathway (which would materially affect timeline and budget). (d) Ensure the model informed consent form discloses the investigational status of the Device. (e) Coordinate with Stonebridge CRO so that IRB submissions are not prepared on the incorrect</w:t>
      </w:r>
      <w:r>
        <w:t xml:space="preserve"> </w:t>
      </w:r>
      <w:r>
        <w:t xml:space="preserve">“</w:t>
      </w:r>
      <w:r>
        <w:t xml:space="preserve">post-clearance</w:t>
      </w:r>
      <w:r>
        <w:t xml:space="preserve">”</w:t>
      </w:r>
      <w:r>
        <w:t xml:space="preserve"> </w:t>
      </w:r>
      <w:r>
        <w:t xml:space="preserve">theory.</w:t>
      </w:r>
    </w:p>
    <w:bookmarkEnd w:id="24"/>
    <w:bookmarkStart w:id="25" w:name="Xac0382c72f05ff07423a8ab38ad5d950df2a88c"/>
    <w:p>
      <w:pPr>
        <w:pStyle w:val="Heading3"/>
      </w:pPr>
      <w:r>
        <w:t xml:space="preserve">Issue 3 — The substantial-equivalence argument rests on a predicate that lacks the Device’s two defining features</w:t>
      </w:r>
    </w:p>
    <w:p>
      <w:pPr>
        <w:pStyle w:val="FirstParagraph"/>
      </w:pPr>
      <w:r>
        <w:rPr>
          <w:b/>
          <w:bCs/>
        </w:rPr>
        <w:t xml:space="preserve">Identification.</w:t>
      </w:r>
      <w:r>
        <w:t xml:space="preserve"> </w:t>
      </w:r>
      <w:r>
        <w:t xml:space="preserve">The sole predicate is the ThrombEx 200 (K192847).</w:t>
      </w:r>
      <w:r>
        <w:t xml:space="preserve"> </w:t>
      </w:r>
      <w:r>
        <w:rPr>
          <w:i/>
          <w:iCs/>
        </w:rPr>
        <w:t xml:space="preserve">Cover Letter</w:t>
      </w:r>
      <w:r>
        <w:t xml:space="preserve"> </w:t>
      </w:r>
      <w:r>
        <w:t xml:space="preserve">§ III;</w:t>
      </w:r>
      <w:r>
        <w:t xml:space="preserve"> </w:t>
      </w:r>
      <w:r>
        <w:rPr>
          <w:i/>
          <w:iCs/>
        </w:rPr>
        <w:t xml:space="preserve">Device Description</w:t>
      </w:r>
      <w:r>
        <w:t xml:space="preserve"> </w:t>
      </w:r>
      <w:r>
        <w:t xml:space="preserve">§ 3.1 (</w:t>
      </w:r>
      <w:r>
        <w:t xml:space="preserve">“</w:t>
      </w:r>
      <w:r>
        <w:t xml:space="preserve">No secondary or reference predicates have been identified</w:t>
      </w:r>
      <w:r>
        <w:t xml:space="preserve">”</w:t>
      </w:r>
      <w:r>
        <w:t xml:space="preserve">). The ThrombEx 200 510(k) Summary is explicit that the predicate</w:t>
      </w:r>
      <w:r>
        <w:t xml:space="preserve"> </w:t>
      </w:r>
      <w:r>
        <w:t xml:space="preserve">“</w:t>
      </w:r>
      <w:r>
        <w:t xml:space="preserve">is a purely mechanical thrombectomy device with no drug delivery function. It contains no rotating impeller, no mechanical maceration component, and no drug infusion lumen.</w:t>
      </w:r>
      <w:r>
        <w:t xml:space="preserve">”</w:t>
      </w:r>
      <w:r>
        <w:t xml:space="preserve"> </w:t>
      </w:r>
      <w:r>
        <w:rPr>
          <w:i/>
          <w:iCs/>
        </w:rPr>
        <w:t xml:space="preserve">510(k) Summary</w:t>
      </w:r>
      <w:r>
        <w:t xml:space="preserve"> </w:t>
      </w:r>
      <w:r>
        <w:t xml:space="preserve">§§ 2, 3.3, 6. The predicate uses a Bernoulli-effect (hydrodynamic) aspiration mechanism; the subject Device uses a rotating helical impeller (mechanical maceration) plus aspiration.</w:t>
      </w:r>
      <w:r>
        <w:t xml:space="preserve"> </w:t>
      </w:r>
      <w:r>
        <w:rPr>
          <w:i/>
          <w:iCs/>
        </w:rPr>
        <w:t xml:space="preserve">Device Description</w:t>
      </w:r>
      <w:r>
        <w:t xml:space="preserve"> </w:t>
      </w:r>
      <w:r>
        <w:t xml:space="preserve">§ 4.2. The predicate is 8 Fr / 55 cm; the subject is 10 Fr / 65 cm.</w:t>
      </w:r>
      <w:r>
        <w:t xml:space="preserve"> </w:t>
      </w:r>
      <w:r>
        <w:rPr>
          <w:i/>
          <w:iCs/>
        </w:rPr>
        <w:t xml:space="preserve">Id.</w:t>
      </w:r>
      <w:r>
        <w:t xml:space="preserve"> </w:t>
      </w:r>
      <w:r>
        <w:t xml:space="preserve">The predicate’s cleared indication is</w:t>
      </w:r>
      <w:r>
        <w:t xml:space="preserve"> </w:t>
      </w:r>
      <w:r>
        <w:t xml:space="preserve">“</w:t>
      </w:r>
      <w:r>
        <w:t xml:space="preserve">percutaneous removal of thrombus from the peripheral vasculature</w:t>
      </w:r>
      <w:r>
        <w:t xml:space="preserve">”</w:t>
      </w:r>
      <w:r>
        <w:t xml:space="preserve"> </w:t>
      </w:r>
      <w:r>
        <w:t xml:space="preserve">(broad, arterial and venous, no DVT specification, no symptom window); the subject’s indication adds drug delivery, narrows to the iliofemoral venous segment, and specifies acute DVT ≤14 days.</w:t>
      </w:r>
      <w:r>
        <w:t xml:space="preserve"> </w:t>
      </w:r>
      <w:r>
        <w:rPr>
          <w:i/>
          <w:iCs/>
        </w:rPr>
        <w:t xml:space="preserve">510(k) Summary</w:t>
      </w:r>
      <w:r>
        <w:t xml:space="preserve"> </w:t>
      </w:r>
      <w:r>
        <w:t xml:space="preserve">§ 2;</w:t>
      </w:r>
      <w:r>
        <w:t xml:space="preserve"> </w:t>
      </w:r>
      <w:r>
        <w:rPr>
          <w:i/>
          <w:iCs/>
        </w:rPr>
        <w:t xml:space="preserve">Cover Letter</w:t>
      </w:r>
      <w:r>
        <w:t xml:space="preserve"> </w:t>
      </w:r>
      <w:r>
        <w:t xml:space="preserve">§ IV. The package nonetheless asserts that these differences</w:t>
      </w:r>
      <w:r>
        <w:t xml:space="preserve"> </w:t>
      </w:r>
      <w:r>
        <w:t xml:space="preserve">“</w:t>
      </w:r>
      <w:r>
        <w:t xml:space="preserve">do not raise new questions of safety and effectiveness.</w:t>
      </w:r>
      <w:r>
        <w:t xml:space="preserve">”</w:t>
      </w:r>
      <w:r>
        <w:t xml:space="preserve"> </w:t>
      </w:r>
      <w:r>
        <w:rPr>
          <w:i/>
          <w:iCs/>
        </w:rPr>
        <w:t xml:space="preserve">Device Description</w:t>
      </w:r>
      <w:r>
        <w:t xml:space="preserve"> </w:t>
      </w:r>
      <w:r>
        <w:t xml:space="preserve">§§ 4.3, 5.2, 5.3.</w:t>
      </w:r>
    </w:p>
    <w:p>
      <w:pPr>
        <w:pStyle w:val="BodyText"/>
      </w:pPr>
      <w:r>
        <w:rPr>
          <w:b/>
          <w:bCs/>
        </w:rPr>
        <w:t xml:space="preserve">Why it matters.</w:t>
      </w:r>
      <w:r>
        <w:t xml:space="preserve"> </w:t>
      </w:r>
      <w:r>
        <w:t xml:space="preserve">The</w:t>
      </w:r>
      <w:r>
        <w:t xml:space="preserve"> </w:t>
      </w:r>
      <w:r>
        <w:t xml:space="preserve">“</w:t>
      </w:r>
      <w:r>
        <w:t xml:space="preserve">same intended use</w:t>
      </w:r>
      <w:r>
        <w:t xml:space="preserve">”</w:t>
      </w:r>
      <w:r>
        <w:t xml:space="preserve"> </w:t>
      </w:r>
      <w:r>
        <w:t xml:space="preserve">and</w:t>
      </w:r>
      <w:r>
        <w:t xml:space="preserve"> </w:t>
      </w:r>
      <w:r>
        <w:t xml:space="preserve">“</w:t>
      </w:r>
      <w:r>
        <w:t xml:space="preserve">no new questions of safety and effectiveness</w:t>
      </w:r>
      <w:r>
        <w:t xml:space="preserve">”</w:t>
      </w:r>
      <w:r>
        <w:t xml:space="preserve"> </w:t>
      </w:r>
      <w:r>
        <w:t xml:space="preserve">assertions are the crux of substantial equivalence, and both are strained here. (1)</w:t>
      </w:r>
      <w:r>
        <w:t xml:space="preserve"> </w:t>
      </w:r>
      <w:r>
        <w:rPr>
          <w:i/>
          <w:iCs/>
        </w:rPr>
        <w:t xml:space="preserve">Intended use:</w:t>
      </w:r>
      <w:r>
        <w:t xml:space="preserve"> </w:t>
      </w:r>
      <w:r>
        <w:t xml:space="preserve">the subject Device adds a co-primary drug-delivery function the predicate does not have; that is an expansion, not a narrowing, of intended use. The package’s</w:t>
      </w:r>
      <w:r>
        <w:t xml:space="preserve"> </w:t>
      </w:r>
      <w:r>
        <w:t xml:space="preserve">“</w:t>
      </w:r>
      <w:r>
        <w:t xml:space="preserve">narrowing</w:t>
      </w:r>
      <w:r>
        <w:t xml:space="preserve">”</w:t>
      </w:r>
      <w:r>
        <w:t xml:space="preserve"> </w:t>
      </w:r>
      <w:r>
        <w:t xml:space="preserve">argument (</w:t>
      </w:r>
      <w:r>
        <w:rPr>
          <w:i/>
          <w:iCs/>
        </w:rPr>
        <w:t xml:space="preserve">Device Description</w:t>
      </w:r>
      <w:r>
        <w:t xml:space="preserve"> </w:t>
      </w:r>
      <w:r>
        <w:t xml:space="preserve">§ 5.1) addresses only the anatomical/population scope and sidesteps the added therapeutic function. (2)</w:t>
      </w:r>
      <w:r>
        <w:t xml:space="preserve"> </w:t>
      </w:r>
      <w:r>
        <w:rPr>
          <w:i/>
          <w:iCs/>
        </w:rPr>
        <w:t xml:space="preserve">New questions:</w:t>
      </w:r>
      <w:r>
        <w:t xml:space="preserve"> </w:t>
      </w:r>
      <w:r>
        <w:t xml:space="preserve">a rotating impeller at 12,000 RPM that mechanically macerates thrombus raises safety questions (vessel-wall injury, particulate/fragment embolization, hemolysis, impeller fracture) that Bernoulli aspiration does not; and a drug-delivery lumen raises questions (drug-device compatibility, dosing accuracy, combination-product status) that a purely mechanical predicate cannot inform. The package’s assertions that the impeller mechanism</w:t>
      </w:r>
      <w:r>
        <w:t xml:space="preserve"> </w:t>
      </w:r>
      <w:r>
        <w:t xml:space="preserve">“</w:t>
      </w:r>
      <w:r>
        <w:t xml:space="preserve">has been employed in previously cleared thrombectomy devices</w:t>
      </w:r>
      <w:r>
        <w:t xml:space="preserve">”</w:t>
      </w:r>
      <w:r>
        <w:t xml:space="preserve"> </w:t>
      </w:r>
      <w:r>
        <w:t xml:space="preserve">and that</w:t>
      </w:r>
      <w:r>
        <w:t xml:space="preserve"> </w:t>
      </w:r>
      <w:r>
        <w:t xml:space="preserve">“</w:t>
      </w:r>
      <w:r>
        <w:t xml:space="preserve">multiple FDA-cleared devices utilize rotational or impeller-based approaches</w:t>
      </w:r>
      <w:r>
        <w:t xml:space="preserve">”</w:t>
      </w:r>
      <w:r>
        <w:t xml:space="preserve"> </w:t>
      </w:r>
      <w:r>
        <w:t xml:space="preserve">(</w:t>
      </w:r>
      <w:r>
        <w:rPr>
          <w:i/>
          <w:iCs/>
        </w:rPr>
        <w:t xml:space="preserve">Device Description</w:t>
      </w:r>
      <w:r>
        <w:t xml:space="preserve"> </w:t>
      </w:r>
      <w:r>
        <w:t xml:space="preserve">§§ 4.3, 5.2) are</w:t>
      </w:r>
      <w:r>
        <w:t xml:space="preserve"> </w:t>
      </w:r>
      <w:r>
        <w:rPr>
          <w:b/>
          <w:bCs/>
        </w:rPr>
        <w:t xml:space="preserve">unsupported by any citation</w:t>
      </w:r>
      <w:r>
        <w:t xml:space="preserve"> </w:t>
      </w:r>
      <w:r>
        <w:t xml:space="preserve">to specific cleared devices. The absence of any reference device for either the impeller mechanism or the drug-delivery lumen leaves the</w:t>
      </w:r>
      <w:r>
        <w:t xml:space="preserve"> </w:t>
      </w:r>
      <w:r>
        <w:t xml:space="preserve">“</w:t>
      </w:r>
      <w:r>
        <w:t xml:space="preserve">no new questions</w:t>
      </w:r>
      <w:r>
        <w:t xml:space="preserve">”</w:t>
      </w:r>
      <w:r>
        <w:t xml:space="preserve"> </w:t>
      </w:r>
      <w:r>
        <w:t xml:space="preserve">assertion unmoored.</w:t>
      </w:r>
    </w:p>
    <w:p>
      <w:pPr>
        <w:pStyle w:val="BodyText"/>
      </w:pPr>
      <w:r>
        <w:rPr>
          <w:b/>
          <w:bCs/>
        </w:rPr>
        <w:t xml:space="preserve">Recommendation.</w:t>
      </w:r>
      <w:r>
        <w:t xml:space="preserve"> </w:t>
      </w:r>
      <w:r>
        <w:t xml:space="preserve">(a) Identify and cite specific cleared reference devices for each distinguishing feature — a rotational/impeller thrombectomy device for the mechanical mechanism, and a cleared catheter with a drug-delivery/infusion lumen for the infusion feature — and present them as reference (not necessarily predicate) devices. (b) Be prepared for FDA to question whether the ThrombEx 200 alone is an adequate predicate; the Device Description Question 4 (asking FDA to recommend additional predicates) is appropriate but should be supplemented with Clearfield’s own proactive research. (c) Strengthen the</w:t>
      </w:r>
      <w:r>
        <w:t xml:space="preserve"> </w:t>
      </w:r>
      <w:r>
        <w:t xml:space="preserve">“</w:t>
      </w:r>
      <w:r>
        <w:t xml:space="preserve">no new questions</w:t>
      </w:r>
      <w:r>
        <w:t xml:space="preserve">”</w:t>
      </w:r>
      <w:r>
        <w:t xml:space="preserve"> </w:t>
      </w:r>
      <w:r>
        <w:t xml:space="preserve">analysis by tying each distinguishing feature to the specific bench testing that will address the new risks (e.g., particulate/embolization testing for the impeller; drug-compatibility testing for the lumen) — several of which are currently missing (see Issues 15, 16, 14). (d) Consider whether a split/multiple-predicate approach is more defensible than a single-predicate strategy.</w:t>
      </w:r>
    </w:p>
    <w:bookmarkEnd w:id="25"/>
    <w:bookmarkStart w:id="26" w:name="Xcb7a35cc4f0bbec24b46bc7ae38cd11f20e7969"/>
    <w:p>
      <w:pPr>
        <w:pStyle w:val="Heading3"/>
      </w:pPr>
      <w:r>
        <w:t xml:space="preserve">Issue 4 — The cover letter does not include the combination-product or IDE questions you recommended</w:t>
      </w:r>
    </w:p>
    <w:p>
      <w:pPr>
        <w:pStyle w:val="FirstParagraph"/>
      </w:pPr>
      <w:r>
        <w:rPr>
          <w:b/>
          <w:bCs/>
        </w:rPr>
        <w:t xml:space="preserve">Identification.</w:t>
      </w:r>
      <w:r>
        <w:t xml:space="preserve"> </w:t>
      </w:r>
      <w:r>
        <w:t xml:space="preserve">The cover letter poses six questions to FDA: (1) predicate selection; (2) indications for use; (3) performance testing plan; (4) clinical study design; (5) biocompatibility strategy; (6) additional testing/data requirements.</w:t>
      </w:r>
      <w:r>
        <w:t xml:space="preserve"> </w:t>
      </w:r>
      <w:r>
        <w:rPr>
          <w:i/>
          <w:iCs/>
        </w:rPr>
        <w:t xml:space="preserve">Cover Letter</w:t>
      </w:r>
      <w:r>
        <w:t xml:space="preserve"> </w:t>
      </w:r>
      <w:r>
        <w:t xml:space="preserve">§ VI. Neither the combination-product classification question nor the IDE-requirement question appears. Your email of May 12, 2025 expressly recommended including both (</w:t>
      </w:r>
      <w:r>
        <w:t xml:space="preserve">“</w:t>
      </w:r>
      <w:r>
        <w:t xml:space="preserve">include a question in the Pre-Submission package asking FDA directly whether the VascuClear 3000 should be classified as a combination product</w:t>
      </w:r>
      <w:r>
        <w:t xml:space="preserve">”</w:t>
      </w:r>
      <w:r>
        <w:t xml:space="preserve">;</w:t>
      </w:r>
      <w:r>
        <w:t xml:space="preserve"> </w:t>
      </w:r>
      <w:r>
        <w:t xml:space="preserve">“</w:t>
      </w:r>
      <w:r>
        <w:t xml:space="preserve">raise this in the Pre-Submission meeting by asking FDA whether an IDE would be required</w:t>
      </w:r>
      <w:r>
        <w:t xml:space="preserve">”</w:t>
      </w:r>
      <w:r>
        <w:t xml:space="preserve">). The cover letter is dated May 19, 2025 — after your email — yet neither question was added.</w:t>
      </w:r>
    </w:p>
    <w:p>
      <w:pPr>
        <w:pStyle w:val="BodyText"/>
      </w:pPr>
      <w:r>
        <w:rPr>
          <w:b/>
          <w:bCs/>
        </w:rPr>
        <w:t xml:space="preserve">Why it matters.</w:t>
      </w:r>
      <w:r>
        <w:t xml:space="preserve"> </w:t>
      </w:r>
      <w:r>
        <w:t xml:space="preserve">The Pre-Submission is the designated mechanism for obtaining FDA’s view on threshold pathway questions</w:t>
      </w:r>
      <w:r>
        <w:t xml:space="preserve"> </w:t>
      </w:r>
      <w:r>
        <w:rPr>
          <w:i/>
          <w:iCs/>
        </w:rPr>
        <w:t xml:space="preserve">before</w:t>
      </w:r>
      <w:r>
        <w:t xml:space="preserve"> </w:t>
      </w:r>
      <w:r>
        <w:t xml:space="preserve">Clearfield commits to a strategy. Failing to ask these two questions forfeits the principal benefit of the Q-Sub and leaves Clearfield exposed to a mid-review pathway change (with the attendant timeline and milestone consequences). This is the single most cost-effective fix available.</w:t>
      </w:r>
    </w:p>
    <w:p>
      <w:pPr>
        <w:pStyle w:val="BodyText"/>
      </w:pPr>
      <w:r>
        <w:rPr>
          <w:b/>
          <w:bCs/>
        </w:rPr>
        <w:t xml:space="preserve">Recommendation.</w:t>
      </w:r>
      <w:r>
        <w:t xml:space="preserve"> </w:t>
      </w:r>
      <w:r>
        <w:t xml:space="preserve">Add two questions to</w:t>
      </w:r>
      <w:r>
        <w:t xml:space="preserve"> </w:t>
      </w:r>
      <w:r>
        <w:rPr>
          <w:i/>
          <w:iCs/>
        </w:rPr>
        <w:t xml:space="preserve">Cover Letter</w:t>
      </w:r>
      <w:r>
        <w:t xml:space="preserve"> </w:t>
      </w:r>
      <w:r>
        <w:t xml:space="preserve">§ VI before filing: (a)</w:t>
      </w:r>
      <w:r>
        <w:t xml:space="preserve"> </w:t>
      </w:r>
      <w:r>
        <w:t xml:space="preserve">“</w:t>
      </w:r>
      <w:r>
        <w:t xml:space="preserve">Does FDA agree that the VascuClear 3000 is appropriately regulated as a standalone device under product code GXD, 21 CFR 870.1250, and not as a combination product under 21 CFR Part 3? If FDA has concerns, would a Request for Designation to the Office of Combination Products be appropriate?</w:t>
      </w:r>
      <w:r>
        <w:t xml:space="preserve">”</w:t>
      </w:r>
      <w:r>
        <w:t xml:space="preserve"> </w:t>
      </w:r>
      <w:r>
        <w:t xml:space="preserve">(b)</w:t>
      </w:r>
      <w:r>
        <w:t xml:space="preserve"> </w:t>
      </w:r>
      <w:r>
        <w:t xml:space="preserve">“</w:t>
      </w:r>
      <w:r>
        <w:t xml:space="preserve">Does FDA agree that the proposed clinical study may be conducted without an IDE, or does FDA consider the study a significant-risk device study requiring an IDE under 21 CFR Part 812?</w:t>
      </w:r>
      <w:r>
        <w:t xml:space="preserve">”</w:t>
      </w:r>
      <w:r>
        <w:t xml:space="preserve"> </w:t>
      </w:r>
      <w:r>
        <w:t xml:space="preserve">These align with Issues 1 and 2 above.</w:t>
      </w:r>
    </w:p>
    <w:p>
      <w:r>
        <w:pict>
          <v:rect style="width:0;height:1.5pt" o:hralign="center" o:hrstd="t" o:hr="t"/>
        </w:pict>
      </w:r>
    </w:p>
    <w:bookmarkEnd w:id="26"/>
    <w:bookmarkEnd w:id="27"/>
    <w:bookmarkStart w:id="34" w:name="iv.-tier-2-high-severity-issues"/>
    <w:p>
      <w:pPr>
        <w:pStyle w:val="Heading2"/>
      </w:pPr>
      <w:r>
        <w:t xml:space="preserve">IV. Tier 2 — High-Severity Issues</w:t>
      </w:r>
    </w:p>
    <w:bookmarkStart w:id="28" w:name="X578e25fa5fdc9754ffb2fcccf2fd99b59609754"/>
    <w:p>
      <w:pPr>
        <w:pStyle w:val="Heading3"/>
      </w:pPr>
      <w:r>
        <w:t xml:space="preserve">Issue 5 — Biocompatibility contact-duration classification is contradicted by the IFU’s 72-hour indwell claim</w:t>
      </w:r>
    </w:p>
    <w:p>
      <w:pPr>
        <w:pStyle w:val="FirstParagraph"/>
      </w:pPr>
      <w:r>
        <w:rPr>
          <w:b/>
          <w:bCs/>
        </w:rPr>
        <w:t xml:space="preserve">Identification.</w:t>
      </w:r>
      <w:r>
        <w:t xml:space="preserve"> </w:t>
      </w:r>
      <w:r>
        <w:t xml:space="preserve">The Testing Plan classifies the VascuClear Catheter as a</w:t>
      </w:r>
      <w:r>
        <w:t xml:space="preserve"> </w:t>
      </w:r>
      <w:r>
        <w:t xml:space="preserve">“</w:t>
      </w:r>
      <w:r>
        <w:t xml:space="preserve">blood-contacting device with limited contact duration (less than 24 hours)</w:t>
      </w:r>
      <w:r>
        <w:t xml:space="preserve">”</w:t>
      </w:r>
      <w:r>
        <w:t xml:space="preserve"> </w:t>
      </w:r>
      <w:r>
        <w:t xml:space="preserve">per ISO 10993-1:2018 Table A.1 and on that basis</w:t>
      </w:r>
      <w:r>
        <w:t xml:space="preserve"> </w:t>
      </w:r>
      <w:r>
        <w:rPr>
          <w:b/>
          <w:bCs/>
        </w:rPr>
        <w:t xml:space="preserve">excludes</w:t>
      </w:r>
      <w:r>
        <w:t xml:space="preserve"> </w:t>
      </w:r>
      <w:r>
        <w:t xml:space="preserve">subchronic systemic toxicity (ISO 10993-11), implantation testing (ISO 10993-6), genotoxicity (ISO 10993-3), and chronic systemic toxicity.</w:t>
      </w:r>
      <w:r>
        <w:t xml:space="preserve"> </w:t>
      </w:r>
      <w:r>
        <w:rPr>
          <w:i/>
          <w:iCs/>
        </w:rPr>
        <w:t xml:space="preserve">Testing Plan</w:t>
      </w:r>
      <w:r>
        <w:t xml:space="preserve"> </w:t>
      </w:r>
      <w:r>
        <w:t xml:space="preserve">§§ 2.1, 2.2. The Device Description comparison table likewise lists</w:t>
      </w:r>
      <w:r>
        <w:t xml:space="preserve"> </w:t>
      </w:r>
      <w:r>
        <w:t xml:space="preserve">“</w:t>
      </w:r>
      <w:r>
        <w:t xml:space="preserve">Biocompatibility: … contact duration classified as</w:t>
      </w:r>
      <w:r>
        <w:t xml:space="preserve"> </w:t>
      </w:r>
      <w:r>
        <w:t xml:space="preserve">‘</w:t>
      </w:r>
      <w:r>
        <w:t xml:space="preserve">limited</w:t>
      </w:r>
      <w:r>
        <w:t xml:space="preserve">’</w:t>
      </w:r>
      <w:r>
        <w:t xml:space="preserve"> </w:t>
      </w:r>
      <w:r>
        <w:t xml:space="preserve">(&lt;24 hours).</w:t>
      </w:r>
      <w:r>
        <w:t xml:space="preserve">”</w:t>
      </w:r>
      <w:r>
        <w:t xml:space="preserve"> </w:t>
      </w:r>
      <w:r>
        <w:rPr>
          <w:i/>
          <w:iCs/>
        </w:rPr>
        <w:t xml:space="preserve">Device Description</w:t>
      </w:r>
      <w:r>
        <w:t xml:space="preserve"> </w:t>
      </w:r>
      <w:r>
        <w:t xml:space="preserve">§ 4.2. However, the Draft IFU expressly states the catheter</w:t>
      </w:r>
      <w:r>
        <w:t xml:space="preserve"> </w:t>
      </w:r>
      <w:r>
        <w:t xml:space="preserve">“</w:t>
      </w:r>
      <w:r>
        <w:t xml:space="preserve">may remain in situ for up to 72 hours for extended infusion therapy.</w:t>
      </w:r>
      <w:r>
        <w:t xml:space="preserve">”</w:t>
      </w:r>
      <w:r>
        <w:t xml:space="preserve"> </w:t>
      </w:r>
      <w:r>
        <w:rPr>
          <w:i/>
          <w:iCs/>
        </w:rPr>
        <w:t xml:space="preserve">Draft IFU</w:t>
      </w:r>
      <w:r>
        <w:t xml:space="preserve"> </w:t>
      </w:r>
      <w:r>
        <w:t xml:space="preserve">§§ 1, 8.4. The Clinical Synopsis likewise provides for leaving the catheter in situ</w:t>
      </w:r>
      <w:r>
        <w:t xml:space="preserve"> </w:t>
      </w:r>
      <w:r>
        <w:t xml:space="preserve">“</w:t>
      </w:r>
      <w:r>
        <w:t xml:space="preserve">for up to 72 hours</w:t>
      </w:r>
      <w:r>
        <w:t xml:space="preserve">”</w:t>
      </w:r>
      <w:r>
        <w:t xml:space="preserve"> </w:t>
      </w:r>
      <w:r>
        <w:t xml:space="preserve">for extended thrombolytic infusion.</w:t>
      </w:r>
      <w:r>
        <w:t xml:space="preserve"> </w:t>
      </w:r>
      <w:r>
        <w:rPr>
          <w:i/>
          <w:iCs/>
        </w:rPr>
        <w:t xml:space="preserve">Clinical Synopsis</w:t>
      </w:r>
      <w:r>
        <w:t xml:space="preserve"> </w:t>
      </w:r>
      <w:r>
        <w:t xml:space="preserve">§ 8.2, step 8.</w:t>
      </w:r>
    </w:p>
    <w:p>
      <w:pPr>
        <w:pStyle w:val="BodyText"/>
      </w:pPr>
      <w:r>
        <w:rPr>
          <w:b/>
          <w:bCs/>
        </w:rPr>
        <w:t xml:space="preserve">Why it matters.</w:t>
      </w:r>
      <w:r>
        <w:t xml:space="preserve"> </w:t>
      </w:r>
      <w:r>
        <w:t xml:space="preserve">Under ISO 10993-1:2018,</w:t>
      </w:r>
      <w:r>
        <w:t xml:space="preserve"> </w:t>
      </w:r>
      <w:r>
        <w:t xml:space="preserve">“</w:t>
      </w:r>
      <w:r>
        <w:t xml:space="preserve">limited</w:t>
      </w:r>
      <w:r>
        <w:t xml:space="preserve">”</w:t>
      </w:r>
      <w:r>
        <w:t xml:space="preserve"> </w:t>
      </w:r>
      <w:r>
        <w:t xml:space="preserve">contact is &lt;24 hours;</w:t>
      </w:r>
      <w:r>
        <w:t xml:space="preserve"> </w:t>
      </w:r>
      <w:r>
        <w:t xml:space="preserve">“</w:t>
      </w:r>
      <w:r>
        <w:t xml:space="preserve">prolonged</w:t>
      </w:r>
      <w:r>
        <w:t xml:space="preserve">”</w:t>
      </w:r>
      <w:r>
        <w:t xml:space="preserve"> </w:t>
      </w:r>
      <w:r>
        <w:t xml:space="preserve">contact is &gt;24 hours to 30 days. A device labeled and clinically used for up to 72-hour indwell is a</w:t>
      </w:r>
      <w:r>
        <w:t xml:space="preserve"> </w:t>
      </w:r>
      <w:r>
        <w:rPr>
          <w:b/>
          <w:bCs/>
        </w:rPr>
        <w:t xml:space="preserve">prolonged-contact</w:t>
      </w:r>
      <w:r>
        <w:t xml:space="preserve"> </w:t>
      </w:r>
      <w:r>
        <w:t xml:space="preserve">device, not limited-contact. The excluded endpoints (subchronic toxicity, implantation effects, and — depending on the risk analysis — genotoxicity) are indicated by Table A.1 for prolonged blood contact. Testing the device only to limited-contact endpoints while labeling it for 72-hour indwell creates a safety gap and an internal inconsistency that FDA will identify immediately. This also has infection-risk implications (see Issue 20).</w:t>
      </w:r>
    </w:p>
    <w:p>
      <w:pPr>
        <w:pStyle w:val="BodyText"/>
      </w:pPr>
      <w:r>
        <w:rPr>
          <w:b/>
          <w:bCs/>
        </w:rPr>
        <w:t xml:space="preserve">Recommendation.</w:t>
      </w:r>
      <w:r>
        <w:t xml:space="preserve"> </w:t>
      </w:r>
      <w:r>
        <w:t xml:space="preserve">Reconcile the contact duration before finalizing the testing plan. Either (a) remove the 72-hour extended-infusion claim from the IFU and clinical protocol and limit labeled indwell to &lt;24 hours (preserving the limited-contact classification and the current test battery), or (b) reclassify as prolonged contact and add the required ISO 10993 endpoints (subchronic systemic toxicity per ISO 10993-11; implantation effects per ISO 10993-6; and a documented genotoxicity risk decision per ISO 10993-3). Option (b) adds time and cost to the critical-path biocompatibility track (currently 12–16 weeks). This decision should be made deliberately and reflected consistently across the IFU, clinical synopsis, device description, and testing plan.</w:t>
      </w:r>
    </w:p>
    <w:bookmarkEnd w:id="28"/>
    <w:bookmarkStart w:id="29" w:name="X81e5f286ae49df9d75a616dd8d9d70c94f6eb26"/>
    <w:p>
      <w:pPr>
        <w:pStyle w:val="Heading3"/>
      </w:pPr>
      <w:r>
        <w:t xml:space="preserve">Issue 6 — The impeller fatigue test, as written, equates to roughly 2.5 seconds of operation</w:t>
      </w:r>
    </w:p>
    <w:p>
      <w:pPr>
        <w:pStyle w:val="FirstParagraph"/>
      </w:pPr>
      <w:r>
        <w:rPr>
          <w:b/>
          <w:bCs/>
        </w:rPr>
        <w:t xml:space="preserve">Identification.</w:t>
      </w:r>
      <w:r>
        <w:t xml:space="preserve"> </w:t>
      </w:r>
      <w:r>
        <w:t xml:space="preserve">The Device Description states the</w:t>
      </w:r>
      <w:r>
        <w:t xml:space="preserve"> </w:t>
      </w:r>
      <w:r>
        <w:t xml:space="preserve">“</w:t>
      </w:r>
      <w:r>
        <w:t xml:space="preserve">impeller fatigue testing specification … has been established at 500 complete activation cycles.</w:t>
      </w:r>
      <w:r>
        <w:t xml:space="preserve">”</w:t>
      </w:r>
      <w:r>
        <w:t xml:space="preserve"> </w:t>
      </w:r>
      <w:r>
        <w:rPr>
          <w:i/>
          <w:iCs/>
        </w:rPr>
        <w:t xml:space="preserve">Device Description</w:t>
      </w:r>
      <w:r>
        <w:t xml:space="preserve"> </w:t>
      </w:r>
      <w:r>
        <w:t xml:space="preserve">§ 2.2. The Testing Plan defines the fatigue test as follows:</w:t>
      </w:r>
      <w:r>
        <w:t xml:space="preserve"> </w:t>
      </w:r>
      <w:r>
        <w:t xml:space="preserve">“</w:t>
      </w:r>
      <w:r>
        <w:t xml:space="preserve">One rotational cycle is defined as one complete revolution (360°) of the impeller. The impeller will be operated continuously at 12,000 RPM until 500 complete rotational cycles have been recorded.</w:t>
      </w:r>
      <w:r>
        <w:t xml:space="preserve">”</w:t>
      </w:r>
      <w:r>
        <w:t xml:space="preserve"> </w:t>
      </w:r>
      <w:r>
        <w:rPr>
          <w:i/>
          <w:iCs/>
        </w:rPr>
        <w:t xml:space="preserve">Testing Plan</w:t>
      </w:r>
      <w:r>
        <w:t xml:space="preserve"> </w:t>
      </w:r>
      <w:r>
        <w:t xml:space="preserve">§ 3.3 (Impeller Fatigue Testing). At 12,000 RPM (200 revolutions per second), 500 revolutions are completed in</w:t>
      </w:r>
      <w:r>
        <w:t xml:space="preserve"> </w:t>
      </w:r>
      <w:r>
        <w:rPr>
          <w:b/>
          <w:bCs/>
        </w:rPr>
        <w:t xml:space="preserve">approximately 2.5 seconds</w:t>
      </w:r>
      <w:r>
        <w:t xml:space="preserve">.</w:t>
      </w:r>
    </w:p>
    <w:p>
      <w:pPr>
        <w:pStyle w:val="BodyText"/>
      </w:pPr>
      <w:r>
        <w:rPr>
          <w:b/>
          <w:bCs/>
        </w:rPr>
        <w:t xml:space="preserve">Why it matters.</w:t>
      </w:r>
      <w:r>
        <w:t xml:space="preserve"> </w:t>
      </w:r>
      <w:r>
        <w:t xml:space="preserve">A 2.5-second endurance test cannot demonstrate fatigue durability for a rotating impeller that, in a single clinical procedure, may operate for several minutes (i.e., tens of thousands to hundreds of thousands of revolutions). The test as specified is not a meaningful fatigue test. For comparison, the predicate’s fatigue testing included</w:t>
      </w:r>
      <w:r>
        <w:t xml:space="preserve"> </w:t>
      </w:r>
      <w:r>
        <w:t xml:space="preserve">“</w:t>
      </w:r>
      <w:r>
        <w:t xml:space="preserve">flexural fatigue testing at the catheter body (50,000 cycles at ±45° deflection).</w:t>
      </w:r>
      <w:r>
        <w:t xml:space="preserve">”</w:t>
      </w:r>
      <w:r>
        <w:t xml:space="preserve"> </w:t>
      </w:r>
      <w:r>
        <w:rPr>
          <w:i/>
          <w:iCs/>
        </w:rPr>
        <w:t xml:space="preserve">510(k) Summary</w:t>
      </w:r>
      <w:r>
        <w:t xml:space="preserve"> </w:t>
      </w:r>
      <w:r>
        <w:t xml:space="preserve">§ 5.2. There is also an internal inconsistency: the Device Description refers to</w:t>
      </w:r>
      <w:r>
        <w:t xml:space="preserve"> </w:t>
      </w:r>
      <w:r>
        <w:t xml:space="preserve">“</w:t>
      </w:r>
      <w:r>
        <w:t xml:space="preserve">500 complete</w:t>
      </w:r>
      <w:r>
        <w:t xml:space="preserve"> </w:t>
      </w:r>
      <w:r>
        <w:rPr>
          <w:b/>
          <w:bCs/>
        </w:rPr>
        <w:t xml:space="preserve">activation</w:t>
      </w:r>
      <w:r>
        <w:t xml:space="preserve"> </w:t>
      </w:r>
      <w:r>
        <w:t xml:space="preserve">cycles</w:t>
      </w:r>
      <w:r>
        <w:t xml:space="preserve">”</w:t>
      </w:r>
      <w:r>
        <w:t xml:space="preserve"> </w:t>
      </w:r>
      <w:r>
        <w:t xml:space="preserve">(suggesting 500 on/off procedure simulations), while the Testing Plan defines a</w:t>
      </w:r>
      <w:r>
        <w:t xml:space="preserve"> </w:t>
      </w:r>
      <w:r>
        <w:t xml:space="preserve">“</w:t>
      </w:r>
      <w:r>
        <w:t xml:space="preserve">cycle</w:t>
      </w:r>
      <w:r>
        <w:t xml:space="preserve">”</w:t>
      </w:r>
      <w:r>
        <w:t xml:space="preserve"> </w:t>
      </w:r>
      <w:r>
        <w:t xml:space="preserve">as one 360°</w:t>
      </w:r>
      <w:r>
        <w:t xml:space="preserve"> </w:t>
      </w:r>
      <w:r>
        <w:rPr>
          <w:b/>
          <w:bCs/>
        </w:rPr>
        <w:t xml:space="preserve">revolution</w:t>
      </w:r>
      <w:r>
        <w:t xml:space="preserve"> </w:t>
      </w:r>
      <w:r>
        <w:t xml:space="preserve">— these are different things, and the Testing Plan’s definition renders the test trivial. FDA will not accept a 2.5-second fatigue characterization for a 12,000 RPM rotating component.</w:t>
      </w:r>
    </w:p>
    <w:p>
      <w:pPr>
        <w:pStyle w:val="BodyText"/>
      </w:pPr>
      <w:r>
        <w:rPr>
          <w:b/>
          <w:bCs/>
        </w:rPr>
        <w:t xml:space="preserve">Recommendation.</w:t>
      </w:r>
      <w:r>
        <w:t xml:space="preserve"> </w:t>
      </w:r>
      <w:r>
        <w:t xml:space="preserve">Redefine the fatigue test. The</w:t>
      </w:r>
      <w:r>
        <w:t xml:space="preserve"> </w:t>
      </w:r>
      <w:r>
        <w:t xml:space="preserve">“</w:t>
      </w:r>
      <w:r>
        <w:t xml:space="preserve">cycle</w:t>
      </w:r>
      <w:r>
        <w:t xml:space="preserve">”</w:t>
      </w:r>
      <w:r>
        <w:t xml:space="preserve"> </w:t>
      </w:r>
      <w:r>
        <w:t xml:space="preserve">should be defined as a clinically meaningful unit — e.g., a simulated procedure cycle (impeller operated at max speed for a representative procedure duration, repeated N times), or a time-based endurance test (continuous operation at 12,000 RPM for a worst-case cumulative duration with margin), or a revolution-based test with a count representative of worst-case cumulative clinical use (orders of magnitude higher than 500). Pose the revised protocol to FDA in the Pre-Submission (Testing Plan Question 2 already invites feedback on the fatigue protocol — use it). Clarify the</w:t>
      </w:r>
      <w:r>
        <w:t xml:space="preserve"> </w:t>
      </w:r>
      <w:r>
        <w:t xml:space="preserve">“</w:t>
      </w:r>
      <w:r>
        <w:t xml:space="preserve">activation cycle</w:t>
      </w:r>
      <w:r>
        <w:t xml:space="preserve">”</w:t>
      </w:r>
      <w:r>
        <w:t xml:space="preserve"> </w:t>
      </w:r>
      <w:r>
        <w:t xml:space="preserve">vs. </w:t>
      </w:r>
      <w:r>
        <w:t xml:space="preserve">“</w:t>
      </w:r>
      <w:r>
        <w:t xml:space="preserve">revolution</w:t>
      </w:r>
      <w:r>
        <w:t xml:space="preserve">”</w:t>
      </w:r>
      <w:r>
        <w:t xml:space="preserve"> </w:t>
      </w:r>
      <w:r>
        <w:t xml:space="preserve">terminology so the specification is unambiguous.</w:t>
      </w:r>
    </w:p>
    <w:bookmarkEnd w:id="29"/>
    <w:bookmarkStart w:id="30" w:name="X3d861d3392e9ca236125e54b6243aefd86b27dc"/>
    <w:p>
      <w:pPr>
        <w:pStyle w:val="Heading3"/>
      </w:pPr>
      <w:r>
        <w:t xml:space="preserve">Issue 7 — The software level of concern (</w:t>
      </w:r>
      <w:r>
        <w:t xml:space="preserve">“</w:t>
      </w:r>
      <w:r>
        <w:t xml:space="preserve">Minor</w:t>
      </w:r>
      <w:r>
        <w:t xml:space="preserve">”</w:t>
      </w:r>
      <w:r>
        <w:t xml:space="preserve">) is lower than the predicate’s (</w:t>
      </w:r>
      <w:r>
        <w:t xml:space="preserve">“</w:t>
      </w:r>
      <w:r>
        <w:t xml:space="preserve">Moderate</w:t>
      </w:r>
      <w:r>
        <w:t xml:space="preserve">”</w:t>
      </w:r>
      <w:r>
        <w:t xml:space="preserve">) despite greater software complexity</w:t>
      </w:r>
    </w:p>
    <w:p>
      <w:pPr>
        <w:pStyle w:val="FirstParagraph"/>
      </w:pPr>
      <w:r>
        <w:rPr>
          <w:b/>
          <w:bCs/>
        </w:rPr>
        <w:t xml:space="preserve">Identification.</w:t>
      </w:r>
      <w:r>
        <w:t xml:space="preserve"> </w:t>
      </w:r>
      <w:r>
        <w:t xml:space="preserve">The console firmware is classified as</w:t>
      </w:r>
      <w:r>
        <w:t xml:space="preserve"> </w:t>
      </w:r>
      <w:r>
        <w:rPr>
          <w:b/>
          <w:bCs/>
        </w:rPr>
        <w:t xml:space="preserve">“</w:t>
      </w:r>
      <w:r>
        <w:rPr>
          <w:b/>
          <w:bCs/>
        </w:rPr>
        <w:t xml:space="preserve">Minor</w:t>
      </w:r>
      <w:r>
        <w:rPr>
          <w:b/>
          <w:bCs/>
        </w:rPr>
        <w:t xml:space="preserve">”</w:t>
      </w:r>
      <w:r>
        <w:t xml:space="preserve"> </w:t>
      </w:r>
      <w:r>
        <w:t xml:space="preserve">level of concern.</w:t>
      </w:r>
      <w:r>
        <w:t xml:space="preserve"> </w:t>
      </w:r>
      <w:r>
        <w:rPr>
          <w:i/>
          <w:iCs/>
        </w:rPr>
        <w:t xml:space="preserve">Device Description</w:t>
      </w:r>
      <w:r>
        <w:t xml:space="preserve"> </w:t>
      </w:r>
      <w:r>
        <w:t xml:space="preserve">§ 2.3;</w:t>
      </w:r>
      <w:r>
        <w:t xml:space="preserve"> </w:t>
      </w:r>
      <w:r>
        <w:rPr>
          <w:i/>
          <w:iCs/>
        </w:rPr>
        <w:t xml:space="preserve">Testing Plan</w:t>
      </w:r>
      <w:r>
        <w:t xml:space="preserve"> </w:t>
      </w:r>
      <w:r>
        <w:t xml:space="preserve">§ 5.2. The rationale is that independent hardware safety mechanisms (a mechanical over-speed governor and a hardware pressure relief valve) mitigate software-failure risk, so</w:t>
      </w:r>
      <w:r>
        <w:t xml:space="preserve"> </w:t>
      </w:r>
      <w:r>
        <w:t xml:space="preserve">“</w:t>
      </w:r>
      <w:r>
        <w:t xml:space="preserve">a software failure would not be expected to result in death or serious injury.</w:t>
      </w:r>
      <w:r>
        <w:t xml:space="preserve">”</w:t>
      </w:r>
      <w:r>
        <w:t xml:space="preserve"> </w:t>
      </w:r>
      <w:r>
        <w:rPr>
          <w:i/>
          <w:iCs/>
        </w:rPr>
        <w:t xml:space="preserve">Testing Plan</w:t>
      </w:r>
      <w:r>
        <w:t xml:space="preserve"> </w:t>
      </w:r>
      <w:r>
        <w:t xml:space="preserve">§ 5.2. The predicate ThrombEx 200 — whose software merely manages aspiration-pump activation and saline flow rate — was classified as</w:t>
      </w:r>
      <w:r>
        <w:t xml:space="preserve"> </w:t>
      </w:r>
      <w:r>
        <w:rPr>
          <w:b/>
          <w:bCs/>
        </w:rPr>
        <w:t xml:space="preserve">“</w:t>
      </w:r>
      <w:r>
        <w:rPr>
          <w:b/>
          <w:bCs/>
        </w:rPr>
        <w:t xml:space="preserve">Moderate.</w:t>
      </w:r>
      <w:r>
        <w:rPr>
          <w:b/>
          <w:bCs/>
        </w:rPr>
        <w:t xml:space="preserve">”</w:t>
      </w:r>
      <w:r>
        <w:t xml:space="preserve"> </w:t>
      </w:r>
      <w:r>
        <w:rPr>
          <w:i/>
          <w:iCs/>
        </w:rPr>
        <w:t xml:space="preserve">510(k) Summary</w:t>
      </w:r>
      <w:r>
        <w:t xml:space="preserve"> </w:t>
      </w:r>
      <w:r>
        <w:t xml:space="preserve">§ 5.6. The VascuClear software is more complex than the predicate’s: it provides closed-loop variable-speed motor control (2,000–12,000 RPM), closed-loop aspiration control (to −650 mmHg), a touchscreen UI, safety monitoring (over-speed, over-pressure, catheter-disconnect), and data logging.</w:t>
      </w:r>
      <w:r>
        <w:t xml:space="preserve"> </w:t>
      </w:r>
      <w:r>
        <w:rPr>
          <w:i/>
          <w:iCs/>
        </w:rPr>
        <w:t xml:space="preserve">Testing Plan</w:t>
      </w:r>
      <w:r>
        <w:t xml:space="preserve"> </w:t>
      </w:r>
      <w:r>
        <w:t xml:space="preserve">§ 5.1. Because of the</w:t>
      </w:r>
      <w:r>
        <w:t xml:space="preserve"> </w:t>
      </w:r>
      <w:r>
        <w:t xml:space="preserve">“</w:t>
      </w:r>
      <w:r>
        <w:t xml:space="preserve">Minor</w:t>
      </w:r>
      <w:r>
        <w:t xml:space="preserve">”</w:t>
      </w:r>
      <w:r>
        <w:t xml:space="preserve"> </w:t>
      </w:r>
      <w:r>
        <w:t xml:space="preserve">classification, the Testing Plan proposes to</w:t>
      </w:r>
      <w:r>
        <w:t xml:space="preserve"> </w:t>
      </w:r>
      <w:r>
        <w:rPr>
          <w:b/>
          <w:bCs/>
        </w:rPr>
        <w:t xml:space="preserve">withhold</w:t>
      </w:r>
      <w:r>
        <w:t xml:space="preserve"> </w:t>
      </w:r>
      <w:r>
        <w:t xml:space="preserve">hazard analysis, detailed architecture, and unresolved-anomaly documentation from the 510(k).</w:t>
      </w:r>
      <w:r>
        <w:t xml:space="preserve"> </w:t>
      </w:r>
      <w:r>
        <w:rPr>
          <w:i/>
          <w:iCs/>
        </w:rPr>
        <w:t xml:space="preserve">Testing Plan</w:t>
      </w:r>
      <w:r>
        <w:t xml:space="preserve"> </w:t>
      </w:r>
      <w:r>
        <w:t xml:space="preserve">§ 5.3.</w:t>
      </w:r>
    </w:p>
    <w:p>
      <w:pPr>
        <w:pStyle w:val="BodyText"/>
      </w:pPr>
      <w:r>
        <w:rPr>
          <w:b/>
          <w:bCs/>
        </w:rPr>
        <w:t xml:space="preserve">Why it matters.</w:t>
      </w:r>
      <w:r>
        <w:t xml:space="preserve"> </w:t>
      </w:r>
      <w:r>
        <w:t xml:space="preserve">It is difficult to defend a</w:t>
      </w:r>
      <w:r>
        <w:t xml:space="preserve"> </w:t>
      </w:r>
      <w:r>
        <w:rPr>
          <w:i/>
          <w:iCs/>
        </w:rPr>
        <w:t xml:space="preserve">lower</w:t>
      </w:r>
      <w:r>
        <w:t xml:space="preserve"> </w:t>
      </w:r>
      <w:r>
        <w:t xml:space="preserve">level of concern for software that is</w:t>
      </w:r>
      <w:r>
        <w:t xml:space="preserve"> </w:t>
      </w:r>
      <w:r>
        <w:rPr>
          <w:i/>
          <w:iCs/>
        </w:rPr>
        <w:t xml:space="preserve">more</w:t>
      </w:r>
      <w:r>
        <w:t xml:space="preserve"> </w:t>
      </w:r>
      <w:r>
        <w:t xml:space="preserve">complex and controls</w:t>
      </w:r>
      <w:r>
        <w:t xml:space="preserve"> </w:t>
      </w:r>
      <w:r>
        <w:rPr>
          <w:i/>
          <w:iCs/>
        </w:rPr>
        <w:t xml:space="preserve">more</w:t>
      </w:r>
      <w:r>
        <w:t xml:space="preserve"> </w:t>
      </w:r>
      <w:r>
        <w:t xml:space="preserve">safety-critical functions (a 12,000 RPM impeller that macerates thrombus) than the predicate’s software, which received a</w:t>
      </w:r>
      <w:r>
        <w:t xml:space="preserve"> </w:t>
      </w:r>
      <w:r>
        <w:t xml:space="preserve">“</w:t>
      </w:r>
      <w:r>
        <w:t xml:space="preserve">Moderate</w:t>
      </w:r>
      <w:r>
        <w:t xml:space="preserve">”</w:t>
      </w:r>
      <w:r>
        <w:t xml:space="preserve"> </w:t>
      </w:r>
      <w:r>
        <w:t xml:space="preserve">designation. A software failure that causes impeller runaway, failure to stop, or operation at an unintended speed could plausibly cause serious injury (vessel perforation, dissection, embolization) before a hardware governor intervenes. The</w:t>
      </w:r>
      <w:r>
        <w:t xml:space="preserve"> </w:t>
      </w:r>
      <w:r>
        <w:t xml:space="preserve">“</w:t>
      </w:r>
      <w:r>
        <w:t xml:space="preserve">Minor</w:t>
      </w:r>
      <w:r>
        <w:t xml:space="preserve">”</w:t>
      </w:r>
      <w:r>
        <w:t xml:space="preserve"> </w:t>
      </w:r>
      <w:r>
        <w:t xml:space="preserve">classification also drives the decision to omit hazard-analysis and architecture documentation from the submission — if the level should be</w:t>
      </w:r>
      <w:r>
        <w:t xml:space="preserve"> </w:t>
      </w:r>
      <w:r>
        <w:t xml:space="preserve">“</w:t>
      </w:r>
      <w:r>
        <w:t xml:space="preserve">Moderate,</w:t>
      </w:r>
      <w:r>
        <w:t xml:space="preserve">”</w:t>
      </w:r>
      <w:r>
        <w:t xml:space="preserve"> </w:t>
      </w:r>
      <w:r>
        <w:t xml:space="preserve">that documentation must be included. Separately, the package relies on the</w:t>
      </w:r>
      <w:r>
        <w:t xml:space="preserve"> </w:t>
      </w:r>
      <w:r>
        <w:rPr>
          <w:b/>
          <w:bCs/>
        </w:rPr>
        <w:t xml:space="preserve">2005</w:t>
      </w:r>
      <w:r>
        <w:t xml:space="preserve"> </w:t>
      </w:r>
      <w:r>
        <w:t xml:space="preserve">FDA software guidance and does not reference IEC 62304, whereas the predicate applied IEC 62304:2006.</w:t>
      </w:r>
      <w:r>
        <w:t xml:space="preserve"> </w:t>
      </w:r>
      <w:r>
        <w:rPr>
          <w:i/>
          <w:iCs/>
        </w:rPr>
        <w:t xml:space="preserve">510(k) Summary</w:t>
      </w:r>
      <w:r>
        <w:t xml:space="preserve"> </w:t>
      </w:r>
      <w:r>
        <w:t xml:space="preserve">§ 5.6;</w:t>
      </w:r>
      <w:r>
        <w:t xml:space="preserve"> </w:t>
      </w:r>
      <w:r>
        <w:rPr>
          <w:i/>
          <w:iCs/>
        </w:rPr>
        <w:t xml:space="preserve">Testing Plan</w:t>
      </w:r>
      <w:r>
        <w:t xml:space="preserve"> </w:t>
      </w:r>
      <w:r>
        <w:t xml:space="preserve">§ 5 (citing only the 2005 guidance).</w:t>
      </w:r>
    </w:p>
    <w:p>
      <w:pPr>
        <w:pStyle w:val="BodyText"/>
      </w:pPr>
      <w:r>
        <w:rPr>
          <w:b/>
          <w:bCs/>
        </w:rPr>
        <w:t xml:space="preserve">Recommendation.</w:t>
      </w:r>
      <w:r>
        <w:t xml:space="preserve"> </w:t>
      </w:r>
      <w:r>
        <w:t xml:space="preserve">(a) Reassess the level of concern;</w:t>
      </w:r>
      <w:r>
        <w:t xml:space="preserve"> </w:t>
      </w:r>
      <w:r>
        <w:t xml:space="preserve">“</w:t>
      </w:r>
      <w:r>
        <w:t xml:space="preserve">Moderate</w:t>
      </w:r>
      <w:r>
        <w:t xml:space="preserve">”</w:t>
      </w:r>
      <w:r>
        <w:t xml:space="preserve"> </w:t>
      </w:r>
      <w:r>
        <w:t xml:space="preserve">is more defensible and consistent with the predicate, and it is the safer classification to take into a Pre-Submission. (b) If</w:t>
      </w:r>
      <w:r>
        <w:t xml:space="preserve"> </w:t>
      </w:r>
      <w:r>
        <w:t xml:space="preserve">“</w:t>
      </w:r>
      <w:r>
        <w:t xml:space="preserve">Moderate,</w:t>
      </w:r>
      <w:r>
        <w:t xml:space="preserve">”</w:t>
      </w:r>
      <w:r>
        <w:t xml:space="preserve"> </w:t>
      </w:r>
      <w:r>
        <w:t xml:space="preserve">plan to include hazard analysis, software architecture, and anomaly documentation in the 510(k). (c) Update the software documentation framework to reference FDA’s current guidance (</w:t>
      </w:r>
      <w:r>
        <w:rPr>
          <w:i/>
          <w:iCs/>
        </w:rPr>
        <w:t xml:space="preserve">Content of Premarket Submissions for Device Software Functions</w:t>
      </w:r>
      <w:r>
        <w:t xml:space="preserve">, 2023, which supersedes the 2005 guidance) and IEC 62304, and address FDA’s 2023 cybersecurity guidance (see Issue 23). (d) Pose the level-of-concern question to FDA (Testing Plan Question 4 already invites this — keep it, but frame it around the predicate’s</w:t>
      </w:r>
      <w:r>
        <w:t xml:space="preserve"> </w:t>
      </w:r>
      <w:r>
        <w:t xml:space="preserve">“</w:t>
      </w:r>
      <w:r>
        <w:t xml:space="preserve">Moderate</w:t>
      </w:r>
      <w:r>
        <w:t xml:space="preserve">”</w:t>
      </w:r>
      <w:r>
        <w:t xml:space="preserve"> </w:t>
      </w:r>
      <w:r>
        <w:t xml:space="preserve">precedent).</w:t>
      </w:r>
    </w:p>
    <w:bookmarkEnd w:id="30"/>
    <w:bookmarkStart w:id="31" w:name="X0ea7f2c7212fde60bdd565ac7a03250a60882b9"/>
    <w:p>
      <w:pPr>
        <w:pStyle w:val="Heading3"/>
      </w:pPr>
      <w:r>
        <w:t xml:space="preserve">Issue 8 — Electromagnetic compatibility (EMC) testing is omitted</w:t>
      </w:r>
    </w:p>
    <w:p>
      <w:pPr>
        <w:pStyle w:val="FirstParagraph"/>
      </w:pPr>
      <w:r>
        <w:rPr>
          <w:b/>
          <w:bCs/>
        </w:rPr>
        <w:t xml:space="preserve">Identification.</w:t>
      </w:r>
      <w:r>
        <w:t xml:space="preserve"> </w:t>
      </w:r>
      <w:r>
        <w:t xml:space="preserve">The electrical-safety testing plan addresses IEC 60601-1:2012 only.</w:t>
      </w:r>
      <w:r>
        <w:t xml:space="preserve"> </w:t>
      </w:r>
      <w:r>
        <w:rPr>
          <w:i/>
          <w:iCs/>
        </w:rPr>
        <w:t xml:space="preserve">Testing Plan</w:t>
      </w:r>
      <w:r>
        <w:t xml:space="preserve"> </w:t>
      </w:r>
      <w:r>
        <w:t xml:space="preserve">§ 4. There is no IEC 60601-1-2 EMC testing. The predicate’s 510(k) Summary shows the predicate performed a full IEC 60601-1-2:2014 EMC battery (radiated/conducted emissions; ESD, radiated RF, EFT/burst, surge, conducted RF, power-frequency magnetic-field, and voltage-dip immunity).</w:t>
      </w:r>
      <w:r>
        <w:t xml:space="preserve"> </w:t>
      </w:r>
      <w:r>
        <w:rPr>
          <w:i/>
          <w:iCs/>
        </w:rPr>
        <w:t xml:space="preserve">510(k) Summary</w:t>
      </w:r>
      <w:r>
        <w:t xml:space="preserve"> </w:t>
      </w:r>
      <w:r>
        <w:t xml:space="preserve">§ 5.3.</w:t>
      </w:r>
    </w:p>
    <w:p>
      <w:pPr>
        <w:pStyle w:val="BodyText"/>
      </w:pPr>
      <w:r>
        <w:rPr>
          <w:b/>
          <w:bCs/>
        </w:rPr>
        <w:t xml:space="preserve">Why it matters.</w:t>
      </w:r>
      <w:r>
        <w:t xml:space="preserve"> </w:t>
      </w:r>
      <w:r>
        <w:t xml:space="preserve">The VascuClear Console is an AC-powered electromechanical unit with a variable-frequency motor drive, a touchscreen, and embedded electronics; it both generates and is susceptible to electromagnetic disturbances. IEC 60601-1-2 EMC testing is a standard expectation for medical electrical equipment, and FDA routinely requires it. Its omission is a clear gap relative to the predicate and to standard practice.</w:t>
      </w:r>
    </w:p>
    <w:p>
      <w:pPr>
        <w:pStyle w:val="BodyText"/>
      </w:pPr>
      <w:r>
        <w:rPr>
          <w:b/>
          <w:bCs/>
        </w:rPr>
        <w:t xml:space="preserve">Recommendation.</w:t>
      </w:r>
      <w:r>
        <w:t xml:space="preserve"> </w:t>
      </w:r>
      <w:r>
        <w:t xml:space="preserve">Add IEC 60601-1-2 EMC testing (current edition) to the electrical-safety testing plan, to be performed by the NRTL (Pinnacle). Update Testing Plan § 4 and the summary table in § 9.1 accordingly.</w:t>
      </w:r>
    </w:p>
    <w:bookmarkEnd w:id="31"/>
    <w:bookmarkStart w:id="32" w:name="X70098b370a92e7d65f7afb53db661f672752076"/>
    <w:p>
      <w:pPr>
        <w:pStyle w:val="Heading3"/>
      </w:pPr>
      <w:r>
        <w:t xml:space="preserve">Issue 9 — The indications-for-use drug-delivery claim drives the combination-product risk and requires a deliberate strategic decision</w:t>
      </w:r>
    </w:p>
    <w:p>
      <w:pPr>
        <w:pStyle w:val="FirstParagraph"/>
      </w:pPr>
      <w:r>
        <w:rPr>
          <w:b/>
          <w:bCs/>
        </w:rPr>
        <w:t xml:space="preserve">Identification.</w:t>
      </w:r>
      <w:r>
        <w:t xml:space="preserve"> </w:t>
      </w:r>
      <w:r>
        <w:t xml:space="preserve">The proposed indication states the Device</w:t>
      </w:r>
      <w:r>
        <w:t xml:space="preserve"> </w:t>
      </w:r>
      <w:r>
        <w:t xml:space="preserve">“</w:t>
      </w:r>
      <w:r>
        <w:t xml:space="preserve">is indicated for the percutaneous removal of thrombus</w:t>
      </w:r>
      <w:r>
        <w:t xml:space="preserve"> </w:t>
      </w:r>
      <w:r>
        <w:rPr>
          <w:b/>
          <w:bCs/>
        </w:rPr>
        <w:t xml:space="preserve">and simultaneous local delivery of physician-specified thrombolytic agents</w:t>
      </w:r>
      <w:r>
        <w:t xml:space="preserve"> </w:t>
      </w:r>
      <w:r>
        <w:t xml:space="preserve">in adult patients with acute deep vein thrombosis (symptom onset ≤14 days) of the iliofemoral venous segment.</w:t>
      </w:r>
      <w:r>
        <w:t xml:space="preserve">”</w:t>
      </w:r>
      <w:r>
        <w:t xml:space="preserve"> </w:t>
      </w:r>
      <w:r>
        <w:rPr>
          <w:i/>
          <w:iCs/>
        </w:rPr>
        <w:t xml:space="preserve">Cover Letter</w:t>
      </w:r>
      <w:r>
        <w:t xml:space="preserve"> </w:t>
      </w:r>
      <w:r>
        <w:t xml:space="preserve">§ IV;</w:t>
      </w:r>
      <w:r>
        <w:t xml:space="preserve"> </w:t>
      </w:r>
      <w:r>
        <w:rPr>
          <w:i/>
          <w:iCs/>
        </w:rPr>
        <w:t xml:space="preserve">Device Description</w:t>
      </w:r>
      <w:r>
        <w:t xml:space="preserve"> </w:t>
      </w:r>
      <w:r>
        <w:t xml:space="preserve">§ 2.4;</w:t>
      </w:r>
      <w:r>
        <w:t xml:space="preserve"> </w:t>
      </w:r>
      <w:r>
        <w:rPr>
          <w:i/>
          <w:iCs/>
        </w:rPr>
        <w:t xml:space="preserve">Draft IFU</w:t>
      </w:r>
      <w:r>
        <w:t xml:space="preserve"> </w:t>
      </w:r>
      <w:r>
        <w:t xml:space="preserve">§ 2. Dr. Marsh suggested in her May 9 email rewording the indication to make mechanical thrombectomy the primary indication and describing drug delivery as a</w:t>
      </w:r>
      <w:r>
        <w:t xml:space="preserve"> </w:t>
      </w:r>
      <w:r>
        <w:t xml:space="preserve">“</w:t>
      </w:r>
      <w:r>
        <w:t xml:space="preserve">feature</w:t>
      </w:r>
      <w:r>
        <w:t xml:space="preserve">”</w:t>
      </w:r>
      <w:r>
        <w:t xml:space="preserve"> </w:t>
      </w:r>
      <w:r>
        <w:t xml:space="preserve">in the device description rather than a co-primary therapeutic function. The package as filed still presents drug delivery as a co-primary indicated function.</w:t>
      </w:r>
    </w:p>
    <w:p>
      <w:pPr>
        <w:pStyle w:val="BodyText"/>
      </w:pPr>
      <w:r>
        <w:rPr>
          <w:b/>
          <w:bCs/>
        </w:rPr>
        <w:t xml:space="preserve">Why it matters.</w:t>
      </w:r>
      <w:r>
        <w:t xml:space="preserve"> </w:t>
      </w:r>
      <w:r>
        <w:t xml:space="preserve">The indication language is the single most important driver of the combination-product analysis (Issue 1) and of the</w:t>
      </w:r>
      <w:r>
        <w:t xml:space="preserve"> </w:t>
      </w:r>
      <w:r>
        <w:t xml:space="preserve">“</w:t>
      </w:r>
      <w:r>
        <w:t xml:space="preserve">same intended use</w:t>
      </w:r>
      <w:r>
        <w:t xml:space="preserve">”</w:t>
      </w:r>
      <w:r>
        <w:t xml:space="preserve"> </w:t>
      </w:r>
      <w:r>
        <w:t xml:space="preserve">prong of substantial equivalence (Issue 3). There is an inherent tension: keeping drug delivery as a co-primary indicated function (a) supports the Device’s commercial value proposition and the clinical study design, but (b) strengthens the combination-product argument and weakens</w:t>
      </w:r>
      <w:r>
        <w:t xml:space="preserve"> </w:t>
      </w:r>
      <w:r>
        <w:t xml:space="preserve">“</w:t>
      </w:r>
      <w:r>
        <w:t xml:space="preserve">same intended use</w:t>
      </w:r>
      <w:r>
        <w:t xml:space="preserve">”</w:t>
      </w:r>
      <w:r>
        <w:t xml:space="preserve"> </w:t>
      </w:r>
      <w:r>
        <w:t xml:space="preserve">against a predicate with no drug-delivery claim. Conversely, demoting drug delivery to a described feature (a) weakens the combination-product and SE concerns, but (b) creates tension with the IFU’s enumeration of specific compatible agents (</w:t>
      </w:r>
      <w:r>
        <w:rPr>
          <w:i/>
          <w:iCs/>
        </w:rPr>
        <w:t xml:space="preserve">Draft IFU</w:t>
      </w:r>
      <w:r>
        <w:t xml:space="preserve"> </w:t>
      </w:r>
      <w:r>
        <w:t xml:space="preserve">§ 9), the clinical study’s tPA delivery protocol (</w:t>
      </w:r>
      <w:r>
        <w:rPr>
          <w:i/>
          <w:iCs/>
        </w:rPr>
        <w:t xml:space="preserve">Clinical Synopsis</w:t>
      </w:r>
      <w:r>
        <w:t xml:space="preserve"> </w:t>
      </w:r>
      <w:r>
        <w:t xml:space="preserve">§ 8.2), and the Device’s actual design purpose. This is a strategic choice with regulatory consequences, not a drafting tweak, and it should be made consciously and applied consistently across the cover letter, device description, IFU, and clinical synopsis.</w:t>
      </w:r>
    </w:p>
    <w:p>
      <w:pPr>
        <w:pStyle w:val="BodyText"/>
      </w:pPr>
      <w:r>
        <w:rPr>
          <w:b/>
          <w:bCs/>
        </w:rPr>
        <w:t xml:space="preserve">Recommendation.</w:t>
      </w:r>
      <w:r>
        <w:t xml:space="preserve"> </w:t>
      </w:r>
      <w:r>
        <w:t xml:space="preserve">Make a deliberate, documented decision on how drug delivery is positioned in the indication, and apply it consistently. If the goal is to minimize combination-product and SE risk, the indication should foreground mechanical thrombectomy and the drug-delivery capability should be described in the device description/IFU as a feature, with the IFU’s specific-agent list and the clinical protocol reconciled to that framing. If the goal is to preserve the pharmacomechanical commercial claim, then prepare for the combination-product and SE consequences (Issues 1, 3). Either way, ask FDA’s view on the indication (Cover Letter Question 2 and Device Description Question 3 already invite this).</w:t>
      </w:r>
    </w:p>
    <w:bookmarkEnd w:id="32"/>
    <w:bookmarkStart w:id="33" w:name="X72864bcf6b5688ed400493162436d130821e2fb"/>
    <w:p>
      <w:pPr>
        <w:pStyle w:val="Heading3"/>
      </w:pPr>
      <w:r>
        <w:t xml:space="preserve">Issue 10 — The December 31, 2025 clearance milestone is not achievable on the package’s own timelines</w:t>
      </w:r>
    </w:p>
    <w:p>
      <w:pPr>
        <w:pStyle w:val="FirstParagraph"/>
      </w:pPr>
      <w:r>
        <w:rPr>
          <w:b/>
          <w:bCs/>
        </w:rPr>
        <w:t xml:space="preserve">Identification.</w:t>
      </w:r>
      <w:r>
        <w:t xml:space="preserve"> </w:t>
      </w:r>
      <w:r>
        <w:t xml:space="preserve">The Braddock Ventures Series D term sheet requires 510(k) clearance by December 31, 2025.</w:t>
      </w:r>
      <w:r>
        <w:t xml:space="preserve"> </w:t>
      </w:r>
      <w:r>
        <w:rPr>
          <w:i/>
          <w:iCs/>
        </w:rPr>
        <w:t xml:space="preserve">Email chain</w:t>
      </w:r>
      <w:r>
        <w:t xml:space="preserve"> </w:t>
      </w:r>
      <w:r>
        <w:t xml:space="preserve">(Fessenden, April 22; Pressman, May 12). The package’s own timelines are incompatible with that date: (a) the Q-Sub meeting is expected in August/September 2025 (</w:t>
      </w:r>
      <w:r>
        <w:rPr>
          <w:i/>
          <w:iCs/>
        </w:rPr>
        <w:t xml:space="preserve">Testing Plan</w:t>
      </w:r>
      <w:r>
        <w:t xml:space="preserve"> </w:t>
      </w:r>
      <w:r>
        <w:t xml:space="preserve">§ 9.2); (b) testing initiation is stated as</w:t>
      </w:r>
      <w:r>
        <w:t xml:space="preserve"> </w:t>
      </w:r>
      <w:r>
        <w:t xml:space="preserve">“</w:t>
      </w:r>
      <w:r>
        <w:t xml:space="preserve">July 2025, following receipt of FDA feedback from the anticipated Q-Sub meeting (scheduled for August/September 2025)</w:t>
      </w:r>
      <w:r>
        <w:t xml:space="preserve">”</w:t>
      </w:r>
      <w:r>
        <w:t xml:space="preserve"> </w:t>
      </w:r>
      <w:r>
        <w:t xml:space="preserve">— an internal contradiction, since July precedes August/September (</w:t>
      </w:r>
      <w:r>
        <w:rPr>
          <w:i/>
          <w:iCs/>
        </w:rPr>
        <w:t xml:space="preserve">Testing Plan</w:t>
      </w:r>
      <w:r>
        <w:t xml:space="preserve"> </w:t>
      </w:r>
      <w:r>
        <w:t xml:space="preserve">§ 9.2); (c) testing completion is November–December 2025 (16–20 weeks from initiation) (</w:t>
      </w:r>
      <w:r>
        <w:rPr>
          <w:i/>
          <w:iCs/>
        </w:rPr>
        <w:t xml:space="preserve">Testing Plan</w:t>
      </w:r>
      <w:r>
        <w:t xml:space="preserve"> </w:t>
      </w:r>
      <w:r>
        <w:t xml:space="preserve">§ 9.2); (d) the 510(k) would be submitted</w:t>
      </w:r>
      <w:r>
        <w:t xml:space="preserve"> </w:t>
      </w:r>
      <w:r>
        <w:t xml:space="preserve">“</w:t>
      </w:r>
      <w:r>
        <w:t xml:space="preserve">as early as practical following completion of all testing</w:t>
      </w:r>
      <w:r>
        <w:t xml:space="preserve">”</w:t>
      </w:r>
      <w:r>
        <w:t xml:space="preserve"> </w:t>
      </w:r>
      <w:r>
        <w:t xml:space="preserve">(</w:t>
      </w:r>
      <w:r>
        <w:rPr>
          <w:i/>
          <w:iCs/>
        </w:rPr>
        <w:t xml:space="preserve">Testing Plan</w:t>
      </w:r>
      <w:r>
        <w:t xml:space="preserve"> </w:t>
      </w:r>
      <w:r>
        <w:t xml:space="preserve">§ 9.2); (e) FDA 510(k) review runs roughly 90 days under MDUFA plus additional time for interactive review/deficiencies; and (f) the clinical study enrolls Q4 2025–Q2 2026 with the clinical study report finalized Q4 2026 (</w:t>
      </w:r>
      <w:r>
        <w:rPr>
          <w:i/>
          <w:iCs/>
        </w:rPr>
        <w:t xml:space="preserve">Clinical Synopsis</w:t>
      </w:r>
      <w:r>
        <w:t xml:space="preserve"> </w:t>
      </w:r>
      <w:r>
        <w:t xml:space="preserve">§ 15).</w:t>
      </w:r>
    </w:p>
    <w:p>
      <w:pPr>
        <w:pStyle w:val="BodyText"/>
      </w:pPr>
      <w:r>
        <w:rPr>
          <w:b/>
          <w:bCs/>
        </w:rPr>
        <w:t xml:space="preserve">Why it matters.</w:t>
      </w:r>
      <w:r>
        <w:t xml:space="preserve"> </w:t>
      </w:r>
      <w:r>
        <w:t xml:space="preserve">Even setting the clinical study entirely aside, a 510(k) submitted in November–December 2025 cannot be cleared by December 31, 2025 — there is no time for FDA review. If clinical data is required in the 510(k) (as the synopsis states it is intended to</w:t>
      </w:r>
      <w:r>
        <w:t xml:space="preserve"> </w:t>
      </w:r>
      <w:r>
        <w:t xml:space="preserve">“</w:t>
      </w:r>
      <w:r>
        <w:t xml:space="preserve">support</w:t>
      </w:r>
      <w:r>
        <w:t xml:space="preserve">”</w:t>
      </w:r>
      <w:r>
        <w:t xml:space="preserve"> </w:t>
      </w:r>
      <w:r>
        <w:t xml:space="preserve">the submission), the CSR is not available until Q4 2026, making a 2025 clearance impossible. If an IDE is required (Issue 2) or the Device is a combination product (Issue 1), the timeline extends further. The milestone is infeasible on the package’s own terms, and the internal contradiction in the testing-initiation date (July vs. August/September) signals that the schedule has not been pressure-tested.</w:t>
      </w:r>
    </w:p>
    <w:p>
      <w:pPr>
        <w:pStyle w:val="BodyText"/>
      </w:pPr>
      <w:r>
        <w:rPr>
          <w:b/>
          <w:bCs/>
        </w:rPr>
        <w:t xml:space="preserve">Recommendation.</w:t>
      </w:r>
      <w:r>
        <w:t xml:space="preserve"> </w:t>
      </w:r>
      <w:r>
        <w:t xml:space="preserve">(a) Correct the testing-initiation date contradiction and rebuild a realistic end-to-end timeline. (b) Determine whether the 510(k) can be filed on bench/performance data alone (with the clinical study deferred to post-clearance or used in a subsequent submission) — if so, the 2025 milestone may be salvageable in part, but only if testing completes and the submission is filed by roughly late summer 2025, which the current schedule does not support. (c) If the clinical data is needed for clearance, the 2025 milestone is not achievable and the Braddock Ventures term sheet should be addressed proactively. (d) Loop in Kendrick &amp; Hale now regarding the milestone and any need to renegotiate, as you flagged on May 12 (see Section VII).</w:t>
      </w:r>
    </w:p>
    <w:p>
      <w:r>
        <w:pict>
          <v:rect style="width:0;height:1.5pt" o:hralign="center" o:hrstd="t" o:hr="t"/>
        </w:pict>
      </w:r>
    </w:p>
    <w:bookmarkEnd w:id="33"/>
    <w:bookmarkEnd w:id="34"/>
    <w:bookmarkStart w:id="45" w:name="v.-tier-3-medium-severity-issues"/>
    <w:p>
      <w:pPr>
        <w:pStyle w:val="Heading2"/>
      </w:pPr>
      <w:r>
        <w:t xml:space="preserve">V. Tier 3 — Medium-Severity Issues</w:t>
      </w:r>
    </w:p>
    <w:bookmarkStart w:id="35" w:name="X04a850c4029863a3d4b826f7498e2ad99266eb2"/>
    <w:p>
      <w:pPr>
        <w:pStyle w:val="Heading3"/>
      </w:pPr>
      <w:r>
        <w:t xml:space="preserve">Issue 11 — MRI safety testing is absent; the IFU contains</w:t>
      </w:r>
      <w:r>
        <w:t xml:space="preserve"> </w:t>
      </w:r>
      <w:r>
        <w:t xml:space="preserve">“</w:t>
      </w:r>
      <w:r>
        <w:t xml:space="preserve">[TBD]</w:t>
      </w:r>
      <w:r>
        <w:t xml:space="preserve">”</w:t>
      </w:r>
      <w:r>
        <w:t xml:space="preserve"> </w:t>
      </w:r>
      <w:r>
        <w:t xml:space="preserve">placeholders and an unsupported</w:t>
      </w:r>
      <w:r>
        <w:t xml:space="preserve"> </w:t>
      </w:r>
      <w:r>
        <w:t xml:space="preserve">“</w:t>
      </w:r>
      <w:r>
        <w:t xml:space="preserve">MR Conditional</w:t>
      </w:r>
      <w:r>
        <w:t xml:space="preserve">”</w:t>
      </w:r>
      <w:r>
        <w:t xml:space="preserve"> </w:t>
      </w:r>
      <w:r>
        <w:t xml:space="preserve">claim</w:t>
      </w:r>
    </w:p>
    <w:p>
      <w:pPr>
        <w:pStyle w:val="FirstParagraph"/>
      </w:pPr>
      <w:r>
        <w:rPr>
          <w:b/>
          <w:bCs/>
        </w:rPr>
        <w:t xml:space="preserve">Identification.</w:t>
      </w:r>
      <w:r>
        <w:t xml:space="preserve"> </w:t>
      </w:r>
      <w:r>
        <w:t xml:space="preserve">The Draft IFU § 6 declares the VascuClear Catheter</w:t>
      </w:r>
      <w:r>
        <w:t xml:space="preserve"> </w:t>
      </w:r>
      <w:r>
        <w:t xml:space="preserve">“</w:t>
      </w:r>
      <w:r>
        <w:t xml:space="preserve">MR Conditional</w:t>
      </w:r>
      <w:r>
        <w:t xml:space="preserve">”</w:t>
      </w:r>
      <w:r>
        <w:t xml:space="preserve"> </w:t>
      </w:r>
      <w:r>
        <w:t xml:space="preserve">(1.5 T and 3.0 T; 3,000 Gauss/cm; 2 W/kg SAR for 15 min) but contains literal placeholders:</w:t>
      </w:r>
      <w:r>
        <w:t xml:space="preserve"> </w:t>
      </w:r>
      <w:r>
        <w:t xml:space="preserve">“</w:t>
      </w:r>
      <w:r>
        <w:t xml:space="preserve">a temperature rise of less than [TBD] °C … in a [TBD] T MRI system.</w:t>
      </w:r>
      <w:r>
        <w:t xml:space="preserve">”</w:t>
      </w:r>
      <w:r>
        <w:t xml:space="preserve"> </w:t>
      </w:r>
      <w:r>
        <w:t xml:space="preserve">The Device Description comparison table lists</w:t>
      </w:r>
      <w:r>
        <w:t xml:space="preserve"> </w:t>
      </w:r>
      <w:r>
        <w:t xml:space="preserve">“</w:t>
      </w:r>
      <w:r>
        <w:t xml:space="preserve">MRI Status: MRI Conditional (per draft IFU).</w:t>
      </w:r>
      <w:r>
        <w:t xml:space="preserve">”</w:t>
      </w:r>
      <w:r>
        <w:t xml:space="preserve"> </w:t>
      </w:r>
      <w:r>
        <w:rPr>
          <w:i/>
          <w:iCs/>
        </w:rPr>
        <w:t xml:space="preserve">Device Description</w:t>
      </w:r>
      <w:r>
        <w:t xml:space="preserve"> </w:t>
      </w:r>
      <w:r>
        <w:t xml:space="preserve">§ 4.2. The Testing Plan (§§ 2–8) contains</w:t>
      </w:r>
      <w:r>
        <w:t xml:space="preserve"> </w:t>
      </w:r>
      <w:r>
        <w:rPr>
          <w:b/>
          <w:bCs/>
        </w:rPr>
        <w:t xml:space="preserve">no MRI safety testing</w:t>
      </w:r>
      <w:r>
        <w:t xml:space="preserve"> </w:t>
      </w:r>
      <w:r>
        <w:t xml:space="preserve">of any kind. The catheter incorporates 316L stainless steel and nitinol and a rotating impeller — all of which raise MRI concerns (heating, torque, displacement, artifact).</w:t>
      </w:r>
    </w:p>
    <w:p>
      <w:pPr>
        <w:pStyle w:val="BodyText"/>
      </w:pPr>
      <w:r>
        <w:rPr>
          <w:b/>
          <w:bCs/>
        </w:rPr>
        <w:t xml:space="preserve">Why it matters.</w:t>
      </w:r>
      <w:r>
        <w:t xml:space="preserve"> </w:t>
      </w:r>
      <w:r>
        <w:t xml:space="preserve">An</w:t>
      </w:r>
      <w:r>
        <w:t xml:space="preserve"> </w:t>
      </w:r>
      <w:r>
        <w:t xml:space="preserve">“</w:t>
      </w:r>
      <w:r>
        <w:t xml:space="preserve">MR Conditional</w:t>
      </w:r>
      <w:r>
        <w:t xml:space="preserve">”</w:t>
      </w:r>
      <w:r>
        <w:t xml:space="preserve"> </w:t>
      </w:r>
      <w:r>
        <w:t xml:space="preserve">claim must be supported by testing performed per the ASTM F2503 / F2182 / F2052 / F2213 series (and reported using the standard MR Conditional language). The claim is currently unsupported, the IFU is incomplete, and the testing plan omits the work entirely. FDA will not accept an unsupported MR Conditional claim.</w:t>
      </w:r>
    </w:p>
    <w:p>
      <w:pPr>
        <w:pStyle w:val="BodyText"/>
      </w:pPr>
      <w:r>
        <w:rPr>
          <w:b/>
          <w:bCs/>
        </w:rPr>
        <w:t xml:space="preserve">Recommendation.</w:t>
      </w:r>
      <w:r>
        <w:t xml:space="preserve"> </w:t>
      </w:r>
      <w:r>
        <w:t xml:space="preserve">Add MRI safety characterization testing to the testing plan (per ASTM F2503 and the related test standards), complete the IFU § 6 with actual test data, and remove the</w:t>
      </w:r>
      <w:r>
        <w:t xml:space="preserve"> </w:t>
      </w:r>
      <w:r>
        <w:t xml:space="preserve">“</w:t>
      </w:r>
      <w:r>
        <w:t xml:space="preserve">[TBD]</w:t>
      </w:r>
      <w:r>
        <w:t xml:space="preserve">”</w:t>
      </w:r>
      <w:r>
        <w:t xml:space="preserve"> </w:t>
      </w:r>
      <w:r>
        <w:t xml:space="preserve">placeholders before filing. If testing is not yet complete, the IFU should not assert a definitive MR Conditional status in a document going to FDA.</w:t>
      </w:r>
    </w:p>
    <w:bookmarkEnd w:id="35"/>
    <w:bookmarkStart w:id="36" w:name="X6ea4f812d6c45e85d375f878fcc9f36463e59b3"/>
    <w:p>
      <w:pPr>
        <w:pStyle w:val="Heading3"/>
      </w:pPr>
      <w:r>
        <w:t xml:space="preserve">Issue 12 — Clinical study design: unjustified performance goal, endpoint mismatch with bench testing, and no long-term follow-up</w:t>
      </w:r>
    </w:p>
    <w:p>
      <w:pPr>
        <w:pStyle w:val="FirstParagraph"/>
      </w:pPr>
      <w:r>
        <w:rPr>
          <w:b/>
          <w:bCs/>
        </w:rPr>
        <w:t xml:space="preserve">Identification.</w:t>
      </w:r>
      <w:r>
        <w:t xml:space="preserve"> </w:t>
      </w:r>
      <w:r>
        <w:t xml:space="preserve">The primary endpoint is</w:t>
      </w:r>
      <w:r>
        <w:t xml:space="preserve"> </w:t>
      </w:r>
      <w:r>
        <w:t xml:space="preserve">“</w:t>
      </w:r>
      <w:r>
        <w:t xml:space="preserve">≥50% thrombus removal at 24 hours</w:t>
      </w:r>
      <w:r>
        <w:t xml:space="preserve">”</w:t>
      </w:r>
      <w:r>
        <w:t xml:space="preserve"> </w:t>
      </w:r>
      <w:r>
        <w:t xml:space="preserve">by venography, with a performance goal that</w:t>
      </w:r>
      <w:r>
        <w:t xml:space="preserve"> </w:t>
      </w:r>
      <w:r>
        <w:t xml:space="preserve">“</w:t>
      </w:r>
      <w:r>
        <w:t xml:space="preserve">at least 70% of treated patients</w:t>
      </w:r>
      <w:r>
        <w:t xml:space="preserve">”</w:t>
      </w:r>
      <w:r>
        <w:t xml:space="preserve"> </w:t>
      </w:r>
      <w:r>
        <w:t xml:space="preserve">achieve it.</w:t>
      </w:r>
      <w:r>
        <w:t xml:space="preserve"> </w:t>
      </w:r>
      <w:r>
        <w:rPr>
          <w:i/>
          <w:iCs/>
        </w:rPr>
        <w:t xml:space="preserve">Clinical Synopsis</w:t>
      </w:r>
      <w:r>
        <w:t xml:space="preserve"> </w:t>
      </w:r>
      <w:r>
        <w:t xml:space="preserve">§ 9.1. The bench-testing acceptance criterion is</w:t>
      </w:r>
      <w:r>
        <w:t xml:space="preserve"> </w:t>
      </w:r>
      <w:r>
        <w:t xml:space="preserve">“</w:t>
      </w:r>
      <w:r>
        <w:t xml:space="preserve">≥80% thrombus removal by weight after a single pass.</w:t>
      </w:r>
      <w:r>
        <w:t xml:space="preserve">”</w:t>
      </w:r>
      <w:r>
        <w:t xml:space="preserve"> </w:t>
      </w:r>
      <w:r>
        <w:rPr>
          <w:i/>
          <w:iCs/>
        </w:rPr>
        <w:t xml:space="preserve">Testing Plan</w:t>
      </w:r>
      <w:r>
        <w:t xml:space="preserve"> </w:t>
      </w:r>
      <w:r>
        <w:t xml:space="preserve">§ 7.2;</w:t>
      </w:r>
      <w:r>
        <w:t xml:space="preserve"> </w:t>
      </w:r>
      <w:r>
        <w:rPr>
          <w:i/>
          <w:iCs/>
        </w:rPr>
        <w:t xml:space="preserve">Device Description</w:t>
      </w:r>
      <w:r>
        <w:t xml:space="preserve"> </w:t>
      </w:r>
      <w:r>
        <w:t xml:space="preserve">§ 4.4. The 70% performance goal is described as a</w:t>
      </w:r>
      <w:r>
        <w:t xml:space="preserve"> </w:t>
      </w:r>
      <w:r>
        <w:t xml:space="preserve">“</w:t>
      </w:r>
      <w:r>
        <w:t xml:space="preserve">pre-specified objective performance criterion</w:t>
      </w:r>
      <w:r>
        <w:t xml:space="preserve">”</w:t>
      </w:r>
      <w:r>
        <w:t xml:space="preserve"> </w:t>
      </w:r>
      <w:r>
        <w:t xml:space="preserve">but</w:t>
      </w:r>
      <w:r>
        <w:t xml:space="preserve"> </w:t>
      </w:r>
      <w:r>
        <w:rPr>
          <w:b/>
          <w:bCs/>
        </w:rPr>
        <w:t xml:space="preserve">no source or precedent</w:t>
      </w:r>
      <w:r>
        <w:t xml:space="preserve"> </w:t>
      </w:r>
      <w:r>
        <w:t xml:space="preserve">is cited for the 70% threshold.</w:t>
      </w:r>
      <w:r>
        <w:t xml:space="preserve"> </w:t>
      </w:r>
      <w:r>
        <w:rPr>
          <w:i/>
          <w:iCs/>
        </w:rPr>
        <w:t xml:space="preserve">Clinical Synopsis</w:t>
      </w:r>
      <w:r>
        <w:t xml:space="preserve"> </w:t>
      </w:r>
      <w:r>
        <w:t xml:space="preserve">§ 11.1. Follow-up ends at 30 days; there is no assessment of post-thrombotic syndrome (PTS), despite the synopsis’s own background identifying PTS as</w:t>
      </w:r>
      <w:r>
        <w:t xml:space="preserve"> </w:t>
      </w:r>
      <w:r>
        <w:t xml:space="preserve">“</w:t>
      </w:r>
      <w:r>
        <w:t xml:space="preserve">the primary risk factor</w:t>
      </w:r>
      <w:r>
        <w:t xml:space="preserve">”</w:t>
      </w:r>
      <w:r>
        <w:t xml:space="preserve"> </w:t>
      </w:r>
      <w:r>
        <w:t xml:space="preserve">and citing the ATTRACT and CaVenT trials, which used long-term PTS endpoints.</w:t>
      </w:r>
      <w:r>
        <w:t xml:space="preserve"> </w:t>
      </w:r>
      <w:r>
        <w:rPr>
          <w:i/>
          <w:iCs/>
        </w:rPr>
        <w:t xml:space="preserve">Clinical Synopsis</w:t>
      </w:r>
      <w:r>
        <w:t xml:space="preserve"> </w:t>
      </w:r>
      <w:r>
        <w:t xml:space="preserve">§§ 3, 10.</w:t>
      </w:r>
    </w:p>
    <w:p>
      <w:pPr>
        <w:pStyle w:val="BodyText"/>
      </w:pPr>
      <w:r>
        <w:rPr>
          <w:b/>
          <w:bCs/>
        </w:rPr>
        <w:t xml:space="preserve">Why it matters.</w:t>
      </w:r>
      <w:r>
        <w:t xml:space="preserve"> </w:t>
      </w:r>
      <w:r>
        <w:t xml:space="preserve">(a) FDA typically requires a performance goal/OPC to be justified by reference to literature or prior cleared studies; an unsupported 70% is vulnerable. (b) The clinical success threshold (50% removal) is markedly lower than the bench threshold (80% removal); FDA may ask why the clinical bar is lower, and the discrepancy should be explained. (c) For an iliofemoral DVT thrombectomy device, 30-day follow-up without any PTS assessment may be viewed as inadequate given that the cited landmark trials (ATTRACT, CaVenT) focused on PTS as the clinically meaningful long-term outcome.</w:t>
      </w:r>
    </w:p>
    <w:p>
      <w:pPr>
        <w:pStyle w:val="BodyText"/>
      </w:pPr>
      <w:r>
        <w:rPr>
          <w:b/>
          <w:bCs/>
        </w:rPr>
        <w:t xml:space="preserve">Recommendation.</w:t>
      </w:r>
      <w:r>
        <w:t xml:space="preserve"> </w:t>
      </w:r>
      <w:r>
        <w:t xml:space="preserve">(a) Provide literature/precedent support for the 70% performance goal. (b) Reconcile or explain the 50% (clinical) vs. 80% (bench) thresholds. (c) Consider extending follow-up to capture a PTS-relevant outcome (or justify why 30 days is adequate for a 510(k)-supportive study). (d) Pose these points to FDA (Cover Letter Question 4 invites feedback on endpoints, selection criteria, and follow-up duration).</w:t>
      </w:r>
    </w:p>
    <w:bookmarkEnd w:id="36"/>
    <w:bookmarkStart w:id="37" w:name="Xfe68f63928d1744b4622964dcbf9c296c06cc16"/>
    <w:p>
      <w:pPr>
        <w:pStyle w:val="Heading3"/>
      </w:pPr>
      <w:r>
        <w:t xml:space="preserve">Issue 13 — The statistical sample-size justification appears to overstate power by a wide margin</w:t>
      </w:r>
    </w:p>
    <w:p>
      <w:pPr>
        <w:pStyle w:val="FirstParagraph"/>
      </w:pPr>
      <w:r>
        <w:rPr>
          <w:b/>
          <w:bCs/>
        </w:rPr>
        <w:t xml:space="preserve">Identification.</w:t>
      </w:r>
      <w:r>
        <w:t xml:space="preserve"> </w:t>
      </w:r>
      <w:r>
        <w:t xml:space="preserve">The synopsis states that</w:t>
      </w:r>
      <w:r>
        <w:t xml:space="preserve"> </w:t>
      </w:r>
      <w:r>
        <w:t xml:space="preserve">“</w:t>
      </w:r>
      <w:r>
        <w:t xml:space="preserve">a sample of 60 patients provides greater than 95% confidence that the lower bound of the exact binomial 95% confidence interval for the observed success rate will exceed the pre-specified performance goal of 70%,</w:t>
      </w:r>
      <w:r>
        <w:t xml:space="preserve">”</w:t>
      </w:r>
      <w:r>
        <w:t xml:space="preserve"> </w:t>
      </w:r>
      <w:r>
        <w:t xml:space="preserve">assuming a true success rate of 80%.</w:t>
      </w:r>
      <w:r>
        <w:t xml:space="preserve"> </w:t>
      </w:r>
      <w:r>
        <w:rPr>
          <w:i/>
          <w:iCs/>
        </w:rPr>
        <w:t xml:space="preserve">Clinical Synopsis</w:t>
      </w:r>
      <w:r>
        <w:t xml:space="preserve"> </w:t>
      </w:r>
      <w:r>
        <w:t xml:space="preserve">§ 11.1.</w:t>
      </w:r>
    </w:p>
    <w:p>
      <w:pPr>
        <w:pStyle w:val="BodyText"/>
      </w:pPr>
      <w:r>
        <w:rPr>
          <w:b/>
          <w:bCs/>
        </w:rPr>
        <w:t xml:space="preserve">Why it matters.</w:t>
      </w:r>
      <w:r>
        <w:t xml:space="preserve"> </w:t>
      </w:r>
      <w:r>
        <w:t xml:space="preserve">This claim does not hold up. With n = 60 and an observed success of 80% (48/60), the Clopper–Pearson exact 95% CI lower bound is approximately</w:t>
      </w:r>
      <w:r>
        <w:t xml:space="preserve"> </w:t>
      </w:r>
      <w:r>
        <w:rPr>
          <w:b/>
          <w:bCs/>
        </w:rPr>
        <w:t xml:space="preserve">0.68</w:t>
      </w:r>
      <w:r>
        <w:t xml:space="preserve">, which is</w:t>
      </w:r>
      <w:r>
        <w:t xml:space="preserve"> </w:t>
      </w:r>
      <w:r>
        <w:rPr>
          <w:i/>
          <w:iCs/>
        </w:rPr>
        <w:t xml:space="preserve">below</w:t>
      </w:r>
      <w:r>
        <w:t xml:space="preserve"> </w:t>
      </w:r>
      <w:r>
        <w:t xml:space="preserve">the 70% performance goal — meaning the study would</w:t>
      </w:r>
      <w:r>
        <w:t xml:space="preserve"> </w:t>
      </w:r>
      <w:r>
        <w:rPr>
          <w:b/>
          <w:bCs/>
        </w:rPr>
        <w:t xml:space="preserve">fail its own endpoint</w:t>
      </w:r>
      <w:r>
        <w:t xml:space="preserve"> </w:t>
      </w:r>
      <w:r>
        <w:t xml:space="preserve">even if the device performs exactly as assumed. To have the lower bound exceed 70% at an observed 80%, the study needs roughly 50/60 (≈83%) successes; under a true rate of 80%, the probability of reaching that threshold (i.e., the power) is on the order of</w:t>
      </w:r>
      <w:r>
        <w:t xml:space="preserve"> </w:t>
      </w:r>
      <w:r>
        <w:rPr>
          <w:b/>
          <w:bCs/>
        </w:rPr>
        <w:t xml:space="preserve">~30%</w:t>
      </w:r>
      <w:r>
        <w:t xml:space="preserve">, not</w:t>
      </w:r>
      <w:r>
        <w:t xml:space="preserve"> </w:t>
      </w:r>
      <w:r>
        <w:t xml:space="preserve">“</w:t>
      </w:r>
      <w:r>
        <w:t xml:space="preserve">&gt;95%.</w:t>
      </w:r>
      <w:r>
        <w:t xml:space="preserve">”</w:t>
      </w:r>
      <w:r>
        <w:t xml:space="preserve"> </w:t>
      </w:r>
      <w:r>
        <w:t xml:space="preserve">The sample size is too small for the stated performance goal, and the justification conflates</w:t>
      </w:r>
      <w:r>
        <w:t xml:space="preserve"> </w:t>
      </w:r>
      <w:r>
        <w:t xml:space="preserve">“</w:t>
      </w:r>
      <w:r>
        <w:t xml:space="preserve">confidence</w:t>
      </w:r>
      <w:r>
        <w:t xml:space="preserve">”</w:t>
      </w:r>
      <w:r>
        <w:t xml:space="preserve"> </w:t>
      </w:r>
      <w:r>
        <w:t xml:space="preserve">with statistical power.</w:t>
      </w:r>
    </w:p>
    <w:p>
      <w:pPr>
        <w:pStyle w:val="BodyText"/>
      </w:pPr>
      <w:r>
        <w:rPr>
          <w:b/>
          <w:bCs/>
        </w:rPr>
        <w:t xml:space="preserve">Recommendation.</w:t>
      </w:r>
      <w:r>
        <w:t xml:space="preserve"> </w:t>
      </w:r>
      <w:r>
        <w:t xml:space="preserve">Have a qualified biostatistician recompute the sample size using exact binomial methods for the stated performance goal and assumed rate, with adequate power (typically ≥80%). The required n is likely substantially larger than 60. Present the corrected calculation to FDA and be prepared to adjust enrollment (with timeline/budget consequences — see Issue 10 and Section VII).</w:t>
      </w:r>
    </w:p>
    <w:bookmarkEnd w:id="37"/>
    <w:bookmarkStart w:id="38" w:name="X9b2a0c7fe1b6705dfebf0f52f021583e9bd3b28"/>
    <w:p>
      <w:pPr>
        <w:pStyle w:val="Heading3"/>
      </w:pPr>
      <w:r>
        <w:t xml:space="preserve">Issue 14 — Drug-delivery characterization uses saline only; drug compatibility is unverified</w:t>
      </w:r>
    </w:p>
    <w:p>
      <w:pPr>
        <w:pStyle w:val="FirstParagraph"/>
      </w:pPr>
      <w:r>
        <w:rPr>
          <w:b/>
          <w:bCs/>
        </w:rPr>
        <w:t xml:space="preserve">Identification.</w:t>
      </w:r>
      <w:r>
        <w:t xml:space="preserve"> </w:t>
      </w:r>
      <w:r>
        <w:t xml:space="preserve">The drug-delivery characterization testing uses normal saline as the test fluid and verifies flow rates only.</w:t>
      </w:r>
      <w:r>
        <w:t xml:space="preserve"> </w:t>
      </w:r>
      <w:r>
        <w:rPr>
          <w:i/>
          <w:iCs/>
        </w:rPr>
        <w:t xml:space="preserve">Testing Plan</w:t>
      </w:r>
      <w:r>
        <w:t xml:space="preserve"> </w:t>
      </w:r>
      <w:r>
        <w:t xml:space="preserve">§ 8.2. The Draft IFU § 9 expressly states:</w:t>
      </w:r>
      <w:r>
        <w:t xml:space="preserve"> </w:t>
      </w:r>
      <w:r>
        <w:t xml:space="preserve">“</w:t>
      </w:r>
      <w:r>
        <w:t xml:space="preserve">Drug compatibility with catheter lumen materials has not been independently verified by Clearfield Medical Devices … specific compatibility testing with individual thrombolytic agents, diluents, or drug formulations has not been performed.</w:t>
      </w:r>
      <w:r>
        <w:t xml:space="preserve">”</w:t>
      </w:r>
      <w:r>
        <w:t xml:space="preserve"> </w:t>
      </w:r>
      <w:r>
        <w:t xml:space="preserve">The Testing Plan Question 6 asks FDA whether saline is sufficient or whether tPA testing is needed.</w:t>
      </w:r>
    </w:p>
    <w:p>
      <w:pPr>
        <w:pStyle w:val="BodyText"/>
      </w:pPr>
      <w:r>
        <w:rPr>
          <w:b/>
          <w:bCs/>
        </w:rPr>
        <w:t xml:space="preserve">Why it matters.</w:t>
      </w:r>
      <w:r>
        <w:t xml:space="preserve"> </w:t>
      </w:r>
      <w:r>
        <w:t xml:space="preserve">The Device is intended to deliver thrombolytic agents, but compatibility with those agents is unverified. Protein therapeutics such as alteplase can adsorb to catheter materials, potentially reducing the delivered dose and affecting efficacy — a safety/effectiveness gap. If the Device is viewed as a drug-delivery device or combination product (Issue 1), FDA is more likely to require drug-specific compatibility/adsorption and dose-delivery-accuracy testing. Disclosing the gap in the IFU while omitting the testing from the plan is inconsistent.</w:t>
      </w:r>
    </w:p>
    <w:p>
      <w:pPr>
        <w:pStyle w:val="BodyText"/>
      </w:pPr>
      <w:r>
        <w:rPr>
          <w:b/>
          <w:bCs/>
        </w:rPr>
        <w:t xml:space="preserve">Recommendation.</w:t>
      </w:r>
      <w:r>
        <w:t xml:space="preserve"> </w:t>
      </w:r>
      <w:r>
        <w:t xml:space="preserve">Plan for drug-compatibility and dose-delivery-accuracy testing with at least one representative thrombolytic (alteplase), including assessment of adsorption/loss and delivered-dose accuracy across the labeled flow range. Use Testing Plan Question 6 to confirm FDA’s expectations, but do not assume saline-only testing will suffice.</w:t>
      </w:r>
    </w:p>
    <w:bookmarkEnd w:id="38"/>
    <w:bookmarkStart w:id="39" w:name="Xa8f2f3c8c9bddfa941d87aa8dface1cc75184e1"/>
    <w:p>
      <w:pPr>
        <w:pStyle w:val="Heading3"/>
      </w:pPr>
      <w:r>
        <w:t xml:space="preserve">Issue 15 — Thrombus-fragment size and embolization potential are not characterized in bench testing</w:t>
      </w:r>
    </w:p>
    <w:p>
      <w:pPr>
        <w:pStyle w:val="FirstParagraph"/>
      </w:pPr>
      <w:r>
        <w:rPr>
          <w:b/>
          <w:bCs/>
        </w:rPr>
        <w:t xml:space="preserve">Identification.</w:t>
      </w:r>
      <w:r>
        <w:t xml:space="preserve"> </w:t>
      </w:r>
      <w:r>
        <w:t xml:space="preserve">The simulated-use bench test measures percent thrombus removed by weight after a single pass but does not characterize the</w:t>
      </w:r>
      <w:r>
        <w:t xml:space="preserve"> </w:t>
      </w:r>
      <w:r>
        <w:rPr>
          <w:b/>
          <w:bCs/>
        </w:rPr>
        <w:t xml:space="preserve">size distribution</w:t>
      </w:r>
      <w:r>
        <w:t xml:space="preserve"> </w:t>
      </w:r>
      <w:r>
        <w:t xml:space="preserve">of fragments generated or the potential for</w:t>
      </w:r>
      <w:r>
        <w:t xml:space="preserve"> </w:t>
      </w:r>
      <w:r>
        <w:rPr>
          <w:b/>
          <w:bCs/>
        </w:rPr>
        <w:t xml:space="preserve">distal embolization</w:t>
      </w:r>
      <w:r>
        <w:t xml:space="preserve"> </w:t>
      </w:r>
      <w:r>
        <w:t xml:space="preserve">of non-aspirated fragments.</w:t>
      </w:r>
      <w:r>
        <w:t xml:space="preserve"> </w:t>
      </w:r>
      <w:r>
        <w:rPr>
          <w:i/>
          <w:iCs/>
        </w:rPr>
        <w:t xml:space="preserve">Testing Plan</w:t>
      </w:r>
      <w:r>
        <w:t xml:space="preserve"> </w:t>
      </w:r>
      <w:r>
        <w:t xml:space="preserve">§ 7.2. The particulate-generation test (USP &lt;788&gt;) addresses device wear debris, not thrombus-fragment embolization.</w:t>
      </w:r>
      <w:r>
        <w:t xml:space="preserve"> </w:t>
      </w:r>
      <w:r>
        <w:rPr>
          <w:i/>
          <w:iCs/>
        </w:rPr>
        <w:t xml:space="preserve">Testing Plan</w:t>
      </w:r>
      <w:r>
        <w:t xml:space="preserve"> </w:t>
      </w:r>
      <w:r>
        <w:t xml:space="preserve">§ 3.3. The clinical study lists</w:t>
      </w:r>
      <w:r>
        <w:t xml:space="preserve"> </w:t>
      </w:r>
      <w:r>
        <w:t xml:space="preserve">“</w:t>
      </w:r>
      <w:r>
        <w:t xml:space="preserve">symptomatic pulmonary embolism</w:t>
      </w:r>
      <w:r>
        <w:t xml:space="preserve">”</w:t>
      </w:r>
      <w:r>
        <w:t xml:space="preserve"> </w:t>
      </w:r>
      <w:r>
        <w:t xml:space="preserve">as a major adverse event.</w:t>
      </w:r>
      <w:r>
        <w:t xml:space="preserve"> </w:t>
      </w:r>
      <w:r>
        <w:rPr>
          <w:i/>
          <w:iCs/>
        </w:rPr>
        <w:t xml:space="preserve">Clinical Synopsis</w:t>
      </w:r>
      <w:r>
        <w:t xml:space="preserve"> </w:t>
      </w:r>
      <w:r>
        <w:t xml:space="preserve">§ 9.3.</w:t>
      </w:r>
    </w:p>
    <w:p>
      <w:pPr>
        <w:pStyle w:val="BodyText"/>
      </w:pPr>
      <w:r>
        <w:rPr>
          <w:b/>
          <w:bCs/>
        </w:rPr>
        <w:t xml:space="preserve">Why it matters.</w:t>
      </w:r>
      <w:r>
        <w:t xml:space="preserve"> </w:t>
      </w:r>
      <w:r>
        <w:t xml:space="preserve">The principal safety concern for a rotating-impeller venous thrombectomy device is embolization of thrombus fragments (including pulmonary embolism). Measuring</w:t>
      </w:r>
      <w:r>
        <w:t xml:space="preserve"> </w:t>
      </w:r>
      <w:r>
        <w:t xml:space="preserve">“</w:t>
      </w:r>
      <w:r>
        <w:t xml:space="preserve">percent removed</w:t>
      </w:r>
      <w:r>
        <w:t xml:space="preserve">”</w:t>
      </w:r>
      <w:r>
        <w:t xml:space="preserve"> </w:t>
      </w:r>
      <w:r>
        <w:t xml:space="preserve">says nothing about what happens to the residual/non-aspirated thrombus — whether it is macerated into safely small particles or into fragments large enough to embolize. This is a</w:t>
      </w:r>
      <w:r>
        <w:t xml:space="preserve"> </w:t>
      </w:r>
      <w:r>
        <w:t xml:space="preserve">“</w:t>
      </w:r>
      <w:r>
        <w:t xml:space="preserve">new question of safety</w:t>
      </w:r>
      <w:r>
        <w:t xml:space="preserve">”</w:t>
      </w:r>
      <w:r>
        <w:t xml:space="preserve"> </w:t>
      </w:r>
      <w:r>
        <w:t xml:space="preserve">raised by the impeller mechanism that the predicate (Bernoulli aspiration) does not present, and it is currently unaddressed in the bench plan.</w:t>
      </w:r>
    </w:p>
    <w:p>
      <w:pPr>
        <w:pStyle w:val="BodyText"/>
      </w:pPr>
      <w:r>
        <w:rPr>
          <w:b/>
          <w:bCs/>
        </w:rPr>
        <w:t xml:space="preserve">Recommendation.</w:t>
      </w:r>
      <w:r>
        <w:t xml:space="preserve"> </w:t>
      </w:r>
      <w:r>
        <w:t xml:space="preserve">Add bench testing to characterize thrombus-fragment size distribution and distal-embolization potential (e.g., a model capturing downstream effluent with particle-size analysis). This directly supports the</w:t>
      </w:r>
      <w:r>
        <w:t xml:space="preserve"> </w:t>
      </w:r>
      <w:r>
        <w:t xml:space="preserve">“</w:t>
      </w:r>
      <w:r>
        <w:t xml:space="preserve">no new questions of safety</w:t>
      </w:r>
      <w:r>
        <w:t xml:space="preserve">”</w:t>
      </w:r>
      <w:r>
        <w:t xml:space="preserve"> </w:t>
      </w:r>
      <w:r>
        <w:t xml:space="preserve">argument for the impeller (Issue 3).</w:t>
      </w:r>
    </w:p>
    <w:bookmarkEnd w:id="39"/>
    <w:bookmarkStart w:id="40" w:name="Xd4d866645560ea52f007d392c6b79360b596e18"/>
    <w:p>
      <w:pPr>
        <w:pStyle w:val="Heading3"/>
      </w:pPr>
      <w:r>
        <w:t xml:space="preserve">Issue 16 — Dynamic hemolysis testing during operation is not included</w:t>
      </w:r>
    </w:p>
    <w:p>
      <w:pPr>
        <w:pStyle w:val="FirstParagraph"/>
      </w:pPr>
      <w:r>
        <w:rPr>
          <w:b/>
          <w:bCs/>
        </w:rPr>
        <w:t xml:space="preserve">Identification.</w:t>
      </w:r>
      <w:r>
        <w:t xml:space="preserve"> </w:t>
      </w:r>
      <w:r>
        <w:t xml:space="preserve">The biocompatibility plan includes ISO 10993-4 hemocompatibility (hemolysis by direct/indirect contact), which is a static/extract test.</w:t>
      </w:r>
      <w:r>
        <w:t xml:space="preserve"> </w:t>
      </w:r>
      <w:r>
        <w:rPr>
          <w:i/>
          <w:iCs/>
        </w:rPr>
        <w:t xml:space="preserve">Testing Plan</w:t>
      </w:r>
      <w:r>
        <w:t xml:space="preserve"> </w:t>
      </w:r>
      <w:r>
        <w:t xml:space="preserve">§ 2.2. There is no</w:t>
      </w:r>
      <w:r>
        <w:t xml:space="preserve"> </w:t>
      </w:r>
      <w:r>
        <w:rPr>
          <w:b/>
          <w:bCs/>
        </w:rPr>
        <w:t xml:space="preserve">dynamic</w:t>
      </w:r>
      <w:r>
        <w:t xml:space="preserve"> </w:t>
      </w:r>
      <w:r>
        <w:t xml:space="preserve">hemolysis test during simulated operation of the 12,000 RPM impeller with −650 mmHg aspiration. The IFU warning #3 identifies hemolysis as a risk of excessive aspiration pressure.</w:t>
      </w:r>
      <w:r>
        <w:t xml:space="preserve"> </w:t>
      </w:r>
      <w:r>
        <w:rPr>
          <w:i/>
          <w:iCs/>
        </w:rPr>
        <w:t xml:space="preserve">Draft IFU</w:t>
      </w:r>
      <w:r>
        <w:t xml:space="preserve"> </w:t>
      </w:r>
      <w:r>
        <w:t xml:space="preserve">§ 4.</w:t>
      </w:r>
    </w:p>
    <w:p>
      <w:pPr>
        <w:pStyle w:val="BodyText"/>
      </w:pPr>
      <w:r>
        <w:rPr>
          <w:b/>
          <w:bCs/>
        </w:rPr>
        <w:t xml:space="preserve">Why it matters.</w:t>
      </w:r>
      <w:r>
        <w:t xml:space="preserve"> </w:t>
      </w:r>
      <w:r>
        <w:t xml:space="preserve">A rotating impeller at 12,000 RPM combined with high negative pressure creates shear-induced hemolysis risk that a static ISO 10993-4 extract test does not capture. Dynamic hemolysis is a recognized evaluation for mechanical thrombectomy/circulatory-support devices.</w:t>
      </w:r>
    </w:p>
    <w:p>
      <w:pPr>
        <w:pStyle w:val="BodyText"/>
      </w:pPr>
      <w:r>
        <w:rPr>
          <w:b/>
          <w:bCs/>
        </w:rPr>
        <w:t xml:space="preserve">Recommendation.</w:t>
      </w:r>
      <w:r>
        <w:t xml:space="preserve"> </w:t>
      </w:r>
      <w:r>
        <w:t xml:space="preserve">Add a dynamic hemolysis test during simulated-use operation (impeller at max speed plus max aspiration over a representative duration), with a pre-specified plasma-free hemoglobin acceptance criterion.</w:t>
      </w:r>
    </w:p>
    <w:bookmarkEnd w:id="40"/>
    <w:bookmarkStart w:id="41" w:name="Xd0da83ef3d9f7fb19af2785edfec7fadbde90a5"/>
    <w:p>
      <w:pPr>
        <w:pStyle w:val="Heading3"/>
      </w:pPr>
      <w:r>
        <w:t xml:space="preserve">Issue 17 — Shelf-life / sterile-barrier package integrity validation is omitted</w:t>
      </w:r>
    </w:p>
    <w:p>
      <w:pPr>
        <w:pStyle w:val="FirstParagraph"/>
      </w:pPr>
      <w:r>
        <w:rPr>
          <w:b/>
          <w:bCs/>
        </w:rPr>
        <w:t xml:space="preserve">Identification.</w:t>
      </w:r>
      <w:r>
        <w:t xml:space="preserve"> </w:t>
      </w:r>
      <w:r>
        <w:t xml:space="preserve">The Testing Plan covers EtO sterilization validation (ISO 11135) and EtO residuals (ISO 10993-7) but does</w:t>
      </w:r>
      <w:r>
        <w:t xml:space="preserve"> </w:t>
      </w:r>
      <w:r>
        <w:rPr>
          <w:b/>
          <w:bCs/>
        </w:rPr>
        <w:t xml:space="preserve">not</w:t>
      </w:r>
      <w:r>
        <w:t xml:space="preserve"> </w:t>
      </w:r>
      <w:r>
        <w:t xml:space="preserve">include shelf-life/stability validation, sterile-barrier package integrity, or distribution-simulation testing.</w:t>
      </w:r>
      <w:r>
        <w:t xml:space="preserve"> </w:t>
      </w:r>
      <w:r>
        <w:rPr>
          <w:i/>
          <w:iCs/>
        </w:rPr>
        <w:t xml:space="preserve">Testing Plan</w:t>
      </w:r>
      <w:r>
        <w:t xml:space="preserve"> </w:t>
      </w:r>
      <w:r>
        <w:t xml:space="preserve">§ 6. The predicate’s 510(k) Summary shows the predicate performed accelerated-aging shelf-life validation (ASTM F1980, 2-year shelf life), distribution simulation (ASTM D4169), and seal-strength testing (ASTM F2095).</w:t>
      </w:r>
      <w:r>
        <w:t xml:space="preserve"> </w:t>
      </w:r>
      <w:r>
        <w:rPr>
          <w:i/>
          <w:iCs/>
        </w:rPr>
        <w:t xml:space="preserve">510(k) Summary</w:t>
      </w:r>
      <w:r>
        <w:t xml:space="preserve"> </w:t>
      </w:r>
      <w:r>
        <w:t xml:space="preserve">§ 5.4.</w:t>
      </w:r>
    </w:p>
    <w:p>
      <w:pPr>
        <w:pStyle w:val="BodyText"/>
      </w:pPr>
      <w:r>
        <w:rPr>
          <w:b/>
          <w:bCs/>
        </w:rPr>
        <w:t xml:space="preserve">Why it matters.</w:t>
      </w:r>
      <w:r>
        <w:t xml:space="preserve"> </w:t>
      </w:r>
      <w:r>
        <w:t xml:space="preserve">Shelf-life and sterile-barrier integrity validation are standard expectations for a sterile single-use device and are routinely required by FDA. Their omission is a gap relative to the predicate and to standard practice.</w:t>
      </w:r>
    </w:p>
    <w:p>
      <w:pPr>
        <w:pStyle w:val="BodyText"/>
      </w:pPr>
      <w:r>
        <w:rPr>
          <w:b/>
          <w:bCs/>
        </w:rPr>
        <w:t xml:space="preserve">Recommendation.</w:t>
      </w:r>
      <w:r>
        <w:t xml:space="preserve"> </w:t>
      </w:r>
      <w:r>
        <w:t xml:space="preserve">Add shelf-life validation (accelerated and/or real-time aging per ASTM F1980), sterile-barrier integrity testing, and distribution simulation (ASTM D4169) / seal strength (ASTM F2095) to the testing plan, and establish a labeled shelf life.</w:t>
      </w:r>
    </w:p>
    <w:bookmarkEnd w:id="41"/>
    <w:bookmarkStart w:id="42" w:name="X9a8f9f0045a37d037100a6de434ec46c59a7f26"/>
    <w:p>
      <w:pPr>
        <w:pStyle w:val="Heading3"/>
      </w:pPr>
      <w:r>
        <w:t xml:space="preserve">Issue 18 — Reprocessing validation for the reusable console is referenced but not described</w:t>
      </w:r>
    </w:p>
    <w:p>
      <w:pPr>
        <w:pStyle w:val="FirstParagraph"/>
      </w:pPr>
      <w:r>
        <w:rPr>
          <w:b/>
          <w:bCs/>
        </w:rPr>
        <w:t xml:space="preserve">Identification.</w:t>
      </w:r>
      <w:r>
        <w:t xml:space="preserve"> </w:t>
      </w:r>
      <w:r>
        <w:t xml:space="preserve">The Testing Plan states that console</w:t>
      </w:r>
      <w:r>
        <w:t xml:space="preserve"> </w:t>
      </w:r>
      <w:r>
        <w:t xml:space="preserve">“</w:t>
      </w:r>
      <w:r>
        <w:t xml:space="preserve">cleaning and disinfection instructions … will be … validated separately under Clearfield’s reusable device reprocessing validation protocol,</w:t>
      </w:r>
      <w:r>
        <w:t xml:space="preserve">”</w:t>
      </w:r>
      <w:r>
        <w:t xml:space="preserve"> </w:t>
      </w:r>
      <w:r>
        <w:t xml:space="preserve">but no such validation is described in the plan.</w:t>
      </w:r>
      <w:r>
        <w:t xml:space="preserve"> </w:t>
      </w:r>
      <w:r>
        <w:rPr>
          <w:i/>
          <w:iCs/>
        </w:rPr>
        <w:t xml:space="preserve">Testing Plan</w:t>
      </w:r>
      <w:r>
        <w:t xml:space="preserve"> </w:t>
      </w:r>
      <w:r>
        <w:t xml:space="preserve">§ 6.1. The IFU § 11 provides cleaning/disinfection instructions for the console.</w:t>
      </w:r>
    </w:p>
    <w:p>
      <w:pPr>
        <w:pStyle w:val="BodyText"/>
      </w:pPr>
      <w:r>
        <w:rPr>
          <w:b/>
          <w:bCs/>
        </w:rPr>
        <w:t xml:space="preserve">Why it matters.</w:t>
      </w:r>
      <w:r>
        <w:t xml:space="preserve"> </w:t>
      </w:r>
      <w:r>
        <w:t xml:space="preserve">FDA’s 2015 guidance</w:t>
      </w:r>
      <w:r>
        <w:t xml:space="preserve"> </w:t>
      </w:r>
      <w:r>
        <w:rPr>
          <w:i/>
          <w:iCs/>
        </w:rPr>
        <w:t xml:space="preserve">Reprocessing Medical Devices in Health Care Settings</w:t>
      </w:r>
      <w:r>
        <w:t xml:space="preserve"> </w:t>
      </w:r>
      <w:r>
        <w:t xml:space="preserve">expects validation of reprocessing instructions for reusable devices. While the console does not directly contact the patient, the drive-cable connector port interfaces with the catheter pathway and could be a contamination vector; FDA may request validation or a documented rationale.</w:t>
      </w:r>
    </w:p>
    <w:p>
      <w:pPr>
        <w:pStyle w:val="BodyText"/>
      </w:pPr>
      <w:r>
        <w:rPr>
          <w:b/>
          <w:bCs/>
        </w:rPr>
        <w:t xml:space="preserve">Recommendation.</w:t>
      </w:r>
      <w:r>
        <w:t xml:space="preserve"> </w:t>
      </w:r>
      <w:r>
        <w:t xml:space="preserve">Either add a reprocessing validation summary for the console (or at least the patient-adjacent connector/port) to the testing plan, or include a documented rationale for why formal reprocessing validation is not required for this reusable non-patient-contacting component.</w:t>
      </w:r>
    </w:p>
    <w:bookmarkEnd w:id="42"/>
    <w:bookmarkStart w:id="43" w:name="X60cbc50b863683d6e20b8fa30afce717d07c651"/>
    <w:p>
      <w:pPr>
        <w:pStyle w:val="Heading3"/>
      </w:pPr>
      <w:r>
        <w:t xml:space="preserve">Issue 19 — Cross-document inconsistencies (several material to the SE comparison)</w:t>
      </w:r>
    </w:p>
    <w:p>
      <w:pPr>
        <w:pStyle w:val="FirstParagraph"/>
      </w:pPr>
      <w:r>
        <w:rPr>
          <w:b/>
          <w:bCs/>
        </w:rPr>
        <w:t xml:space="preserve">Identification.</w:t>
      </w:r>
      <w:r>
        <w:t xml:space="preserve"> </w:t>
      </w:r>
      <w:r>
        <w:t xml:space="preserve">The following inconsistencies appear across the package:</w:t>
      </w:r>
    </w:p>
    <w:p>
      <w:pPr>
        <w:pStyle w:val="Compact"/>
        <w:numPr>
          <w:ilvl w:val="0"/>
          <w:numId w:val="1003"/>
        </w:numPr>
      </w:pPr>
      <w:r>
        <w:rPr>
          <w:b/>
          <w:bCs/>
        </w:rPr>
        <w:t xml:space="preserve">(a) Console dimensions and weight.</w:t>
      </w:r>
      <w:r>
        <w:t xml:space="preserve"> </w:t>
      </w:r>
      <w:r>
        <w:t xml:space="preserve">Device Description § 2.3:</w:t>
      </w:r>
      <w:r>
        <w:t xml:space="preserve"> </w:t>
      </w:r>
      <w:r>
        <w:t xml:space="preserve">“</w:t>
      </w:r>
      <w:r>
        <w:t xml:space="preserve">approximately 40 cm (W) × 35 cm (D) × 20 cm (H) … approximately 15 kilograms.</w:t>
      </w:r>
      <w:r>
        <w:t xml:space="preserve">”</w:t>
      </w:r>
      <w:r>
        <w:t xml:space="preserve"> </w:t>
      </w:r>
      <w:r>
        <w:t xml:space="preserve">Draft IFU § 13:</w:t>
      </w:r>
      <w:r>
        <w:t xml:space="preserve"> </w:t>
      </w:r>
      <w:r>
        <w:t xml:space="preserve">“</w:t>
      </w:r>
      <w:r>
        <w:t xml:space="preserve">30 cm × 25 cm × 15 cm</w:t>
      </w:r>
      <w:r>
        <w:t xml:space="preserve">”</w:t>
      </w:r>
      <w:r>
        <w:t xml:space="preserve"> </w:t>
      </w:r>
      <w:r>
        <w:t xml:space="preserve">and</w:t>
      </w:r>
      <w:r>
        <w:t xml:space="preserve"> </w:t>
      </w:r>
      <w:r>
        <w:t xml:space="preserve">“</w:t>
      </w:r>
      <w:r>
        <w:t xml:space="preserve">4.5 kg.</w:t>
      </w:r>
      <w:r>
        <w:t xml:space="preserve">”</w:t>
      </w:r>
      <w:r>
        <w:t xml:space="preserve"> </w:t>
      </w:r>
      <w:r>
        <w:t xml:space="preserve">These differ by roughly a factor of three and cannot both be correct.</w:t>
      </w:r>
    </w:p>
    <w:p>
      <w:pPr>
        <w:pStyle w:val="Compact"/>
        <w:numPr>
          <w:ilvl w:val="0"/>
          <w:numId w:val="1003"/>
        </w:numPr>
      </w:pPr>
      <w:r>
        <w:rPr>
          <w:b/>
          <w:bCs/>
        </w:rPr>
        <w:t xml:space="preserve">(b) Impeller material.</w:t>
      </w:r>
      <w:r>
        <w:t xml:space="preserve"> </w:t>
      </w:r>
      <w:r>
        <w:t xml:space="preserve">Device Description § 2.2 and comparison table § 4.2: impeller = 316L stainless steel; nitinol =</w:t>
      </w:r>
      <w:r>
        <w:t xml:space="preserve"> </w:t>
      </w:r>
      <w:r>
        <w:t xml:space="preserve">“</w:t>
      </w:r>
      <w:r>
        <w:t xml:space="preserve">distal tip structural elements.</w:t>
      </w:r>
      <w:r>
        <w:t xml:space="preserve">”</w:t>
      </w:r>
      <w:r>
        <w:t xml:space="preserve"> </w:t>
      </w:r>
      <w:r>
        <w:t xml:space="preserve">Testing Plan § 2.3:</w:t>
      </w:r>
      <w:r>
        <w:t xml:space="preserve"> </w:t>
      </w:r>
      <w:r>
        <w:t xml:space="preserve">“</w:t>
      </w:r>
      <w:r>
        <w:t xml:space="preserve">Helical Impeller — Nitinol (nickel-titanium alloy).</w:t>
      </w:r>
      <w:r>
        <w:t xml:space="preserve">”</w:t>
      </w:r>
      <w:r>
        <w:t xml:space="preserve"> </w:t>
      </w:r>
      <w:r>
        <w:t xml:space="preserve">The two documents assign different materials to the impeller — a direct contradiction with biocompatibility and SE implications (nitinol raises nickel-leaching/sensitization concerns; the predicate uses stainless steel).</w:t>
      </w:r>
    </w:p>
    <w:p>
      <w:pPr>
        <w:pStyle w:val="Compact"/>
        <w:numPr>
          <w:ilvl w:val="0"/>
          <w:numId w:val="1003"/>
        </w:numPr>
      </w:pPr>
      <w:r>
        <w:rPr>
          <w:b/>
          <w:bCs/>
        </w:rPr>
        <w:t xml:space="preserve">(c) Predicate patient population.</w:t>
      </w:r>
      <w:r>
        <w:t xml:space="preserve"> </w:t>
      </w:r>
      <w:r>
        <w:t xml:space="preserve">Device Description comparison table § 4.2 correctly states the predicate’s population is</w:t>
      </w:r>
      <w:r>
        <w:t xml:space="preserve"> </w:t>
      </w:r>
      <w:r>
        <w:t xml:space="preserve">“</w:t>
      </w:r>
      <w:r>
        <w:t xml:space="preserve">Not specified beyond peripheral vasculature.</w:t>
      </w:r>
      <w:r>
        <w:t xml:space="preserve">”</w:t>
      </w:r>
      <w:r>
        <w:t xml:space="preserve"> </w:t>
      </w:r>
      <w:r>
        <w:t xml:space="preserve">Testing Plan Appendix A, Table A-1, however, lists the predicate’s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 falsely attributing the subject Device’s population to the predicate. The 510(k) Summary § 2 confirms the predicate’s indication is broad (</w:t>
      </w:r>
      <w:r>
        <w:t xml:space="preserve">“</w:t>
      </w:r>
      <w:r>
        <w:t xml:space="preserve">peripheral vasculature,</w:t>
      </w:r>
      <w:r>
        <w:t xml:space="preserve">”</w:t>
      </w:r>
      <w:r>
        <w:t xml:space="preserve"> </w:t>
      </w:r>
      <w:r>
        <w:t xml:space="preserve">arterial and venous, no DVT/symptom-window specification).</w:t>
      </w:r>
    </w:p>
    <w:p>
      <w:pPr>
        <w:pStyle w:val="Compact"/>
        <w:numPr>
          <w:ilvl w:val="0"/>
          <w:numId w:val="1003"/>
        </w:numPr>
      </w:pPr>
      <w:r>
        <w:rPr>
          <w:b/>
          <w:bCs/>
        </w:rPr>
        <w:t xml:space="preserve">(d) Predicate aspiration pressure.</w:t>
      </w:r>
      <w:r>
        <w:t xml:space="preserve"> </w:t>
      </w:r>
      <w:r>
        <w:t xml:space="preserve">Device Description comparison table § 4.2 lists the predicate’s</w:t>
      </w:r>
      <w:r>
        <w:t xml:space="preserve"> </w:t>
      </w:r>
      <w:r>
        <w:t xml:space="preserve">“</w:t>
      </w:r>
      <w:r>
        <w:t xml:space="preserve">Maximum Aspiration Pressure</w:t>
      </w:r>
      <w:r>
        <w:t xml:space="preserve">”</w:t>
      </w:r>
      <w:r>
        <w:t xml:space="preserve"> </w:t>
      </w:r>
      <w:r>
        <w:t xml:space="preserve">as</w:t>
      </w:r>
      <w:r>
        <w:t xml:space="preserve"> </w:t>
      </w:r>
      <w:r>
        <w:t xml:space="preserve">“</w:t>
      </w:r>
      <w:r>
        <w:t xml:space="preserve">Not specified in publicly available 510(k) summary.</w:t>
      </w:r>
      <w:r>
        <w:t xml:space="preserve">”</w:t>
      </w:r>
      <w:r>
        <w:t xml:space="preserve"> </w:t>
      </w:r>
      <w:r>
        <w:t xml:space="preserve">The 510(k) Summary § 5.2 in fact specifies the predicate generates</w:t>
      </w:r>
      <w:r>
        <w:t xml:space="preserve"> </w:t>
      </w:r>
      <w:r>
        <w:t xml:space="preserve">“</w:t>
      </w:r>
      <w:r>
        <w:t xml:space="preserve">a minimum of −300 mmHg</w:t>
      </w:r>
      <w:r>
        <w:t xml:space="preserve">”</w:t>
      </w:r>
      <w:r>
        <w:t xml:space="preserve"> </w:t>
      </w:r>
      <w:r>
        <w:t xml:space="preserve">and operates in the range</w:t>
      </w:r>
      <w:r>
        <w:t xml:space="preserve"> </w:t>
      </w:r>
      <w:r>
        <w:t xml:space="preserve">“</w:t>
      </w:r>
      <w:r>
        <w:t xml:space="preserve">−250 mmHg to −350 mmHg.</w:t>
      </w:r>
      <w:r>
        <w:t xml:space="preserve">”</w:t>
      </w:r>
      <w:r>
        <w:t xml:space="preserve"> </w:t>
      </w:r>
      <w:r>
        <w:t xml:space="preserve">The comparison table is therefore incorrect, and correcting it reveals a significant performance difference (subject −650 mmHg vs. predicate −250 to −350 mmHg) that bears on the SE analysis and on safety (vessel collapse, endothelial injury, hemolysis).</w:t>
      </w:r>
    </w:p>
    <w:p>
      <w:pPr>
        <w:pStyle w:val="Compact"/>
        <w:numPr>
          <w:ilvl w:val="0"/>
          <w:numId w:val="1003"/>
        </w:numPr>
      </w:pPr>
      <w:r>
        <w:rPr>
          <w:b/>
          <w:bCs/>
        </w:rPr>
        <w:t xml:space="preserve">(e) Contact telephone numbers.</w:t>
      </w:r>
      <w:r>
        <w:t xml:space="preserve"> </w:t>
      </w:r>
      <w:r>
        <w:t xml:space="preserve">Cover Letter § IX lists Linda Fessenden at (952) 555-0142; the company header lists (952) 555-0140; the Device Description lists (952) 555-0174; the email chain uses lfessenden@clearfieldmed.com while the package uses clearfieldmedical.com. The primary-contact phone number is inconsistent across documents.</w:t>
      </w:r>
    </w:p>
    <w:p>
      <w:pPr>
        <w:pStyle w:val="Compact"/>
        <w:numPr>
          <w:ilvl w:val="0"/>
          <w:numId w:val="1003"/>
        </w:numPr>
      </w:pPr>
      <w:r>
        <w:rPr>
          <w:b/>
          <w:bCs/>
        </w:rPr>
        <w:t xml:space="preserve">(f) Display type.</w:t>
      </w:r>
      <w:r>
        <w:t xml:space="preserve"> </w:t>
      </w:r>
      <w:r>
        <w:t xml:space="preserve">Device Description § 2.3 describes a</w:t>
      </w:r>
      <w:r>
        <w:t xml:space="preserve"> </w:t>
      </w:r>
      <w:r>
        <w:t xml:space="preserve">“</w:t>
      </w:r>
      <w:r>
        <w:t xml:space="preserve">7-inch color touchscreen</w:t>
      </w:r>
      <w:r>
        <w:t xml:space="preserve">”</w:t>
      </w:r>
      <w:r>
        <w:t xml:space="preserve">; the Draft IFU §§ 1, 13 describe an</w:t>
      </w:r>
      <w:r>
        <w:t xml:space="preserve"> </w:t>
      </w:r>
      <w:r>
        <w:t xml:space="preserve">“</w:t>
      </w:r>
      <w:r>
        <w:t xml:space="preserve">LCD display.</w:t>
      </w:r>
      <w:r>
        <w:t xml:space="preserve">”</w:t>
      </w:r>
      <w:r>
        <w:t xml:space="preserve"> </w:t>
      </w:r>
      <w:r>
        <w:t xml:space="preserve">Touchscreen and LCD are not necessarily the same and should be reconciled.</w:t>
      </w:r>
    </w:p>
    <w:p>
      <w:pPr>
        <w:pStyle w:val="Compact"/>
        <w:numPr>
          <w:ilvl w:val="0"/>
          <w:numId w:val="1003"/>
        </w:numPr>
      </w:pPr>
      <w:r>
        <w:rPr>
          <w:b/>
          <w:bCs/>
        </w:rPr>
        <w:t xml:space="preserve">(g) Catheter shaft material.</w:t>
      </w:r>
      <w:r>
        <w:t xml:space="preserve"> </w:t>
      </w:r>
      <w:r>
        <w:t xml:space="preserve">Device Description § 2.2:</w:t>
      </w:r>
      <w:r>
        <w:t xml:space="preserve"> </w:t>
      </w:r>
      <w:r>
        <w:t xml:space="preserve">“</w:t>
      </w:r>
      <w:r>
        <w:t xml:space="preserve">medical-grade polyurethane</w:t>
      </w:r>
      <w:r>
        <w:t xml:space="preserve">”</w:t>
      </w:r>
      <w:r>
        <w:t xml:space="preserve">; Testing Plan § 2.3:</w:t>
      </w:r>
      <w:r>
        <w:t xml:space="preserve"> </w:t>
      </w:r>
      <w:r>
        <w:t xml:space="preserve">“</w:t>
      </w:r>
      <w:r>
        <w:t xml:space="preserve">Polyurethane/Pebax (polyether block amide) blend.</w:t>
      </w:r>
      <w:r>
        <w:t xml:space="preserve">”</w:t>
      </w:r>
      <w:r>
        <w:t xml:space="preserve"> </w:t>
      </w:r>
      <w:r>
        <w:t xml:space="preserve">Minor, but should be stated consistently.</w:t>
      </w:r>
    </w:p>
    <w:p>
      <w:pPr>
        <w:pStyle w:val="FirstParagraph"/>
      </w:pPr>
      <w:r>
        <w:rPr>
          <w:b/>
          <w:bCs/>
        </w:rPr>
        <w:t xml:space="preserve">Why it matters.</w:t>
      </w:r>
      <w:r>
        <w:t xml:space="preserve"> </w:t>
      </w:r>
      <w:r>
        <w:t xml:space="preserve">Items (b), (c), and (d) are substantive: (b) affects biocompatibility testing and the materials comparison; (c) and (d) make the predicate appear more similar to the subject Device than it is, undermining the integrity of the substantial-equivalence comparison and inviting FDA skepticism about the rigor of the analysis. The remaining items are accuracy/credibility matters that cumulatively undermine the package’s polish.</w:t>
      </w:r>
    </w:p>
    <w:p>
      <w:pPr>
        <w:pStyle w:val="BodyText"/>
      </w:pPr>
      <w:r>
        <w:rPr>
          <w:b/>
          <w:bCs/>
        </w:rPr>
        <w:t xml:space="preserve">Recommendation.</w:t>
      </w:r>
      <w:r>
        <w:t xml:space="preserve"> </w:t>
      </w:r>
      <w:r>
        <w:t xml:space="preserve">Reconcile all seven items before filing. For (b), determine the actual impeller material and state it consistently; ensure the biocompatibility test articles match. For (c), correct Table A-1 to reflect the predicate’s actual (broad, unspecified) population. For (d), correct the comparison table to show the predicate’s actual aspiration pressure (−250 to −350 mmHg) and address the performance difference in the SE narrative. For (e)–(g), standardize the contact details and specifications across all documents.</w:t>
      </w:r>
    </w:p>
    <w:bookmarkEnd w:id="43"/>
    <w:bookmarkStart w:id="44" w:name="X2cbd60f79939be99a6e4854e9422b4ef0a9a76f"/>
    <w:p>
      <w:pPr>
        <w:pStyle w:val="Heading3"/>
      </w:pPr>
      <w:r>
        <w:t xml:space="preserve">Issue 20 — The 72-hour indwell raises infection and prolonged-contact concerns beyond biocompatibility</w:t>
      </w:r>
    </w:p>
    <w:p>
      <w:pPr>
        <w:pStyle w:val="FirstParagraph"/>
      </w:pPr>
      <w:r>
        <w:rPr>
          <w:b/>
          <w:bCs/>
        </w:rPr>
        <w:t xml:space="preserve">Identification.</w:t>
      </w:r>
      <w:r>
        <w:t xml:space="preserve"> </w:t>
      </w:r>
      <w:r>
        <w:t xml:space="preserve">The IFU permits up to 72-hour indwell for extended thrombolytic infusion.</w:t>
      </w:r>
      <w:r>
        <w:t xml:space="preserve"> </w:t>
      </w:r>
      <w:r>
        <w:rPr>
          <w:i/>
          <w:iCs/>
        </w:rPr>
        <w:t xml:space="preserve">Draft IFU</w:t>
      </w:r>
      <w:r>
        <w:t xml:space="preserve"> </w:t>
      </w:r>
      <w:r>
        <w:t xml:space="preserve">§§ 1, 8.4;</w:t>
      </w:r>
      <w:r>
        <w:t xml:space="preserve"> </w:t>
      </w:r>
      <w:r>
        <w:rPr>
          <w:i/>
          <w:iCs/>
        </w:rPr>
        <w:t xml:space="preserve">Clinical Synopsis</w:t>
      </w:r>
      <w:r>
        <w:t xml:space="preserve"> </w:t>
      </w:r>
      <w:r>
        <w:t xml:space="preserve">§ 8.2, step 8. The IFU § 8.4 mentions monitoring for infection but the testing plan does not address catheter-related bloodstream infection (CRBSI) risk or prolonged-indwell performance.</w:t>
      </w:r>
    </w:p>
    <w:p>
      <w:pPr>
        <w:pStyle w:val="BodyText"/>
      </w:pPr>
      <w:r>
        <w:rPr>
          <w:b/>
          <w:bCs/>
        </w:rPr>
        <w:t xml:space="preserve">Why it matters.</w:t>
      </w:r>
      <w:r>
        <w:t xml:space="preserve"> </w:t>
      </w:r>
      <w:r>
        <w:t xml:space="preserve">A catheter indwelling in the venous system for 72 hours carries CRBSI risk and raises durability questions (catheter integrity over 72 hours, lumen patency over 72 hours). This compounds the contact-duration misclassification (Issue 5). If the 72-hour claim is retained, the testing and labeling should address prolonged-indwell performance and infection mitigation.</w:t>
      </w:r>
    </w:p>
    <w:p>
      <w:pPr>
        <w:pStyle w:val="BodyText"/>
      </w:pPr>
      <w:r>
        <w:rPr>
          <w:b/>
          <w:bCs/>
        </w:rPr>
        <w:t xml:space="preserve">Recommendation.</w:t>
      </w:r>
      <w:r>
        <w:t xml:space="preserve"> </w:t>
      </w:r>
      <w:r>
        <w:t xml:space="preserve">If the 72-hour indwell is retained (see Issue 5), add testing/justification for prolonged-indwell integrity and patency, and ensure the IFU’s infection-monitoring guidance is adequate. If the 72-hour claim is dropped to preserve limited-contact biocompatibility, this issue is moot.</w:t>
      </w:r>
    </w:p>
    <w:p>
      <w:r>
        <w:pict>
          <v:rect style="width:0;height:1.5pt" o:hralign="center" o:hrstd="t" o:hr="t"/>
        </w:pict>
      </w:r>
    </w:p>
    <w:bookmarkEnd w:id="44"/>
    <w:bookmarkEnd w:id="45"/>
    <w:bookmarkStart w:id="53" w:name="vi.-tier-4-lower-severity-issues"/>
    <w:p>
      <w:pPr>
        <w:pStyle w:val="Heading2"/>
      </w:pPr>
      <w:r>
        <w:t xml:space="preserve">VI. Tier 4 — Lower-Severity Issues</w:t>
      </w:r>
    </w:p>
    <w:bookmarkStart w:id="46" w:name="Xf67245ae8b9df7cdf5b6f3ed51176ac3b5aebc0"/>
    <w:p>
      <w:pPr>
        <w:pStyle w:val="Heading3"/>
      </w:pPr>
      <w:r>
        <w:t xml:space="preserve">Issue 21 — Outdated and incomplete software/regulatory guidance references</w:t>
      </w:r>
    </w:p>
    <w:p>
      <w:pPr>
        <w:pStyle w:val="FirstParagraph"/>
      </w:pPr>
      <w:r>
        <w:t xml:space="preserve">The package cites the</w:t>
      </w:r>
      <w:r>
        <w:t xml:space="preserve"> </w:t>
      </w:r>
      <w:r>
        <w:rPr>
          <w:b/>
          <w:bCs/>
        </w:rPr>
        <w:t xml:space="preserve">2005</w:t>
      </w:r>
      <w:r>
        <w:t xml:space="preserve"> </w:t>
      </w:r>
      <w:r>
        <w:t xml:space="preserve">FDA software guidance (</w:t>
      </w:r>
      <w:r>
        <w:rPr>
          <w:i/>
          <w:iCs/>
        </w:rPr>
        <w:t xml:space="preserve">Device Description</w:t>
      </w:r>
      <w:r>
        <w:t xml:space="preserve"> </w:t>
      </w:r>
      <w:r>
        <w:t xml:space="preserve">§ 2.3;</w:t>
      </w:r>
      <w:r>
        <w:t xml:space="preserve"> </w:t>
      </w:r>
      <w:r>
        <w:rPr>
          <w:i/>
          <w:iCs/>
        </w:rPr>
        <w:t xml:space="preserve">Testing Plan</w:t>
      </w:r>
      <w:r>
        <w:t xml:space="preserve"> </w:t>
      </w:r>
      <w:r>
        <w:t xml:space="preserve">§ 5) and does not reference IEC 62304, whereas the predicate applied IEC 62304:2006 (</w:t>
      </w:r>
      <w:r>
        <w:rPr>
          <w:i/>
          <w:iCs/>
        </w:rPr>
        <w:t xml:space="preserve">510(k) Summary</w:t>
      </w:r>
      <w:r>
        <w:t xml:space="preserve"> </w:t>
      </w:r>
      <w:r>
        <w:t xml:space="preserve">§ 5.6). FDA issued</w:t>
      </w:r>
      <w:r>
        <w:t xml:space="preserve"> </w:t>
      </w:r>
      <w:r>
        <w:rPr>
          <w:i/>
          <w:iCs/>
        </w:rPr>
        <w:t xml:space="preserve">Content of Premarket Submissions for Device Software Functions</w:t>
      </w:r>
      <w:r>
        <w:t xml:space="preserve"> </w:t>
      </w:r>
      <w:r>
        <w:t xml:space="preserve">(2023), which supersedes the 2005 guidance.</w:t>
      </w:r>
      <w:r>
        <w:t xml:space="preserve"> </w:t>
      </w:r>
      <w:r>
        <w:rPr>
          <w:b/>
          <w:bCs/>
        </w:rPr>
        <w:t xml:space="preserve">Recommendation:</w:t>
      </w:r>
      <w:r>
        <w:t xml:space="preserve"> </w:t>
      </w:r>
      <w:r>
        <w:t xml:space="preserve">update references to current FDA software guidance and add IEC 62304; confirm other guidance citations are current (the Q-Sub program guidance (June 2023) and ISO 10993-1:2018 citations are current).</w:t>
      </w:r>
    </w:p>
    <w:bookmarkEnd w:id="46"/>
    <w:bookmarkStart w:id="47" w:name="X1e57822817bcdd02400a75ab559a716c4f81661"/>
    <w:p>
      <w:pPr>
        <w:pStyle w:val="Heading3"/>
      </w:pPr>
      <w:r>
        <w:t xml:space="preserve">Issue 22 — No human factors / usability engineering</w:t>
      </w:r>
    </w:p>
    <w:p>
      <w:pPr>
        <w:pStyle w:val="FirstParagraph"/>
      </w:pPr>
      <w:r>
        <w:t xml:space="preserve">The console uses a touchscreen UI to control a 12,000 RPM impeller and aspiration; use errors could have safety consequences. The plan includes software V&amp;V but no human-factors/usability testing per FDA’s</w:t>
      </w:r>
      <w:r>
        <w:t xml:space="preserve"> </w:t>
      </w:r>
      <w:r>
        <w:rPr>
          <w:i/>
          <w:iCs/>
        </w:rPr>
        <w:t xml:space="preserve">Applying Human Factors and Usability Engineering to Medical Devices</w:t>
      </w:r>
      <w:r>
        <w:t xml:space="preserve"> </w:t>
      </w:r>
      <w:r>
        <w:t xml:space="preserve">guidance.</w:t>
      </w:r>
      <w:r>
        <w:t xml:space="preserve"> </w:t>
      </w:r>
      <w:r>
        <w:rPr>
          <w:b/>
          <w:bCs/>
        </w:rPr>
        <w:t xml:space="preserve">Recommendation:</w:t>
      </w:r>
      <w:r>
        <w:t xml:space="preserve"> </w:t>
      </w:r>
      <w:r>
        <w:t xml:space="preserve">consider whether a human-factors evaluation is warranted, particularly if the software level of concern is raised to Moderate (Issue 7); ask FDA in the Pre-Submission if uncertain.</w:t>
      </w:r>
    </w:p>
    <w:bookmarkEnd w:id="47"/>
    <w:bookmarkStart w:id="48" w:name="issue-23-cybersecurity-not-addressed"/>
    <w:p>
      <w:pPr>
        <w:pStyle w:val="Heading3"/>
      </w:pPr>
      <w:r>
        <w:t xml:space="preserve">Issue 23 — Cybersecurity not addressed</w:t>
      </w:r>
    </w:p>
    <w:p>
      <w:pPr>
        <w:pStyle w:val="FirstParagraph"/>
      </w:pPr>
      <w:r>
        <w:t xml:space="preserve">The console has embedded firmware and data logging. FDA’s 2023 cybersecurity guidance (</w:t>
      </w:r>
      <w:r>
        <w:rPr>
          <w:i/>
          <w:iCs/>
        </w:rPr>
        <w:t xml:space="preserve">Cybersecurity for Medical Devices</w:t>
      </w:r>
      <w:r>
        <w:t xml:space="preserve">) applies to devices with software functions. The plan does not address cybersecurity.</w:t>
      </w:r>
      <w:r>
        <w:t xml:space="preserve"> </w:t>
      </w:r>
      <w:r>
        <w:rPr>
          <w:b/>
          <w:bCs/>
        </w:rPr>
        <w:t xml:space="preserve">Recommendation:</w:t>
      </w:r>
      <w:r>
        <w:t xml:space="preserve"> </w:t>
      </w:r>
      <w:r>
        <w:t xml:space="preserve">include a cybersecurity discussion/documentation plan consistent with FDA’s 2023 guidance (at minimum, a security risk management summary and, if applicable, a SBOM); confirm whether the console has any connectivity that triggers the networked-device expectations.</w:t>
      </w:r>
    </w:p>
    <w:bookmarkEnd w:id="48"/>
    <w:bookmarkStart w:id="49" w:name="X974a3189aee2e0ab0c591eb9116ca3d3d3e7f99"/>
    <w:p>
      <w:pPr>
        <w:pStyle w:val="Heading3"/>
      </w:pPr>
      <w:r>
        <w:t xml:space="preserve">Issue 24 — Hydrophilic coating integrity not specifically tested</w:t>
      </w:r>
    </w:p>
    <w:p>
      <w:pPr>
        <w:pStyle w:val="FirstParagraph"/>
      </w:pPr>
      <w:r>
        <w:t xml:space="preserve">The Testing Plan § 2.3 lists a hydrophilic coating for chemical characterization but does not include coating adhesion/integrity testing. Hydrophilic-coating delamination and particulate embolization are recognized concerns FDA has flagged.</w:t>
      </w:r>
      <w:r>
        <w:t xml:space="preserve"> </w:t>
      </w:r>
      <w:r>
        <w:rPr>
          <w:b/>
          <w:bCs/>
        </w:rPr>
        <w:t xml:space="preserve">Recommendation:</w:t>
      </w:r>
      <w:r>
        <w:t xml:space="preserve"> </w:t>
      </w:r>
      <w:r>
        <w:t xml:space="preserve">add coating-integrity/adhesion testing (e.g., per relevant ASTM methods) and consider coating-particulate analysis.</w:t>
      </w:r>
    </w:p>
    <w:bookmarkEnd w:id="49"/>
    <w:bookmarkStart w:id="50" w:name="X6dca93d960de6ce4707c1925836b11924a32932"/>
    <w:p>
      <w:pPr>
        <w:pStyle w:val="Heading3"/>
      </w:pPr>
      <w:r>
        <w:t xml:space="preserve">Issue 25 — Materials-listing inconsistencies (silicone, barium sulfate)</w:t>
      </w:r>
    </w:p>
    <w:p>
      <w:pPr>
        <w:pStyle w:val="FirstParagraph"/>
      </w:pPr>
      <w:r>
        <w:t xml:space="preserve">The Clinical Synopsis exclusion criterion #6 references allergy to</w:t>
      </w:r>
      <w:r>
        <w:t xml:space="preserve"> </w:t>
      </w:r>
      <w:r>
        <w:t xml:space="preserve">“</w:t>
      </w:r>
      <w:r>
        <w:t xml:space="preserve">polyurethane and silicone,</w:t>
      </w:r>
      <w:r>
        <w:t xml:space="preserve">”</w:t>
      </w:r>
      <w:r>
        <w:t xml:space="preserve"> </w:t>
      </w:r>
      <w:r>
        <w:t xml:space="preserve">but silicone is not listed as a Device material anywhere in the device description or testing plan.</w:t>
      </w:r>
      <w:r>
        <w:t xml:space="preserve"> </w:t>
      </w:r>
      <w:r>
        <w:rPr>
          <w:i/>
          <w:iCs/>
        </w:rPr>
        <w:t xml:space="preserve">Clinical Synopsis</w:t>
      </w:r>
      <w:r>
        <w:t xml:space="preserve"> </w:t>
      </w:r>
      <w:r>
        <w:t xml:space="preserve">§ 7.3. The Draft IFU contraindication #2 references</w:t>
      </w:r>
      <w:r>
        <w:t xml:space="preserve"> </w:t>
      </w:r>
      <w:r>
        <w:t xml:space="preserve">“</w:t>
      </w:r>
      <w:r>
        <w:t xml:space="preserve">barium sulfate,</w:t>
      </w:r>
      <w:r>
        <w:t xml:space="preserve">”</w:t>
      </w:r>
      <w:r>
        <w:t xml:space="preserve"> </w:t>
      </w:r>
      <w:r>
        <w:t xml:space="preserve">but the Device Description does not identify a radiopaque marker or barium sulfate as a component.</w:t>
      </w:r>
      <w:r>
        <w:t xml:space="preserve"> </w:t>
      </w:r>
      <w:r>
        <w:rPr>
          <w:i/>
          <w:iCs/>
        </w:rPr>
        <w:t xml:space="preserve">Draft IFU</w:t>
      </w:r>
      <w:r>
        <w:t xml:space="preserve"> </w:t>
      </w:r>
      <w:r>
        <w:t xml:space="preserve">§ 3; cf. </w:t>
      </w:r>
      <w:r>
        <w:rPr>
          <w:i/>
          <w:iCs/>
        </w:rPr>
        <w:t xml:space="preserve">Device Description</w:t>
      </w:r>
      <w:r>
        <w:t xml:space="preserve"> </w:t>
      </w:r>
      <w:r>
        <w:t xml:space="preserve">§ 2.2 (no radiopaque marker mentioned);</w:t>
      </w:r>
      <w:r>
        <w:t xml:space="preserve"> </w:t>
      </w:r>
      <w:r>
        <w:rPr>
          <w:i/>
          <w:iCs/>
        </w:rPr>
        <w:t xml:space="preserve">510(k) Summary</w:t>
      </w:r>
      <w:r>
        <w:t xml:space="preserve"> </w:t>
      </w:r>
      <w:r>
        <w:t xml:space="preserve">§ 3.1 (predicate uses a barium-sulfate radiopaque marker band).</w:t>
      </w:r>
      <w:r>
        <w:t xml:space="preserve"> </w:t>
      </w:r>
      <w:r>
        <w:rPr>
          <w:b/>
          <w:bCs/>
        </w:rPr>
        <w:t xml:space="preserve">Recommendation:</w:t>
      </w:r>
      <w:r>
        <w:t xml:space="preserve"> </w:t>
      </w:r>
      <w:r>
        <w:t xml:space="preserve">reconcile the materials list across the IFU, clinical synopsis, device description, and testing plan; confirm whether a radiopaque marker is present and state it consistently; remove silicone if it is not a component.</w:t>
      </w:r>
    </w:p>
    <w:bookmarkEnd w:id="50"/>
    <w:bookmarkStart w:id="51" w:name="X5b519038f686b3ead56856265ef52ecaeedb88a"/>
    <w:p>
      <w:pPr>
        <w:pStyle w:val="Heading3"/>
      </w:pPr>
      <w:r>
        <w:t xml:space="preserve">Issue 26 — Budget/cost figures appear in an FDA-facing document</w:t>
      </w:r>
    </w:p>
    <w:p>
      <w:pPr>
        <w:pStyle w:val="FirstParagraph"/>
      </w:pPr>
      <w:r>
        <w:t xml:space="preserve">The Testing Plan § 9.1 states the testing program cost (~$600,000) and the overall 510(k) budget (~$1.4 million). These figures are not relevant to FDA’s scientific/regulatory review and are inappropriate in a document submitted to the Agency.</w:t>
      </w:r>
      <w:r>
        <w:t xml:space="preserve"> </w:t>
      </w:r>
      <w:r>
        <w:rPr>
          <w:b/>
          <w:bCs/>
        </w:rPr>
        <w:t xml:space="preserve">Recommendation:</w:t>
      </w:r>
      <w:r>
        <w:t xml:space="preserve"> </w:t>
      </w:r>
      <w:r>
        <w:t xml:space="preserve">remove all cost/budget figures from the Testing Plan (and any other enclosure) before filing.</w:t>
      </w:r>
    </w:p>
    <w:bookmarkEnd w:id="51"/>
    <w:bookmarkStart w:id="52" w:name="X72cb28f56a6abdb4d31da8b703303d2ad0495cf"/>
    <w:p>
      <w:pPr>
        <w:pStyle w:val="Heading3"/>
      </w:pPr>
      <w:r>
        <w:t xml:space="preserve">Issue 27 — Informed-consent / GCP details are thin for a Pre-Submission discussing clinical design</w:t>
      </w:r>
    </w:p>
    <w:p>
      <w:pPr>
        <w:pStyle w:val="FirstParagraph"/>
      </w:pPr>
      <w:r>
        <w:t xml:space="preserve">The Clinical Synopsis references 21 CFR Part 50 and IRB oversight and cites ISO 14155:2020, but the model ICF is</w:t>
      </w:r>
      <w:r>
        <w:t xml:space="preserve"> </w:t>
      </w:r>
      <w:r>
        <w:t xml:space="preserve">“</w:t>
      </w:r>
      <w:r>
        <w:t xml:space="preserve">in development</w:t>
      </w:r>
      <w:r>
        <w:t xml:space="preserve">”</w:t>
      </w:r>
      <w:r>
        <w:t xml:space="preserve"> </w:t>
      </w:r>
      <w:r>
        <w:t xml:space="preserve">and the synopsis does not address 21 CFR Part 56 (IRB) or Part 812 (IDE) in any detail — which is symptomatic of the IDE mischaracterization (Issue 2).</w:t>
      </w:r>
      <w:r>
        <w:t xml:space="preserve"> </w:t>
      </w:r>
      <w:r>
        <w:rPr>
          <w:b/>
          <w:bCs/>
        </w:rPr>
        <w:t xml:space="preserve">Recommendation:</w:t>
      </w:r>
      <w:r>
        <w:t xml:space="preserve"> </w:t>
      </w:r>
      <w:r>
        <w:t xml:space="preserve">once the IDE question is resolved (Issue 2), ensure the consent form discloses investigational status and that the synopsis correctly frames the applicable human-subjects regulations (Parts 50, 56, and 812 as applicable).</w:t>
      </w:r>
    </w:p>
    <w:p>
      <w:r>
        <w:pict>
          <v:rect style="width:0;height:1.5pt" o:hralign="center" o:hrstd="t" o:hr="t"/>
        </w:pict>
      </w:r>
    </w:p>
    <w:bookmarkEnd w:id="52"/>
    <w:bookmarkEnd w:id="53"/>
    <w:bookmarkStart w:id="54" w:name="Xdc2ecc7e5ea5bf6b72b1255bb69e5331633485d"/>
    <w:p>
      <w:pPr>
        <w:pStyle w:val="Heading2"/>
      </w:pPr>
      <w:r>
        <w:t xml:space="preserve">VII. Strategic and Corporate Considerations</w:t>
      </w:r>
    </w:p>
    <w:p>
      <w:pPr>
        <w:numPr>
          <w:ilvl w:val="0"/>
          <w:numId w:val="1004"/>
        </w:numPr>
      </w:pPr>
      <w:r>
        <w:rPr>
          <w:b/>
          <w:bCs/>
        </w:rPr>
        <w:t xml:space="preserve">The regulatory pathway risk has transactional consequences.</w:t>
      </w:r>
      <w:r>
        <w:t xml:space="preserve"> </w:t>
      </w:r>
      <w:r>
        <w:t xml:space="preserve">As you noted on May 12, if the combination-product question (Issue 1) or the IDE question (Issue 2) resolves against Clearfield, the review division, timeline, and special controls may change, and the Braddock Ventures milestone (510(k) clearance by December 31, 2025) is likely not achievable (Issue 10). Kendrick &amp; Hale should be looped in now — not after FDA responds — so that the corporate/transactional implications (milestone compliance, Series D terms, investor communications with Northgate Capital Advisors and Braddock Ventures) can be addressed in parallel with the regulatory strategy.</w:t>
      </w:r>
    </w:p>
    <w:p>
      <w:pPr>
        <w:numPr>
          <w:ilvl w:val="0"/>
          <w:numId w:val="1004"/>
        </w:numPr>
      </w:pPr>
      <w:r>
        <w:rPr>
          <w:b/>
          <w:bCs/>
        </w:rPr>
        <w:t xml:space="preserve">Financial runway heightens the cost of delay.</w:t>
      </w:r>
      <w:r>
        <w:t xml:space="preserve"> </w:t>
      </w:r>
      <w:r>
        <w:t xml:space="preserve">The email chain reflects a cash position of $18.3M (as of April 30, 2025), a monthly burn of ~$1.52M, and a total program cost of ~$4.2M ($1.4M 510(k) + $2.8M clinical). That is roughly 12 months of runway. Several Tier 1/Tier 2 issues (IDE, combination product, additional biocompatibility endpoints, larger clinical sample size, EMC/MRI/shelf-life testing) would increase cost and/or extend the timeline. The strategy should be stress-tested against a realistic (not best-case) timeline before the package is filed and before commitments to investors are reinforced.</w:t>
      </w:r>
    </w:p>
    <w:p>
      <w:pPr>
        <w:numPr>
          <w:ilvl w:val="0"/>
          <w:numId w:val="1004"/>
        </w:numPr>
      </w:pPr>
      <w:r>
        <w:rPr>
          <w:b/>
          <w:bCs/>
        </w:rPr>
        <w:t xml:space="preserve">The Pre-Submission should be used for its intended purpose.</w:t>
      </w:r>
      <w:r>
        <w:t xml:space="preserve"> </w:t>
      </w:r>
      <w:r>
        <w:t xml:space="preserve">The cheapest mitigation for the Tier 1 risks is to ask FDA the threshold questions (combination product; IDE) now, in the Q-Sub, rather than discovering FDA’s view during 510(k) review. The package currently fails to ask either question (Issue 4). Adding them is low-cost, high-value, and consistent with the Q-Sub program’s purpose.</w:t>
      </w:r>
    </w:p>
    <w:p>
      <w:pPr>
        <w:numPr>
          <w:ilvl w:val="0"/>
          <w:numId w:val="1004"/>
        </w:numPr>
      </w:pPr>
      <w:r>
        <w:rPr>
          <w:b/>
          <w:bCs/>
        </w:rPr>
        <w:t xml:space="preserve">Predicate/reference-device research is incomplete.</w:t>
      </w:r>
      <w:r>
        <w:t xml:space="preserve"> </w:t>
      </w:r>
      <w:r>
        <w:t xml:space="preserve">Both the combination-product argument and the substantial-equivalence argument rest on precedent that has not been adequately researched (Dr. Marsh conceded the OCP database search was not exhaustive; no specific reference devices are cited for the impeller or drug-delivery features). Completing this research before the Pre-Submission meeting will let Clearfield engage FDA from a position of evidence rather than assertion.</w:t>
      </w:r>
    </w:p>
    <w:p>
      <w:r>
        <w:pict>
          <v:rect style="width:0;height:1.5pt" o:hralign="center" o:hrstd="t" o:hr="t"/>
        </w:pict>
      </w:r>
    </w:p>
    <w:bookmarkEnd w:id="54"/>
    <w:bookmarkStart w:id="55" w:name="X0970613379a1c0a7147e4862cbb22e448be5008"/>
    <w:p>
      <w:pPr>
        <w:pStyle w:val="Heading2"/>
      </w:pPr>
      <w:r>
        <w:t xml:space="preserve">VIII. Recommended Actions Before the June 15 Filing</w:t>
      </w:r>
    </w:p>
    <w:p>
      <w:pPr>
        <w:pStyle w:val="FirstParagraph"/>
      </w:pPr>
      <w:r>
        <w:rPr>
          <w:b/>
          <w:bCs/>
        </w:rPr>
        <w:t xml:space="preserve">Must do before filing (Tier 1):</w:t>
      </w:r>
    </w:p>
    <w:p>
      <w:pPr>
        <w:pStyle w:val="Compact"/>
        <w:numPr>
          <w:ilvl w:val="0"/>
          <w:numId w:val="1005"/>
        </w:numPr>
      </w:pPr>
      <w:r>
        <w:t xml:space="preserve">Add the combination-product classification question and the IDE-requirement question to</w:t>
      </w:r>
      <w:r>
        <w:t xml:space="preserve"> </w:t>
      </w:r>
      <w:r>
        <w:rPr>
          <w:i/>
          <w:iCs/>
        </w:rPr>
        <w:t xml:space="preserve">Cover Letter</w:t>
      </w:r>
      <w:r>
        <w:t xml:space="preserve"> </w:t>
      </w:r>
      <w:r>
        <w:t xml:space="preserve">§ VI (Issues 1, 2, 4).</w:t>
      </w:r>
    </w:p>
    <w:p>
      <w:pPr>
        <w:pStyle w:val="Compact"/>
        <w:numPr>
          <w:ilvl w:val="0"/>
          <w:numId w:val="1005"/>
        </w:numPr>
      </w:pPr>
      <w:r>
        <w:t xml:space="preserve">Revise the Clinical Synopsis to remove the</w:t>
      </w:r>
      <w:r>
        <w:t xml:space="preserve"> </w:t>
      </w:r>
      <w:r>
        <w:t xml:space="preserve">“</w:t>
      </w:r>
      <w:r>
        <w:t xml:space="preserve">post-clearance</w:t>
      </w:r>
      <w:r>
        <w:t xml:space="preserve">”</w:t>
      </w:r>
      <w:r>
        <w:t xml:space="preserve">/</w:t>
      </w:r>
      <w:r>
        <w:t xml:space="preserve">“</w:t>
      </w:r>
      <w:r>
        <w:t xml:space="preserve">no IDE</w:t>
      </w:r>
      <w:r>
        <w:t xml:space="preserve">”</w:t>
      </w:r>
      <w:r>
        <w:t xml:space="preserve"> </w:t>
      </w:r>
      <w:r>
        <w:t xml:space="preserve">mischaracterization; reframe the study as pre-clearance/investigational and prepare for NSR or IDE contingencies (Issue 2).</w:t>
      </w:r>
    </w:p>
    <w:p>
      <w:pPr>
        <w:pStyle w:val="Compact"/>
        <w:numPr>
          <w:ilvl w:val="0"/>
          <w:numId w:val="1005"/>
        </w:numPr>
      </w:pPr>
      <w:r>
        <w:t xml:space="preserve">Begin predicate/reference-device research (OCP database; cleared rotational-impeller and drug-delivery catheters) and cite specific precedent in the device description (Issues 1, 3).</w:t>
      </w:r>
    </w:p>
    <w:p>
      <w:pPr>
        <w:pStyle w:val="Compact"/>
        <w:numPr>
          <w:ilvl w:val="0"/>
          <w:numId w:val="1005"/>
        </w:numPr>
      </w:pPr>
      <w:r>
        <w:t xml:space="preserve">Make and apply a deliberate decision on how drug delivery is positioned in the indication, consistently across the cover letter, device description, IFU, and clinical synopsis (Issue 9).</w:t>
      </w:r>
    </w:p>
    <w:p>
      <w:pPr>
        <w:pStyle w:val="Compact"/>
        <w:numPr>
          <w:ilvl w:val="0"/>
          <w:numId w:val="1005"/>
        </w:numPr>
      </w:pPr>
      <w:r>
        <w:t xml:space="preserve">Engage Kendrick &amp; Hale on the Braddock Ventures milestone and investor communications (Issues 10, VII).</w:t>
      </w:r>
    </w:p>
    <w:p>
      <w:pPr>
        <w:pStyle w:val="FirstParagraph"/>
      </w:pPr>
      <w:r>
        <w:rPr>
          <w:b/>
          <w:bCs/>
        </w:rPr>
        <w:t xml:space="preserve">Should do before filing (Tier 2):</w:t>
      </w:r>
    </w:p>
    <w:p>
      <w:pPr>
        <w:pStyle w:val="Compact"/>
        <w:numPr>
          <w:ilvl w:val="0"/>
          <w:numId w:val="1006"/>
        </w:numPr>
      </w:pPr>
      <w:r>
        <w:t xml:space="preserve">Reconcile the biocompatibility contact-duration classification with the IFU’s 72-hour indwell claim (decide &lt;24 h vs. prolonged) (Issue 5).</w:t>
      </w:r>
    </w:p>
    <w:p>
      <w:pPr>
        <w:pStyle w:val="Compact"/>
        <w:numPr>
          <w:ilvl w:val="0"/>
          <w:numId w:val="1006"/>
        </w:numPr>
      </w:pPr>
      <w:r>
        <w:t xml:space="preserve">Redefine the impeller fatigue test so</w:t>
      </w:r>
      <w:r>
        <w:t xml:space="preserve"> </w:t>
      </w:r>
      <w:r>
        <w:t xml:space="preserve">“</w:t>
      </w:r>
      <w:r>
        <w:t xml:space="preserve">cycle</w:t>
      </w:r>
      <w:r>
        <w:t xml:space="preserve">”</w:t>
      </w:r>
      <w:r>
        <w:t xml:space="preserve"> </w:t>
      </w:r>
      <w:r>
        <w:t xml:space="preserve">is clinically meaningful (Issue 6).</w:t>
      </w:r>
    </w:p>
    <w:p>
      <w:pPr>
        <w:pStyle w:val="Compact"/>
        <w:numPr>
          <w:ilvl w:val="0"/>
          <w:numId w:val="1006"/>
        </w:numPr>
      </w:pPr>
      <w:r>
        <w:t xml:space="preserve">Reassess the software level of concern (recommend</w:t>
      </w:r>
      <w:r>
        <w:t xml:space="preserve"> </w:t>
      </w:r>
      <w:r>
        <w:t xml:space="preserve">“</w:t>
      </w:r>
      <w:r>
        <w:t xml:space="preserve">Moderate</w:t>
      </w:r>
      <w:r>
        <w:t xml:space="preserve">”</w:t>
      </w:r>
      <w:r>
        <w:t xml:space="preserve">) and update the software-documentation plan and guidance references (Issues 7, 21).</w:t>
      </w:r>
    </w:p>
    <w:p>
      <w:pPr>
        <w:pStyle w:val="Compact"/>
        <w:numPr>
          <w:ilvl w:val="0"/>
          <w:numId w:val="1006"/>
        </w:numPr>
      </w:pPr>
      <w:r>
        <w:t xml:space="preserve">Add IEC 60601-1-2 EMC testing to the electrical-safety plan (Issue 8).</w:t>
      </w:r>
    </w:p>
    <w:p>
      <w:pPr>
        <w:pStyle w:val="Compact"/>
        <w:numPr>
          <w:ilvl w:val="0"/>
          <w:numId w:val="1006"/>
        </w:numPr>
      </w:pPr>
      <w:r>
        <w:t xml:space="preserve">Rebuild a realistic end-to-end timeline and correct the testing-initiation date contradiction (Issue 10).</w:t>
      </w:r>
    </w:p>
    <w:p>
      <w:pPr>
        <w:pStyle w:val="FirstParagraph"/>
      </w:pPr>
      <w:r>
        <w:rPr>
          <w:b/>
          <w:bCs/>
        </w:rPr>
        <w:t xml:space="preserve">Should address before filing or flag to FDA (Tier 3):</w:t>
      </w:r>
    </w:p>
    <w:p>
      <w:pPr>
        <w:pStyle w:val="Compact"/>
        <w:numPr>
          <w:ilvl w:val="0"/>
          <w:numId w:val="1007"/>
        </w:numPr>
      </w:pPr>
      <w:r>
        <w:t xml:space="preserve">Add MRI safety testing; complete IFU § 6 (Issue 11).</w:t>
      </w:r>
    </w:p>
    <w:p>
      <w:pPr>
        <w:pStyle w:val="Compact"/>
        <w:numPr>
          <w:ilvl w:val="0"/>
          <w:numId w:val="1007"/>
        </w:numPr>
      </w:pPr>
      <w:r>
        <w:t xml:space="preserve">Justify the 70% performance goal; reconcile 50%/80% thresholds; consider longer follow-up (Issue 12).</w:t>
      </w:r>
    </w:p>
    <w:p>
      <w:pPr>
        <w:pStyle w:val="Compact"/>
        <w:numPr>
          <w:ilvl w:val="0"/>
          <w:numId w:val="1007"/>
        </w:numPr>
      </w:pPr>
      <w:r>
        <w:t xml:space="preserve">Recompute the clinical sample size with a biostatistician (Issue 13).</w:t>
      </w:r>
    </w:p>
    <w:p>
      <w:pPr>
        <w:pStyle w:val="Compact"/>
        <w:numPr>
          <w:ilvl w:val="0"/>
          <w:numId w:val="1007"/>
        </w:numPr>
      </w:pPr>
      <w:r>
        <w:t xml:space="preserve">Plan drug-compatibility/dose-accuracy testing (Issue 14).</w:t>
      </w:r>
    </w:p>
    <w:p>
      <w:pPr>
        <w:pStyle w:val="Compact"/>
        <w:numPr>
          <w:ilvl w:val="0"/>
          <w:numId w:val="1007"/>
        </w:numPr>
      </w:pPr>
      <w:r>
        <w:t xml:space="preserve">Add thrombus-fragment/embolization and dynamic hemolysis testing (Issues 15, 16).</w:t>
      </w:r>
    </w:p>
    <w:p>
      <w:pPr>
        <w:pStyle w:val="Compact"/>
        <w:numPr>
          <w:ilvl w:val="0"/>
          <w:numId w:val="1007"/>
        </w:numPr>
      </w:pPr>
      <w:r>
        <w:t xml:space="preserve">Add shelf-life/package-integrity and console reprocessing validation (Issues 17, 18).</w:t>
      </w:r>
    </w:p>
    <w:p>
      <w:pPr>
        <w:pStyle w:val="Compact"/>
        <w:numPr>
          <w:ilvl w:val="0"/>
          <w:numId w:val="1007"/>
        </w:numPr>
      </w:pPr>
      <w:r>
        <w:t xml:space="preserve">Reconcile all cross-document inconsistencies, especially impeller material, predicate population, and predicate aspiration pressure (Issue 19).</w:t>
      </w:r>
    </w:p>
    <w:p>
      <w:pPr>
        <w:pStyle w:val="FirstParagraph"/>
      </w:pPr>
      <w:r>
        <w:rPr>
          <w:b/>
          <w:bCs/>
        </w:rPr>
        <w:t xml:space="preserve">Clean-up (Tier 4):</w:t>
      </w:r>
    </w:p>
    <w:p>
      <w:pPr>
        <w:pStyle w:val="Compact"/>
        <w:numPr>
          <w:ilvl w:val="0"/>
          <w:numId w:val="1008"/>
        </w:numPr>
      </w:pPr>
      <w:r>
        <w:t xml:space="preserve">Update guidance references; add human-factors and cybersecurity plans; add coating-integrity testing; reconcile materials lists; remove budget figures from FDA-facing documents; complete consent/GCP framing (Issues 21–27).</w:t>
      </w:r>
    </w:p>
    <w:p>
      <w:r>
        <w:pict>
          <v:rect style="width:0;height:1.5pt" o:hralign="center" o:hrstd="t" o:hr="t"/>
        </w:pict>
      </w:r>
    </w:p>
    <w:bookmarkEnd w:id="55"/>
    <w:bookmarkStart w:id="56" w:name="ix.-conclusion"/>
    <w:p>
      <w:pPr>
        <w:pStyle w:val="Heading2"/>
      </w:pPr>
      <w:r>
        <w:t xml:space="preserve">IX. Conclusion</w:t>
      </w:r>
    </w:p>
    <w:p>
      <w:pPr>
        <w:pStyle w:val="FirstParagraph"/>
      </w:pPr>
      <w:r>
        <w:t xml:space="preserve">The package demonstrates substantial effort and a coherent overall structure, but it is not ready for filing on June 15 in its current form. The Tier 1 issues — the unaddressed combination-product question, the legally incorrect</w:t>
      </w:r>
      <w:r>
        <w:t xml:space="preserve"> </w:t>
      </w:r>
      <w:r>
        <w:t xml:space="preserve">“</w:t>
      </w:r>
      <w:r>
        <w:t xml:space="preserve">post-clearance</w:t>
      </w:r>
      <w:r>
        <w:t xml:space="preserve">”</w:t>
      </w:r>
      <w:r>
        <w:t xml:space="preserve">/</w:t>
      </w:r>
      <w:r>
        <w:t xml:space="preserve">“</w:t>
      </w:r>
      <w:r>
        <w:t xml:space="preserve">no IDE</w:t>
      </w:r>
      <w:r>
        <w:t xml:space="preserve">”</w:t>
      </w:r>
      <w:r>
        <w:t xml:space="preserve"> </w:t>
      </w:r>
      <w:r>
        <w:t xml:space="preserve">characterization of the clinical study, the single-predicate substantial-equivalence strategy against a predicate that lacks the Device’s defining features, and the omission of the two threshold questions you recommended — are the priorities. Several can be mitigated quickly and cheaply by adding questions to the Pre-Submission, which is precisely the mechanism the Q-Sub program provides. The Tier 2 scientific gaps (biocompatibility contact duration, impeller fatigue, software level of concern, EMC, timeline feasibility) require substantive work but should at minimum be acknowledged to FDA with a plan. The Tier 3 and Tier 4 items should be corrected for credibility and completeness.</w:t>
      </w:r>
    </w:p>
    <w:p>
      <w:pPr>
        <w:pStyle w:val="BodyText"/>
      </w:pPr>
      <w:r>
        <w:t xml:space="preserve">I am available to discuss any of the above and to assist with revisions to the cover letter, device description, testing plan, clinical synopsis, and IFU. Given the May 19 internal review deadline and the June 15 filing target, I recommend we prioritize the Tier 1 fixes this week.</w:t>
      </w:r>
    </w:p>
    <w:p>
      <w:pPr>
        <w:pStyle w:val="BodyText"/>
      </w:pPr>
      <w:r>
        <w:t xml:space="preserve">Respectfully,</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(202) 555-0387 | dyoo@htblaw.com</w:t>
      </w:r>
    </w:p>
    <w:p>
      <w:pPr>
        <w:pStyle w:val="BodyText"/>
      </w:pPr>
      <w:r>
        <w:rPr>
          <w:i/>
          <w:iCs/>
        </w:rPr>
        <w:t xml:space="preserve">PRIVILEGED &amp; CONFIDENTIAL — ATTORNEY-CLIENT COMMUNICATION AND/OR ATTORNEY WORK PRODUCT. Prepared in anticipation of the Pre-Submission filing for the VascuClear 3000 Thrombectomy System. Not for distribution outside the attorney-client relationship without the consent of Hargrove, Templeton &amp; Bliss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2026-06-27T20:45:19Z</dcterms:created>
  <dcterms:modified xsi:type="dcterms:W3CDTF">2026-06-27T20:45:19Z</dcterms:modified>
</cp:coreProperties>
</file>

<file path=docProps/custom.xml><?xml version="1.0" encoding="utf-8"?>
<Properties xmlns="http://schemas.openxmlformats.org/officeDocument/2006/custom-properties" xmlns:vt="http://schemas.openxmlformats.org/officeDocument/2006/docPropsVTypes"/>
</file>