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PRIVILEGED AND 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File — Engagement: Prismex Analytics, Inc. / Mehrotra PERM &amp; Downstream Petitions</w:t>
            </w:r>
          </w:p>
        </w:tc>
      </w:tr>
      <w:tr>
        <w:tc>
          <w:tcPr/>
          <w:p>
            <w:pPr>
              <w:pStyle w:val="Compact"/>
              <w:jc w:val="left"/>
            </w:pPr>
            <w:r>
              <w:rPr>
                <w:b/>
                <w:bCs/>
              </w:rPr>
              <w:t xml:space="preserve">FROM:</w:t>
            </w:r>
          </w:p>
        </w:tc>
        <w:tc>
          <w:tcPr/>
          <w:p>
            <w:pPr>
              <w:pStyle w:val="Compact"/>
              <w:jc w:val="left"/>
            </w:pPr>
            <w:r>
              <w:t xml:space="preserve">Reviewing Counsel, Whitmore &amp; Callahan LLP</w:t>
            </w:r>
          </w:p>
        </w:tc>
      </w:tr>
      <w:tr>
        <w:tc>
          <w:tcPr/>
          <w:p>
            <w:pPr>
              <w:pStyle w:val="Compact"/>
              <w:jc w:val="left"/>
            </w:pPr>
            <w:r>
              <w:rPr>
                <w:b/>
                <w:bCs/>
              </w:rPr>
              <w:t xml:space="preserve">DATE:</w:t>
            </w:r>
          </w:p>
        </w:tc>
        <w:tc>
          <w:tcPr/>
          <w:p>
            <w:pPr>
              <w:pStyle w:val="Compact"/>
              <w:jc w:val="left"/>
            </w:pPr>
            <w:r>
              <w:t xml:space="preserve">June 13, 2025</w:t>
            </w:r>
          </w:p>
        </w:tc>
      </w:tr>
      <w:tr>
        <w:tc>
          <w:tcPr/>
          <w:p>
            <w:pPr>
              <w:pStyle w:val="Compact"/>
              <w:jc w:val="left"/>
            </w:pPr>
            <w:r>
              <w:rPr>
                <w:b/>
                <w:bCs/>
              </w:rPr>
              <w:t xml:space="preserve">RE:</w:t>
            </w:r>
          </w:p>
        </w:tc>
        <w:tc>
          <w:tcPr/>
          <w:p>
            <w:pPr>
              <w:pStyle w:val="Compact"/>
              <w:jc w:val="left"/>
            </w:pPr>
            <w:r>
              <w:t xml:space="preserve">Credential Gap Analysis — Certified PERM Application (ETA Form 9089), Case No. A-18247-63910 — Prismex Analytics, Inc. (Employer) v. Ananya Mehrotra (Beneficiary) — Position: Senior Machine Learning Engineer</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reviews the certified PERM application (ETA Form 9089, Case No. A-18247-63910, filed March 15, 2025; certified May 22, 2025) filed by Prismex Analytics, Inc. (</w:t>
      </w:r>
      <w:r>
        <w:t xml:space="preserve">“</w:t>
      </w:r>
      <w:r>
        <w:t xml:space="preserve">Prismex</w:t>
      </w:r>
      <w:r>
        <w:t xml:space="preserve">”</w:t>
      </w:r>
      <w:r>
        <w:t xml:space="preserve"> </w:t>
      </w:r>
      <w:r>
        <w:t xml:space="preserve">or the</w:t>
      </w:r>
      <w:r>
        <w:t xml:space="preserve"> </w:t>
      </w:r>
      <w:r>
        <w:t xml:space="preserve">“</w:t>
      </w:r>
      <w:r>
        <w:t xml:space="preserve">Employer</w:t>
      </w:r>
      <w:r>
        <w:t xml:space="preserve">”</w:t>
      </w:r>
      <w:r>
        <w:t xml:space="preserve">) on behalf of Ananya Mehrotra (the</w:t>
      </w:r>
      <w:r>
        <w:t xml:space="preserve"> </w:t>
      </w:r>
      <w:r>
        <w:t xml:space="preserve">“</w:t>
      </w:r>
      <w:r>
        <w:t xml:space="preserve">Beneficiary</w:t>
      </w:r>
      <w:r>
        <w:t xml:space="preserve">”</w:t>
      </w:r>
      <w:r>
        <w:t xml:space="preserve">) for the position of Senior Machine Learning Engineer, and compares the minimum requirements stated on the application (Section J.B) against the Beneficiary’s supporting credentials. The review was undertaken in connection with the Employer’s transition to the H-1B (Form I-129) and, ultimately, the Form I-140 immigrant petition stages.</w:t>
      </w:r>
    </w:p>
    <w:p>
      <w:pPr>
        <w:pStyle w:val="BodyText"/>
      </w:pPr>
      <w:r>
        <w:t xml:space="preserve">The Beneficiary’s credentials are strong and, with one critical exception, satisfy the PERM’s stated minimum requirements. The education requirement (Master’s degree in Computer Science) is met by her M.S. from North Carolina State University. The experience requirement (five years of progressive post-master’s experience) is met by approximately six years and nine months of qualifying experience at DataBridge Solutions LLC as of the March 15, 2025 priority date. Four of the five enumerated special skills are well documented.</w:t>
      </w:r>
    </w:p>
    <w:p>
      <w:pPr>
        <w:pStyle w:val="BodyText"/>
      </w:pPr>
      <w:r>
        <w:rPr>
          <w:b/>
          <w:bCs/>
        </w:rPr>
        <w:t xml:space="preserve">However, the review identifies one CRITICAL gap and several moderate-to-minor gaps and documentary inconsistencies that must be addressed before the Form I-140 is filed:</w:t>
      </w:r>
    </w:p>
    <w:p>
      <w:pPr>
        <w:numPr>
          <w:ilvl w:val="0"/>
          <w:numId w:val="1001"/>
        </w:numPr>
      </w:pPr>
      <w:r>
        <w:rPr>
          <w:b/>
          <w:bCs/>
        </w:rPr>
        <w:t xml:space="preserve">CRITICAL — AWS Certified Machine Learning – Specialty certification.</w:t>
      </w:r>
      <w:r>
        <w:t xml:space="preserve"> </w:t>
      </w:r>
      <w:r>
        <w:t xml:space="preserve">The PERM states this certification (or an equivalent) is</w:t>
      </w:r>
      <w:r>
        <w:t xml:space="preserve"> </w:t>
      </w:r>
      <w:r>
        <w:rPr>
          <w:i/>
          <w:iCs/>
        </w:rPr>
        <w:t xml:space="preserve">required</w:t>
      </w:r>
      <w:r>
        <w:t xml:space="preserve"> </w:t>
      </w:r>
      <w:r>
        <w:t xml:space="preserve">(Section J.B.5). The Beneficiary does</w:t>
      </w:r>
      <w:r>
        <w:t xml:space="preserve"> </w:t>
      </w:r>
      <w:r>
        <w:rPr>
          <w:b/>
          <w:bCs/>
        </w:rPr>
        <w:t xml:space="preserve">not</w:t>
      </w:r>
      <w:r>
        <w:t xml:space="preserve"> </w:t>
      </w:r>
      <w:r>
        <w:t xml:space="preserve">hold it. The only AWS credential she holds — AWS Certified Cloud Practitioner — is a</w:t>
      </w:r>
      <w:r>
        <w:t xml:space="preserve"> </w:t>
      </w:r>
      <w:r>
        <w:rPr>
          <w:i/>
          <w:iCs/>
        </w:rPr>
        <w:t xml:space="preserve">foundational</w:t>
      </w:r>
      <w:r>
        <w:t xml:space="preserve">-level certification that</w:t>
      </w:r>
      <w:r>
        <w:t xml:space="preserve"> </w:t>
      </w:r>
      <w:r>
        <w:rPr>
          <w:b/>
          <w:bCs/>
        </w:rPr>
        <w:t xml:space="preserve">expired on January 18, 2025</w:t>
      </w:r>
      <w:r>
        <w:t xml:space="preserve">, before the PERM filing date, and is not equivalent to the specialty-level certification. Her TensorFlow Developer Certificate is issued by Google and is not an AWS equivalent. This gap is compounded by the Employer’s attestation on the ETA 9089 (Section K.3) that the Beneficiary possesses all stated special skills, which is inconsistent with the documentary record. This creates material risk at the I-140 stage (failure to meet a minimum requirement as of the priority date) and potential integrity/revocation exposure for the certified PERM.</w:t>
      </w:r>
    </w:p>
    <w:p>
      <w:pPr>
        <w:numPr>
          <w:ilvl w:val="0"/>
          <w:numId w:val="1001"/>
        </w:numPr>
      </w:pPr>
      <w:r>
        <w:rPr>
          <w:b/>
          <w:bCs/>
        </w:rPr>
        <w:t xml:space="preserve">MODERATE — FEIN discrepancy.</w:t>
      </w:r>
      <w:r>
        <w:t xml:space="preserve"> </w:t>
      </w:r>
      <w:r>
        <w:t xml:space="preserve">The Employer’s Federal Employer Identification Number (FEIN) is listed as</w:t>
      </w:r>
      <w:r>
        <w:t xml:space="preserve"> </w:t>
      </w:r>
      <w:r>
        <w:rPr>
          <w:b/>
          <w:bCs/>
        </w:rPr>
        <w:t xml:space="preserve">84-3291756</w:t>
      </w:r>
      <w:r>
        <w:t xml:space="preserve"> </w:t>
      </w:r>
      <w:r>
        <w:t xml:space="preserve">on the PERM (Section C.7) but as</w:t>
      </w:r>
      <w:r>
        <w:t xml:space="preserve"> </w:t>
      </w:r>
      <w:r>
        <w:rPr>
          <w:b/>
          <w:bCs/>
        </w:rPr>
        <w:t xml:space="preserve">84-3291047</w:t>
      </w:r>
      <w:r>
        <w:t xml:space="preserve"> </w:t>
      </w:r>
      <w:r>
        <w:t xml:space="preserve">on the Prevailing Wage Determination (PWD). This must be reconciled before the I-140, where the FEIN anchors the ability-to-pay analysis.</w:t>
      </w:r>
    </w:p>
    <w:p>
      <w:pPr>
        <w:numPr>
          <w:ilvl w:val="0"/>
          <w:numId w:val="1001"/>
        </w:numPr>
      </w:pPr>
      <w:r>
        <w:rPr>
          <w:b/>
          <w:bCs/>
        </w:rPr>
        <w:t xml:space="preserve">MODERATE — Missing NC State Research Assistant verification letter.</w:t>
      </w:r>
      <w:r>
        <w:t xml:space="preserve"> </w:t>
      </w:r>
      <w:r>
        <w:t xml:space="preserve">The PERM lists the Beneficiary’s Research Assistant appointment at NC State (August 2016 – May 2018) as an experience entry, but no third-party verification letter has been obtained (the supervising professor is on sabbatical). The transcript partially documents the appointment. This experience is not needed to satisfy the five-year minimum, but it should be corroborated if relied upon.</w:t>
      </w:r>
    </w:p>
    <w:p>
      <w:pPr>
        <w:numPr>
          <w:ilvl w:val="0"/>
          <w:numId w:val="1001"/>
        </w:numPr>
      </w:pPr>
      <w:r>
        <w:rPr>
          <w:b/>
          <w:bCs/>
        </w:rPr>
        <w:t xml:space="preserve">MINOR/SOFT — R programming proficiency; supervisory scope;</w:t>
      </w:r>
      <w:r>
        <w:rPr>
          <w:b/>
          <w:bCs/>
        </w:rPr>
        <w:t xml:space="preserve"> </w:t>
      </w:r>
      <w:r>
        <w:rPr>
          <w:b/>
          <w:bCs/>
        </w:rPr>
        <w:t xml:space="preserve">“</w:t>
      </w:r>
      <w:r>
        <w:rPr>
          <w:b/>
          <w:bCs/>
        </w:rPr>
        <w:t xml:space="preserve">Dr.</w:t>
      </w:r>
      <w:r>
        <w:rPr>
          <w:b/>
          <w:bCs/>
        </w:rPr>
        <w:t xml:space="preserve">”</w:t>
      </w:r>
      <w:r>
        <w:rPr>
          <w:b/>
          <w:bCs/>
        </w:rPr>
        <w:t xml:space="preserve"> </w:t>
      </w:r>
      <w:r>
        <w:rPr>
          <w:b/>
          <w:bCs/>
        </w:rPr>
        <w:t xml:space="preserve">honorific; telephone-number consistency; and experience-calculation precision.</w:t>
      </w:r>
      <w:r>
        <w:t xml:space="preserve"> </w:t>
      </w:r>
      <w:r>
        <w:t xml:space="preserve">Each is addressed below with targeted remedial steps.</w:t>
      </w:r>
    </w:p>
    <w:p>
      <w:pPr>
        <w:pStyle w:val="FirstParagraph"/>
      </w:pPr>
      <w:r>
        <w:t xml:space="preserve">A prioritized summary and remedial recommendations appear in Sections V and VI. Given the Beneficiary’s STEM OPT expiration on September 15, 2025, and the targeted H-1B filing date of approximately July 15, 2025, the critical certification gap should be addressed immediately.</w:t>
      </w:r>
    </w:p>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2"/>
        </w:numPr>
      </w:pPr>
      <w:r>
        <w:rPr>
          <w:b/>
          <w:bCs/>
        </w:rPr>
        <w:t xml:space="preserve">ETA Form 9089</w:t>
      </w:r>
      <w:r>
        <w:t xml:space="preserve"> </w:t>
      </w:r>
      <w:r>
        <w:t xml:space="preserve">— Application for Permanent Employment Certification, PERM Case No. A-18247-63910 (filed March 15, 2025; certified May 22, 2025), including addenda to Sections H.10, J.B.5, and J.C.</w:t>
      </w:r>
    </w:p>
    <w:p>
      <w:pPr>
        <w:pStyle w:val="Compact"/>
        <w:numPr>
          <w:ilvl w:val="0"/>
          <w:numId w:val="1002"/>
        </w:numPr>
      </w:pPr>
      <w:r>
        <w:rPr>
          <w:b/>
          <w:bCs/>
        </w:rPr>
        <w:t xml:space="preserve">Resume / CV</w:t>
      </w:r>
      <w:r>
        <w:t xml:space="preserve"> </w:t>
      </w:r>
      <w:r>
        <w:t xml:space="preserve">of Dr. Ananya Mehrotra.</w:t>
      </w:r>
    </w:p>
    <w:p>
      <w:pPr>
        <w:pStyle w:val="Compact"/>
        <w:numPr>
          <w:ilvl w:val="0"/>
          <w:numId w:val="1002"/>
        </w:numPr>
      </w:pPr>
      <w:r>
        <w:rPr>
          <w:b/>
          <w:bCs/>
        </w:rPr>
        <w:t xml:space="preserve">Experience letter</w:t>
      </w:r>
      <w:r>
        <w:t xml:space="preserve"> </w:t>
      </w:r>
      <w:r>
        <w:t xml:space="preserve">from DataBridge Solutions LLC, signed by Dr. Samuel Okonkwo, VP of Data Science, dated April 10, 2025.</w:t>
      </w:r>
    </w:p>
    <w:p>
      <w:pPr>
        <w:pStyle w:val="Compact"/>
        <w:numPr>
          <w:ilvl w:val="0"/>
          <w:numId w:val="1002"/>
        </w:numPr>
      </w:pPr>
      <w:r>
        <w:rPr>
          <w:b/>
          <w:bCs/>
        </w:rPr>
        <w:t xml:space="preserve">Experience letter</w:t>
      </w:r>
      <w:r>
        <w:t xml:space="preserve"> </w:t>
      </w:r>
      <w:r>
        <w:t xml:space="preserve">from Evalpoint Technologies Pvt. Ltd., signed by Vikram Reddy, Director of Engineering, dated March 28, 2025.</w:t>
      </w:r>
    </w:p>
    <w:p>
      <w:pPr>
        <w:pStyle w:val="Compact"/>
        <w:numPr>
          <w:ilvl w:val="0"/>
          <w:numId w:val="1002"/>
        </w:numPr>
      </w:pPr>
      <w:r>
        <w:rPr>
          <w:b/>
          <w:bCs/>
        </w:rPr>
        <w:t xml:space="preserve">Official academic transcript</w:t>
      </w:r>
      <w:r>
        <w:t xml:space="preserve">, North Carolina State University, M.S. in Computer Science (conferred May 12, 2018), issued May 20, 2025.</w:t>
      </w:r>
    </w:p>
    <w:p>
      <w:pPr>
        <w:pStyle w:val="Compact"/>
        <w:numPr>
          <w:ilvl w:val="0"/>
          <w:numId w:val="1002"/>
        </w:numPr>
      </w:pPr>
      <w:r>
        <w:rPr>
          <w:b/>
          <w:bCs/>
        </w:rPr>
        <w:t xml:space="preserve">Credential evaluation report</w:t>
      </w:r>
      <w:r>
        <w:t xml:space="preserve">, International Academic Evaluators (IAE), Report No. IAE-2025-02-4738, dated February 15, 2025 (B.Tech, MIT-Pune).</w:t>
      </w:r>
    </w:p>
    <w:p>
      <w:pPr>
        <w:pStyle w:val="Compact"/>
        <w:numPr>
          <w:ilvl w:val="0"/>
          <w:numId w:val="1002"/>
        </w:numPr>
      </w:pPr>
      <w:r>
        <w:rPr>
          <w:b/>
          <w:bCs/>
        </w:rPr>
        <w:t xml:space="preserve">Professional certifications compilation</w:t>
      </w:r>
      <w:r>
        <w:t xml:space="preserve">, Whitmore &amp; Callahan LLP, June 2025 (AWS Certified Cloud Practitioner; TensorFlow Developer Certificate).</w:t>
      </w:r>
    </w:p>
    <w:p>
      <w:pPr>
        <w:pStyle w:val="Compact"/>
        <w:numPr>
          <w:ilvl w:val="0"/>
          <w:numId w:val="1002"/>
        </w:numPr>
      </w:pPr>
      <w:r>
        <w:rPr>
          <w:b/>
          <w:bCs/>
        </w:rPr>
        <w:t xml:space="preserve">Prevailing Wage Determination</w:t>
      </w:r>
      <w:r>
        <w:t xml:space="preserve">, PWD Tracking No. P-200-24187-329156, issued November 8, 2024 (SOC 15-2051, Level III, Austin-Round Rock-Georgetown, TX MSA, $131,747/year).</w:t>
      </w:r>
    </w:p>
    <w:p>
      <w:pPr>
        <w:pStyle w:val="Compact"/>
        <w:numPr>
          <w:ilvl w:val="0"/>
          <w:numId w:val="1002"/>
        </w:numPr>
      </w:pPr>
      <w:r>
        <w:rPr>
          <w:b/>
          <w:bCs/>
        </w:rPr>
        <w:t xml:space="preserve">Email</w:t>
      </w:r>
      <w:r>
        <w:t xml:space="preserve"> </w:t>
      </w:r>
      <w:r>
        <w:t xml:space="preserve">from Melanie Foss, HR Director (Prismex), to Craig Halloran, Esq., dated June 4, 2025, transmitting the petition package.</w:t>
      </w:r>
    </w:p>
    <w:p>
      <w:r>
        <w:pict>
          <v:rect style="width:0;height:1.5pt" o:hralign="center" o:hrstd="t" o:hr="t"/>
        </w:pict>
      </w:r>
    </w:p>
    <w:bookmarkEnd w:id="21"/>
    <w:bookmarkStart w:id="22" w:name="Xb34b9c13c71a9f490208f3d563258efc2656b7d"/>
    <w:p>
      <w:pPr>
        <w:pStyle w:val="Heading2"/>
      </w:pPr>
      <w:r>
        <w:t xml:space="preserve">III. Summary of PERM Minimum Requirements (Section J.B)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As Stated on ETA 9089</w:t>
            </w:r>
          </w:p>
        </w:tc>
      </w:tr>
      <w:tr>
        <w:tc>
          <w:tcPr/>
          <w:p>
            <w:pPr>
              <w:pStyle w:val="Compact"/>
              <w:jc w:val="left"/>
            </w:pPr>
            <w:r>
              <w:rPr>
                <w:b/>
                <w:bCs/>
              </w:rPr>
              <w:t xml:space="preserve">Education (J.B.1)</w:t>
            </w:r>
          </w:p>
        </w:tc>
        <w:tc>
          <w:tcPr/>
          <w:p>
            <w:pPr>
              <w:pStyle w:val="Compact"/>
              <w:jc w:val="left"/>
            </w:pPr>
            <w:r>
              <w:t xml:space="preserve">Master’s degree in Computer Science, Machine Learning, or a closely related field. Foreign equivalent accepted.</w:t>
            </w:r>
          </w:p>
        </w:tc>
      </w:tr>
      <w:tr>
        <w:tc>
          <w:tcPr/>
          <w:p>
            <w:pPr>
              <w:pStyle w:val="Compact"/>
              <w:jc w:val="left"/>
            </w:pPr>
            <w:r>
              <w:rPr>
                <w:b/>
                <w:bCs/>
              </w:rPr>
              <w:t xml:space="preserve">Experience (J.B.3)</w:t>
            </w:r>
          </w:p>
        </w:tc>
        <w:tc>
          <w:tcPr/>
          <w:p>
            <w:pPr>
              <w:pStyle w:val="Compact"/>
              <w:jc w:val="left"/>
            </w:pPr>
            <w:r>
              <w:t xml:space="preserve">5 years of progressive post-master’s experience in machine learning engineering or a closely related occupation.</w:t>
            </w:r>
          </w:p>
        </w:tc>
      </w:tr>
      <w:tr>
        <w:tc>
          <w:tcPr/>
          <w:p>
            <w:pPr>
              <w:pStyle w:val="Compact"/>
              <w:jc w:val="left"/>
            </w:pPr>
            <w:r>
              <w:rPr>
                <w:b/>
                <w:bCs/>
              </w:rPr>
              <w:t xml:space="preserve">Alternate combination (J.B.4)</w:t>
            </w:r>
          </w:p>
        </w:tc>
        <w:tc>
          <w:tcPr/>
          <w:p>
            <w:pPr>
              <w:pStyle w:val="Compact"/>
              <w:jc w:val="left"/>
            </w:pPr>
            <w:r>
              <w:t xml:space="preserve">None accepted.</w:t>
            </w:r>
          </w:p>
        </w:tc>
      </w:tr>
      <w:tr>
        <w:tc>
          <w:tcPr/>
          <w:p>
            <w:pPr>
              <w:pStyle w:val="Compact"/>
              <w:jc w:val="left"/>
            </w:pPr>
            <w:r>
              <w:rPr>
                <w:b/>
                <w:bCs/>
              </w:rPr>
              <w:t xml:space="preserve">Special skills / other (J.B.5)</w:t>
            </w:r>
          </w:p>
        </w:tc>
        <w:tc>
          <w:tcPr/>
          <w:p>
            <w:pPr>
              <w:pStyle w:val="Compact"/>
              <w:jc w:val="left"/>
            </w:pPr>
            <w:r>
              <w:t xml:space="preserve">(a) designing/deploying production-grade deep learning models using TensorFlow or PyTorch; (b) experience with distributed computing frameworks including Apache Spark; (c) NLP pipeline development; (d) cloud-based ML deployment on AWS SageMaker or Google Vertex AI; (e) proficiency in Python and R;</w:t>
            </w:r>
            <w:r>
              <w:t xml:space="preserve"> </w:t>
            </w:r>
            <w:r>
              <w:rPr>
                <w:b/>
                <w:bCs/>
              </w:rPr>
              <w:t xml:space="preserve">AWS Certified Machine Learning – Specialty certification or equivalent required</w:t>
            </w:r>
            <w:r>
              <w:t xml:space="preserve">; up to 10% domestic travel; will supervise a team of 3–5 ML engineers.</w:t>
            </w:r>
          </w:p>
        </w:tc>
      </w:tr>
    </w:tbl>
    <w:p>
      <w:pPr>
        <w:pStyle w:val="BodyText"/>
      </w:pPr>
      <w:r>
        <w:t xml:space="preserve">The Employer attested (Section K) that the Beneficiary meets the education requirement (K.1 = Yes), the experience requirement (K.2 = Yes), and all special skills/other requirements (K.3 = Yes), and that she did not gain qualifying experience with the petitioning employer (K.5 = No).</w:t>
      </w:r>
    </w:p>
    <w:p>
      <w:r>
        <w:pict>
          <v:rect style="width:0;height:1.5pt" o:hralign="center" o:hrstd="t" o:hr="t"/>
        </w:pict>
      </w:r>
    </w:p>
    <w:bookmarkEnd w:id="22"/>
    <w:bookmarkStart w:id="35" w:name="Xab30de29995a07cbeded4b47ba4fd1c61659199"/>
    <w:p>
      <w:pPr>
        <w:pStyle w:val="Heading2"/>
      </w:pPr>
      <w:r>
        <w:t xml:space="preserve">IV. Credential-by-Credential Gap Analysis</w:t>
      </w:r>
    </w:p>
    <w:bookmarkStart w:id="23" w:name="a.-education-j.b.1-met"/>
    <w:p>
      <w:pPr>
        <w:pStyle w:val="Heading3"/>
      </w:pPr>
      <w:r>
        <w:t xml:space="preserve">A. Education (J.B.1) — MET</w:t>
      </w:r>
    </w:p>
    <w:p>
      <w:pPr>
        <w:pStyle w:val="FirstParagraph"/>
      </w:pPr>
      <w:r>
        <w:t xml:space="preserve">The position requires a Master’s degree in Computer Science, Machine Learning, or a closely related field. The Beneficiary holds a</w:t>
      </w:r>
      <w:r>
        <w:t xml:space="preserve"> </w:t>
      </w:r>
      <w:r>
        <w:rPr>
          <w:b/>
          <w:bCs/>
        </w:rPr>
        <w:t xml:space="preserve">Master of Science in Computer Science from North Carolina State University</w:t>
      </w:r>
      <w:r>
        <w:t xml:space="preserve">, conferred May 12, 2018 (cumulative GPA 3.74/4.00; 45 credit hours; thesis:</w:t>
      </w:r>
      <w:r>
        <w:t xml:space="preserve"> </w:t>
      </w:r>
      <w:r>
        <w:t xml:space="preserve">“</w:t>
      </w:r>
      <w:r>
        <w:t xml:space="preserve">Attention-Based Transformer Models for Clinical Text Classification</w:t>
      </w:r>
      <w:r>
        <w:t xml:space="preserve">”</w:t>
      </w:r>
      <w:r>
        <w:t xml:space="preserve">). This is a regionally accredited U.S. degree that directly satisfies the stated requirement. No foreign-credential evaluation is required for this degree.</w:t>
      </w:r>
    </w:p>
    <w:p>
      <w:pPr>
        <w:pStyle w:val="BodyText"/>
      </w:pPr>
      <w:r>
        <w:t xml:space="preserve">The Beneficiary also holds a</w:t>
      </w:r>
      <w:r>
        <w:t xml:space="preserve"> </w:t>
      </w:r>
      <w:r>
        <w:rPr>
          <w:b/>
          <w:bCs/>
        </w:rPr>
        <w:t xml:space="preserve">B.Tech in Electronics and Communication Engineering</w:t>
      </w:r>
      <w:r>
        <w:t xml:space="preserve"> </w:t>
      </w:r>
      <w:r>
        <w:t xml:space="preserve">from Maharashtra Institute of Technology, Pune (Savitribai Phule Pune University), conferred June 2013, evaluated by IAE (a NACES-member agency) as equivalent to a U.S. bachelor’s degree in Electronics and Communication Engineering. This undergraduate credential is ancillary to the qualifying master’s degree and is not itself required for the position, but it is properly documented and supports the overall education narrative.</w:t>
      </w:r>
      <w:r>
        <w:t xml:space="preserve"> </w:t>
      </w:r>
      <w:r>
        <w:rPr>
          <w:b/>
          <w:bCs/>
        </w:rPr>
        <w:t xml:space="preserve">No gap.</w:t>
      </w:r>
    </w:p>
    <w:p>
      <w:pPr>
        <w:pStyle w:val="BlockText"/>
      </w:pPr>
      <w:r>
        <w:rPr>
          <w:i/>
          <w:iCs/>
        </w:rPr>
        <w:t xml:space="preserve">Observation (non-material):</w:t>
      </w:r>
      <w:r>
        <w:t xml:space="preserve"> </w:t>
      </w:r>
      <w:r>
        <w:t xml:space="preserve">The IAE evaluation notes that the B.Tech curriculum contains only limited computer-related coursework (approximately 12–15 of ~180 U.S.-equivalent credit hours). This is immaterial here because the qualifying degree is the U.S. M.S. in Computer Science, not the B.Tech. No action required.</w:t>
      </w:r>
    </w:p>
    <w:bookmarkEnd w:id="23"/>
    <w:bookmarkStart w:id="24" w:name="b.-experience-j.b.3-met"/>
    <w:p>
      <w:pPr>
        <w:pStyle w:val="Heading3"/>
      </w:pPr>
      <w:r>
        <w:t xml:space="preserve">B. Experience (J.B.3) — MET</w:t>
      </w:r>
    </w:p>
    <w:p>
      <w:pPr>
        <w:pStyle w:val="FirstParagraph"/>
      </w:pPr>
      <w:r>
        <w:t xml:space="preserve">The position requires five years of progressive post-master’s experience in machine learning engineering or a closely related occupation. The relevant measuring date for the I-140 is the</w:t>
      </w:r>
      <w:r>
        <w:t xml:space="preserve"> </w:t>
      </w:r>
      <w:r>
        <w:rPr>
          <w:b/>
          <w:bCs/>
        </w:rPr>
        <w:t xml:space="preserve">priority date (March 15, 2025)</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Experience Entry</w:t>
            </w:r>
          </w:p>
        </w:tc>
        <w:tc>
          <w:tcPr/>
          <w:p>
            <w:pPr>
              <w:pStyle w:val="Compact"/>
              <w:jc w:val="left"/>
            </w:pPr>
            <w:r>
              <w:t xml:space="preserve">Period</w:t>
            </w:r>
          </w:p>
        </w:tc>
        <w:tc>
          <w:tcPr/>
          <w:p>
            <w:pPr>
              <w:pStyle w:val="Compact"/>
              <w:jc w:val="left"/>
            </w:pPr>
            <w:r>
              <w:t xml:space="preserve">Counts toward 5-yr post-master’s?</w:t>
            </w:r>
          </w:p>
        </w:tc>
        <w:tc>
          <w:tcPr/>
          <w:p>
            <w:pPr>
              <w:pStyle w:val="Compact"/>
              <w:jc w:val="left"/>
            </w:pPr>
            <w:r>
              <w:t xml:space="preserve">Notes</w:t>
            </w:r>
          </w:p>
        </w:tc>
      </w:tr>
      <w:tr>
        <w:tc>
          <w:tcPr/>
          <w:p>
            <w:pPr>
              <w:pStyle w:val="Compact"/>
              <w:jc w:val="left"/>
            </w:pPr>
            <w:r>
              <w:t xml:space="preserve">Evalpoint Technologies — Software Engineer</w:t>
            </w:r>
          </w:p>
        </w:tc>
        <w:tc>
          <w:tcPr/>
          <w:p>
            <w:pPr>
              <w:pStyle w:val="Compact"/>
              <w:jc w:val="left"/>
            </w:pPr>
            <w:r>
              <w:t xml:space="preserve">Jul 1, 2013 – Jul 15, 2016</w:t>
            </w:r>
          </w:p>
        </w:tc>
        <w:tc>
          <w:tcPr/>
          <w:p>
            <w:pPr>
              <w:pStyle w:val="Compact"/>
              <w:jc w:val="left"/>
            </w:pPr>
            <w:r>
              <w:t xml:space="preserve">No</w:t>
            </w:r>
          </w:p>
        </w:tc>
        <w:tc>
          <w:tcPr/>
          <w:p>
            <w:pPr>
              <w:pStyle w:val="Compact"/>
              <w:jc w:val="left"/>
            </w:pPr>
            <w:r>
              <w:t xml:space="preserve">Pre-master’s; software engineering (related, but not post-master’s).</w:t>
            </w:r>
          </w:p>
        </w:tc>
      </w:tr>
      <w:tr>
        <w:tc>
          <w:tcPr/>
          <w:p>
            <w:pPr>
              <w:pStyle w:val="Compact"/>
              <w:jc w:val="left"/>
            </w:pPr>
            <w:r>
              <w:t xml:space="preserve">NC State — Research Assistant</w:t>
            </w:r>
          </w:p>
        </w:tc>
        <w:tc>
          <w:tcPr/>
          <w:p>
            <w:pPr>
              <w:pStyle w:val="Compact"/>
              <w:jc w:val="left"/>
            </w:pPr>
            <w:r>
              <w:t xml:space="preserve">Aug 15, 2016 – May 15, 2018</w:t>
            </w:r>
          </w:p>
        </w:tc>
        <w:tc>
          <w:tcPr/>
          <w:p>
            <w:pPr>
              <w:pStyle w:val="Compact"/>
              <w:jc w:val="left"/>
            </w:pPr>
            <w:r>
              <w:t xml:space="preserve">No</w:t>
            </w:r>
          </w:p>
        </w:tc>
        <w:tc>
          <w:tcPr/>
          <w:p>
            <w:pPr>
              <w:pStyle w:val="Compact"/>
              <w:jc w:val="left"/>
            </w:pPr>
            <w:r>
              <w:t xml:space="preserve">Concurrent with the master’s program; part-time (20 hrs/week).</w:t>
            </w:r>
          </w:p>
        </w:tc>
      </w:tr>
      <w:tr>
        <w:tc>
          <w:tcPr/>
          <w:p>
            <w:pPr>
              <w:pStyle w:val="Compact"/>
              <w:jc w:val="left"/>
            </w:pPr>
            <w:r>
              <w:t xml:space="preserve">DataBridge Solutions — Data Scientist I → II</w:t>
            </w:r>
          </w:p>
        </w:tc>
        <w:tc>
          <w:tcPr/>
          <w:p>
            <w:pPr>
              <w:pStyle w:val="Compact"/>
              <w:jc w:val="left"/>
            </w:pPr>
            <w:r>
              <w:t xml:space="preserve">Jun 4, 2018 – present</w:t>
            </w:r>
          </w:p>
        </w:tc>
        <w:tc>
          <w:tcPr/>
          <w:p>
            <w:pPr>
              <w:pStyle w:val="Compact"/>
              <w:jc w:val="left"/>
            </w:pPr>
            <w:r>
              <w:rPr>
                <w:b/>
                <w:bCs/>
              </w:rPr>
              <w:t xml:space="preserve">Yes</w:t>
            </w:r>
          </w:p>
        </w:tc>
        <w:tc>
          <w:tcPr/>
          <w:p>
            <w:pPr>
              <w:pStyle w:val="Compact"/>
              <w:jc w:val="left"/>
            </w:pPr>
            <w:r>
              <w:t xml:space="preserve">Post-master’s; same SOC (15-2051) as the offered position; progressive (promotion Jan 4, 2021).</w:t>
            </w:r>
          </w:p>
        </w:tc>
      </w:tr>
    </w:tbl>
    <w:p>
      <w:pPr>
        <w:pStyle w:val="BodyText"/>
      </w:pPr>
      <w:r>
        <w:t xml:space="preserve">As of the priority date, the Beneficiary had accrued approximately</w:t>
      </w:r>
      <w:r>
        <w:t xml:space="preserve"> </w:t>
      </w:r>
      <w:r>
        <w:rPr>
          <w:b/>
          <w:bCs/>
        </w:rPr>
        <w:t xml:space="preserve">6 years, 9 months</w:t>
      </w:r>
      <w:r>
        <w:t xml:space="preserve"> </w:t>
      </w:r>
      <w:r>
        <w:t xml:space="preserve">of post-master’s qualifying experience at DataBridge Solutions LLC (June 4, 2018 – March 15, 2025), which exceeds the five-year minimum. The progression from Data Scientist I to Data Scientist II satisfies the</w:t>
      </w:r>
      <w:r>
        <w:t xml:space="preserve"> </w:t>
      </w:r>
      <w:r>
        <w:t xml:space="preserve">“</w:t>
      </w:r>
      <w:r>
        <w:t xml:space="preserve">progressive</w:t>
      </w:r>
      <w:r>
        <w:t xml:space="preserve">”</w:t>
      </w:r>
      <w:r>
        <w:t xml:space="preserve"> </w:t>
      </w:r>
      <w:r>
        <w:t xml:space="preserve">element. Because the Beneficiary has never been employed by Prismex (K.5 = No), all of this experience is countable.</w:t>
      </w:r>
      <w:r>
        <w:t xml:space="preserve"> </w:t>
      </w:r>
      <w:r>
        <w:rPr>
          <w:b/>
          <w:bCs/>
        </w:rPr>
        <w:t xml:space="preserve">No gap.</w:t>
      </w:r>
    </w:p>
    <w:p>
      <w:pPr>
        <w:pStyle w:val="BlockText"/>
      </w:pPr>
      <w:r>
        <w:rPr>
          <w:i/>
          <w:iCs/>
        </w:rPr>
        <w:t xml:space="preserve">Minor observation:</w:t>
      </w:r>
      <w:r>
        <w:t xml:space="preserve"> </w:t>
      </w:r>
      <w:r>
        <w:t xml:space="preserve">Section K.2 characterizes the post-master’s experience as</w:t>
      </w:r>
      <w:r>
        <w:t xml:space="preserve"> </w:t>
      </w:r>
      <w:r>
        <w:t xml:space="preserve">“</w:t>
      </w:r>
      <w:r>
        <w:t xml:space="preserve">approximately 7 years.</w:t>
      </w:r>
      <w:r>
        <w:t xml:space="preserve">”</w:t>
      </w:r>
      <w:r>
        <w:t xml:space="preserve"> </w:t>
      </w:r>
      <w:r>
        <w:t xml:space="preserve">That figure is accurate as of mid-2025 but should be tied to the priority date (~6 years, 9 months) in the I-140 filing narrative. The requirement is satisfied either way. See Section IV.D.5.</w:t>
      </w:r>
    </w:p>
    <w:bookmarkEnd w:id="24"/>
    <w:bookmarkStart w:id="28" w:name="Xe71932cd7864d6536abb6502286a80beb56dc47"/>
    <w:p>
      <w:pPr>
        <w:pStyle w:val="Heading3"/>
      </w:pPr>
      <w:r>
        <w:t xml:space="preserve">C. Special Skills and Other Requirements (J.B.5)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J.B.5 Requirement</w:t>
            </w:r>
          </w:p>
        </w:tc>
        <w:tc>
          <w:tcPr/>
          <w:p>
            <w:pPr>
              <w:pStyle w:val="Compact"/>
              <w:jc w:val="left"/>
            </w:pPr>
            <w:r>
              <w:t xml:space="preserve">Supporting Evidence</w:t>
            </w:r>
          </w:p>
        </w:tc>
        <w:tc>
          <w:tcPr/>
          <w:p>
            <w:pPr>
              <w:pStyle w:val="Compact"/>
              <w:jc w:val="left"/>
            </w:pPr>
            <w:r>
              <w:t xml:space="preserve">Status</w:t>
            </w:r>
          </w:p>
        </w:tc>
      </w:tr>
      <w:tr>
        <w:tc>
          <w:tcPr/>
          <w:p>
            <w:pPr>
              <w:pStyle w:val="Compact"/>
              <w:jc w:val="left"/>
            </w:pPr>
            <w:r>
              <w:t xml:space="preserve">(a) Production-grade deep learning using TensorFlow</w:t>
            </w:r>
            <w:r>
              <w:t xml:space="preserve"> </w:t>
            </w:r>
            <w:r>
              <w:rPr>
                <w:b/>
                <w:bCs/>
              </w:rPr>
              <w:t xml:space="preserve">or</w:t>
            </w:r>
            <w:r>
              <w:t xml:space="preserve"> </w:t>
            </w:r>
            <w:r>
              <w:t xml:space="preserve">PyTorch</w:t>
            </w:r>
          </w:p>
        </w:tc>
        <w:tc>
          <w:tcPr/>
          <w:p>
            <w:pPr>
              <w:pStyle w:val="Compact"/>
              <w:jc w:val="left"/>
            </w:pPr>
            <w:r>
              <w:t xml:space="preserve">DataBridge letter (TensorFlow</w:t>
            </w:r>
            <w:r>
              <w:t xml:space="preserve"> </w:t>
            </w:r>
            <w:r>
              <w:rPr>
                <w:b/>
                <w:bCs/>
              </w:rPr>
              <w:t xml:space="preserve">and</w:t>
            </w:r>
            <w:r>
              <w:t xml:space="preserve"> </w:t>
            </w:r>
            <w:r>
              <w:t xml:space="preserve">PyTorch); NC State RA (PyTorch); resume</w:t>
            </w:r>
          </w:p>
        </w:tc>
        <w:tc>
          <w:tcPr/>
          <w:p>
            <w:pPr>
              <w:pStyle w:val="Compact"/>
              <w:jc w:val="left"/>
            </w:pPr>
            <w:r>
              <w:rPr>
                <w:b/>
                <w:bCs/>
              </w:rPr>
              <w:t xml:space="preserve">Met</w:t>
            </w:r>
          </w:p>
        </w:tc>
      </w:tr>
      <w:tr>
        <w:tc>
          <w:tcPr/>
          <w:p>
            <w:pPr>
              <w:pStyle w:val="Compact"/>
              <w:jc w:val="left"/>
            </w:pPr>
            <w:r>
              <w:t xml:space="preserve">(b) Distributed computing incl. Apache Spark</w:t>
            </w:r>
          </w:p>
        </w:tc>
        <w:tc>
          <w:tcPr/>
          <w:p>
            <w:pPr>
              <w:pStyle w:val="Compact"/>
              <w:jc w:val="left"/>
            </w:pPr>
            <w:r>
              <w:t xml:space="preserve">DataBridge letter (Apache Spark MLlib); resume</w:t>
            </w:r>
          </w:p>
        </w:tc>
        <w:tc>
          <w:tcPr/>
          <w:p>
            <w:pPr>
              <w:pStyle w:val="Compact"/>
              <w:jc w:val="left"/>
            </w:pPr>
            <w:r>
              <w:rPr>
                <w:b/>
                <w:bCs/>
              </w:rPr>
              <w:t xml:space="preserve">Met</w:t>
            </w:r>
          </w:p>
        </w:tc>
      </w:tr>
      <w:tr>
        <w:tc>
          <w:tcPr/>
          <w:p>
            <w:pPr>
              <w:pStyle w:val="Compact"/>
              <w:jc w:val="left"/>
            </w:pPr>
            <w:r>
              <w:t xml:space="preserve">(c) NLP pipeline development</w:t>
            </w:r>
          </w:p>
        </w:tc>
        <w:tc>
          <w:tcPr/>
          <w:p>
            <w:pPr>
              <w:pStyle w:val="Compact"/>
              <w:jc w:val="left"/>
            </w:pPr>
            <w:r>
              <w:t xml:space="preserve">DataBridge letter (NER, sentiment analysis, clinical document classification); NC State RA; resume; 2 publications</w:t>
            </w:r>
          </w:p>
        </w:tc>
        <w:tc>
          <w:tcPr/>
          <w:p>
            <w:pPr>
              <w:pStyle w:val="Compact"/>
              <w:jc w:val="left"/>
            </w:pPr>
            <w:r>
              <w:rPr>
                <w:b/>
                <w:bCs/>
              </w:rPr>
              <w:t xml:space="preserve">Met</w:t>
            </w:r>
          </w:p>
        </w:tc>
      </w:tr>
      <w:tr>
        <w:tc>
          <w:tcPr/>
          <w:p>
            <w:pPr>
              <w:pStyle w:val="Compact"/>
              <w:jc w:val="left"/>
            </w:pPr>
            <w:r>
              <w:t xml:space="preserve">(d) Cloud-based ML deployment on AWS SageMaker</w:t>
            </w:r>
            <w:r>
              <w:t xml:space="preserve"> </w:t>
            </w:r>
            <w:r>
              <w:rPr>
                <w:b/>
                <w:bCs/>
              </w:rPr>
              <w:t xml:space="preserve">or</w:t>
            </w:r>
            <w:r>
              <w:t xml:space="preserve"> </w:t>
            </w:r>
            <w:r>
              <w:t xml:space="preserve">Google Vertex AI</w:t>
            </w:r>
          </w:p>
        </w:tc>
        <w:tc>
          <w:tcPr/>
          <w:p>
            <w:pPr>
              <w:pStyle w:val="Compact"/>
              <w:jc w:val="left"/>
            </w:pPr>
            <w:r>
              <w:t xml:space="preserve">DataBridge letter (AWS SageMaker); resume (SageMaker)</w:t>
            </w:r>
          </w:p>
        </w:tc>
        <w:tc>
          <w:tcPr/>
          <w:p>
            <w:pPr>
              <w:pStyle w:val="Compact"/>
              <w:jc w:val="left"/>
            </w:pPr>
            <w:r>
              <w:rPr>
                <w:b/>
                <w:bCs/>
              </w:rPr>
              <w:t xml:space="preserve">Met</w:t>
            </w:r>
            <w:r>
              <w:t xml:space="preserve"> </w:t>
            </w:r>
            <w:r>
              <w:t xml:space="preserve">(SageMaker)</w:t>
            </w:r>
          </w:p>
        </w:tc>
      </w:tr>
      <w:tr>
        <w:tc>
          <w:tcPr/>
          <w:p>
            <w:pPr>
              <w:pStyle w:val="Compact"/>
              <w:jc w:val="left"/>
            </w:pPr>
            <w:r>
              <w:t xml:space="preserve">(e) Proficiency in Python</w:t>
            </w:r>
            <w:r>
              <w:t xml:space="preserve"> </w:t>
            </w:r>
            <w:r>
              <w:rPr>
                <w:b/>
                <w:bCs/>
              </w:rPr>
              <w:t xml:space="preserve">and</w:t>
            </w:r>
            <w:r>
              <w:t xml:space="preserve"> </w:t>
            </w:r>
            <w:r>
              <w:t xml:space="preserve">R</w:t>
            </w:r>
          </w:p>
        </w:tc>
        <w:tc>
          <w:tcPr/>
          <w:p>
            <w:pPr>
              <w:pStyle w:val="Compact"/>
              <w:jc w:val="left"/>
            </w:pPr>
            <w:r>
              <w:t xml:space="preserve">Python: expert/primary language (letters, resume) —</w:t>
            </w:r>
            <w:r>
              <w:t xml:space="preserve"> </w:t>
            </w:r>
            <w:r>
              <w:rPr>
                <w:b/>
                <w:bCs/>
              </w:rPr>
              <w:t xml:space="preserve">Met</w:t>
            </w:r>
            <w:r>
              <w:t xml:space="preserve">. R:</w:t>
            </w:r>
            <w:r>
              <w:t xml:space="preserve"> </w:t>
            </w:r>
            <w:r>
              <w:t xml:space="preserve">“</w:t>
            </w:r>
            <w:r>
              <w:t xml:space="preserve">intermediate</w:t>
            </w:r>
            <w:r>
              <w:t xml:space="preserve">”</w:t>
            </w:r>
            <w:r>
              <w:t xml:space="preserve"> </w:t>
            </w:r>
            <w:r>
              <w:t xml:space="preserve">(resume);</w:t>
            </w:r>
            <w:r>
              <w:t xml:space="preserve"> </w:t>
            </w:r>
            <w:r>
              <w:t xml:space="preserve">“</w:t>
            </w:r>
            <w:r>
              <w:t xml:space="preserve">some use of R for statistical reporting</w:t>
            </w:r>
            <w:r>
              <w:t xml:space="preserve">”</w:t>
            </w:r>
            <w:r>
              <w:t xml:space="preserve"> </w:t>
            </w:r>
            <w:r>
              <w:t xml:space="preserve">(DataBridge letter); ST 558</w:t>
            </w:r>
            <w:r>
              <w:t xml:space="preserve"> </w:t>
            </w:r>
            <w:r>
              <w:rPr>
                <w:i/>
                <w:iCs/>
              </w:rPr>
              <w:t xml:space="preserve">Statistical Computing with R</w:t>
            </w:r>
            <w:r>
              <w:t xml:space="preserve"> </w:t>
            </w:r>
            <w:r>
              <w:t xml:space="preserve">(grade A–) on transcript</w:t>
            </w:r>
          </w:p>
        </w:tc>
        <w:tc>
          <w:tcPr/>
          <w:p>
            <w:pPr>
              <w:pStyle w:val="Compact"/>
              <w:jc w:val="left"/>
            </w:pPr>
            <w:r>
              <w:rPr>
                <w:b/>
                <w:bCs/>
              </w:rPr>
              <w:t xml:space="preserve">Soft gap (R)</w:t>
            </w:r>
            <w:r>
              <w:t xml:space="preserve"> </w:t>
            </w:r>
            <w:r>
              <w:t xml:space="preserve">— see C.1</w:t>
            </w:r>
          </w:p>
        </w:tc>
      </w:tr>
      <w:tr>
        <w:tc>
          <w:tcPr/>
          <w:p>
            <w:pPr>
              <w:pStyle w:val="Compact"/>
              <w:jc w:val="left"/>
            </w:pPr>
            <w:r>
              <w:t xml:space="preserve">AWS Certified Machine Learning – Specialty cert</w:t>
            </w:r>
            <w:r>
              <w:t xml:space="preserve"> </w:t>
            </w:r>
            <w:r>
              <w:rPr>
                <w:b/>
                <w:bCs/>
              </w:rPr>
              <w:t xml:space="preserve">or equivalent</w:t>
            </w:r>
          </w:p>
        </w:tc>
        <w:tc>
          <w:tcPr/>
          <w:p>
            <w:pPr>
              <w:pStyle w:val="Compact"/>
              <w:jc w:val="left"/>
            </w:pPr>
            <w:r>
              <w:rPr>
                <w:b/>
                <w:bCs/>
              </w:rPr>
              <w:t xml:space="preserve">Not held.</w:t>
            </w:r>
            <w:r>
              <w:t xml:space="preserve"> </w:t>
            </w:r>
            <w:r>
              <w:t xml:space="preserve">AWS Cloud Practitioner (foundational;</w:t>
            </w:r>
            <w:r>
              <w:t xml:space="preserve"> </w:t>
            </w:r>
            <w:r>
              <w:rPr>
                <w:b/>
                <w:bCs/>
              </w:rPr>
              <w:t xml:space="preserve">expired</w:t>
            </w:r>
            <w:r>
              <w:t xml:space="preserve"> </w:t>
            </w:r>
            <w:r>
              <w:t xml:space="preserve">Jan 18, 2025); TensorFlow Developer Certificate (Google; not an AWS equivalent)</w:t>
            </w:r>
          </w:p>
        </w:tc>
        <w:tc>
          <w:tcPr/>
          <w:p>
            <w:pPr>
              <w:pStyle w:val="Compact"/>
              <w:jc w:val="left"/>
            </w:pPr>
            <w:r>
              <w:rPr>
                <w:b/>
                <w:bCs/>
              </w:rPr>
              <w:t xml:space="preserve">CRITICAL GAP</w:t>
            </w:r>
            <w:r>
              <w:t xml:space="preserve"> </w:t>
            </w:r>
            <w:r>
              <w:t xml:space="preserve">— see C.2</w:t>
            </w:r>
          </w:p>
        </w:tc>
      </w:tr>
      <w:tr>
        <w:tc>
          <w:tcPr/>
          <w:p>
            <w:pPr>
              <w:pStyle w:val="Compact"/>
              <w:jc w:val="left"/>
            </w:pPr>
            <w:r>
              <w:t xml:space="preserve">Up to 10% domestic travel</w:t>
            </w:r>
          </w:p>
        </w:tc>
        <w:tc>
          <w:tcPr/>
          <w:p>
            <w:pPr>
              <w:pStyle w:val="Compact"/>
              <w:jc w:val="left"/>
            </w:pPr>
            <w:r>
              <w:t xml:space="preserve">Job condition (not a credential)</w:t>
            </w:r>
          </w:p>
        </w:tc>
        <w:tc>
          <w:tcPr/>
          <w:p>
            <w:pPr>
              <w:pStyle w:val="Compact"/>
              <w:jc w:val="left"/>
            </w:pPr>
            <w:r>
              <w:t xml:space="preserve">N/A</w:t>
            </w:r>
          </w:p>
        </w:tc>
      </w:tr>
      <w:tr>
        <w:tc>
          <w:tcPr/>
          <w:p>
            <w:pPr>
              <w:pStyle w:val="Compact"/>
              <w:jc w:val="left"/>
            </w:pPr>
            <w:r>
              <w:t xml:space="preserve">Supervise a team of 3–5 ML engineers</w:t>
            </w:r>
          </w:p>
        </w:tc>
        <w:tc>
          <w:tcPr/>
          <w:p>
            <w:pPr>
              <w:pStyle w:val="Compact"/>
              <w:jc w:val="left"/>
            </w:pPr>
            <w:r>
              <w:t xml:space="preserve">DataBridge letter:</w:t>
            </w:r>
            <w:r>
              <w:t xml:space="preserve"> </w:t>
            </w:r>
            <w:r>
              <w:t xml:space="preserve">“</w:t>
            </w:r>
            <w:r>
              <w:t xml:space="preserve">Led a team of 2 junior data scientists</w:t>
            </w:r>
            <w:r>
              <w:t xml:space="preserve">”</w:t>
            </w:r>
          </w:p>
        </w:tc>
        <w:tc>
          <w:tcPr/>
          <w:p>
            <w:pPr>
              <w:pStyle w:val="Compact"/>
              <w:jc w:val="left"/>
            </w:pPr>
            <w:r>
              <w:rPr>
                <w:b/>
                <w:bCs/>
              </w:rPr>
              <w:t xml:space="preserve">Minor</w:t>
            </w:r>
            <w:r>
              <w:t xml:space="preserve"> </w:t>
            </w:r>
            <w:r>
              <w:t xml:space="preserve">— see C.3</w:t>
            </w:r>
          </w:p>
        </w:tc>
      </w:tr>
    </w:tbl>
    <w:bookmarkStart w:id="25" w:name="X84f3c6ef41302b501999b0ebb34d3dc517b3218"/>
    <w:p>
      <w:pPr>
        <w:pStyle w:val="Heading4"/>
      </w:pPr>
      <w:r>
        <w:t xml:space="preserve">C.1 R Programming Proficiency — Soft Gap (Minor)</w:t>
      </w:r>
    </w:p>
    <w:p>
      <w:pPr>
        <w:pStyle w:val="FirstParagraph"/>
      </w:pPr>
      <w:r>
        <w:t xml:space="preserve">The PERM requires</w:t>
      </w:r>
      <w:r>
        <w:t xml:space="preserve"> </w:t>
      </w:r>
      <w:r>
        <w:t xml:space="preserve">“</w:t>
      </w:r>
      <w:r>
        <w:t xml:space="preserve">proficiency in Python</w:t>
      </w:r>
      <w:r>
        <w:t xml:space="preserve"> </w:t>
      </w:r>
      <w:r>
        <w:rPr>
          <w:b/>
          <w:bCs/>
        </w:rPr>
        <w:t xml:space="preserve">and</w:t>
      </w:r>
      <w:r>
        <w:t xml:space="preserve"> </w:t>
      </w:r>
      <w:r>
        <w:t xml:space="preserve">R.</w:t>
      </w:r>
      <w:r>
        <w:t xml:space="preserve">”</w:t>
      </w:r>
      <w:r>
        <w:t xml:space="preserve"> </w:t>
      </w:r>
      <w:r>
        <w:t xml:space="preserve">The Beneficiary’s Python proficiency is unambiguously established (expert; primary language across all roles). For R, the record is comparatively thin: the resume lists R as</w:t>
      </w:r>
      <w:r>
        <w:t xml:space="preserve"> </w:t>
      </w:r>
      <w:r>
        <w:t xml:space="preserve">“</w:t>
      </w:r>
      <w:r>
        <w:t xml:space="preserve">intermediate,</w:t>
      </w:r>
      <w:r>
        <w:t xml:space="preserve">”</w:t>
      </w:r>
      <w:r>
        <w:t xml:space="preserve"> </w:t>
      </w:r>
      <w:r>
        <w:t xml:space="preserve">and the DataBridge experience letter describes only</w:t>
      </w:r>
      <w:r>
        <w:t xml:space="preserve"> </w:t>
      </w:r>
      <w:r>
        <w:t xml:space="preserve">“</w:t>
      </w:r>
      <w:r>
        <w:t xml:space="preserve">some use of R for statistical reporting and ad hoc data analysis.</w:t>
      </w:r>
      <w:r>
        <w:t xml:space="preserve">”</w:t>
      </w:r>
      <w:r>
        <w:t xml:space="preserve"> </w:t>
      </w:r>
      <w:r>
        <w:t xml:space="preserve">The NC State transcript shows successful completion of</w:t>
      </w:r>
      <w:r>
        <w:t xml:space="preserve"> </w:t>
      </w:r>
      <w:r>
        <w:rPr>
          <w:b/>
          <w:bCs/>
        </w:rPr>
        <w:t xml:space="preserve">ST 558 — Statistical Computing with R</w:t>
      </w:r>
      <w:r>
        <w:t xml:space="preserve"> </w:t>
      </w:r>
      <w:r>
        <w:t xml:space="preserve">(grade A–), which provides formal academic support for R competency.</w:t>
      </w:r>
    </w:p>
    <w:p>
      <w:pPr>
        <w:pStyle w:val="BodyText"/>
      </w:pPr>
      <w:r>
        <w:rPr>
          <w:b/>
          <w:bCs/>
        </w:rPr>
        <w:t xml:space="preserve">Assessment:</w:t>
      </w:r>
      <w:r>
        <w:t xml:space="preserve"> </w:t>
      </w:r>
      <w:r>
        <w:t xml:space="preserve">“</w:t>
      </w:r>
      <w:r>
        <w:t xml:space="preserve">Some use</w:t>
      </w:r>
      <w:r>
        <w:t xml:space="preserve">”</w:t>
      </w:r>
      <w:r>
        <w:t xml:space="preserve"> </w:t>
      </w:r>
      <w:r>
        <w:t xml:space="preserve">is weaker than</w:t>
      </w:r>
      <w:r>
        <w:t xml:space="preserve"> </w:t>
      </w:r>
      <w:r>
        <w:t xml:space="preserve">“</w:t>
      </w:r>
      <w:r>
        <w:t xml:space="preserve">proficiency,</w:t>
      </w:r>
      <w:r>
        <w:t xml:space="preserve">”</w:t>
      </w:r>
      <w:r>
        <w:t xml:space="preserve"> </w:t>
      </w:r>
      <w:r>
        <w:t xml:space="preserve">but the combination of formal coursework (A–) and documented workplace use provides a defensible basis. This is a soft gap, not a disqualifying one. The risk is that an adjudicator or auditor reads</w:t>
      </w:r>
      <w:r>
        <w:t xml:space="preserve"> </w:t>
      </w:r>
      <w:r>
        <w:t xml:space="preserve">“</w:t>
      </w:r>
      <w:r>
        <w:t xml:space="preserve">some use</w:t>
      </w:r>
      <w:r>
        <w:t xml:space="preserve">”</w:t>
      </w:r>
      <w:r>
        <w:t xml:space="preserve"> </w:t>
      </w:r>
      <w:r>
        <w:t xml:space="preserve">as falling short of the stated</w:t>
      </w:r>
      <w:r>
        <w:t xml:space="preserve"> </w:t>
      </w:r>
      <w:r>
        <w:t xml:space="preserve">“</w:t>
      </w:r>
      <w:r>
        <w:t xml:space="preserve">proficiency</w:t>
      </w:r>
      <w:r>
        <w:t xml:space="preserve">”</w:t>
      </w:r>
      <w:r>
        <w:t xml:space="preserve"> </w:t>
      </w:r>
      <w:r>
        <w:t xml:space="preserve">minimum.</w:t>
      </w:r>
    </w:p>
    <w:p>
      <w:pPr>
        <w:pStyle w:val="BodyText"/>
      </w:pPr>
      <w:r>
        <w:rPr>
          <w:b/>
          <w:bCs/>
        </w:rPr>
        <w:t xml:space="preserve">Remediation:</w:t>
      </w:r>
      <w:r>
        <w:t xml:space="preserve"> </w:t>
      </w:r>
      <w:r>
        <w:t xml:space="preserve">Supplement the DataBridge experience letter (or obtain a brief addendum) to describe the Beneficiary’s R usage more concretely — e.g., specific statistical reporting deliverables, R packages utilized (ggplot2, dplyr, caret, etc.), and the frequency/regularity of R use — so the record supports</w:t>
      </w:r>
      <w:r>
        <w:t xml:space="preserve"> </w:t>
      </w:r>
      <w:r>
        <w:t xml:space="preserve">“</w:t>
      </w:r>
      <w:r>
        <w:t xml:space="preserve">proficiency</w:t>
      </w:r>
      <w:r>
        <w:t xml:space="preserve">”</w:t>
      </w:r>
      <w:r>
        <w:t xml:space="preserve"> </w:t>
      </w:r>
      <w:r>
        <w:t xml:space="preserve">rather than</w:t>
      </w:r>
      <w:r>
        <w:t xml:space="preserve"> </w:t>
      </w:r>
      <w:r>
        <w:t xml:space="preserve">“</w:t>
      </w:r>
      <w:r>
        <w:t xml:space="preserve">some use.</w:t>
      </w:r>
      <w:r>
        <w:t xml:space="preserve">”</w:t>
      </w:r>
      <w:r>
        <w:t xml:space="preserve"> </w:t>
      </w:r>
      <w:r>
        <w:t xml:space="preserve">The transcript coursework should be cited in the I-140 brief as corroboration.</w:t>
      </w:r>
    </w:p>
    <w:bookmarkEnd w:id="25"/>
    <w:bookmarkStart w:id="26" w:name="Xedeaf718398a2e77c395704a3332061d9d69db6"/>
    <w:p>
      <w:pPr>
        <w:pStyle w:val="Heading4"/>
      </w:pPr>
      <w:r>
        <w:t xml:space="preserve">C.2 AWS Certified Machine Learning – Specialty Certification — CRITICAL GAP</w:t>
      </w:r>
    </w:p>
    <w:p>
      <w:pPr>
        <w:pStyle w:val="FirstParagraph"/>
      </w:pPr>
      <w:r>
        <w:t xml:space="preserve">This is the most significant finding of the review.</w:t>
      </w:r>
    </w:p>
    <w:p>
      <w:pPr>
        <w:pStyle w:val="Compact"/>
        <w:numPr>
          <w:ilvl w:val="0"/>
          <w:numId w:val="1003"/>
        </w:numPr>
      </w:pPr>
      <w:r>
        <w:rPr>
          <w:b/>
          <w:bCs/>
        </w:rPr>
        <w:t xml:space="preserve">Requirement (J.B.5):</w:t>
      </w:r>
      <w:r>
        <w:t xml:space="preserve"> </w:t>
      </w:r>
      <w:r>
        <w:t xml:space="preserve">“</w:t>
      </w:r>
      <w:r>
        <w:t xml:space="preserve">AWS Certified Machine Learning – Specialty certification or equivalent required.</w:t>
      </w:r>
      <w:r>
        <w:t xml:space="preserve">”</w:t>
      </w:r>
    </w:p>
    <w:p>
      <w:pPr>
        <w:pStyle w:val="Compact"/>
        <w:numPr>
          <w:ilvl w:val="0"/>
          <w:numId w:val="1003"/>
        </w:numPr>
      </w:pPr>
      <w:r>
        <w:rPr>
          <w:b/>
          <w:bCs/>
        </w:rPr>
        <w:t xml:space="preserve">Beneficiary’s AWS credential:</w:t>
      </w:r>
      <w:r>
        <w:t xml:space="preserve"> </w:t>
      </w:r>
      <w:r>
        <w:t xml:space="preserve">AWS Certified Cloud Practitioner, issued January 18, 2022,</w:t>
      </w:r>
      <w:r>
        <w:t xml:space="preserve"> </w:t>
      </w:r>
      <w:r>
        <w:rPr>
          <w:b/>
          <w:bCs/>
        </w:rPr>
        <w:t xml:space="preserve">expired January 18, 2025</w:t>
      </w:r>
      <w:r>
        <w:t xml:space="preserve"> </w:t>
      </w:r>
      <w:r>
        <w:t xml:space="preserve">— a</w:t>
      </w:r>
      <w:r>
        <w:t xml:space="preserve"> </w:t>
      </w:r>
      <w:r>
        <w:rPr>
          <w:i/>
          <w:iCs/>
        </w:rPr>
        <w:t xml:space="preserve">foundational</w:t>
      </w:r>
      <w:r>
        <w:t xml:space="preserve">-level certification that</w:t>
      </w:r>
      <w:r>
        <w:t xml:space="preserve"> </w:t>
      </w:r>
      <w:r>
        <w:t xml:space="preserve">“</w:t>
      </w:r>
      <w:r>
        <w:t xml:space="preserve">validates a foundational, high-level understanding of AWS Cloud services</w:t>
      </w:r>
      <w:r>
        <w:t xml:space="preserve">”</w:t>
      </w:r>
      <w:r>
        <w:t xml:space="preserve"> </w:t>
      </w:r>
      <w:r>
        <w:t xml:space="preserve">and</w:t>
      </w:r>
      <w:r>
        <w:t xml:space="preserve"> </w:t>
      </w:r>
      <w:r>
        <w:t xml:space="preserve">“</w:t>
      </w:r>
      <w:r>
        <w:t xml:space="preserve">does not demonstrate specialization in any specific AWS service domain, including machine learning</w:t>
      </w:r>
      <w:r>
        <w:t xml:space="preserve">”</w:t>
      </w:r>
      <w:r>
        <w:t xml:space="preserve"> </w:t>
      </w:r>
      <w:r>
        <w:t xml:space="preserve">(per the certifications compilation).</w:t>
      </w:r>
    </w:p>
    <w:p>
      <w:pPr>
        <w:pStyle w:val="Compact"/>
        <w:numPr>
          <w:ilvl w:val="0"/>
          <w:numId w:val="1003"/>
        </w:numPr>
      </w:pPr>
      <w:r>
        <w:rPr>
          <w:b/>
          <w:bCs/>
        </w:rPr>
        <w:t xml:space="preserve">Beneficiary’s other credential:</w:t>
      </w:r>
      <w:r>
        <w:t xml:space="preserve"> </w:t>
      </w:r>
      <w:r>
        <w:t xml:space="preserve">TensorFlow Developer Certificate (Google; issued March 10, 2023; active; no expiration) — framework-specific to TensorFlow and</w:t>
      </w:r>
      <w:r>
        <w:t xml:space="preserve"> </w:t>
      </w:r>
      <w:r>
        <w:t xml:space="preserve">“</w:t>
      </w:r>
      <w:r>
        <w:t xml:space="preserve">not affiliated with Amazon Web Services.</w:t>
      </w:r>
      <w:r>
        <w:t xml:space="preserve">”</w:t>
      </w:r>
    </w:p>
    <w:p>
      <w:pPr>
        <w:pStyle w:val="Compact"/>
        <w:numPr>
          <w:ilvl w:val="0"/>
          <w:numId w:val="1003"/>
        </w:numPr>
      </w:pPr>
      <w:r>
        <w:rPr>
          <w:b/>
          <w:bCs/>
        </w:rPr>
        <w:t xml:space="preserve">Counsel’s own verification (certifications compilation):</w:t>
      </w:r>
      <w:r>
        <w:t xml:space="preserve"> </w:t>
      </w:r>
      <w:r>
        <w:t xml:space="preserve">“</w:t>
      </w:r>
      <w:r>
        <w:t xml:space="preserve">Counsel specifically inquired whether the beneficiary holds the AWS Certified Machine Learning – Specialty certification or any other AWS specialty-level certification; the beneficiary confirmed she does not hold any such certification.</w:t>
      </w:r>
      <w:r>
        <w:t xml:space="preserve">”</w:t>
      </w:r>
    </w:p>
    <w:p>
      <w:pPr>
        <w:pStyle w:val="FirstParagraph"/>
      </w:pPr>
      <w:r>
        <w:rPr>
          <w:b/>
          <w:bCs/>
        </w:rPr>
        <w:t xml:space="preserve">Assessment:</w:t>
      </w:r>
      <w:r>
        <w:t xml:space="preserve"> </w:t>
      </w:r>
      <w:r>
        <w:t xml:space="preserve">The Beneficiary does</w:t>
      </w:r>
      <w:r>
        <w:t xml:space="preserve"> </w:t>
      </w:r>
      <w:r>
        <w:rPr>
          <w:b/>
          <w:bCs/>
        </w:rPr>
        <w:t xml:space="preserve">not</w:t>
      </w:r>
      <w:r>
        <w:t xml:space="preserve"> </w:t>
      </w:r>
      <w:r>
        <w:t xml:space="preserve">hold the required certification, nor any equivalent. The AWS Certified Cloud Practitioner is not equivalent to the AWS Certified Machine Learning – Specialty — it is a lower-tier, foundational credential covering general cloud literacy rather than ML specialization on AWS. It is also</w:t>
      </w:r>
      <w:r>
        <w:t xml:space="preserve"> </w:t>
      </w:r>
      <w:r>
        <w:rPr>
          <w:b/>
          <w:bCs/>
        </w:rPr>
        <w:t xml:space="preserve">expired</w:t>
      </w:r>
      <w:r>
        <w:t xml:space="preserve">, having lapsed two months before the PERM was filed. The TensorFlow Developer Certificate is issued by a different vendor (Google) and validates a different skill domain (TensorFlow framework proficiency); it is not an</w:t>
      </w:r>
      <w:r>
        <w:t xml:space="preserve"> </w:t>
      </w:r>
      <w:r>
        <w:t xml:space="preserve">“</w:t>
      </w:r>
      <w:r>
        <w:t xml:space="preserve">equivalent</w:t>
      </w:r>
      <w:r>
        <w:t xml:space="preserve">”</w:t>
      </w:r>
      <w:r>
        <w:t xml:space="preserve"> </w:t>
      </w:r>
      <w:r>
        <w:t xml:space="preserve">to an AWS specialty certification. The</w:t>
      </w:r>
      <w:r>
        <w:t xml:space="preserve"> </w:t>
      </w:r>
      <w:r>
        <w:t xml:space="preserve">“</w:t>
      </w:r>
      <w:r>
        <w:t xml:space="preserve">or equivalent</w:t>
      </w:r>
      <w:r>
        <w:t xml:space="preserve">”</w:t>
      </w:r>
      <w:r>
        <w:t xml:space="preserve"> </w:t>
      </w:r>
      <w:r>
        <w:t xml:space="preserve">clause is therefore unsatisfied.</w:t>
      </w:r>
    </w:p>
    <w:p>
      <w:pPr>
        <w:pStyle w:val="BodyText"/>
      </w:pPr>
      <w:r>
        <w:rPr>
          <w:b/>
          <w:bCs/>
        </w:rPr>
        <w:t xml:space="preserve">Compounding issue — attestation integrity (Section K.3).</w:t>
      </w:r>
      <w:r>
        <w:t xml:space="preserve"> </w:t>
      </w:r>
      <w:r>
        <w:t xml:space="preserve">On the ETA 9089, the Employer attested</w:t>
      </w:r>
      <w:r>
        <w:t xml:space="preserve"> </w:t>
      </w:r>
      <w:r>
        <w:t xml:space="preserve">“</w:t>
      </w:r>
      <w:r>
        <w:t xml:space="preserve">Yes</w:t>
      </w:r>
      <w:r>
        <w:t xml:space="preserve">”</w:t>
      </w:r>
      <w:r>
        <w:t xml:space="preserve"> </w:t>
      </w:r>
      <w:r>
        <w:t xml:space="preserve">to K.3 (</w:t>
      </w:r>
      <w:r>
        <w:t xml:space="preserve">“</w:t>
      </w:r>
      <w:r>
        <w:t xml:space="preserve">Does the foreign worker possess the special skills and other requirements stated in Section J.B.5?</w:t>
      </w:r>
      <w:r>
        <w:t xml:space="preserve">”</w:t>
      </w:r>
      <w:r>
        <w:t xml:space="preserve">). Because the AWS Certified Machine Learning – Specialty certification is one of those stated requirements and the Beneficiary does not hold it, the K.3 attestation is, as a factual matter, inconsistent with the documentary record. This implicates:</w:t>
      </w:r>
    </w:p>
    <w:p>
      <w:pPr>
        <w:pStyle w:val="Compact"/>
        <w:numPr>
          <w:ilvl w:val="0"/>
          <w:numId w:val="1004"/>
        </w:numPr>
      </w:pPr>
      <w:r>
        <w:rPr>
          <w:b/>
          <w:bCs/>
        </w:rPr>
        <w:t xml:space="preserve">I-140 risk.</w:t>
      </w:r>
      <w:r>
        <w:t xml:space="preserve"> </w:t>
      </w:r>
      <w:r>
        <w:t xml:space="preserve">For employment-based preference petitions, the Beneficiary must establish that she met</w:t>
      </w:r>
      <w:r>
        <w:t xml:space="preserve"> </w:t>
      </w:r>
      <w:r>
        <w:rPr>
          <w:i/>
          <w:iCs/>
        </w:rPr>
        <w:t xml:space="preserve">all</w:t>
      </w:r>
      <w:r>
        <w:t xml:space="preserve"> </w:t>
      </w:r>
      <w:r>
        <w:t xml:space="preserve">minimum requirements stated on the ETA 9089 as of the priority date (March 15, 2025). A certification listed as a minimum requirement that the Beneficiary did not hold as of the priority date is a ground on which USCIS may deny the I-140. Obtaining the certification</w:t>
      </w:r>
      <w:r>
        <w:t xml:space="preserve"> </w:t>
      </w:r>
      <w:r>
        <w:rPr>
          <w:i/>
          <w:iCs/>
        </w:rPr>
        <w:t xml:space="preserve">after</w:t>
      </w:r>
      <w:r>
        <w:t xml:space="preserve"> </w:t>
      </w:r>
      <w:r>
        <w:t xml:space="preserve">the priority date is necessary but may not fully cure the priority-date gap.</w:t>
      </w:r>
    </w:p>
    <w:p>
      <w:pPr>
        <w:pStyle w:val="Compact"/>
        <w:numPr>
          <w:ilvl w:val="0"/>
          <w:numId w:val="1004"/>
        </w:numPr>
      </w:pPr>
      <w:r>
        <w:rPr>
          <w:b/>
          <w:bCs/>
        </w:rPr>
        <w:t xml:space="preserve">PERM integrity/revocation risk.</w:t>
      </w:r>
      <w:r>
        <w:t xml:space="preserve"> </w:t>
      </w:r>
      <w:r>
        <w:t xml:space="preserve">A certification procured through a material misrepresentation or willful failure to comply with the regulations is subject to revocation (20 CFR 656.32). While the DOL 30-day self-review window has likely closed, revocation remains available where a certification was procured by fraud or willful misrepresentation.</w:t>
      </w:r>
    </w:p>
    <w:p>
      <w:pPr>
        <w:pStyle w:val="Compact"/>
        <w:numPr>
          <w:ilvl w:val="0"/>
          <w:numId w:val="1004"/>
        </w:numPr>
      </w:pPr>
      <w:r>
        <w:rPr>
          <w:b/>
          <w:bCs/>
        </w:rPr>
        <w:t xml:space="preserve">Counsel’s disclosure obligations.</w:t>
      </w:r>
      <w:r>
        <w:t xml:space="preserve"> </w:t>
      </w:r>
      <w:r>
        <w:t xml:space="preserve">Counsel is now in possession of documentary evidence (the certifications compilation) that is inconsistent with a material attestation on the certified application. This requires a documented, good-faith decision about how to proceed.</w:t>
      </w:r>
    </w:p>
    <w:p>
      <w:pPr>
        <w:pStyle w:val="FirstParagraph"/>
      </w:pPr>
      <w:r>
        <w:rPr>
          <w:b/>
          <w:bCs/>
        </w:rPr>
        <w:t xml:space="preserve">Remediation:</w:t>
      </w:r>
      <w:r>
        <w:t xml:space="preserve"> </w:t>
      </w:r>
      <w:r>
        <w:t xml:space="preserve">See Section VI (Recommendations 1–3). In summary: (i) the Beneficiary should obtain the AWS Certified Machine Learning – Specialty certification immediately; (ii) counsel and the Employer must make a documented decision about whether the certification is a bona fide minimum requirement and how to address the priority-date and attestation-integrity implications; and (iii) the H-1B (I-129) filing strategy should be calibrated to avoid over-relying on the certification as a strict prerequisite in the near term.</w:t>
      </w:r>
    </w:p>
    <w:bookmarkEnd w:id="26"/>
    <w:bookmarkStart w:id="27" w:name="Xade89bc8b7a3f1cf3e92da2c12449ae21e73c0d"/>
    <w:p>
      <w:pPr>
        <w:pStyle w:val="Heading4"/>
      </w:pPr>
      <w:r>
        <w:t xml:space="preserve">C.3 Supervisory Scope (3–5 ML Engineers) — Minor Observation</w:t>
      </w:r>
    </w:p>
    <w:p>
      <w:pPr>
        <w:pStyle w:val="FirstParagraph"/>
      </w:pPr>
      <w:r>
        <w:t xml:space="preserve">The position requires supervising a team of 3–5 ML engineers. The Beneficiary’s documented supervisory experience is leading a team of</w:t>
      </w:r>
      <w:r>
        <w:t xml:space="preserve"> </w:t>
      </w:r>
      <w:r>
        <w:rPr>
          <w:b/>
          <w:bCs/>
        </w:rPr>
        <w:t xml:space="preserve">2</w:t>
      </w:r>
      <w:r>
        <w:t xml:space="preserve"> </w:t>
      </w:r>
      <w:r>
        <w:t xml:space="preserve">junior data scientists at DataBridge. The</w:t>
      </w:r>
      <w:r>
        <w:t xml:space="preserve"> </w:t>
      </w:r>
      <w:r>
        <w:t xml:space="preserve">“</w:t>
      </w:r>
      <w:r>
        <w:t xml:space="preserve">will supervise</w:t>
      </w:r>
      <w:r>
        <w:t xml:space="preserve">”</w:t>
      </w:r>
      <w:r>
        <w:t xml:space="preserve"> </w:t>
      </w:r>
      <w:r>
        <w:t xml:space="preserve">language in J.B.5 describes a job duty/condition rather than a prerequisite the Beneficiary must previously have performed at the same scale. The Beneficiary has demonstrated supervisory capability (mentorship, code review, project coordination), which supports her ability to perform the duty.</w:t>
      </w:r>
    </w:p>
    <w:p>
      <w:pPr>
        <w:pStyle w:val="BodyText"/>
      </w:pPr>
      <w:r>
        <w:rPr>
          <w:b/>
          <w:bCs/>
        </w:rPr>
        <w:t xml:space="preserve">Assessment:</w:t>
      </w:r>
      <w:r>
        <w:t xml:space="preserve"> </w:t>
      </w:r>
      <w:r>
        <w:t xml:space="preserve">Not a disqualifying gap. The scale difference (2 vs. 3–5) is minor and is best characterized as a capability that is supported, rather than a missing credential. Counsel should be prepared, if questioned, to point to the demonstrated supervisory experience and the senior nature of the offered role.</w:t>
      </w:r>
    </w:p>
    <w:p>
      <w:pPr>
        <w:pStyle w:val="BodyText"/>
      </w:pPr>
      <w:r>
        <w:rPr>
          <w:b/>
          <w:bCs/>
        </w:rPr>
        <w:t xml:space="preserve">Remediation:</w:t>
      </w:r>
      <w:r>
        <w:t xml:space="preserve"> </w:t>
      </w:r>
      <w:r>
        <w:t xml:space="preserve">No corrective action strictly required. Optionally, the DataBridge letter could be supplemented to describe the scope of her supervisory responsibilities (e.g., hiring input, performance feedback, sprint planning) to reinforce leadership capability.</w:t>
      </w:r>
    </w:p>
    <w:bookmarkEnd w:id="27"/>
    <w:bookmarkEnd w:id="28"/>
    <w:bookmarkStart w:id="34" w:name="d.-documentary-consistency-issues"/>
    <w:p>
      <w:pPr>
        <w:pStyle w:val="Heading3"/>
      </w:pPr>
      <w:r>
        <w:t xml:space="preserve">D. Documentary Consistency Issues</w:t>
      </w:r>
    </w:p>
    <w:bookmarkStart w:id="29" w:name="d.1-fein-discrepancy-moderate"/>
    <w:p>
      <w:pPr>
        <w:pStyle w:val="Heading4"/>
      </w:pPr>
      <w:r>
        <w:t xml:space="preserve">D.1 FEIN Discrepancy — Moderate</w:t>
      </w:r>
    </w:p>
    <w:p>
      <w:pPr>
        <w:pStyle w:val="Compact"/>
        <w:numPr>
          <w:ilvl w:val="0"/>
          <w:numId w:val="1005"/>
        </w:numPr>
      </w:pPr>
      <w:r>
        <w:rPr>
          <w:b/>
          <w:bCs/>
        </w:rPr>
        <w:t xml:space="preserve">PERM (Section C.7):</w:t>
      </w:r>
      <w:r>
        <w:t xml:space="preserve"> </w:t>
      </w:r>
      <w:r>
        <w:t xml:space="preserve">FEIN</w:t>
      </w:r>
      <w:r>
        <w:t xml:space="preserve"> </w:t>
      </w:r>
      <w:r>
        <w:rPr>
          <w:b/>
          <w:bCs/>
        </w:rPr>
        <w:t xml:space="preserve">84-3291756</w:t>
      </w:r>
    </w:p>
    <w:p>
      <w:pPr>
        <w:pStyle w:val="Compact"/>
        <w:numPr>
          <w:ilvl w:val="0"/>
          <w:numId w:val="1005"/>
        </w:numPr>
      </w:pPr>
      <w:r>
        <w:rPr>
          <w:b/>
          <w:bCs/>
        </w:rPr>
        <w:t xml:space="preserve">PWD (Section 1):</w:t>
      </w:r>
      <w:r>
        <w:t xml:space="preserve"> </w:t>
      </w:r>
      <w:r>
        <w:t xml:space="preserve">FEIN</w:t>
      </w:r>
      <w:r>
        <w:t xml:space="preserve"> </w:t>
      </w:r>
      <w:r>
        <w:rPr>
          <w:b/>
          <w:bCs/>
        </w:rPr>
        <w:t xml:space="preserve">84-3291047</w:t>
      </w:r>
    </w:p>
    <w:p>
      <w:pPr>
        <w:pStyle w:val="FirstParagraph"/>
      </w:pPr>
      <w:r>
        <w:t xml:space="preserve">The two documents describe the same employer (Prismex Analytics, Inc., same address, same HR point of contact) but report different FEINs. One figure is incorrect. The FEIN is the identifier USCIS uses to match the Employer’s tax returns and payroll records in the ability-to-pay analysis at the I-140 stage; an unresolved mismatch is a predictable source of an RFE.</w:t>
      </w:r>
    </w:p>
    <w:p>
      <w:pPr>
        <w:pStyle w:val="BodyText"/>
      </w:pPr>
      <w:r>
        <w:rPr>
          <w:b/>
          <w:bCs/>
        </w:rPr>
        <w:t xml:space="preserve">Remediation:</w:t>
      </w:r>
      <w:r>
        <w:t xml:space="preserve"> </w:t>
      </w:r>
      <w:r>
        <w:t xml:space="preserve">Confirm the correct FEIN directly with Prismex’s finance/payroll function (Cornerpoint Payroll Services administers payroll). Ensure the I-140 and all supporting financial documentation use the correct FEIN. If the PERM bears the incorrect FEIN, note that the certified application cannot be amended, but document the correct FEIN and be prepared to explain the discrepancy if USCIS raises it. If the PWD bears the incorrect FEIN, obtain a corrected PWD or document the error (the PWD remains valid through November 7, 2025).</w:t>
      </w:r>
    </w:p>
    <w:bookmarkEnd w:id="29"/>
    <w:bookmarkStart w:id="30" w:name="Xe85ccce06d2d9a603e516dba3823bf113d4b6d2"/>
    <w:p>
      <w:pPr>
        <w:pStyle w:val="Heading4"/>
      </w:pPr>
      <w:r>
        <w:t xml:space="preserve">D.2 Missing NC State Research Assistant Verification Letter — Moderate</w:t>
      </w:r>
    </w:p>
    <w:p>
      <w:pPr>
        <w:pStyle w:val="FirstParagraph"/>
      </w:pPr>
      <w:r>
        <w:t xml:space="preserve">The PERM lists the NC State Research Assistant appointment (August 15, 2016 – May 15, 2018) as Experience Entry 2. The HR email confirms that no verification letter has been obtained because the supervising professor (Helen Tsai) is on sabbatical and unresponsive. The</w:t>
      </w:r>
      <w:r>
        <w:t xml:space="preserve"> </w:t>
      </w:r>
      <w:r>
        <w:rPr>
          <w:b/>
          <w:bCs/>
        </w:rPr>
        <w:t xml:space="preserve">transcript does document the appointment</w:t>
      </w:r>
      <w:r>
        <w:t xml:space="preserve"> </w:t>
      </w:r>
      <w:r>
        <w:t xml:space="preserve">(Graduate Assistantship Appointments: Research Assistant, Department of Computer Science, August 15, 2016 – May 15, 2018; supervisor Professor Helen Tsai; funded under NSF Grant No. IIS-1742956), which provides partial corroboration.</w:t>
      </w:r>
    </w:p>
    <w:p>
      <w:pPr>
        <w:pStyle w:val="BodyText"/>
      </w:pPr>
      <w:r>
        <w:rPr>
          <w:b/>
          <w:bCs/>
        </w:rPr>
        <w:t xml:space="preserve">Assessment:</w:t>
      </w:r>
      <w:r>
        <w:t xml:space="preserve"> </w:t>
      </w:r>
      <w:r>
        <w:t xml:space="preserve">This experience is</w:t>
      </w:r>
      <w:r>
        <w:t xml:space="preserve"> </w:t>
      </w:r>
      <w:r>
        <w:rPr>
          <w:b/>
          <w:bCs/>
        </w:rPr>
        <w:t xml:space="preserve">not needed</w:t>
      </w:r>
      <w:r>
        <w:t xml:space="preserve"> </w:t>
      </w:r>
      <w:r>
        <w:t xml:space="preserve">to satisfy the five-year post-master’s minimum (the DataBridge experience alone exceeds it). It is also part-time (20 hrs/week) and concurrent with the master’s degree, so it would not be counted toward the post-master’s requirement in any event. The risk is therefore low. However, because it is represented on the ETA 9089 as a qualifying experience entry, it should be corroborated if USCIS examines the full experience history (e.g., in an audit or RFE).</w:t>
      </w:r>
    </w:p>
    <w:p>
      <w:pPr>
        <w:pStyle w:val="BodyText"/>
      </w:pPr>
      <w:r>
        <w:rPr>
          <w:b/>
          <w:bCs/>
        </w:rPr>
        <w:t xml:space="preserve">Remediation:</w:t>
      </w:r>
      <w:r>
        <w:t xml:space="preserve"> </w:t>
      </w:r>
      <w:r>
        <w:t xml:space="preserve">Pursue a verification letter from NC State’s HR office or the Department of Computer Science’s administrative staff (the backup path the HR email already contemplates). The transcript appointment record should be included in the I-140 record as interim corroboration. If a letter cannot be obtained, document the good-faith efforts to secure one.</w:t>
      </w:r>
    </w:p>
    <w:bookmarkEnd w:id="30"/>
    <w:bookmarkStart w:id="31" w:name="d.3-dr.-honorific-minor"/>
    <w:p>
      <w:pPr>
        <w:pStyle w:val="Heading4"/>
      </w:pPr>
      <w:r>
        <w:t xml:space="preserve">D.3</w:t>
      </w:r>
      <w:r>
        <w:t xml:space="preserve"> </w:t>
      </w:r>
      <w:r>
        <w:t xml:space="preserve">“</w:t>
      </w:r>
      <w:r>
        <w:t xml:space="preserve">Dr.</w:t>
      </w:r>
      <w:r>
        <w:t xml:space="preserve">”</w:t>
      </w:r>
      <w:r>
        <w:t xml:space="preserve"> </w:t>
      </w:r>
      <w:r>
        <w:t xml:space="preserve">Honorific — Minor</w:t>
      </w:r>
    </w:p>
    <w:p>
      <w:pPr>
        <w:pStyle w:val="FirstParagraph"/>
      </w:pPr>
      <w:r>
        <w:t xml:space="preserve">Several documents (the PERM at Section I.1, the DataBridge letter, the certifications compilation, and the HR email) refer to the Beneficiary as</w:t>
      </w:r>
      <w:r>
        <w:t xml:space="preserve"> </w:t>
      </w:r>
      <w:r>
        <w:t xml:space="preserve">“</w:t>
      </w:r>
      <w:r>
        <w:t xml:space="preserve">Dr. Ananya Mehrotra.</w:t>
      </w:r>
      <w:r>
        <w:t xml:space="preserve">”</w:t>
      </w:r>
      <w:r>
        <w:t xml:space="preserve"> </w:t>
      </w:r>
      <w:r>
        <w:t xml:space="preserve">The Beneficiary holds a</w:t>
      </w:r>
      <w:r>
        <w:t xml:space="preserve"> </w:t>
      </w:r>
      <w:r>
        <w:rPr>
          <w:b/>
          <w:bCs/>
        </w:rPr>
        <w:t xml:space="preserve">Master of Science</w:t>
      </w:r>
      <w:r>
        <w:t xml:space="preserve">, not a doctoral degree (the NC State transcript confirms an M.S. conferral, with no doctorate). Use of</w:t>
      </w:r>
      <w:r>
        <w:t xml:space="preserve"> </w:t>
      </w:r>
      <w:r>
        <w:t xml:space="preserve">“</w:t>
      </w:r>
      <w:r>
        <w:t xml:space="preserve">Dr.</w:t>
      </w:r>
      <w:r>
        <w:t xml:space="preserve">”</w:t>
      </w:r>
      <w:r>
        <w:t xml:space="preserve"> </w:t>
      </w:r>
      <w:r>
        <w:t xml:space="preserve">without an earned doctorate is potentially misleading in an immigration-credentialing context and could invite unnecessary questions about her education.</w:t>
      </w:r>
    </w:p>
    <w:p>
      <w:pPr>
        <w:pStyle w:val="BodyText"/>
      </w:pPr>
      <w:r>
        <w:rPr>
          <w:b/>
          <w:bCs/>
        </w:rPr>
        <w:t xml:space="preserve">Remediation:</w:t>
      </w:r>
      <w:r>
        <w:t xml:space="preserve"> </w:t>
      </w:r>
      <w:r>
        <w:t xml:space="preserve">Use</w:t>
      </w:r>
      <w:r>
        <w:t xml:space="preserve"> </w:t>
      </w:r>
      <w:r>
        <w:t xml:space="preserve">“</w:t>
      </w:r>
      <w:r>
        <w:t xml:space="preserve">Ms. Ananya Mehrotra</w:t>
      </w:r>
      <w:r>
        <w:t xml:space="preserve">”</w:t>
      </w:r>
      <w:r>
        <w:t xml:space="preserve"> </w:t>
      </w:r>
      <w:r>
        <w:t xml:space="preserve">(or simply</w:t>
      </w:r>
      <w:r>
        <w:t xml:space="preserve"> </w:t>
      </w:r>
      <w:r>
        <w:t xml:space="preserve">“</w:t>
      </w:r>
      <w:r>
        <w:t xml:space="preserve">Ananya Mehrotra</w:t>
      </w:r>
      <w:r>
        <w:t xml:space="preserve">”</w:t>
      </w:r>
      <w:r>
        <w:t xml:space="preserve">) consistently in the I-129, I-140, and all supporting correspondence and briefs. Ensure downstream filings do not perpetuate the honorific.</w:t>
      </w:r>
    </w:p>
    <w:bookmarkEnd w:id="31"/>
    <w:bookmarkStart w:id="32" w:name="d.4-telephone-number-consistency-minor"/>
    <w:p>
      <w:pPr>
        <w:pStyle w:val="Heading4"/>
      </w:pPr>
      <w:r>
        <w:t xml:space="preserve">D.4 Telephone-Number Consistency — Minor</w:t>
      </w:r>
    </w:p>
    <w:p>
      <w:pPr>
        <w:pStyle w:val="Compact"/>
        <w:numPr>
          <w:ilvl w:val="0"/>
          <w:numId w:val="1006"/>
        </w:numPr>
      </w:pPr>
      <w:r>
        <w:rPr>
          <w:b/>
          <w:bCs/>
        </w:rPr>
        <w:t xml:space="preserve">PERM (C.4) and PWD:</w:t>
      </w:r>
      <w:r>
        <w:t xml:space="preserve"> </w:t>
      </w:r>
      <w:r>
        <w:t xml:space="preserve">(512) 555-0174</w:t>
      </w:r>
    </w:p>
    <w:p>
      <w:pPr>
        <w:pStyle w:val="Compact"/>
        <w:numPr>
          <w:ilvl w:val="0"/>
          <w:numId w:val="1006"/>
        </w:numPr>
      </w:pPr>
      <w:r>
        <w:rPr>
          <w:b/>
          <w:bCs/>
        </w:rPr>
        <w:t xml:space="preserve">HR email signature (Melanie Foss):</w:t>
      </w:r>
      <w:r>
        <w:t xml:space="preserve"> </w:t>
      </w:r>
      <w:r>
        <w:t xml:space="preserve">(512) 555-0184</w:t>
      </w:r>
    </w:p>
    <w:p>
      <w:pPr>
        <w:pStyle w:val="FirstParagraph"/>
      </w:pPr>
      <w:r>
        <w:t xml:space="preserve">The HR email signature lists a different main number than the PERM and PWD. This is almost certainly a clerical error in the email signature, but it should be reconciled so that all filings present a single, consistent Employer telephone number.</w:t>
      </w:r>
    </w:p>
    <w:p>
      <w:pPr>
        <w:pStyle w:val="BodyText"/>
      </w:pPr>
      <w:r>
        <w:rPr>
          <w:b/>
          <w:bCs/>
        </w:rPr>
        <w:t xml:space="preserve">Remediation:</w:t>
      </w:r>
      <w:r>
        <w:t xml:space="preserve"> </w:t>
      </w:r>
      <w:r>
        <w:t xml:space="preserve">Confirm the correct main number with Prismex and use it consistently in the I-129/I-140 and the Employer’s contact information.</w:t>
      </w:r>
    </w:p>
    <w:bookmarkEnd w:id="32"/>
    <w:bookmarkStart w:id="33" w:name="X5875b80e805d10907fe48a53601d746d13bd0a9"/>
    <w:p>
      <w:pPr>
        <w:pStyle w:val="Heading4"/>
      </w:pPr>
      <w:r>
        <w:t xml:space="preserve">D.5 Experience-Calculation Precision — Minor</w:t>
      </w:r>
    </w:p>
    <w:p>
      <w:pPr>
        <w:pStyle w:val="FirstParagraph"/>
      </w:pPr>
      <w:r>
        <w:t xml:space="preserve">Section K.2 states the Beneficiary has</w:t>
      </w:r>
      <w:r>
        <w:t xml:space="preserve"> </w:t>
      </w:r>
      <w:r>
        <w:t xml:space="preserve">“</w:t>
      </w:r>
      <w:r>
        <w:t xml:space="preserve">approximately 7 years of post-master’s experience.</w:t>
      </w:r>
      <w:r>
        <w:t xml:space="preserve">”</w:t>
      </w:r>
      <w:r>
        <w:t xml:space="preserve"> </w:t>
      </w:r>
      <w:r>
        <w:t xml:space="preserve">As of the priority date (March 15, 2025), the figure is approximately</w:t>
      </w:r>
      <w:r>
        <w:t xml:space="preserve"> </w:t>
      </w:r>
      <w:r>
        <w:rPr>
          <w:b/>
          <w:bCs/>
        </w:rPr>
        <w:t xml:space="preserve">6 years, 9 months</w:t>
      </w:r>
      <w:r>
        <w:t xml:space="preserve">; the</w:t>
      </w:r>
      <w:r>
        <w:t xml:space="preserve"> </w:t>
      </w:r>
      <w:r>
        <w:t xml:space="preserve">“</w:t>
      </w:r>
      <w:r>
        <w:t xml:space="preserve">7 years</w:t>
      </w:r>
      <w:r>
        <w:t xml:space="preserve">”</w:t>
      </w:r>
      <w:r>
        <w:t xml:space="preserve"> </w:t>
      </w:r>
      <w:r>
        <w:t xml:space="preserve">figure is accurate only as of mid-2025. The five-year minimum is satisfied under either measure.</w:t>
      </w:r>
    </w:p>
    <w:p>
      <w:pPr>
        <w:pStyle w:val="BodyText"/>
      </w:pPr>
      <w:r>
        <w:rPr>
          <w:b/>
          <w:bCs/>
        </w:rPr>
        <w:t xml:space="preserve">Remediation:</w:t>
      </w:r>
      <w:r>
        <w:t xml:space="preserve"> </w:t>
      </w:r>
      <w:r>
        <w:t xml:space="preserve">In the I-140 filing, anchor the experience calculation to the priority date (June 4, 2018 – March 15, 2025 ≈ 6 years, 9 months) to avoid any appearance of overstatement and to align with the governing legal measuring date.</w:t>
      </w:r>
    </w:p>
    <w:p>
      <w:r>
        <w:pict>
          <v:rect style="width:0;height:1.5pt" o:hralign="center" o:hrstd="t" o:hr="t"/>
        </w:pict>
      </w:r>
    </w:p>
    <w:bookmarkEnd w:id="33"/>
    <w:bookmarkEnd w:id="34"/>
    <w:bookmarkEnd w:id="35"/>
    <w:bookmarkStart w:id="36" w:name="v.-prioritized-gap-summary"/>
    <w:p>
      <w:pPr>
        <w:pStyle w:val="Heading2"/>
      </w:pPr>
      <w:r>
        <w:t xml:space="preserve">V. Prioritized Gap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Affects</w:t>
            </w:r>
          </w:p>
        </w:tc>
        <w:tc>
          <w:tcPr/>
          <w:p>
            <w:pPr>
              <w:pStyle w:val="Compact"/>
              <w:jc w:val="left"/>
            </w:pPr>
            <w:r>
              <w:t xml:space="preserve">Meets minimum as of priority date?</w:t>
            </w:r>
          </w:p>
        </w:tc>
      </w:tr>
      <w:tr>
        <w:tc>
          <w:tcPr/>
          <w:p>
            <w:pPr>
              <w:pStyle w:val="Compact"/>
              <w:jc w:val="left"/>
            </w:pPr>
            <w:r>
              <w:t xml:space="preserve">1</w:t>
            </w:r>
          </w:p>
        </w:tc>
        <w:tc>
          <w:tcPr/>
          <w:p>
            <w:pPr>
              <w:pStyle w:val="Compact"/>
              <w:jc w:val="left"/>
            </w:pPr>
            <w:r>
              <w:t xml:space="preserve">AWS Certified Machine Learning – Specialty certification not held; held AWS Cloud Practitioner is foundational and expired; TensorFlow cert not equivalent; K.3 attestation inconsistent</w:t>
            </w:r>
          </w:p>
        </w:tc>
        <w:tc>
          <w:tcPr/>
          <w:p>
            <w:pPr>
              <w:pStyle w:val="Compact"/>
              <w:jc w:val="left"/>
            </w:pPr>
            <w:r>
              <w:rPr>
                <w:b/>
                <w:bCs/>
              </w:rPr>
              <w:t xml:space="preserve">Critical</w:t>
            </w:r>
          </w:p>
        </w:tc>
        <w:tc>
          <w:tcPr/>
          <w:p>
            <w:pPr>
              <w:pStyle w:val="Compact"/>
              <w:jc w:val="left"/>
            </w:pPr>
            <w:r>
              <w:t xml:space="preserve">I-140; PERM integrity; H-1B</w:t>
            </w:r>
          </w:p>
        </w:tc>
        <w:tc>
          <w:tcPr/>
          <w:p>
            <w:pPr>
              <w:pStyle w:val="Compact"/>
              <w:jc w:val="left"/>
            </w:pPr>
            <w:r>
              <w:rPr>
                <w:b/>
                <w:bCs/>
              </w:rPr>
              <w:t xml:space="preserve">No</w:t>
            </w:r>
          </w:p>
        </w:tc>
      </w:tr>
      <w:tr>
        <w:tc>
          <w:tcPr/>
          <w:p>
            <w:pPr>
              <w:pStyle w:val="Compact"/>
              <w:jc w:val="left"/>
            </w:pPr>
            <w:r>
              <w:t xml:space="preserve">2</w:t>
            </w:r>
          </w:p>
        </w:tc>
        <w:tc>
          <w:tcPr/>
          <w:p>
            <w:pPr>
              <w:pStyle w:val="Compact"/>
              <w:jc w:val="left"/>
            </w:pPr>
            <w:r>
              <w:t xml:space="preserve">FEIN mismatch (PERM 84-3291756 vs. PWD 84-3291047)</w:t>
            </w:r>
          </w:p>
        </w:tc>
        <w:tc>
          <w:tcPr/>
          <w:p>
            <w:pPr>
              <w:pStyle w:val="Compact"/>
              <w:jc w:val="left"/>
            </w:pPr>
            <w:r>
              <w:t xml:space="preserve">Moderate</w:t>
            </w:r>
          </w:p>
        </w:tc>
        <w:tc>
          <w:tcPr/>
          <w:p>
            <w:pPr>
              <w:pStyle w:val="Compact"/>
              <w:jc w:val="left"/>
            </w:pPr>
            <w:r>
              <w:t xml:space="preserve">I-140 (ability to pay)</w:t>
            </w:r>
          </w:p>
        </w:tc>
        <w:tc>
          <w:tcPr/>
          <w:p>
            <w:pPr>
              <w:pStyle w:val="Compact"/>
              <w:jc w:val="left"/>
            </w:pPr>
            <w:r>
              <w:t xml:space="preserve">N/A (consistency)</w:t>
            </w:r>
          </w:p>
        </w:tc>
      </w:tr>
      <w:tr>
        <w:tc>
          <w:tcPr/>
          <w:p>
            <w:pPr>
              <w:pStyle w:val="Compact"/>
              <w:jc w:val="left"/>
            </w:pPr>
            <w:r>
              <w:t xml:space="preserve">3</w:t>
            </w:r>
          </w:p>
        </w:tc>
        <w:tc>
          <w:tcPr/>
          <w:p>
            <w:pPr>
              <w:pStyle w:val="Compact"/>
              <w:jc w:val="left"/>
            </w:pPr>
            <w:r>
              <w:t xml:space="preserve">Missing NC State RA verification letter (transcript partially supports)</w:t>
            </w:r>
          </w:p>
        </w:tc>
        <w:tc>
          <w:tcPr/>
          <w:p>
            <w:pPr>
              <w:pStyle w:val="Compact"/>
              <w:jc w:val="left"/>
            </w:pPr>
            <w:r>
              <w:t xml:space="preserve">Moderate</w:t>
            </w:r>
          </w:p>
        </w:tc>
        <w:tc>
          <w:tcPr/>
          <w:p>
            <w:pPr>
              <w:pStyle w:val="Compact"/>
              <w:jc w:val="left"/>
            </w:pPr>
            <w:r>
              <w:t xml:space="preserve">Audit/RFE defense</w:t>
            </w:r>
          </w:p>
        </w:tc>
        <w:tc>
          <w:tcPr/>
          <w:p>
            <w:pPr>
              <w:pStyle w:val="Compact"/>
              <w:jc w:val="left"/>
            </w:pPr>
            <w:r>
              <w:t xml:space="preserve">N/A (not needed for 5-yr min)</w:t>
            </w:r>
          </w:p>
        </w:tc>
      </w:tr>
      <w:tr>
        <w:tc>
          <w:tcPr/>
          <w:p>
            <w:pPr>
              <w:pStyle w:val="Compact"/>
              <w:jc w:val="left"/>
            </w:pPr>
            <w:r>
              <w:t xml:space="preserve">4</w:t>
            </w:r>
          </w:p>
        </w:tc>
        <w:tc>
          <w:tcPr/>
          <w:p>
            <w:pPr>
              <w:pStyle w:val="Compact"/>
              <w:jc w:val="left"/>
            </w:pPr>
            <w:r>
              <w:t xml:space="preserve">R proficiency described as</w:t>
            </w:r>
            <w:r>
              <w:t xml:space="preserve"> </w:t>
            </w:r>
            <w:r>
              <w:t xml:space="preserve">“</w:t>
            </w:r>
            <w:r>
              <w:t xml:space="preserve">some use</w:t>
            </w:r>
            <w:r>
              <w:t xml:space="preserve">”</w:t>
            </w:r>
            <w:r>
              <w:t xml:space="preserve">/</w:t>
            </w:r>
            <w:r>
              <w:t xml:space="preserve">“</w:t>
            </w:r>
            <w:r>
              <w:t xml:space="preserve">intermediate</w:t>
            </w:r>
            <w:r>
              <w:t xml:space="preserve">”</w:t>
            </w:r>
            <w:r>
              <w:t xml:space="preserve"> </w:t>
            </w:r>
            <w:r>
              <w:t xml:space="preserve">vs. required</w:t>
            </w:r>
            <w:r>
              <w:t xml:space="preserve"> </w:t>
            </w:r>
            <w:r>
              <w:t xml:space="preserve">“</w:t>
            </w:r>
            <w:r>
              <w:t xml:space="preserve">proficiency</w:t>
            </w:r>
            <w:r>
              <w:t xml:space="preserve">”</w:t>
            </w:r>
          </w:p>
        </w:tc>
        <w:tc>
          <w:tcPr/>
          <w:p>
            <w:pPr>
              <w:pStyle w:val="Compact"/>
              <w:jc w:val="left"/>
            </w:pPr>
            <w:r>
              <w:t xml:space="preserve">Minor / soft</w:t>
            </w:r>
          </w:p>
        </w:tc>
        <w:tc>
          <w:tcPr/>
          <w:p>
            <w:pPr>
              <w:pStyle w:val="Compact"/>
              <w:jc w:val="left"/>
            </w:pPr>
            <w:r>
              <w:t xml:space="preserve">I-140 (special skill)</w:t>
            </w:r>
          </w:p>
        </w:tc>
        <w:tc>
          <w:tcPr/>
          <w:p>
            <w:pPr>
              <w:pStyle w:val="Compact"/>
              <w:jc w:val="left"/>
            </w:pPr>
            <w:r>
              <w:t xml:space="preserve">Likely yes (coursework + use)</w:t>
            </w:r>
          </w:p>
        </w:tc>
      </w:tr>
      <w:tr>
        <w:tc>
          <w:tcPr/>
          <w:p>
            <w:pPr>
              <w:pStyle w:val="Compact"/>
              <w:jc w:val="left"/>
            </w:pPr>
            <w:r>
              <w:t xml:space="preserve">5</w:t>
            </w:r>
          </w:p>
        </w:tc>
        <w:tc>
          <w:tcPr/>
          <w:p>
            <w:pPr>
              <w:pStyle w:val="Compact"/>
              <w:jc w:val="left"/>
            </w:pPr>
            <w:r>
              <w:t xml:space="preserve">Supervised team of 2 vs. position’s 3–5</w:t>
            </w:r>
          </w:p>
        </w:tc>
        <w:tc>
          <w:tcPr/>
          <w:p>
            <w:pPr>
              <w:pStyle w:val="Compact"/>
              <w:jc w:val="left"/>
            </w:pPr>
            <w:r>
              <w:t xml:space="preserve">Minor</w:t>
            </w:r>
          </w:p>
        </w:tc>
        <w:tc>
          <w:tcPr/>
          <w:p>
            <w:pPr>
              <w:pStyle w:val="Compact"/>
              <w:jc w:val="left"/>
            </w:pPr>
            <w:r>
              <w:t xml:space="preserve">I-140 (capability)</w:t>
            </w:r>
          </w:p>
        </w:tc>
        <w:tc>
          <w:tcPr/>
          <w:p>
            <w:pPr>
              <w:pStyle w:val="Compact"/>
              <w:jc w:val="left"/>
            </w:pPr>
            <w:r>
              <w:t xml:space="preserve">Yes (capability shown)</w:t>
            </w:r>
          </w:p>
        </w:tc>
      </w:tr>
      <w:tr>
        <w:tc>
          <w:tcPr/>
          <w:p>
            <w:pPr>
              <w:pStyle w:val="Compact"/>
              <w:jc w:val="left"/>
            </w:pPr>
            <w:r>
              <w:t xml:space="preserve">6</w:t>
            </w:r>
          </w:p>
        </w:tc>
        <w:tc>
          <w:tcPr/>
          <w:p>
            <w:pPr>
              <w:pStyle w:val="Compact"/>
              <w:jc w:val="left"/>
            </w:pPr>
            <w:r>
              <w:t xml:space="preserve">“</w:t>
            </w:r>
            <w:r>
              <w:t xml:space="preserve">Dr.</w:t>
            </w:r>
            <w:r>
              <w:t xml:space="preserve">”</w:t>
            </w:r>
            <w:r>
              <w:t xml:space="preserve"> </w:t>
            </w:r>
            <w:r>
              <w:t xml:space="preserve">honorific used without a doctorate</w:t>
            </w:r>
          </w:p>
        </w:tc>
        <w:tc>
          <w:tcPr/>
          <w:p>
            <w:pPr>
              <w:pStyle w:val="Compact"/>
              <w:jc w:val="left"/>
            </w:pPr>
            <w:r>
              <w:t xml:space="preserve">Minor</w:t>
            </w:r>
          </w:p>
        </w:tc>
        <w:tc>
          <w:tcPr/>
          <w:p>
            <w:pPr>
              <w:pStyle w:val="Compact"/>
              <w:jc w:val="left"/>
            </w:pPr>
            <w:r>
              <w:t xml:space="preserve">Consistency/clarity</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Telephone-number discrepancy (HR email signature)</w:t>
            </w:r>
          </w:p>
        </w:tc>
        <w:tc>
          <w:tcPr/>
          <w:p>
            <w:pPr>
              <w:pStyle w:val="Compact"/>
              <w:jc w:val="left"/>
            </w:pPr>
            <w:r>
              <w:t xml:space="preserve">Minor</w:t>
            </w:r>
          </w:p>
        </w:tc>
        <w:tc>
          <w:tcPr/>
          <w:p>
            <w:pPr>
              <w:pStyle w:val="Compact"/>
              <w:jc w:val="left"/>
            </w:pPr>
            <w:r>
              <w:t xml:space="preserve">Consistency</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Experience stated as</w:t>
            </w:r>
            <w:r>
              <w:t xml:space="preserve"> </w:t>
            </w:r>
            <w:r>
              <w:t xml:space="preserve">“</w:t>
            </w:r>
            <w:r>
              <w:t xml:space="preserve">7 years</w:t>
            </w:r>
            <w:r>
              <w:t xml:space="preserve">”</w:t>
            </w:r>
            <w:r>
              <w:t xml:space="preserve"> </w:t>
            </w:r>
            <w:r>
              <w:t xml:space="preserve">vs. ~6y9m as of priority date</w:t>
            </w:r>
          </w:p>
        </w:tc>
        <w:tc>
          <w:tcPr/>
          <w:p>
            <w:pPr>
              <w:pStyle w:val="Compact"/>
              <w:jc w:val="left"/>
            </w:pPr>
            <w:r>
              <w:t xml:space="preserve">Minor</w:t>
            </w:r>
          </w:p>
        </w:tc>
        <w:tc>
          <w:tcPr/>
          <w:p>
            <w:pPr>
              <w:pStyle w:val="Compact"/>
              <w:jc w:val="left"/>
            </w:pPr>
            <w:r>
              <w:t xml:space="preserve">I-140 narrative</w:t>
            </w:r>
          </w:p>
        </w:tc>
        <w:tc>
          <w:tcPr/>
          <w:p>
            <w:pPr>
              <w:pStyle w:val="Compact"/>
              <w:jc w:val="left"/>
            </w:pPr>
            <w:r>
              <w:t xml:space="preserve">Yes (still &gt; 5 yrs)</w:t>
            </w:r>
          </w:p>
        </w:tc>
      </w:tr>
    </w:tbl>
    <w:p>
      <w:pPr>
        <w:pStyle w:val="BodyText"/>
      </w:pPr>
      <w:r>
        <w:rPr>
          <w:b/>
          <w:bCs/>
        </w:rPr>
        <w:t xml:space="preserve">Satisfied without gap:</w:t>
      </w:r>
      <w:r>
        <w:t xml:space="preserve"> </w:t>
      </w:r>
      <w:r>
        <w:t xml:space="preserve">Education (M.S. CS); post-master’s experience (≥ 5 yrs); TensorFlow/PyTorch; Apache Spark; NLP pipelines; AWS SageMaker; Python; offered wage ($142,000 &gt; PWD $131,747); SOC-code consistency (15-2051 across PERM and PWD).</w:t>
      </w:r>
    </w:p>
    <w:p>
      <w:r>
        <w:pict>
          <v:rect style="width:0;height:1.5pt" o:hralign="center" o:hrstd="t" o:hr="t"/>
        </w:pict>
      </w:r>
    </w:p>
    <w:bookmarkEnd w:id="36"/>
    <w:bookmarkStart w:id="44" w:name="vi.-remedial-recommendations"/>
    <w:p>
      <w:pPr>
        <w:pStyle w:val="Heading2"/>
      </w:pPr>
      <w:r>
        <w:t xml:space="preserve">VI. Remedial Recommendations</w:t>
      </w:r>
    </w:p>
    <w:bookmarkStart w:id="37" w:name="X4da4413785948ea2267fed6690fef36e242deb3"/>
    <w:p>
      <w:pPr>
        <w:pStyle w:val="Heading3"/>
      </w:pPr>
      <w:r>
        <w:t xml:space="preserve">Recommendation 1 — AWS Certified Machine Learning – Specialty Certification (Critical; Immediate)</w:t>
      </w:r>
    </w:p>
    <w:p>
      <w:pPr>
        <w:numPr>
          <w:ilvl w:val="0"/>
          <w:numId w:val="1007"/>
        </w:numPr>
      </w:pPr>
      <w:r>
        <w:rPr>
          <w:b/>
          <w:bCs/>
        </w:rPr>
        <w:t xml:space="preserve">The Beneficiary should begin preparing for and sit the AWS Certified Machine Learning – Specialty examination immediately</w:t>
      </w:r>
      <w:r>
        <w:t xml:space="preserve">, with a target of obtaining the credential before the I-140 is filed (and, ideally, before the H-1B is filed). The Beneficiary’s documented AWS SageMaker production experience provides a reasonable foundation for the exam, but the specialty exam requires dedicated preparation (AWS ML services, SageMaker, model deployment, MLOps, security, and cost optimization). Given the STEM OPT deadline of September 15, 2025, preparation should commence now.</w:t>
      </w:r>
    </w:p>
    <w:p>
      <w:pPr>
        <w:numPr>
          <w:ilvl w:val="0"/>
          <w:numId w:val="1007"/>
        </w:numPr>
      </w:pPr>
      <w:r>
        <w:rPr>
          <w:b/>
          <w:bCs/>
        </w:rPr>
        <w:t xml:space="preserve">Counsel and the Employer must make a documented decision regarding the bona fides of the certification requirement.</w:t>
      </w:r>
      <w:r>
        <w:t xml:space="preserve"> </w:t>
      </w:r>
      <w:r>
        <w:t xml:space="preserve">Two paths should be evaluated:</w:t>
      </w:r>
    </w:p>
    <w:p>
      <w:pPr>
        <w:numPr>
          <w:ilvl w:val="0"/>
          <w:numId w:val="1008"/>
        </w:numPr>
      </w:pPr>
      <w:r>
        <w:rPr>
          <w:b/>
          <w:bCs/>
        </w:rPr>
        <w:t xml:space="preserve">Path A — The certification is a genuine, bona fide minimum requirement.</w:t>
      </w:r>
      <w:r>
        <w:t xml:space="preserve"> </w:t>
      </w:r>
      <w:r>
        <w:t xml:space="preserve">If the Employer truly requires the AWS Certified Machine Learning – Specialty certification of</w:t>
      </w:r>
      <w:r>
        <w:t xml:space="preserve"> </w:t>
      </w:r>
      <w:r>
        <w:rPr>
          <w:i/>
          <w:iCs/>
        </w:rPr>
        <w:t xml:space="preserve">all</w:t>
      </w:r>
      <w:r>
        <w:t xml:space="preserve"> </w:t>
      </w:r>
      <w:r>
        <w:t xml:space="preserve">applicants for this role (and can so attest), then the Beneficiary must obtain it. Counsel must then assess the priority-date exposure: because the Beneficiary did not hold the certification as of March 15, 2025, the I-140 carries denial risk on the</w:t>
      </w:r>
      <w:r>
        <w:t xml:space="preserve"> </w:t>
      </w:r>
      <w:r>
        <w:t xml:space="preserve">“</w:t>
      </w:r>
      <w:r>
        <w:t xml:space="preserve">minimum requirements as of priority date</w:t>
      </w:r>
      <w:r>
        <w:t xml:space="preserve">”</w:t>
      </w:r>
      <w:r>
        <w:t xml:space="preserve"> </w:t>
      </w:r>
      <w:r>
        <w:t xml:space="preserve">theory. Options include proceeding with the I-140 after she obtains the credential (accepting some risk and preparing a legal argument that the requirement is met), or — if the risk is unacceptable — withdrawing the certified PERM and refiling a new PERM after the Beneficiary obtains the certification (recognizing the cost and delay, and the tight STEM OPT timeline).</w:t>
      </w:r>
    </w:p>
    <w:p>
      <w:pPr>
        <w:numPr>
          <w:ilvl w:val="0"/>
          <w:numId w:val="1008"/>
        </w:numPr>
      </w:pPr>
      <w:r>
        <w:rPr>
          <w:b/>
          <w:bCs/>
        </w:rPr>
        <w:t xml:space="preserve">Path B — The certification is not a true minimum requirement (e.g., it is preferred, or was included in error).</w:t>
      </w:r>
      <w:r>
        <w:t xml:space="preserve"> </w:t>
      </w:r>
      <w:r>
        <w:t xml:space="preserve">If the Employer cannot genuinely attest that the certification is required of all applicants, then the PERM’s stated minimum requirements are over-inclusive relative to the Employer’s actual requirements, which is itself a PERM deficiency (inflated requirements invite business-necessity scrutiny and undermine the</w:t>
      </w:r>
      <w:r>
        <w:t xml:space="preserve"> </w:t>
      </w:r>
      <w:r>
        <w:t xml:space="preserve">“</w:t>
      </w:r>
      <w:r>
        <w:t xml:space="preserve">clearly open to U.S. workers</w:t>
      </w:r>
      <w:r>
        <w:t xml:space="preserve">”</w:t>
      </w:r>
      <w:r>
        <w:t xml:space="preserve"> </w:t>
      </w:r>
      <w:r>
        <w:t xml:space="preserve">premise). In that case, the Employer should consider filing a new PERM that accurately states the true minimum requirements (without the certification, or with it recharacterized as preferred). The current certified PERM should not be relied upon if its stated requirements do not reflect the Employer’s actual minimums.</w:t>
      </w:r>
    </w:p>
    <w:p>
      <w:pPr>
        <w:pStyle w:val="Compact"/>
        <w:numPr>
          <w:ilvl w:val="0"/>
          <w:numId w:val="1009"/>
        </w:numPr>
      </w:pPr>
      <w:r>
        <w:rPr>
          <w:b/>
          <w:bCs/>
        </w:rPr>
        <w:t xml:space="preserve">Document the decision.</w:t>
      </w:r>
      <w:r>
        <w:t xml:space="preserve"> </w:t>
      </w:r>
      <w:r>
        <w:t xml:space="preserve">Whichever path is selected, the basis for the decision — including the Employer’s confirmation of whether the certification is a bona fide minimum — should be documented in the engagement file. This is essential given the inconsistency between the K.3 attestation and the documentary record.</w:t>
      </w:r>
    </w:p>
    <w:bookmarkEnd w:id="37"/>
    <w:bookmarkStart w:id="38" w:name="X8f488a97966324a4e8182936c188183603a08a6"/>
    <w:p>
      <w:pPr>
        <w:pStyle w:val="Heading3"/>
      </w:pPr>
      <w:r>
        <w:t xml:space="preserve">Recommendation 2 — H-1B (Form I-129) Filing Strategy (Critical; Time-Sensitive)</w:t>
      </w:r>
    </w:p>
    <w:p>
      <w:pPr>
        <w:pStyle w:val="FirstParagraph"/>
      </w:pPr>
      <w:r>
        <w:t xml:space="preserve">The H-1B petition is the immediate bridge (FY2026 cap selection; STEM OPT expires September 15, 2025; target filing ~July 15, 2025). The H-1B requires (i) a specialty occupation requiring a bachelor’s or higher and (ii) a Beneficiary qualified to perform the specialty occupation. The Beneficiary’s M.S. in Computer Science plus approximately seven years of relevant experience readily satisfy the H-1B qualification standard; the AWS certification is</w:t>
      </w:r>
      <w:r>
        <w:t xml:space="preserve"> </w:t>
      </w:r>
      <w:r>
        <w:rPr>
          <w:b/>
          <w:bCs/>
        </w:rPr>
        <w:t xml:space="preserve">not</w:t>
      </w:r>
      <w:r>
        <w:t xml:space="preserve"> </w:t>
      </w:r>
      <w:r>
        <w:t xml:space="preserve">a statutory prerequisite for H-1B classification.</w:t>
      </w:r>
    </w:p>
    <w:p>
      <w:pPr>
        <w:pStyle w:val="BodyText"/>
      </w:pPr>
      <w:r>
        <w:rPr>
          <w:b/>
          <w:bCs/>
        </w:rPr>
        <w:t xml:space="preserve">Recommendation:</w:t>
      </w:r>
      <w:r>
        <w:t xml:space="preserve"> </w:t>
      </w:r>
      <w:r>
        <w:t xml:space="preserve">File the H-1B on schedule. To minimize RFE risk while the certification gap is being resolved, ensure the H-1B’s position description and the Beneficiary’s qualification narrative do not over-state the AWS certification as a strict prerequisite the Beneficiary must already hold. If the Employer wishes to represent the certification as required, the Beneficiary should obtain it before the H-1B is filed; otherwise, frame the position’s minimum as a bachelor’s (or higher) in a relevant field plus the relevant experience, which the Beneficiary satisfies. Confirm the cap-gap extension analysis (F-1 STEM OPT automatic extension to October 1 upon timely-filed cap-subject H-1B) so the Beneficiary’s work authorization is uninterrupted through the transition.</w:t>
      </w:r>
    </w:p>
    <w:bookmarkEnd w:id="38"/>
    <w:bookmarkStart w:id="39" w:name="X0fd7d5bd9e43fb9fa1544227d5aa3233efcccb9"/>
    <w:p>
      <w:pPr>
        <w:pStyle w:val="Heading3"/>
      </w:pPr>
      <w:r>
        <w:t xml:space="preserve">Recommendation 3 — Address the Attestation-Integrity Issue (Critical)</w:t>
      </w:r>
    </w:p>
    <w:p>
      <w:pPr>
        <w:pStyle w:val="FirstParagraph"/>
      </w:pPr>
      <w:r>
        <w:t xml:space="preserve">Because counsel now holds evidence (the certifications compilation) that is inconsistent with the K.3 attestation on the certified PERM, counsel should advise the Employer of the discrepancy in writing, outline the options in Recommendations 1(a)–(c), and obtain the Employer’s documented direction. If, upon review, the Employer confirms the certification is a bona fide requirement that the Beneficiary did not hold as of the priority date, counsel should evaluate whether continued reliance on the certified PERM is appropriate or whether corrective action (withdrawal/refiling) is warranted to avoid a fraud/willful-misrepresentation revocation theory under 20 CFR 656.32. This is a judgment call for counsel with the client, but it must be made deliberately and documented.</w:t>
      </w:r>
    </w:p>
    <w:bookmarkEnd w:id="39"/>
    <w:bookmarkStart w:id="40" w:name="Xd4d4dc8445b29d2f773037c5187d5c46148bbe9"/>
    <w:p>
      <w:pPr>
        <w:pStyle w:val="Heading3"/>
      </w:pPr>
      <w:r>
        <w:t xml:space="preserve">Recommendation 4 — Reconcile the FEIN (Moderate; Before I-140)</w:t>
      </w:r>
    </w:p>
    <w:p>
      <w:pPr>
        <w:pStyle w:val="FirstParagraph"/>
      </w:pPr>
      <w:r>
        <w:t xml:space="preserve">Confirm the correct FEIN with Prismex’s finance/payroll function. Use the correct FEIN consistently in the I-140 and all ability-to-pay documentation. If the PWD bears the incorrect FEIN, obtain a corrected PWD or document the clerical error (PWD valid through November 7, 2025). If the PERM bears the incorrect FEIN, document the correct number and be prepared to address any USCIS inquiry.</w:t>
      </w:r>
    </w:p>
    <w:bookmarkEnd w:id="40"/>
    <w:bookmarkStart w:id="41" w:name="X45a67d5956d5c884b3d021a406c7856ab5cf542"/>
    <w:p>
      <w:pPr>
        <w:pStyle w:val="Heading3"/>
      </w:pPr>
      <w:r>
        <w:t xml:space="preserve">Recommendation 5 — Obtain NC State RA Verification (Moderate; Before I-140)</w:t>
      </w:r>
    </w:p>
    <w:p>
      <w:pPr>
        <w:pStyle w:val="FirstParagraph"/>
      </w:pPr>
      <w:r>
        <w:t xml:space="preserve">Pursue a verification letter from NC State HR or the Department of Computer Science administrative staff. Include the transcript’s Graduate Assistantship record as interim corroboration. Document good-faith efforts if the letter cannot be secured. This experience is not needed for the five-year minimum but should be corroborated because it appears on the ETA 9089.</w:t>
      </w:r>
    </w:p>
    <w:bookmarkEnd w:id="41"/>
    <w:bookmarkStart w:id="42" w:name="X8f46c2f02d8358e41a64978c24309992604e71a"/>
    <w:p>
      <w:pPr>
        <w:pStyle w:val="Heading3"/>
      </w:pPr>
      <w:r>
        <w:t xml:space="preserve">Recommendation 6 — Strengthen the R-Proficiency Record (Minor; Before I-140)</w:t>
      </w:r>
    </w:p>
    <w:p>
      <w:pPr>
        <w:pStyle w:val="FirstParagraph"/>
      </w:pPr>
      <w:r>
        <w:t xml:space="preserve">Obtain a DataBridge letter addendum describing the Beneficiary’s R usage concretely (deliverables, packages, regularity). Cite ST 558 (Statistical Computing with R, grade A–) in the I-140 brief as academic corroboration of R proficiency.</w:t>
      </w:r>
    </w:p>
    <w:bookmarkEnd w:id="42"/>
    <w:bookmarkStart w:id="43" w:name="X3000604f742ab947cf2756bea609b48c1f61b67"/>
    <w:p>
      <w:pPr>
        <w:pStyle w:val="Heading3"/>
      </w:pPr>
      <w:r>
        <w:t xml:space="preserve">Recommendation 7 — Clean Up Consistency Items (Minor; Before Filings)</w:t>
      </w:r>
    </w:p>
    <w:p>
      <w:pPr>
        <w:pStyle w:val="Compact"/>
        <w:numPr>
          <w:ilvl w:val="0"/>
          <w:numId w:val="1010"/>
        </w:numPr>
      </w:pPr>
      <w:r>
        <w:t xml:space="preserve">Use</w:t>
      </w:r>
      <w:r>
        <w:t xml:space="preserve"> </w:t>
      </w:r>
      <w:r>
        <w:t xml:space="preserve">“</w:t>
      </w:r>
      <w:r>
        <w:t xml:space="preserve">Ms. Ananya Mehrotra</w:t>
      </w:r>
      <w:r>
        <w:t xml:space="preserve">”</w:t>
      </w:r>
      <w:r>
        <w:t xml:space="preserve"> </w:t>
      </w:r>
      <w:r>
        <w:t xml:space="preserve">(not</w:t>
      </w:r>
      <w:r>
        <w:t xml:space="preserve"> </w:t>
      </w:r>
      <w:r>
        <w:t xml:space="preserve">“</w:t>
      </w:r>
      <w:r>
        <w:t xml:space="preserve">Dr.</w:t>
      </w:r>
      <w:r>
        <w:t xml:space="preserve">”</w:t>
      </w:r>
      <w:r>
        <w:t xml:space="preserve">) consistently in the I-129, I-140, and supporting documents.</w:t>
      </w:r>
    </w:p>
    <w:p>
      <w:pPr>
        <w:pStyle w:val="Compact"/>
        <w:numPr>
          <w:ilvl w:val="0"/>
          <w:numId w:val="1010"/>
        </w:numPr>
      </w:pPr>
      <w:r>
        <w:t xml:space="preserve">Confirm and use a single Employer telephone number consistently.</w:t>
      </w:r>
    </w:p>
    <w:p>
      <w:pPr>
        <w:pStyle w:val="Compact"/>
        <w:numPr>
          <w:ilvl w:val="0"/>
          <w:numId w:val="1010"/>
        </w:numPr>
      </w:pPr>
      <w:r>
        <w:t xml:space="preserve">Anchor the experience calculation to the priority date (~6 years, 9 months) in the I-140 narrative.</w:t>
      </w:r>
    </w:p>
    <w:p>
      <w:r>
        <w:pict>
          <v:rect style="width:0;height:1.5pt" o:hralign="center" o:hrstd="t" o:hr="t"/>
        </w:pict>
      </w:r>
    </w:p>
    <w:bookmarkEnd w:id="43"/>
    <w:bookmarkEnd w:id="44"/>
    <w:bookmarkStart w:id="45" w:name="X18b0cf4cbd63375530f00afcbe3bd3b9c467a6a"/>
    <w:p>
      <w:pPr>
        <w:pStyle w:val="Heading2"/>
      </w:pPr>
      <w:r>
        <w:t xml:space="preserve">VII. Risk Assessment and Strategic Considerations</w:t>
      </w:r>
    </w:p>
    <w:p>
      <w:pPr>
        <w:pStyle w:val="FirstParagraph"/>
      </w:pPr>
      <w:r>
        <w:rPr>
          <w:b/>
          <w:bCs/>
        </w:rPr>
        <w:t xml:space="preserve">A. I-140 priority-date risk (certification).</w:t>
      </w:r>
      <w:r>
        <w:t xml:space="preserve"> </w:t>
      </w:r>
      <w:r>
        <w:t xml:space="preserve">The single greatest exposure is that the Beneficiary did not hold the AWS Certified Machine Learning – Specialty certification as of the March 15, 2025 priority date. Even if she obtains it before the I-140 is filed, USCIS may deny on the theory that a stated minimum requirement was unmet as of the priority date. The strength of this risk depends on (i) whether the certification is a bona fide minimum requirement and (ii) how aggressively USCIS scrutinizes the special-skills attestation. Counsel should weigh proceeding (with the credential obtained and a supporting legal argument) against refiling a new PERM, against the backdrop of the STEM OPT timeline.</w:t>
      </w:r>
    </w:p>
    <w:p>
      <w:pPr>
        <w:pStyle w:val="BodyText"/>
      </w:pPr>
      <w:r>
        <w:rPr>
          <w:b/>
          <w:bCs/>
        </w:rPr>
        <w:t xml:space="preserve">B. PERM revocation/integrity risk.</w:t>
      </w:r>
      <w:r>
        <w:t xml:space="preserve"> </w:t>
      </w:r>
      <w:r>
        <w:t xml:space="preserve">The K.3 attestation inconsistency creates a theoretical revocation exposure under 20 CFR 656.32, particularly if the certification is a bona fide requirement the Beneficiary never held. The exposure is mitigated if the Employer can demonstrate the certification was not, in fact, a true minimum requirement (supporting Path B above), but that path carries its own PERM-deficiency implications. A documented, good-faith resolution is the best protection.</w:t>
      </w:r>
    </w:p>
    <w:p>
      <w:pPr>
        <w:pStyle w:val="BodyText"/>
      </w:pPr>
      <w:r>
        <w:rPr>
          <w:b/>
          <w:bCs/>
        </w:rPr>
        <w:t xml:space="preserve">C. Timeline pressure.</w:t>
      </w:r>
      <w:r>
        <w:t xml:space="preserve"> </w:t>
      </w:r>
      <w:r>
        <w:t xml:space="preserve">The Beneficiary’s STEM OPT expires September 15, 2025. The H-1B (I-129) is the priority filing (~July 15, 2025) and is not blocked by the certification gap. The I-140 follows and is where the certification gap must be resolved. The two-track approach (file H-1B now; resolve certification for the I-140) is the most pragmatic path, provided the H-1B is not framed in a way that imports the certification prerequisite.</w:t>
      </w:r>
    </w:p>
    <w:p>
      <w:pPr>
        <w:pStyle w:val="BodyText"/>
      </w:pPr>
      <w:r>
        <w:rPr>
          <w:b/>
          <w:bCs/>
        </w:rPr>
        <w:t xml:space="preserve">D. Classification note (non-credential).</w:t>
      </w:r>
      <w:r>
        <w:t xml:space="preserve"> </w:t>
      </w:r>
      <w:r>
        <w:t xml:space="preserve">The position’s Master’s-degree requirement supports EB-2 classification. The additional five-year post-master’s progressive requirement exceeds the standard EB-2 minimum; while defensible for a senior role, counsel should ensure business-necessity rationale is documented in the audit file in the event of an audit. This is outside the scope of a credential gap but is noted for completeness.</w:t>
      </w:r>
    </w:p>
    <w:p>
      <w:pPr>
        <w:pStyle w:val="BodyText"/>
      </w:pPr>
      <w:r>
        <w:rPr>
          <w:b/>
          <w:bCs/>
        </w:rPr>
        <w:t xml:space="preserve">E. Ability to pay (non-credential).</w:t>
      </w:r>
      <w:r>
        <w:t xml:space="preserve"> </w:t>
      </w:r>
      <w:r>
        <w:t xml:space="preserve">The offered wage ($142,000) exceeds the prevailing wage ($131,747). The Employer (312 employees; in business since 2018) should be able to demonstrate ability to pay via payroll/tax records (Cornerpoint Payroll Services). The FEIN reconciliation (Recommendation 4) is a prerequisite to a clean ability-to-pay showing.</w:t>
      </w:r>
    </w:p>
    <w:p>
      <w:r>
        <w:pict>
          <v:rect style="width:0;height:1.5pt" o:hralign="center" o:hrstd="t" o:hr="t"/>
        </w:pict>
      </w:r>
    </w:p>
    <w:bookmarkEnd w:id="45"/>
    <w:bookmarkStart w:id="46" w:name="X42af71c4cccdb40231b7e2fe59f8aeed11b53a6"/>
    <w:p>
      <w:pPr>
        <w:pStyle w:val="Heading2"/>
      </w:pPr>
      <w:r>
        <w:t xml:space="preserve">VIII. Recommended Action Plan and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Advise Employer in writing of the AWS certification gap and the K.3 attestation inconsistency; obtain documented direction on Path A vs. Path B</w:t>
            </w:r>
          </w:p>
        </w:tc>
        <w:tc>
          <w:tcPr/>
          <w:p>
            <w:pPr>
              <w:pStyle w:val="Compact"/>
              <w:jc w:val="left"/>
            </w:pPr>
            <w:r>
              <w:t xml:space="preserve">Counsel</w:t>
            </w:r>
          </w:p>
        </w:tc>
        <w:tc>
          <w:tcPr/>
          <w:p>
            <w:pPr>
              <w:pStyle w:val="Compact"/>
              <w:jc w:val="left"/>
            </w:pPr>
            <w:r>
              <w:t xml:space="preserve">Immediately</w:t>
            </w:r>
          </w:p>
        </w:tc>
      </w:tr>
      <w:tr>
        <w:tc>
          <w:tcPr/>
          <w:p>
            <w:pPr>
              <w:pStyle w:val="Compact"/>
              <w:jc w:val="left"/>
            </w:pPr>
            <w:r>
              <w:t xml:space="preserve">2</w:t>
            </w:r>
          </w:p>
        </w:tc>
        <w:tc>
          <w:tcPr/>
          <w:p>
            <w:pPr>
              <w:pStyle w:val="Compact"/>
              <w:jc w:val="left"/>
            </w:pPr>
            <w:r>
              <w:t xml:space="preserve">Beneficiary begins AWS Certified Machine Learning – Specialty exam preparation; schedule exam</w:t>
            </w:r>
          </w:p>
        </w:tc>
        <w:tc>
          <w:tcPr/>
          <w:p>
            <w:pPr>
              <w:pStyle w:val="Compact"/>
              <w:jc w:val="left"/>
            </w:pPr>
            <w:r>
              <w:t xml:space="preserve">Beneficiary / Counsel</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File H-1B (I-129) on schedule; calibrate position description per Recommendation 2; confirm cap-gap analysis</w:t>
            </w:r>
          </w:p>
        </w:tc>
        <w:tc>
          <w:tcPr/>
          <w:p>
            <w:pPr>
              <w:pStyle w:val="Compact"/>
              <w:jc w:val="left"/>
            </w:pPr>
            <w:r>
              <w:t xml:space="preserve">Counsel</w:t>
            </w:r>
          </w:p>
        </w:tc>
        <w:tc>
          <w:tcPr/>
          <w:p>
            <w:pPr>
              <w:pStyle w:val="Compact"/>
              <w:jc w:val="left"/>
            </w:pPr>
            <w:r>
              <w:t xml:space="preserve">~July 15, 2025</w:t>
            </w:r>
          </w:p>
        </w:tc>
      </w:tr>
      <w:tr>
        <w:tc>
          <w:tcPr/>
          <w:p>
            <w:pPr>
              <w:pStyle w:val="Compact"/>
              <w:jc w:val="left"/>
            </w:pPr>
            <w:r>
              <w:t xml:space="preserve">4</w:t>
            </w:r>
          </w:p>
        </w:tc>
        <w:tc>
          <w:tcPr/>
          <w:p>
            <w:pPr>
              <w:pStyle w:val="Compact"/>
              <w:jc w:val="left"/>
            </w:pPr>
            <w:r>
              <w:t xml:space="preserve">Reconcile FEIN with Prismex finance/payroll</w:t>
            </w:r>
          </w:p>
        </w:tc>
        <w:tc>
          <w:tcPr/>
          <w:p>
            <w:pPr>
              <w:pStyle w:val="Compact"/>
              <w:jc w:val="left"/>
            </w:pPr>
            <w:r>
              <w:t xml:space="preserve">Counsel / Employer</w:t>
            </w:r>
          </w:p>
        </w:tc>
        <w:tc>
          <w:tcPr/>
          <w:p>
            <w:pPr>
              <w:pStyle w:val="Compact"/>
              <w:jc w:val="left"/>
            </w:pPr>
            <w:r>
              <w:t xml:space="preserve">Before I-140</w:t>
            </w:r>
          </w:p>
        </w:tc>
      </w:tr>
      <w:tr>
        <w:tc>
          <w:tcPr/>
          <w:p>
            <w:pPr>
              <w:pStyle w:val="Compact"/>
              <w:jc w:val="left"/>
            </w:pPr>
            <w:r>
              <w:t xml:space="preserve">5</w:t>
            </w:r>
          </w:p>
        </w:tc>
        <w:tc>
          <w:tcPr/>
          <w:p>
            <w:pPr>
              <w:pStyle w:val="Compact"/>
              <w:jc w:val="left"/>
            </w:pPr>
            <w:r>
              <w:t xml:space="preserve">Pursue NC State RA verification letter; include transcript record</w:t>
            </w:r>
          </w:p>
        </w:tc>
        <w:tc>
          <w:tcPr/>
          <w:p>
            <w:pPr>
              <w:pStyle w:val="Compact"/>
              <w:jc w:val="left"/>
            </w:pPr>
            <w:r>
              <w:t xml:space="preserve">Counsel / Beneficiary</w:t>
            </w:r>
          </w:p>
        </w:tc>
        <w:tc>
          <w:tcPr/>
          <w:p>
            <w:pPr>
              <w:pStyle w:val="Compact"/>
              <w:jc w:val="left"/>
            </w:pPr>
            <w:r>
              <w:t xml:space="preserve">Before I-140</w:t>
            </w:r>
          </w:p>
        </w:tc>
      </w:tr>
      <w:tr>
        <w:tc>
          <w:tcPr/>
          <w:p>
            <w:pPr>
              <w:pStyle w:val="Compact"/>
              <w:jc w:val="left"/>
            </w:pPr>
            <w:r>
              <w:t xml:space="preserve">6</w:t>
            </w:r>
          </w:p>
        </w:tc>
        <w:tc>
          <w:tcPr/>
          <w:p>
            <w:pPr>
              <w:pStyle w:val="Compact"/>
              <w:jc w:val="left"/>
            </w:pPr>
            <w:r>
              <w:t xml:space="preserve">Obtain DataBridge letter addendum on R usage (and optionally supervisory scope)</w:t>
            </w:r>
          </w:p>
        </w:tc>
        <w:tc>
          <w:tcPr/>
          <w:p>
            <w:pPr>
              <w:pStyle w:val="Compact"/>
              <w:jc w:val="left"/>
            </w:pPr>
            <w:r>
              <w:t xml:space="preserve">Counsel / Employer</w:t>
            </w:r>
          </w:p>
        </w:tc>
        <w:tc>
          <w:tcPr/>
          <w:p>
            <w:pPr>
              <w:pStyle w:val="Compact"/>
              <w:jc w:val="left"/>
            </w:pPr>
            <w:r>
              <w:t xml:space="preserve">Before I-140</w:t>
            </w:r>
          </w:p>
        </w:tc>
      </w:tr>
      <w:tr>
        <w:tc>
          <w:tcPr/>
          <w:p>
            <w:pPr>
              <w:pStyle w:val="Compact"/>
              <w:jc w:val="left"/>
            </w:pPr>
            <w:r>
              <w:t xml:space="preserve">7</w:t>
            </w:r>
          </w:p>
        </w:tc>
        <w:tc>
          <w:tcPr/>
          <w:p>
            <w:pPr>
              <w:pStyle w:val="Compact"/>
              <w:jc w:val="left"/>
            </w:pPr>
            <w:r>
              <w:t xml:space="preserve">Standardize naming (</w:t>
            </w:r>
            <w:r>
              <w:t xml:space="preserve">“</w:t>
            </w:r>
            <w:r>
              <w:t xml:space="preserve">Ms.</w:t>
            </w:r>
            <w:r>
              <w:t xml:space="preserve">”</w:t>
            </w:r>
            <w:r>
              <w:t xml:space="preserve">), telephone number, and priority-date experience calculation</w:t>
            </w:r>
          </w:p>
        </w:tc>
        <w:tc>
          <w:tcPr/>
          <w:p>
            <w:pPr>
              <w:pStyle w:val="Compact"/>
              <w:jc w:val="left"/>
            </w:pPr>
            <w:r>
              <w:t xml:space="preserve">Counsel</w:t>
            </w:r>
          </w:p>
        </w:tc>
        <w:tc>
          <w:tcPr/>
          <w:p>
            <w:pPr>
              <w:pStyle w:val="Compact"/>
              <w:jc w:val="left"/>
            </w:pPr>
            <w:r>
              <w:t xml:space="preserve">Before I-140</w:t>
            </w:r>
          </w:p>
        </w:tc>
      </w:tr>
      <w:tr>
        <w:tc>
          <w:tcPr/>
          <w:p>
            <w:pPr>
              <w:pStyle w:val="Compact"/>
              <w:jc w:val="left"/>
            </w:pPr>
            <w:r>
              <w:t xml:space="preserve">8</w:t>
            </w:r>
          </w:p>
        </w:tc>
        <w:tc>
          <w:tcPr/>
          <w:p>
            <w:pPr>
              <w:pStyle w:val="Compact"/>
              <w:jc w:val="left"/>
            </w:pPr>
            <w:r>
              <w:t xml:space="preserve">Resolve I-140 filing strategy once certification status and bona-fides decision are finalized</w:t>
            </w:r>
          </w:p>
        </w:tc>
        <w:tc>
          <w:tcPr/>
          <w:p>
            <w:pPr>
              <w:pStyle w:val="Compact"/>
              <w:jc w:val="left"/>
            </w:pPr>
            <w:r>
              <w:t xml:space="preserve">Counsel / Employer</w:t>
            </w:r>
          </w:p>
        </w:tc>
        <w:tc>
          <w:tcPr/>
          <w:p>
            <w:pPr>
              <w:pStyle w:val="Compact"/>
              <w:jc w:val="left"/>
            </w:pPr>
            <w:r>
              <w:t xml:space="preserve">After H-1B filing; before STEM OPT expiration</w:t>
            </w:r>
          </w:p>
        </w:tc>
      </w:tr>
    </w:tbl>
    <w:p>
      <w:r>
        <w:pict>
          <v:rect style="width:0;height:1.5pt" o:hralign="center" o:hrstd="t" o:hr="t"/>
        </w:pict>
      </w:r>
    </w:p>
    <w:bookmarkEnd w:id="46"/>
    <w:bookmarkStart w:id="47" w:name="ix.-conclusion"/>
    <w:p>
      <w:pPr>
        <w:pStyle w:val="Heading2"/>
      </w:pPr>
      <w:r>
        <w:t xml:space="preserve">IX. Conclusion</w:t>
      </w:r>
    </w:p>
    <w:p>
      <w:pPr>
        <w:pStyle w:val="FirstParagraph"/>
      </w:pPr>
      <w:r>
        <w:t xml:space="preserve">The Beneficiary is well-qualified for the offered Senior Machine Learning Engineer position: she holds the required Master’s degree, exceeds the five-year post-master’s experience minimum, and documents four of the five enumerated special skills. The education, experience, wage, and SOC-code elements of the PERM are sound.</w:t>
      </w:r>
    </w:p>
    <w:p>
      <w:pPr>
        <w:pStyle w:val="BodyText"/>
      </w:pPr>
      <w:r>
        <w:t xml:space="preserve">The review nonetheless identifies a</w:t>
      </w:r>
      <w:r>
        <w:t xml:space="preserve"> </w:t>
      </w:r>
      <w:r>
        <w:rPr>
          <w:b/>
          <w:bCs/>
        </w:rPr>
        <w:t xml:space="preserve">critical credential gap</w:t>
      </w:r>
      <w:r>
        <w:t xml:space="preserve"> </w:t>
      </w:r>
      <w:r>
        <w:t xml:space="preserve">— the absence of the AWS Certified Machine Learning – Specialty certification that the PERM designates as a required minimum — together with an inconsistent K.3 attestation, a FEIN discrepancy, a missing (though non-essential) experience verification letter, and several minor consistency items. The critical gap must be resolved before the Form I-140 is filed and should be addressed immediately given the September 15, 2025 STEM OPT expiration. The H-1B (I-129) can proceed on schedule if its qualification narrative is calibrated to avoid importing the certification prerequisite. The recommendations in Section VI, executed on the timeline in Section VIII, will align the Beneficiary’s documented credentials with the PERM’s stated requirements and position the downstream petitions for approval.</w:t>
      </w:r>
    </w:p>
    <w:p>
      <w:pPr>
        <w:pStyle w:val="BodyText"/>
      </w:pPr>
      <w:r>
        <w:t xml:space="preserve">This memorandum is privileged attorney work product prepared for the engagement file and should not be disclosed outside the attorney-client relationship without authorization.</w:t>
      </w:r>
    </w:p>
    <w:p>
      <w:r>
        <w:pict>
          <v:rect style="width:0;height:1.5pt" o:hralign="center" o:hrstd="t" o:hr="t"/>
        </w:pict>
      </w:r>
    </w:p>
    <w:p>
      <w:pPr>
        <w:pStyle w:val="FirstParagraph"/>
      </w:pPr>
      <w:r>
        <w:rPr>
          <w:i/>
          <w:iCs/>
        </w:rPr>
        <w:t xml:space="preserve">Prepared by Reviewing Counsel, Whitmore &amp; Callahan LLP, in connection with PERM Case No. A-18247-63910 and downstream filings on behalf of Prismex Analytics, Inc.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2026-06-23T05:36:27Z</dcterms:created>
  <dcterms:modified xsi:type="dcterms:W3CDTF">2026-06-23T05:36:27Z</dcterms:modified>
</cp:coreProperties>
</file>

<file path=docProps/custom.xml><?xml version="1.0" encoding="utf-8"?>
<Properties xmlns="http://schemas.openxmlformats.org/officeDocument/2006/custom-properties" xmlns:vt="http://schemas.openxmlformats.org/officeDocument/2006/docPropsVTypes"/>
</file>