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PRIVILEGED &amp; CONFIDENTIAL — ATTORNEY WORK PRODUCT / ATTORNEY-CLIENT COMMUNICATION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Craig Halloran, Esq.; Whitmore &amp; Callahan LLP PERM/I-140 Engagement Team; File</w:t>
            </w:r>
          </w:p>
        </w:tc>
      </w:tr>
      <w:tr>
        <w:tc>
          <w:tcPr/>
          <w:p>
            <w:pPr>
              <w:pStyle w:val="Compact"/>
              <w:jc w:val="left"/>
            </w:pPr>
            <w:r>
              <w:rPr>
                <w:b/>
                <w:bCs/>
              </w:rPr>
              <w:t xml:space="preserve">FROM:</w:t>
            </w:r>
          </w:p>
        </w:tc>
        <w:tc>
          <w:tcPr/>
          <w:p>
            <w:pPr>
              <w:pStyle w:val="Compact"/>
              <w:jc w:val="left"/>
            </w:pPr>
            <w:r>
              <w:t xml:space="preserve">Immigration Case Review</w:t>
            </w:r>
          </w:p>
        </w:tc>
      </w:tr>
      <w:tr>
        <w:tc>
          <w:tcPr/>
          <w:p>
            <w:pPr>
              <w:pStyle w:val="Compact"/>
              <w:jc w:val="left"/>
            </w:pPr>
            <w:r>
              <w:rPr>
                <w:b/>
                <w:bCs/>
              </w:rPr>
              <w:t xml:space="preserve">DATE:</w:t>
            </w:r>
          </w:p>
        </w:tc>
        <w:tc>
          <w:tcPr/>
          <w:p>
            <w:pPr>
              <w:pStyle w:val="Compact"/>
              <w:jc w:val="left"/>
            </w:pPr>
            <w:r>
              <w:t xml:space="preserve">June 9, 2025</w:t>
            </w:r>
          </w:p>
        </w:tc>
      </w:tr>
      <w:tr>
        <w:tc>
          <w:tcPr/>
          <w:p>
            <w:pPr>
              <w:pStyle w:val="Compact"/>
              <w:jc w:val="left"/>
            </w:pPr>
            <w:r>
              <w:rPr>
                <w:b/>
                <w:bCs/>
              </w:rPr>
              <w:t xml:space="preserve">RE:</w:t>
            </w:r>
          </w:p>
        </w:tc>
        <w:tc>
          <w:tcPr/>
          <w:p>
            <w:pPr>
              <w:pStyle w:val="Compact"/>
              <w:jc w:val="left"/>
            </w:pPr>
            <w:r>
              <w:t xml:space="preserve">Credential Gap Analysis — PERM Application (ETA-9089), Case No. A-18247-63910 —</w:t>
            </w:r>
            <w:r>
              <w:t xml:space="preserve"> </w:t>
            </w:r>
            <w:r>
              <w:rPr>
                <w:i/>
                <w:iCs/>
              </w:rPr>
              <w:t xml:space="preserve">Prismex Analytics, Inc.</w:t>
            </w:r>
            <w:r>
              <w:t xml:space="preserve"> </w:t>
            </w:r>
            <w:r>
              <w:t xml:space="preserve">v. Dr. Ananya Mehrotra — Position: Senior Machine Learning Engineer</w:t>
            </w:r>
          </w:p>
        </w:tc>
      </w:tr>
    </w:tbl>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reviews the certified PERM Application for Permanent Employment Certification (ETA Form 9089), Case No. </w:t>
      </w:r>
      <w:r>
        <w:rPr>
          <w:b/>
          <w:bCs/>
        </w:rPr>
        <w:t xml:space="preserve">A-18247-63910</w:t>
      </w:r>
      <w:r>
        <w:t xml:space="preserve"> </w:t>
      </w:r>
      <w:r>
        <w:t xml:space="preserve">(filed March 15, 2025; certified May 22, 2025), filed by</w:t>
      </w:r>
      <w:r>
        <w:t xml:space="preserve"> </w:t>
      </w:r>
      <w:r>
        <w:rPr>
          <w:b/>
          <w:bCs/>
        </w:rPr>
        <w:t xml:space="preserve">Prismex Analytics, Inc.</w:t>
      </w:r>
      <w:r>
        <w:t xml:space="preserve"> </w:t>
      </w:r>
      <w:r>
        <w:t xml:space="preserve">on behalf of beneficiary</w:t>
      </w:r>
      <w:r>
        <w:t xml:space="preserve"> </w:t>
      </w:r>
      <w:r>
        <w:rPr>
          <w:b/>
          <w:bCs/>
        </w:rPr>
        <w:t xml:space="preserve">Dr. Ananya Mehrotra</w:t>
      </w:r>
      <w:r>
        <w:t xml:space="preserve"> </w:t>
      </w:r>
      <w:r>
        <w:t xml:space="preserve">for the position of</w:t>
      </w:r>
      <w:r>
        <w:t xml:space="preserve"> </w:t>
      </w:r>
      <w:r>
        <w:rPr>
          <w:b/>
          <w:bCs/>
        </w:rPr>
        <w:t xml:space="preserve">Senior Machine Learning Engineer</w:t>
      </w:r>
      <w:r>
        <w:t xml:space="preserve"> </w:t>
      </w:r>
      <w:r>
        <w:t xml:space="preserve">(SOC 15-2051, Data Scientists). The purpose of this review is to test, requirement by requirement, whether the beneficiary’s supporting credentials actually satisfy the minimum requirements attested on the PERM application, to identify every gap or inconsistency between the application and the supporting record, and to provide concrete remedial recommendations.</w:t>
      </w:r>
    </w:p>
    <w:p>
      <w:pPr>
        <w:pStyle w:val="BodyText"/>
      </w:pPr>
      <w:r>
        <w:t xml:space="preserve">A threshold point of framing:</w:t>
      </w:r>
      <w:r>
        <w:t xml:space="preserve"> </w:t>
      </w:r>
      <w:r>
        <w:rPr>
          <w:b/>
          <w:bCs/>
        </w:rPr>
        <w:t xml:space="preserve">PERM certification does not constitute a DOL finding that the beneficiary is qualified.</w:t>
      </w:r>
      <w:r>
        <w:t xml:space="preserve"> </w:t>
      </w:r>
      <w:r>
        <w:t xml:space="preserve">Certification reflects the employer’s attestations and compliant recruitment; DOL does not independently verify the beneficiary’s education, experience, or special skills at the certification stage. The beneficiary’s qualifications are scrutinized independently by USCIS at the I-140 stage, and may be re-examined by DOL upon audit or in a revocation proceeding. Accordingly, any gap between the PERM attestations (Section K) and the supporting credentials is a live risk that must be cured before the I-140 is filed — not a problem that certification has already resolved.</w:t>
      </w:r>
    </w:p>
    <w:p>
      <w:pPr>
        <w:pStyle w:val="BodyText"/>
      </w:pPr>
      <w:r>
        <w:t xml:space="preserve">The headline finding is that the PERM application attests (Section K.3) that the beneficiary possesses all special skills and other requirements, including an</w:t>
      </w:r>
      <w:r>
        <w:t xml:space="preserve"> </w:t>
      </w:r>
      <w:r>
        <w:rPr>
          <w:b/>
          <w:bCs/>
        </w:rPr>
        <w:t xml:space="preserve">“</w:t>
      </w:r>
      <w:r>
        <w:rPr>
          <w:b/>
          <w:bCs/>
        </w:rPr>
        <w:t xml:space="preserve">AWS Certified Machine Learning – Specialty certification or equivalent,</w:t>
      </w:r>
      <w:r>
        <w:rPr>
          <w:b/>
          <w:bCs/>
        </w:rPr>
        <w:t xml:space="preserve">”</w:t>
      </w:r>
      <w:r>
        <w:t xml:space="preserve"> </w:t>
      </w:r>
      <w:r>
        <w:t xml:space="preserve">but the beneficiary’s own certification record — compiled by this firm — confirms she</w:t>
      </w:r>
      <w:r>
        <w:t xml:space="preserve"> </w:t>
      </w:r>
      <w:r>
        <w:rPr>
          <w:b/>
          <w:bCs/>
        </w:rPr>
        <w:t xml:space="preserve">does not hold that certification</w:t>
      </w:r>
      <w:r>
        <w:t xml:space="preserve">, and the only AWS credential she does hold</w:t>
      </w:r>
      <w:r>
        <w:t xml:space="preserve"> </w:t>
      </w:r>
      <w:r>
        <w:rPr>
          <w:b/>
          <w:bCs/>
        </w:rPr>
        <w:t xml:space="preserve">expired before the priority date</w:t>
      </w:r>
      <w:r>
        <w:t xml:space="preserve">. This is a material qualification gap that must be addressed before the I-140.</w:t>
      </w:r>
    </w:p>
    <w:p>
      <w:r>
        <w:pict>
          <v:rect style="width:0;height:1.5pt" o:hralign="center" o:hrstd="t" o:hr="t"/>
        </w:pict>
      </w:r>
    </w:p>
    <w:bookmarkEnd w:id="20"/>
    <w:bookmarkStart w:id="21" w:name="ii.-documents-reviewed"/>
    <w:p>
      <w:pPr>
        <w:pStyle w:val="Heading2"/>
      </w:pPr>
      <w:r>
        <w:t xml:space="preserve">II. Documents Reviewed</w:t>
      </w:r>
    </w:p>
    <w:p>
      <w:pPr>
        <w:pStyle w:val="Compact"/>
        <w:numPr>
          <w:ilvl w:val="0"/>
          <w:numId w:val="1001"/>
        </w:numPr>
      </w:pPr>
      <w:r>
        <w:rPr>
          <w:b/>
          <w:bCs/>
        </w:rPr>
        <w:t xml:space="preserve">PERM Application (ETA-9089)</w:t>
      </w:r>
      <w:r>
        <w:t xml:space="preserve"> </w:t>
      </w:r>
      <w:r>
        <w:t xml:space="preserve">— Case No. A-18247-63910, filed March 15, 2025, certified May 22, 2025 (</w:t>
      </w:r>
      <w:r>
        <w:rPr>
          <w:rStyle w:val="VerbatimChar"/>
        </w:rPr>
        <w:t xml:space="preserve">perm-eta-9089.docx</w:t>
      </w:r>
      <w:r>
        <w:t xml:space="preserve">).</w:t>
      </w:r>
    </w:p>
    <w:p>
      <w:pPr>
        <w:pStyle w:val="Compact"/>
        <w:numPr>
          <w:ilvl w:val="0"/>
          <w:numId w:val="1001"/>
        </w:numPr>
      </w:pPr>
      <w:r>
        <w:rPr>
          <w:b/>
          <w:bCs/>
        </w:rPr>
        <w:t xml:space="preserve">Beneficiary Resume / CV</w:t>
      </w:r>
      <w:r>
        <w:t xml:space="preserve"> </w:t>
      </w:r>
      <w:r>
        <w:t xml:space="preserve">— Dr. Ananya Mehrotra (</w:t>
      </w:r>
      <w:r>
        <w:rPr>
          <w:rStyle w:val="VerbatimChar"/>
        </w:rPr>
        <w:t xml:space="preserve">mehrotra-resume.docx</w:t>
      </w:r>
      <w:r>
        <w:t xml:space="preserve">).</w:t>
      </w:r>
    </w:p>
    <w:p>
      <w:pPr>
        <w:pStyle w:val="Compact"/>
        <w:numPr>
          <w:ilvl w:val="0"/>
          <w:numId w:val="1001"/>
        </w:numPr>
      </w:pPr>
      <w:r>
        <w:rPr>
          <w:b/>
          <w:bCs/>
        </w:rPr>
        <w:t xml:space="preserve">Professional Certifications Compilation</w:t>
      </w:r>
      <w:r>
        <w:t xml:space="preserve"> </w:t>
      </w:r>
      <w:r>
        <w:t xml:space="preserve">— prepared by Whitmore &amp; Callahan LLP, June 2025 (</w:t>
      </w:r>
      <w:r>
        <w:rPr>
          <w:rStyle w:val="VerbatimChar"/>
        </w:rPr>
        <w:t xml:space="preserve">certifications-compiled.docx</w:t>
      </w:r>
      <w:r>
        <w:t xml:space="preserve">).</w:t>
      </w:r>
    </w:p>
    <w:p>
      <w:pPr>
        <w:pStyle w:val="Compact"/>
        <w:numPr>
          <w:ilvl w:val="0"/>
          <w:numId w:val="1001"/>
        </w:numPr>
      </w:pPr>
      <w:r>
        <w:rPr>
          <w:b/>
          <w:bCs/>
        </w:rPr>
        <w:t xml:space="preserve">Credential Evaluation Report</w:t>
      </w:r>
      <w:r>
        <w:t xml:space="preserve"> </w:t>
      </w:r>
      <w:r>
        <w:t xml:space="preserve">— International Academic Evaluators (IAE), Report No. IAE-2025-02-4738, dated February 15, 2025 (</w:t>
      </w:r>
      <w:r>
        <w:rPr>
          <w:rStyle w:val="VerbatimChar"/>
        </w:rPr>
        <w:t xml:space="preserve">iae-credential-evaluation.docx</w:t>
      </w:r>
      <w:r>
        <w:t xml:space="preserve">).</w:t>
      </w:r>
    </w:p>
    <w:p>
      <w:pPr>
        <w:pStyle w:val="Compact"/>
        <w:numPr>
          <w:ilvl w:val="0"/>
          <w:numId w:val="1001"/>
        </w:numPr>
      </w:pPr>
      <w:r>
        <w:rPr>
          <w:b/>
          <w:bCs/>
        </w:rPr>
        <w:t xml:space="preserve">NC State University Official Transcript</w:t>
      </w:r>
      <w:r>
        <w:t xml:space="preserve"> </w:t>
      </w:r>
      <w:r>
        <w:t xml:space="preserve">— M.S. in Computer Science, issued May 20, 2025 (</w:t>
      </w:r>
      <w:r>
        <w:rPr>
          <w:rStyle w:val="VerbatimChar"/>
        </w:rPr>
        <w:t xml:space="preserve">ncstate-transcript.docx</w:t>
      </w:r>
      <w:r>
        <w:t xml:space="preserve">).</w:t>
      </w:r>
    </w:p>
    <w:p>
      <w:pPr>
        <w:pStyle w:val="Compact"/>
        <w:numPr>
          <w:ilvl w:val="0"/>
          <w:numId w:val="1001"/>
        </w:numPr>
      </w:pPr>
      <w:r>
        <w:rPr>
          <w:b/>
          <w:bCs/>
        </w:rPr>
        <w:t xml:space="preserve">DataBridge Solutions LLC Experience Letter</w:t>
      </w:r>
      <w:r>
        <w:t xml:space="preserve"> </w:t>
      </w:r>
      <w:r>
        <w:t xml:space="preserve">— Dr. Samuel Okonkwo, VP of Data Science, dated April 10, 2025 (</w:t>
      </w:r>
      <w:r>
        <w:rPr>
          <w:rStyle w:val="VerbatimChar"/>
        </w:rPr>
        <w:t xml:space="preserve">databridge-experience-letter.docx</w:t>
      </w:r>
      <w:r>
        <w:t xml:space="preserve">).</w:t>
      </w:r>
    </w:p>
    <w:p>
      <w:pPr>
        <w:pStyle w:val="Compact"/>
        <w:numPr>
          <w:ilvl w:val="0"/>
          <w:numId w:val="1001"/>
        </w:numPr>
      </w:pPr>
      <w:r>
        <w:rPr>
          <w:b/>
          <w:bCs/>
        </w:rPr>
        <w:t xml:space="preserve">Evalpoint Technologies Pvt. Ltd. Experience Letter</w:t>
      </w:r>
      <w:r>
        <w:t xml:space="preserve"> </w:t>
      </w:r>
      <w:r>
        <w:t xml:space="preserve">— Vikram Reddy, Director of Engineering, dated March 28, 2025 (</w:t>
      </w:r>
      <w:r>
        <w:rPr>
          <w:rStyle w:val="VerbatimChar"/>
        </w:rPr>
        <w:t xml:space="preserve">evalpoint-experience-letter.docx</w:t>
      </w:r>
      <w:r>
        <w:t xml:space="preserve">).</w:t>
      </w:r>
    </w:p>
    <w:p>
      <w:pPr>
        <w:pStyle w:val="Compact"/>
        <w:numPr>
          <w:ilvl w:val="0"/>
          <w:numId w:val="1001"/>
        </w:numPr>
      </w:pPr>
      <w:r>
        <w:rPr>
          <w:b/>
          <w:bCs/>
        </w:rPr>
        <w:t xml:space="preserve">Prevailing Wage Determination (PWD)</w:t>
      </w:r>
      <w:r>
        <w:t xml:space="preserve"> </w:t>
      </w:r>
      <w:r>
        <w:t xml:space="preserve">— Tracking No. P-200-24187-329156, issued November 8, 2024 (</w:t>
      </w:r>
      <w:r>
        <w:rPr>
          <w:rStyle w:val="VerbatimChar"/>
        </w:rPr>
        <w:t xml:space="preserve">prevailing-wage-determination.docx</w:t>
      </w:r>
      <w:r>
        <w:t xml:space="preserve">).</w:t>
      </w:r>
    </w:p>
    <w:p>
      <w:pPr>
        <w:pStyle w:val="Compact"/>
        <w:numPr>
          <w:ilvl w:val="0"/>
          <w:numId w:val="1001"/>
        </w:numPr>
      </w:pPr>
      <w:r>
        <w:rPr>
          <w:b/>
          <w:bCs/>
        </w:rPr>
        <w:t xml:space="preserve">HR-to-Counsel Email</w:t>
      </w:r>
      <w:r>
        <w:t xml:space="preserve"> </w:t>
      </w:r>
      <w:r>
        <w:t xml:space="preserve">— Melanie Foss (HR Director, Prismex) to Craig Halloran, dated June 4, 2025 (</w:t>
      </w:r>
      <w:r>
        <w:rPr>
          <w:rStyle w:val="VerbatimChar"/>
        </w:rPr>
        <w:t xml:space="preserve">hr-to-counsel-email.eml</w:t>
      </w:r>
      <w:r>
        <w:t xml:space="preserve">).</w:t>
      </w:r>
    </w:p>
    <w:p>
      <w:r>
        <w:pict>
          <v:rect style="width:0;height:1.5pt" o:hralign="center" o:hrstd="t" o:hr="t"/>
        </w:pict>
      </w:r>
    </w:p>
    <w:bookmarkEnd w:id="21"/>
    <w:bookmarkStart w:id="22" w:name="X4412c819dbbd96f3bd0fb560e21653d3702a82c"/>
    <w:p>
      <w:pPr>
        <w:pStyle w:val="Heading2"/>
      </w:pPr>
      <w:r>
        <w:t xml:space="preserve">III. PERM Minimum Requirements (As Attested)</w:t>
      </w:r>
    </w:p>
    <w:p>
      <w:pPr>
        <w:pStyle w:val="FirstParagraph"/>
      </w:pPr>
      <w:r>
        <w:t xml:space="preserve">The following minimum requirements are stated on the PERM application (Section J.B) and are the standard against which the beneficiary’s credentials are measured:</w:t>
      </w:r>
    </w:p>
    <w:p>
      <w:pPr>
        <w:pStyle w:val="Compact"/>
        <w:numPr>
          <w:ilvl w:val="0"/>
          <w:numId w:val="1002"/>
        </w:numPr>
      </w:pPr>
      <w:r>
        <w:rPr>
          <w:b/>
          <w:bCs/>
        </w:rPr>
        <w:t xml:space="preserve">Education (J.B.1):</w:t>
      </w:r>
      <w:r>
        <w:t xml:space="preserve"> </w:t>
      </w:r>
      <w:r>
        <w:t xml:space="preserve">“</w:t>
      </w:r>
      <w:r>
        <w:t xml:space="preserve">Master’s degree in Computer Science, Machine Learning, or a closely related field.</w:t>
      </w:r>
      <w:r>
        <w:t xml:space="preserve">”</w:t>
      </w:r>
      <w:r>
        <w:t xml:space="preserve"> </w:t>
      </w:r>
      <w:r>
        <w:t xml:space="preserve">Foreign educational equivalent accepted.</w:t>
      </w:r>
    </w:p>
    <w:p>
      <w:pPr>
        <w:pStyle w:val="Compact"/>
        <w:numPr>
          <w:ilvl w:val="0"/>
          <w:numId w:val="1002"/>
        </w:numPr>
      </w:pPr>
      <w:r>
        <w:rPr>
          <w:b/>
          <w:bCs/>
        </w:rPr>
        <w:t xml:space="preserve">Experience (J.B.3):</w:t>
      </w:r>
      <w:r>
        <w:t xml:space="preserve"> </w:t>
      </w:r>
      <w:r>
        <w:t xml:space="preserve">“</w:t>
      </w:r>
      <w:r>
        <w:t xml:space="preserve">5 years of progressive post-master’s experience in machine learning engineering or a closely related occupation.</w:t>
      </w:r>
      <w:r>
        <w:t xml:space="preserve">”</w:t>
      </w:r>
    </w:p>
    <w:p>
      <w:pPr>
        <w:pStyle w:val="Compact"/>
        <w:numPr>
          <w:ilvl w:val="0"/>
          <w:numId w:val="1002"/>
        </w:numPr>
      </w:pPr>
      <w:r>
        <w:rPr>
          <w:b/>
          <w:bCs/>
        </w:rPr>
        <w:t xml:space="preserve">Special Skills / Other Requirements (J.B.5):</w:t>
      </w:r>
    </w:p>
    <w:p>
      <w:pPr>
        <w:pStyle w:val="Compact"/>
        <w:numPr>
          <w:ilvl w:val="1"/>
          <w:numId w:val="1003"/>
        </w:numPr>
      </w:pPr>
    </w:p>
    <w:p>
      <w:pPr>
        <w:pStyle w:val="Compact"/>
        <w:numPr>
          <w:ilvl w:val="2"/>
          <w:numId w:val="1004"/>
        </w:numPr>
      </w:pPr>
      <w:r>
        <w:t xml:space="preserve">Designing and deploying production-grade deep learning models using</w:t>
      </w:r>
      <w:r>
        <w:t xml:space="preserve"> </w:t>
      </w:r>
      <w:r>
        <w:rPr>
          <w:b/>
          <w:bCs/>
        </w:rPr>
        <w:t xml:space="preserve">TensorFlow or PyTorch</w:t>
      </w:r>
      <w:r>
        <w:t xml:space="preserve">;</w:t>
      </w:r>
    </w:p>
    <w:p>
      <w:pPr>
        <w:pStyle w:val="Compact"/>
        <w:numPr>
          <w:ilvl w:val="1"/>
          <w:numId w:val="1003"/>
        </w:numPr>
      </w:pPr>
    </w:p>
    <w:p>
      <w:pPr>
        <w:pStyle w:val="Compact"/>
        <w:numPr>
          <w:ilvl w:val="2"/>
          <w:numId w:val="1005"/>
        </w:numPr>
      </w:pPr>
      <w:r>
        <w:t xml:space="preserve">Experience with distributed computing frameworks including</w:t>
      </w:r>
      <w:r>
        <w:t xml:space="preserve"> </w:t>
      </w:r>
      <w:r>
        <w:rPr>
          <w:b/>
          <w:bCs/>
        </w:rPr>
        <w:t xml:space="preserve">Apache Spark</w:t>
      </w:r>
      <w:r>
        <w:t xml:space="preserve">;</w:t>
      </w:r>
    </w:p>
    <w:p>
      <w:pPr>
        <w:pStyle w:val="Compact"/>
        <w:numPr>
          <w:ilvl w:val="1"/>
          <w:numId w:val="1003"/>
        </w:numPr>
      </w:pPr>
    </w:p>
    <w:p>
      <w:pPr>
        <w:pStyle w:val="Compact"/>
        <w:numPr>
          <w:ilvl w:val="2"/>
          <w:numId w:val="1006"/>
        </w:numPr>
      </w:pPr>
      <w:r>
        <w:rPr>
          <w:b/>
          <w:bCs/>
        </w:rPr>
        <w:t xml:space="preserve">Natural language processing (NLP)</w:t>
      </w:r>
      <w:r>
        <w:t xml:space="preserve"> </w:t>
      </w:r>
      <w:r>
        <w:t xml:space="preserve">pipeline development;</w:t>
      </w:r>
    </w:p>
    <w:p>
      <w:pPr>
        <w:pStyle w:val="Compact"/>
        <w:numPr>
          <w:ilvl w:val="1"/>
          <w:numId w:val="1003"/>
        </w:numPr>
      </w:pPr>
    </w:p>
    <w:p>
      <w:pPr>
        <w:pStyle w:val="Compact"/>
        <w:numPr>
          <w:ilvl w:val="2"/>
          <w:numId w:val="1007"/>
        </w:numPr>
      </w:pPr>
      <w:r>
        <w:t xml:space="preserve">Cloud-based ML deployment on</w:t>
      </w:r>
      <w:r>
        <w:t xml:space="preserve"> </w:t>
      </w:r>
      <w:r>
        <w:rPr>
          <w:b/>
          <w:bCs/>
        </w:rPr>
        <w:t xml:space="preserve">AWS SageMaker or Google Vertex AI</w:t>
      </w:r>
      <w:r>
        <w:t xml:space="preserve">;</w:t>
      </w:r>
    </w:p>
    <w:p>
      <w:pPr>
        <w:pStyle w:val="Compact"/>
        <w:numPr>
          <w:ilvl w:val="1"/>
          <w:numId w:val="1003"/>
        </w:numPr>
      </w:pPr>
    </w:p>
    <w:p>
      <w:pPr>
        <w:pStyle w:val="Compact"/>
        <w:numPr>
          <w:ilvl w:val="2"/>
          <w:numId w:val="1008"/>
        </w:numPr>
      </w:pPr>
      <w:r>
        <w:t xml:space="preserve">Proficiency in</w:t>
      </w:r>
      <w:r>
        <w:t xml:space="preserve"> </w:t>
      </w:r>
      <w:r>
        <w:rPr>
          <w:b/>
          <w:bCs/>
        </w:rPr>
        <w:t xml:space="preserve">Python and R</w:t>
      </w:r>
      <w:r>
        <w:t xml:space="preserve"> </w:t>
      </w:r>
      <w:r>
        <w:t xml:space="preserve">programming languages;</w:t>
      </w:r>
    </w:p>
    <w:p>
      <w:pPr>
        <w:pStyle w:val="Compact"/>
        <w:numPr>
          <w:ilvl w:val="1"/>
          <w:numId w:val="1003"/>
        </w:numPr>
      </w:pPr>
      <w:r>
        <w:rPr>
          <w:b/>
          <w:bCs/>
        </w:rPr>
        <w:t xml:space="preserve">AWS Certified Machine Learning – Specialty certification or equivalent required</w:t>
      </w:r>
      <w:r>
        <w:t xml:space="preserve">;</w:t>
      </w:r>
    </w:p>
    <w:p>
      <w:pPr>
        <w:pStyle w:val="Compact"/>
        <w:numPr>
          <w:ilvl w:val="1"/>
          <w:numId w:val="1003"/>
        </w:numPr>
      </w:pPr>
      <w:r>
        <w:t xml:space="preserve">Up to 10% domestic travel;</w:t>
      </w:r>
    </w:p>
    <w:p>
      <w:pPr>
        <w:pStyle w:val="Compact"/>
        <w:numPr>
          <w:ilvl w:val="1"/>
          <w:numId w:val="1003"/>
        </w:numPr>
      </w:pPr>
      <w:r>
        <w:t xml:space="preserve">Will supervise a team of 3–5 ML engineers.</w:t>
      </w:r>
    </w:p>
    <w:p>
      <w:pPr>
        <w:pStyle w:val="Compact"/>
        <w:numPr>
          <w:ilvl w:val="0"/>
          <w:numId w:val="1002"/>
        </w:numPr>
      </w:pPr>
      <w:r>
        <w:rPr>
          <w:b/>
          <w:bCs/>
        </w:rPr>
        <w:t xml:space="preserve">No alternate combination of education and experience is accepted (J.B.4).</w:t>
      </w:r>
    </w:p>
    <w:p>
      <w:pPr>
        <w:pStyle w:val="FirstParagraph"/>
      </w:pPr>
      <w:r>
        <w:t xml:space="preserve">The employer attested in Section K that the beneficiary meets the education requirement (K.1 = Yes), the experience requirement (K.2 = Yes), and the special skills/other requirements (K.3 = Yes), and is qualified (K.4 = Yes), and that no qualifying experience was gained with the petitioning employer (K.5 = No).</w:t>
      </w:r>
    </w:p>
    <w:p>
      <w:r>
        <w:pict>
          <v:rect style="width:0;height:1.5pt" o:hralign="center" o:hrstd="t" o:hr="t"/>
        </w:pict>
      </w:r>
    </w:p>
    <w:bookmarkEnd w:id="22"/>
    <w:bookmarkStart w:id="23" w:name="X98b6ce2d86a48d292c1acd1f494f52faef9dd8a"/>
    <w:p>
      <w:pPr>
        <w:pStyle w:val="Heading2"/>
      </w:pPr>
      <w:r>
        <w:t xml:space="preserve">IV. Summary of the Beneficiary’s Documented Credentials</w:t>
      </w:r>
    </w:p>
    <w:p>
      <w:pPr>
        <w:pStyle w:val="FirstParagraph"/>
      </w:pPr>
      <w:r>
        <w:rPr>
          <w:b/>
          <w:bCs/>
        </w:rPr>
        <w:t xml:space="preserve">Education.</w:t>
      </w:r>
      <w:r>
        <w:t xml:space="preserve"> </w:t>
      </w:r>
      <w:r>
        <w:t xml:space="preserve">M.S. in Computer Science, North Carolina State University, conferred</w:t>
      </w:r>
      <w:r>
        <w:t xml:space="preserve"> </w:t>
      </w:r>
      <w:r>
        <w:rPr>
          <w:b/>
          <w:bCs/>
        </w:rPr>
        <w:t xml:space="preserve">May 12, 2018</w:t>
      </w:r>
      <w:r>
        <w:t xml:space="preserve"> </w:t>
      </w:r>
      <w:r>
        <w:t xml:space="preserve">(GPA 3.74/4.00; transcript). Prior degree: B.Tech in Electronics and Communication Engineering, Maharashtra Institute of Technology, Pune (Savitribai Phule Pune University), conferred</w:t>
      </w:r>
      <w:r>
        <w:t xml:space="preserve"> </w:t>
      </w:r>
      <w:r>
        <w:rPr>
          <w:b/>
          <w:bCs/>
        </w:rPr>
        <w:t xml:space="preserve">June 2013</w:t>
      </w:r>
      <w:r>
        <w:t xml:space="preserve">, evaluated by IAE (NACES member) as equivalent to a U.S. bachelor’s degree in Electronics and Communication Engineering.</w:t>
      </w:r>
    </w:p>
    <w:p>
      <w:pPr>
        <w:pStyle w:val="BodyText"/>
      </w:pPr>
      <w:r>
        <w:rPr>
          <w:b/>
          <w:bCs/>
        </w:rPr>
        <w:t xml:space="preserve">Post-Master’s Experience.</w:t>
      </w:r>
      <w:r>
        <w:t xml:space="preserve"> </w:t>
      </w:r>
      <w:r>
        <w:t xml:space="preserve">DataBridge Solutions LLC — Data Scientist I (June 4, 2018 – January 3, 2021), promoted to Data Scientist II (January 4, 2021 – present), full-time, 40 hrs/week, supervisor Dr. Samuel Okonkwo (VP, Data Science). Confirmed by experience letter dated April 10, 2025. This is the sole source of the qualifying post-master’s experience (~6.75 years as of the March 15, 2025 priority date; ~7 years as of the May 22, 2025 certification).</w:t>
      </w:r>
    </w:p>
    <w:p>
      <w:pPr>
        <w:pStyle w:val="BodyText"/>
      </w:pPr>
      <w:r>
        <w:rPr>
          <w:b/>
          <w:bCs/>
        </w:rPr>
        <w:t xml:space="preserve">Pre-Master’s Experience (background only; does not count toward the 5-year post-master’s requirement).</w:t>
      </w:r>
      <w:r>
        <w:t xml:space="preserve"> </w:t>
      </w:r>
      <w:r>
        <w:t xml:space="preserve">Evalpoint Technologies Pvt. Ltd., Software Engineer (July 1, 2013 – July 15, 2016), Bangalore, India. NC State Department of Computer Science, Research Assistant (August 15, 2016 – May 15, 2018, 20 hrs/week), supervisor Professor Helen Tsai, funded under NSF Grant No. IIS-1742956.</w:t>
      </w:r>
    </w:p>
    <w:p>
      <w:pPr>
        <w:pStyle w:val="BodyText"/>
      </w:pPr>
      <w:r>
        <w:rPr>
          <w:b/>
          <w:bCs/>
        </w:rPr>
        <w:t xml:space="preserve">Certifications.</w:t>
      </w:r>
      <w:r>
        <w:t xml:space="preserve"> </w:t>
      </w:r>
      <w:r>
        <w:t xml:space="preserve">(i) AWS Certified Cloud Practitioner — Foundational level, issued January 18, 2022,</w:t>
      </w:r>
      <w:r>
        <w:t xml:space="preserve"> </w:t>
      </w:r>
      <w:r>
        <w:rPr>
          <w:b/>
          <w:bCs/>
        </w:rPr>
        <w:t xml:space="preserve">expired January 18, 2025</w:t>
      </w:r>
      <w:r>
        <w:t xml:space="preserve">; (ii) TensorFlow Developer Certificate — issued March 10, 2023, no expiration, active (issued by Google). Per the certifications compilation (Verification Note 3), counsel specifically inquired and the beneficiary</w:t>
      </w:r>
      <w:r>
        <w:t xml:space="preserve"> </w:t>
      </w:r>
      <w:r>
        <w:rPr>
          <w:b/>
          <w:bCs/>
        </w:rPr>
        <w:t xml:space="preserve">confirmed she does not hold the AWS Certified Machine Learning – Specialty certification or any AWS specialty-level certification</w:t>
      </w:r>
      <w:r>
        <w:t xml:space="preserve">.</w:t>
      </w:r>
    </w:p>
    <w:p>
      <w:r>
        <w:pict>
          <v:rect style="width:0;height:1.5pt" o:hralign="center" o:hrstd="t" o:hr="t"/>
        </w:pict>
      </w:r>
    </w:p>
    <w:bookmarkEnd w:id="23"/>
    <w:bookmarkStart w:id="33" w:name="v.-gap-analysis"/>
    <w:p>
      <w:pPr>
        <w:pStyle w:val="Heading2"/>
      </w:pPr>
      <w:r>
        <w:t xml:space="preserve">V. Gap Analysis</w:t>
      </w:r>
    </w:p>
    <w:p>
      <w:pPr>
        <w:pStyle w:val="FirstParagraph"/>
      </w:pPr>
      <w:r>
        <w:t xml:space="preserve">The table below summarizes the requirement-by-requirement comparison. Detailed treatment of each gap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Requirement / Item (PERM cite)</w:t>
            </w:r>
          </w:p>
        </w:tc>
        <w:tc>
          <w:tcPr/>
          <w:p>
            <w:pPr>
              <w:pStyle w:val="Compact"/>
              <w:jc w:val="left"/>
            </w:pPr>
            <w:r>
              <w:t xml:space="preserve">PERM Attestation</w:t>
            </w:r>
          </w:p>
        </w:tc>
        <w:tc>
          <w:tcPr/>
          <w:p>
            <w:pPr>
              <w:pStyle w:val="Compact"/>
              <w:jc w:val="left"/>
            </w:pPr>
            <w:r>
              <w:t xml:space="preserve">Documented Credential</w:t>
            </w:r>
          </w:p>
        </w:tc>
        <w:tc>
          <w:tcPr/>
          <w:p>
            <w:pPr>
              <w:pStyle w:val="Compact"/>
              <w:jc w:val="left"/>
            </w:pPr>
            <w:r>
              <w:t xml:space="preserve">Status</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AWS Certified ML – Specialty cert</w:t>
            </w:r>
            <w:r>
              <w:t xml:space="preserve"> </w:t>
            </w:r>
            <w:r>
              <w:t xml:space="preserve">“</w:t>
            </w:r>
            <w:r>
              <w:t xml:space="preserve">or equivalent</w:t>
            </w:r>
            <w:r>
              <w:t xml:space="preserve">”</w:t>
            </w:r>
            <w:r>
              <w:t xml:space="preserve"> </w:t>
            </w:r>
            <w:r>
              <w:t xml:space="preserve">(J.B.5)</w:t>
            </w:r>
          </w:p>
        </w:tc>
        <w:tc>
          <w:tcPr/>
          <w:p>
            <w:pPr>
              <w:pStyle w:val="Compact"/>
              <w:jc w:val="left"/>
            </w:pPr>
            <w:r>
              <w:t xml:space="preserve">K.3 = Yes</w:t>
            </w:r>
          </w:p>
        </w:tc>
        <w:tc>
          <w:tcPr/>
          <w:p>
            <w:pPr>
              <w:pStyle w:val="Compact"/>
              <w:jc w:val="left"/>
            </w:pPr>
            <w:r>
              <w:t xml:space="preserve">Not held; beneficiary confirmed she does not hold it</w:t>
            </w:r>
          </w:p>
        </w:tc>
        <w:tc>
          <w:tcPr/>
          <w:p>
            <w:pPr>
              <w:pStyle w:val="Compact"/>
              <w:jc w:val="left"/>
            </w:pPr>
            <w:r>
              <w:rPr>
                <w:b/>
                <w:bCs/>
              </w:rPr>
              <w:t xml:space="preserve">GAP</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Active AWS credential at priority date</w:t>
            </w:r>
          </w:p>
        </w:tc>
        <w:tc>
          <w:tcPr/>
          <w:p>
            <w:pPr>
              <w:pStyle w:val="Compact"/>
              <w:jc w:val="left"/>
            </w:pPr>
            <w:r>
              <w:t xml:space="preserve">K.3 = Yes</w:t>
            </w:r>
          </w:p>
        </w:tc>
        <w:tc>
          <w:tcPr/>
          <w:p>
            <w:pPr>
              <w:pStyle w:val="Compact"/>
              <w:jc w:val="left"/>
            </w:pPr>
            <w:r>
              <w:t xml:space="preserve">AWS Cloud Practitioner expired Jan 18, 2025 (before March 15, 2025 priority date)</w:t>
            </w:r>
          </w:p>
        </w:tc>
        <w:tc>
          <w:tcPr/>
          <w:p>
            <w:pPr>
              <w:pStyle w:val="Compact"/>
              <w:jc w:val="left"/>
            </w:pPr>
            <w:r>
              <w:rPr>
                <w:b/>
                <w:bCs/>
              </w:rPr>
              <w:t xml:space="preserve">GAP</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K.3 attestation vs. certifications compilation</w:t>
            </w:r>
          </w:p>
        </w:tc>
        <w:tc>
          <w:tcPr/>
          <w:p>
            <w:pPr>
              <w:pStyle w:val="Compact"/>
              <w:jc w:val="left"/>
            </w:pPr>
            <w:r>
              <w:t xml:space="preserve">K.3 = Yes</w:t>
            </w:r>
          </w:p>
        </w:tc>
        <w:tc>
          <w:tcPr/>
          <w:p>
            <w:pPr>
              <w:pStyle w:val="Compact"/>
              <w:jc w:val="left"/>
            </w:pPr>
            <w:r>
              <w:t xml:space="preserve">Counsel’s compilation confirms cert not held</w:t>
            </w:r>
          </w:p>
        </w:tc>
        <w:tc>
          <w:tcPr/>
          <w:p>
            <w:pPr>
              <w:pStyle w:val="Compact"/>
              <w:jc w:val="left"/>
            </w:pPr>
            <w:r>
              <w:rPr>
                <w:b/>
                <w:bCs/>
              </w:rPr>
              <w:t xml:space="preserve">Inconsistency</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FEIN consistency (PERM C.7 vs. PWD)</w:t>
            </w:r>
          </w:p>
        </w:tc>
        <w:tc>
          <w:tcPr/>
          <w:p>
            <w:pPr>
              <w:pStyle w:val="Compact"/>
              <w:jc w:val="left"/>
            </w:pPr>
            <w:r>
              <w:t xml:space="preserve">PERM: 84-3291756</w:t>
            </w:r>
          </w:p>
        </w:tc>
        <w:tc>
          <w:tcPr/>
          <w:p>
            <w:pPr>
              <w:pStyle w:val="Compact"/>
              <w:jc w:val="left"/>
            </w:pPr>
            <w:r>
              <w:t xml:space="preserve">PWD: 84-3291047</w:t>
            </w:r>
          </w:p>
        </w:tc>
        <w:tc>
          <w:tcPr/>
          <w:p>
            <w:pPr>
              <w:pStyle w:val="Compact"/>
              <w:jc w:val="left"/>
            </w:pPr>
            <w:r>
              <w:rPr>
                <w:b/>
                <w:bCs/>
              </w:rPr>
              <w:t xml:space="preserve">Inconsistency</w:t>
            </w:r>
          </w:p>
        </w:tc>
        <w:tc>
          <w:tcPr/>
          <w:p>
            <w:pPr>
              <w:pStyle w:val="Compact"/>
              <w:jc w:val="left"/>
            </w:pPr>
            <w:r>
              <w:rPr>
                <w:b/>
                <w:bCs/>
              </w:rPr>
              <w:t xml:space="preserve">Moderate</w:t>
            </w:r>
          </w:p>
        </w:tc>
      </w:tr>
      <w:tr>
        <w:tc>
          <w:tcPr/>
          <w:p>
            <w:pPr>
              <w:pStyle w:val="Compact"/>
              <w:jc w:val="left"/>
            </w:pPr>
            <w:r>
              <w:t xml:space="preserve">5</w:t>
            </w:r>
          </w:p>
        </w:tc>
        <w:tc>
          <w:tcPr/>
          <w:p>
            <w:pPr>
              <w:pStyle w:val="Compact"/>
              <w:jc w:val="left"/>
            </w:pPr>
            <w:r>
              <w:t xml:space="preserve">NC State RA experience verification letter</w:t>
            </w:r>
          </w:p>
        </w:tc>
        <w:tc>
          <w:tcPr/>
          <w:p>
            <w:pPr>
              <w:pStyle w:val="Compact"/>
              <w:jc w:val="left"/>
            </w:pPr>
            <w:r>
              <w:t xml:space="preserve">Listed as Experience Entry 2 (J.C)</w:t>
            </w:r>
          </w:p>
        </w:tc>
        <w:tc>
          <w:tcPr/>
          <w:p>
            <w:pPr>
              <w:pStyle w:val="Compact"/>
              <w:jc w:val="left"/>
            </w:pPr>
            <w:r>
              <w:t xml:space="preserve">No letter; only transcript (HR email flags gap)</w:t>
            </w:r>
          </w:p>
        </w:tc>
        <w:tc>
          <w:tcPr/>
          <w:p>
            <w:pPr>
              <w:pStyle w:val="Compact"/>
              <w:jc w:val="left"/>
            </w:pPr>
            <w:r>
              <w:rPr>
                <w:b/>
                <w:bCs/>
              </w:rPr>
              <w:t xml:space="preserve">Doc gap</w:t>
            </w:r>
          </w:p>
        </w:tc>
        <w:tc>
          <w:tcPr/>
          <w:p>
            <w:pPr>
              <w:pStyle w:val="Compact"/>
              <w:jc w:val="left"/>
            </w:pPr>
            <w:r>
              <w:rPr>
                <w:b/>
                <w:bCs/>
              </w:rPr>
              <w:t xml:space="preserve">Moderate</w:t>
            </w:r>
          </w:p>
        </w:tc>
      </w:tr>
      <w:tr>
        <w:tc>
          <w:tcPr/>
          <w:p>
            <w:pPr>
              <w:pStyle w:val="Compact"/>
              <w:jc w:val="left"/>
            </w:pPr>
            <w:r>
              <w:t xml:space="preserve">6</w:t>
            </w:r>
          </w:p>
        </w:tc>
        <w:tc>
          <w:tcPr/>
          <w:p>
            <w:pPr>
              <w:pStyle w:val="Compact"/>
              <w:jc w:val="left"/>
            </w:pPr>
            <w:r>
              <w:t xml:space="preserve">Supervisory scope (3–5 ML engineers) (J.B.5)</w:t>
            </w:r>
          </w:p>
        </w:tc>
        <w:tc>
          <w:tcPr/>
          <w:p>
            <w:pPr>
              <w:pStyle w:val="Compact"/>
              <w:jc w:val="left"/>
            </w:pPr>
            <w:r>
              <w:t xml:space="preserve">“</w:t>
            </w:r>
            <w:r>
              <w:t xml:space="preserve">Will supervise 3–5</w:t>
            </w:r>
            <w:r>
              <w:t xml:space="preserve">”</w:t>
            </w:r>
          </w:p>
        </w:tc>
        <w:tc>
          <w:tcPr/>
          <w:p>
            <w:pPr>
              <w:pStyle w:val="Compact"/>
              <w:jc w:val="left"/>
            </w:pPr>
            <w:r>
              <w:t xml:space="preserve">Prior experience supervised 2 junior data scientists</w:t>
            </w:r>
          </w:p>
        </w:tc>
        <w:tc>
          <w:tcPr/>
          <w:p>
            <w:pPr>
              <w:pStyle w:val="Compact"/>
              <w:jc w:val="left"/>
            </w:pPr>
            <w:r>
              <w:t xml:space="preserve">Observation</w:t>
            </w:r>
          </w:p>
        </w:tc>
        <w:tc>
          <w:tcPr/>
          <w:p>
            <w:pPr>
              <w:pStyle w:val="Compact"/>
              <w:jc w:val="left"/>
            </w:pPr>
            <w:r>
              <w:rPr>
                <w:b/>
                <w:bCs/>
              </w:rPr>
              <w:t xml:space="preserve">Low</w:t>
            </w:r>
          </w:p>
        </w:tc>
      </w:tr>
      <w:tr>
        <w:tc>
          <w:tcPr/>
          <w:p>
            <w:pPr>
              <w:pStyle w:val="Compact"/>
              <w:jc w:val="left"/>
            </w:pPr>
            <w:r>
              <w:t xml:space="preserve">7</w:t>
            </w:r>
          </w:p>
        </w:tc>
        <w:tc>
          <w:tcPr/>
          <w:p>
            <w:pPr>
              <w:pStyle w:val="Compact"/>
              <w:jc w:val="left"/>
            </w:pPr>
            <w:r>
              <w:t xml:space="preserve">R proficiency (J.B.5(e))</w:t>
            </w:r>
          </w:p>
        </w:tc>
        <w:tc>
          <w:tcPr/>
          <w:p>
            <w:pPr>
              <w:pStyle w:val="Compact"/>
              <w:jc w:val="left"/>
            </w:pPr>
            <w:r>
              <w:t xml:space="preserve">K.3 = Yes</w:t>
            </w:r>
          </w:p>
        </w:tc>
        <w:tc>
          <w:tcPr/>
          <w:p>
            <w:pPr>
              <w:pStyle w:val="Compact"/>
              <w:jc w:val="left"/>
            </w:pPr>
            <w:r>
              <w:t xml:space="preserve">Coursework (ST 558, A-) +</w:t>
            </w:r>
            <w:r>
              <w:t xml:space="preserve"> </w:t>
            </w:r>
            <w:r>
              <w:t xml:space="preserve">“</w:t>
            </w:r>
            <w:r>
              <w:t xml:space="preserve">some use</w:t>
            </w:r>
            <w:r>
              <w:t xml:space="preserve">”</w:t>
            </w:r>
            <w:r>
              <w:t xml:space="preserve"> </w:t>
            </w:r>
            <w:r>
              <w:t xml:space="preserve">/</w:t>
            </w:r>
            <w:r>
              <w:t xml:space="preserve"> </w:t>
            </w:r>
            <w:r>
              <w:t xml:space="preserve">“</w:t>
            </w:r>
            <w:r>
              <w:t xml:space="preserve">intermediate</w:t>
            </w:r>
            <w:r>
              <w:t xml:space="preserve">”</w:t>
            </w:r>
          </w:p>
        </w:tc>
        <w:tc>
          <w:tcPr/>
          <w:p>
            <w:pPr>
              <w:pStyle w:val="Compact"/>
              <w:jc w:val="left"/>
            </w:pPr>
            <w:r>
              <w:t xml:space="preserve">Thin</w:t>
            </w:r>
          </w:p>
        </w:tc>
        <w:tc>
          <w:tcPr/>
          <w:p>
            <w:pPr>
              <w:pStyle w:val="Compact"/>
              <w:jc w:val="left"/>
            </w:pPr>
            <w:r>
              <w:rPr>
                <w:b/>
                <w:bCs/>
              </w:rPr>
              <w:t xml:space="preserve">Low</w:t>
            </w:r>
          </w:p>
        </w:tc>
      </w:tr>
      <w:tr>
        <w:tc>
          <w:tcPr/>
          <w:p>
            <w:pPr>
              <w:pStyle w:val="Compact"/>
              <w:jc w:val="left"/>
            </w:pPr>
            <w:r>
              <w:t xml:space="preserve">8</w:t>
            </w:r>
          </w:p>
        </w:tc>
        <w:tc>
          <w:tcPr/>
          <w:p>
            <w:pPr>
              <w:pStyle w:val="Compact"/>
              <w:jc w:val="left"/>
            </w:pPr>
            <w:r>
              <w:t xml:space="preserve">“</w:t>
            </w:r>
            <w:r>
              <w:t xml:space="preserve">Approx. 7 years</w:t>
            </w:r>
            <w:r>
              <w:t xml:space="preserve">”</w:t>
            </w:r>
            <w:r>
              <w:t xml:space="preserve"> </w:t>
            </w:r>
            <w:r>
              <w:t xml:space="preserve">post-master’s (K.2)</w:t>
            </w:r>
          </w:p>
        </w:tc>
        <w:tc>
          <w:tcPr/>
          <w:p>
            <w:pPr>
              <w:pStyle w:val="Compact"/>
              <w:jc w:val="left"/>
            </w:pPr>
            <w:r>
              <w:t xml:space="preserve">~7 years</w:t>
            </w:r>
          </w:p>
        </w:tc>
        <w:tc>
          <w:tcPr/>
          <w:p>
            <w:pPr>
              <w:pStyle w:val="Compact"/>
              <w:jc w:val="left"/>
            </w:pPr>
            <w:r>
              <w:t xml:space="preserve">~6.75 years as of priority date</w:t>
            </w:r>
          </w:p>
        </w:tc>
        <w:tc>
          <w:tcPr/>
          <w:p>
            <w:pPr>
              <w:pStyle w:val="Compact"/>
              <w:jc w:val="left"/>
            </w:pPr>
            <w:r>
              <w:t xml:space="preserve">Immaterial</w:t>
            </w:r>
          </w:p>
        </w:tc>
        <w:tc>
          <w:tcPr/>
          <w:p>
            <w:pPr>
              <w:pStyle w:val="Compact"/>
              <w:jc w:val="left"/>
            </w:pPr>
            <w:r>
              <w:rPr>
                <w:b/>
                <w:bCs/>
              </w:rPr>
              <w:t xml:space="preserve">Low</w:t>
            </w:r>
          </w:p>
        </w:tc>
      </w:tr>
      <w:tr>
        <w:tc>
          <w:tcPr/>
          <w:p>
            <w:pPr>
              <w:pStyle w:val="Compact"/>
              <w:jc w:val="left"/>
            </w:pPr>
            <w:r>
              <w:t xml:space="preserve">9</w:t>
            </w:r>
          </w:p>
        </w:tc>
        <w:tc>
          <w:tcPr/>
          <w:p>
            <w:pPr>
              <w:pStyle w:val="Compact"/>
              <w:jc w:val="left"/>
            </w:pPr>
            <w:r>
              <w:t xml:space="preserve">Education — Master’s in CS/ML/related (J.B.1)</w:t>
            </w:r>
          </w:p>
        </w:tc>
        <w:tc>
          <w:tcPr/>
          <w:p>
            <w:pPr>
              <w:pStyle w:val="Compact"/>
              <w:jc w:val="left"/>
            </w:pPr>
            <w:r>
              <w:t xml:space="preserve">K.1 = Yes</w:t>
            </w:r>
          </w:p>
        </w:tc>
        <w:tc>
          <w:tcPr/>
          <w:p>
            <w:pPr>
              <w:pStyle w:val="Compact"/>
              <w:jc w:val="left"/>
            </w:pPr>
            <w:r>
              <w:t xml:space="preserve">M.S. CS, NC State, May 2018</w:t>
            </w:r>
          </w:p>
        </w:tc>
        <w:tc>
          <w:tcPr/>
          <w:p>
            <w:pPr>
              <w:pStyle w:val="Compact"/>
              <w:jc w:val="left"/>
            </w:pPr>
            <w:r>
              <w:rPr>
                <w:b/>
                <w:bCs/>
              </w:rPr>
              <w:t xml:space="preserve">Satisfied</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Experience — 5 yrs progressive post-master’s (J.B.3)</w:t>
            </w:r>
          </w:p>
        </w:tc>
        <w:tc>
          <w:tcPr/>
          <w:p>
            <w:pPr>
              <w:pStyle w:val="Compact"/>
              <w:jc w:val="left"/>
            </w:pPr>
            <w:r>
              <w:t xml:space="preserve">K.2 = Yes</w:t>
            </w:r>
          </w:p>
        </w:tc>
        <w:tc>
          <w:tcPr/>
          <w:p>
            <w:pPr>
              <w:pStyle w:val="Compact"/>
              <w:jc w:val="left"/>
            </w:pPr>
            <w:r>
              <w:t xml:space="preserve">DataBridge June 2018–present (~6.75 yrs)</w:t>
            </w:r>
          </w:p>
        </w:tc>
        <w:tc>
          <w:tcPr/>
          <w:p>
            <w:pPr>
              <w:pStyle w:val="Compact"/>
              <w:jc w:val="left"/>
            </w:pPr>
            <w:r>
              <w:rPr>
                <w:b/>
                <w:bCs/>
              </w:rPr>
              <w:t xml:space="preserve">Satisfied</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Special skills (a)–(d): TensorFlow/PyTorch, Spark, NLP, SageMaker (J.B.5)</w:t>
            </w:r>
          </w:p>
        </w:tc>
        <w:tc>
          <w:tcPr/>
          <w:p>
            <w:pPr>
              <w:pStyle w:val="Compact"/>
              <w:jc w:val="left"/>
            </w:pPr>
            <w:r>
              <w:t xml:space="preserve">K.3 = Yes</w:t>
            </w:r>
          </w:p>
        </w:tc>
        <w:tc>
          <w:tcPr/>
          <w:p>
            <w:pPr>
              <w:pStyle w:val="Compact"/>
              <w:jc w:val="left"/>
            </w:pPr>
            <w:r>
              <w:t xml:space="preserve">All documented in DataBridge DS II role</w:t>
            </w:r>
          </w:p>
        </w:tc>
        <w:tc>
          <w:tcPr/>
          <w:p>
            <w:pPr>
              <w:pStyle w:val="Compact"/>
              <w:jc w:val="left"/>
            </w:pPr>
            <w:r>
              <w:rPr>
                <w:b/>
                <w:bCs/>
              </w:rPr>
              <w:t xml:space="preserve">Satisfied</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Python proficiency (J.B.5(e))</w:t>
            </w:r>
          </w:p>
        </w:tc>
        <w:tc>
          <w:tcPr/>
          <w:p>
            <w:pPr>
              <w:pStyle w:val="Compact"/>
              <w:jc w:val="left"/>
            </w:pPr>
            <w:r>
              <w:t xml:space="preserve">K.3 = Yes</w:t>
            </w:r>
          </w:p>
        </w:tc>
        <w:tc>
          <w:tcPr/>
          <w:p>
            <w:pPr>
              <w:pStyle w:val="Compact"/>
              <w:jc w:val="left"/>
            </w:pPr>
            <w:r>
              <w:t xml:space="preserve">Expert / primary language</w:t>
            </w:r>
          </w:p>
        </w:tc>
        <w:tc>
          <w:tcPr/>
          <w:p>
            <w:pPr>
              <w:pStyle w:val="Compact"/>
              <w:jc w:val="left"/>
            </w:pPr>
            <w:r>
              <w:rPr>
                <w:b/>
                <w:bCs/>
              </w:rPr>
              <w:t xml:space="preserve">Satisfied</w:t>
            </w:r>
          </w:p>
        </w:tc>
        <w:tc>
          <w:tcPr/>
          <w:p>
            <w:pPr>
              <w:pStyle w:val="Compact"/>
              <w:jc w:val="left"/>
            </w:pPr>
            <w:r>
              <w:t xml:space="preserve">—</w:t>
            </w:r>
          </w:p>
        </w:tc>
      </w:tr>
    </w:tbl>
    <w:bookmarkStart w:id="24" w:name="X7fed966c02e4c3c627ae8c57420d99378b408b2"/>
    <w:p>
      <w:pPr>
        <w:pStyle w:val="Heading3"/>
      </w:pPr>
      <w:r>
        <w:t xml:space="preserve">Gap 1 — AWS Certified Machine Learning – Specialty certification: required but not held (CRITICAL)</w:t>
      </w:r>
    </w:p>
    <w:p>
      <w:pPr>
        <w:pStyle w:val="FirstParagraph"/>
      </w:pPr>
      <w:r>
        <w:rPr>
          <w:b/>
          <w:bCs/>
        </w:rPr>
        <w:t xml:space="preserve">Identification.</w:t>
      </w:r>
      <w:r>
        <w:t xml:space="preserve"> </w:t>
      </w:r>
      <w:r>
        <w:t xml:space="preserve">Section J.B.5 expressly requires the</w:t>
      </w:r>
      <w:r>
        <w:t xml:space="preserve"> </w:t>
      </w:r>
      <w:r>
        <w:t xml:space="preserve">“</w:t>
      </w:r>
      <w:r>
        <w:t xml:space="preserve">AWS Certified Machine Learning – Specialty certification or equivalent.</w:t>
      </w:r>
      <w:r>
        <w:t xml:space="preserve">”</w:t>
      </w:r>
      <w:r>
        <w:t xml:space="preserve"> </w:t>
      </w:r>
      <w:r>
        <w:t xml:space="preserve">Section K.3 attests</w:t>
      </w:r>
      <w:r>
        <w:t xml:space="preserve"> </w:t>
      </w:r>
      <w:r>
        <w:t xml:space="preserve">“</w:t>
      </w:r>
      <w:r>
        <w:t xml:space="preserve">Yes,</w:t>
      </w:r>
      <w:r>
        <w:t xml:space="preserve">”</w:t>
      </w:r>
      <w:r>
        <w:t xml:space="preserve"> </w:t>
      </w:r>
      <w:r>
        <w:t xml:space="preserve">the beneficiary possesses the special skills and other requirements. The certifications compilation (Verification Note 3) states:</w:t>
      </w:r>
      <w:r>
        <w:t xml:space="preserve"> </w:t>
      </w:r>
      <w:r>
        <w:t xml:space="preserve">“</w:t>
      </w:r>
      <w:r>
        <w:t xml:space="preserve">Counsel specifically inquired whether the beneficiary holds the AWS Certified Machine Learning – Specialty certification or any other AWS specialty-level certification; the beneficiary confirmed she does not hold any such certification.</w:t>
      </w:r>
      <w:r>
        <w:t xml:space="preserve">”</w:t>
      </w:r>
      <w:r>
        <w:t xml:space="preserve"> </w:t>
      </w:r>
      <w:r>
        <w:t xml:space="preserve">The beneficiary’s only AWS credential is the AWS Certified Cloud Practitioner, which the compilation describes as a</w:t>
      </w:r>
      <w:r>
        <w:t xml:space="preserve"> </w:t>
      </w:r>
      <w:r>
        <w:t xml:space="preserve">“</w:t>
      </w:r>
      <w:r>
        <w:t xml:space="preserve">foundational-level certification [that] does not demonstrate specialization in any specific AWS service domain, including machine learning.</w:t>
      </w:r>
      <w:r>
        <w:t xml:space="preserve">”</w:t>
      </w:r>
      <w:r>
        <w:t xml:space="preserve"> </w:t>
      </w:r>
      <w:r>
        <w:t xml:space="preserve">Her other credential, the TensorFlow Developer Certificate, is</w:t>
      </w:r>
      <w:r>
        <w:t xml:space="preserve"> </w:t>
      </w:r>
      <w:r>
        <w:t xml:space="preserve">“</w:t>
      </w:r>
      <w:r>
        <w:t xml:space="preserve">issued by Google and is not affiliated with Amazon Web Services (AWS).</w:t>
      </w:r>
      <w:r>
        <w:t xml:space="preserve">”</w:t>
      </w:r>
    </w:p>
    <w:p>
      <w:pPr>
        <w:pStyle w:val="BodyText"/>
      </w:pPr>
      <w:r>
        <w:rPr>
          <w:b/>
          <w:bCs/>
        </w:rPr>
        <w:t xml:space="preserve">Why it matters.</w:t>
      </w:r>
      <w:r>
        <w:t xml:space="preserve"> </w:t>
      </w:r>
      <w:r>
        <w:t xml:space="preserve">The certification is a stated minimum requirement, not a job duty. At the I-140 stage, USCIS independently determines whether the beneficiary possessed each minimum requirement — including special-skills certifications —</w:t>
      </w:r>
      <w:r>
        <w:t xml:space="preserve"> </w:t>
      </w:r>
      <w:r>
        <w:rPr>
          <w:b/>
          <w:bCs/>
        </w:rPr>
        <w:t xml:space="preserve">as of the priority date</w:t>
      </w:r>
      <w:r>
        <w:t xml:space="preserve"> </w:t>
      </w:r>
      <w:r>
        <w:t xml:space="preserve">(March 15, 2025). A beneficiary who cannot be shown to have held a required certification as of the priority date is exposed to an I-140 denial for failure to establish she meets the minimum requirements, and the approved labor certification is exposed to a DOL audit denial or revocation proceeding on the same basis. The gap also creates a dual risk: (i) if the requirement is bona fide, the beneficiary is not qualified; (ii) if the requirement was not actually applied by the employer, the PERM’s bona fides and the recruitment’s validity are themselves questionable (a requirement stated on the form but not actually enforced is a classic audit vulnerability). The</w:t>
      </w:r>
      <w:r>
        <w:t xml:space="preserve"> </w:t>
      </w:r>
      <w:r>
        <w:t xml:space="preserve">“</w:t>
      </w:r>
      <w:r>
        <w:t xml:space="preserve">or equivalent</w:t>
      </w:r>
      <w:r>
        <w:t xml:space="preserve">”</w:t>
      </w:r>
      <w:r>
        <w:t xml:space="preserve"> </w:t>
      </w:r>
      <w:r>
        <w:t xml:space="preserve">language does not cure the gap: neither the AWS Cloud Practitioner (foundational, AWS-branded but not ML-specialty) nor the TensorFlow Developer Certificate (ML-relevant but Google-issued and framework-specific, not an AWS specialty credential) is a functional equivalent of the AWS Certified Machine Learning – Specialty certification.</w:t>
      </w:r>
    </w:p>
    <w:p>
      <w:pPr>
        <w:pStyle w:val="BodyText"/>
      </w:pPr>
      <w:r>
        <w:rPr>
          <w:b/>
          <w:bCs/>
        </w:rPr>
        <w:t xml:space="preserve">Severity.</w:t>
      </w:r>
      <w:r>
        <w:t xml:space="preserve"> </w:t>
      </w:r>
      <w:r>
        <w:t xml:space="preserve">Critical.</w:t>
      </w:r>
    </w:p>
    <w:p>
      <w:pPr>
        <w:pStyle w:val="BodyText"/>
      </w:pPr>
      <w:r>
        <w:rPr>
          <w:b/>
          <w:bCs/>
        </w:rPr>
        <w:t xml:space="preserve">Recommendation.</w:t>
      </w:r>
    </w:p>
    <w:p>
      <w:pPr>
        <w:pStyle w:val="Compact"/>
        <w:numPr>
          <w:ilvl w:val="0"/>
          <w:numId w:val="1009"/>
        </w:numPr>
      </w:pPr>
      <w:r>
        <w:rPr>
          <w:b/>
          <w:bCs/>
        </w:rPr>
        <w:t xml:space="preserve">Immediately schedule the beneficiary to sit for and obtain the AWS Certified Machine Learning – Specialty certification.</w:t>
      </w:r>
      <w:r>
        <w:t xml:space="preserve"> </w:t>
      </w:r>
      <w:r>
        <w:t xml:space="preserve">This is the only credential that unambiguously satisfies the requirement.</w:t>
      </w:r>
    </w:p>
    <w:p>
      <w:pPr>
        <w:pStyle w:val="Compact"/>
        <w:numPr>
          <w:ilvl w:val="0"/>
          <w:numId w:val="1009"/>
        </w:numPr>
      </w:pPr>
      <w:r>
        <w:rPr>
          <w:b/>
          <w:bCs/>
        </w:rPr>
        <w:t xml:space="preserve">Assess the</w:t>
      </w:r>
      <w:r>
        <w:rPr>
          <w:b/>
          <w:bCs/>
        </w:rPr>
        <w:t xml:space="preserve"> </w:t>
      </w:r>
      <w:r>
        <w:rPr>
          <w:b/>
          <w:bCs/>
        </w:rPr>
        <w:t xml:space="preserve">“</w:t>
      </w:r>
      <w:r>
        <w:rPr>
          <w:b/>
          <w:bCs/>
        </w:rPr>
        <w:t xml:space="preserve">as-of-priority-date</w:t>
      </w:r>
      <w:r>
        <w:rPr>
          <w:b/>
          <w:bCs/>
        </w:rPr>
        <w:t xml:space="preserve">”</w:t>
      </w:r>
      <w:r>
        <w:rPr>
          <w:b/>
          <w:bCs/>
        </w:rPr>
        <w:t xml:space="preserve"> </w:t>
      </w:r>
      <w:r>
        <w:rPr>
          <w:b/>
          <w:bCs/>
        </w:rPr>
        <w:t xml:space="preserve">problem with counsel.</w:t>
      </w:r>
      <w:r>
        <w:t xml:space="preserve"> </w:t>
      </w:r>
      <w:r>
        <w:t xml:space="preserve">Because the certification was not held on March 15, 2025, a certification obtained now post-dates the priority date and may not, by itself, establish qualification as of that date. Counsel must evaluate whether (a) the beneficiary can demonstrate she possessed the underlying AWS ML competencies as of the priority date and the certification merely formalizes them (a fact-intensive argument that USCIS may reject for a</w:t>
      </w:r>
      <w:r>
        <w:t xml:space="preserve"> </w:t>
      </w:r>
      <w:r>
        <w:rPr>
          <w:i/>
          <w:iCs/>
        </w:rPr>
        <w:t xml:space="preserve">certification</w:t>
      </w:r>
      <w:r>
        <w:t xml:space="preserve"> </w:t>
      </w:r>
      <w:r>
        <w:t xml:space="preserve">requirement, as distinct from a</w:t>
      </w:r>
      <w:r>
        <w:t xml:space="preserve"> </w:t>
      </w:r>
      <w:r>
        <w:rPr>
          <w:i/>
          <w:iCs/>
        </w:rPr>
        <w:t xml:space="preserve">skill</w:t>
      </w:r>
      <w:r>
        <w:t xml:space="preserve"> </w:t>
      </w:r>
      <w:r>
        <w:t xml:space="preserve">requirement), or (b) the safer course is to</w:t>
      </w:r>
      <w:r>
        <w:t xml:space="preserve"> </w:t>
      </w:r>
      <w:r>
        <w:rPr>
          <w:b/>
          <w:bCs/>
        </w:rPr>
        <w:t xml:space="preserve">refile the PERM</w:t>
      </w:r>
      <w:r>
        <w:t xml:space="preserve"> </w:t>
      </w:r>
      <w:r>
        <w:t xml:space="preserve">after the beneficiary obtains the certification, so that the certification predates the new priority date. Refiling forfeits the current priority date and restarts recruitment, which is costly given the STEM OPT deadline (see Section IX) — but it may be the only defensible path if the requirement is bona fide.</w:t>
      </w:r>
    </w:p>
    <w:p>
      <w:pPr>
        <w:pStyle w:val="Compact"/>
        <w:numPr>
          <w:ilvl w:val="0"/>
          <w:numId w:val="1009"/>
        </w:numPr>
      </w:pPr>
      <w:r>
        <w:rPr>
          <w:b/>
          <w:bCs/>
        </w:rPr>
        <w:t xml:space="preserve">Re-examine whether the certification was a bona fide minimum requirement.</w:t>
      </w:r>
      <w:r>
        <w:t xml:space="preserve"> </w:t>
      </w:r>
      <w:r>
        <w:t xml:space="preserve">If the employer did not in fact require the AWS ML – Specialty certification for the position, the requirement should not have been listed, and the PERM is exposed on bona-fides grounds. If it was not required, counsel should weigh refiling without the certification requirement against the risk of proceeding on a certification the beneficiary lacks. Do</w:t>
      </w:r>
      <w:r>
        <w:t xml:space="preserve"> </w:t>
      </w:r>
      <w:r>
        <w:rPr>
          <w:b/>
          <w:bCs/>
        </w:rPr>
        <w:t xml:space="preserve">not</w:t>
      </w:r>
      <w:r>
        <w:t xml:space="preserve"> </w:t>
      </w:r>
      <w:r>
        <w:t xml:space="preserve">simply proceed on the current PERM while representing to USCIS that the beneficiary meets a requirement the record shows she does not.</w:t>
      </w:r>
    </w:p>
    <w:bookmarkEnd w:id="24"/>
    <w:bookmarkStart w:id="25" w:name="Xde3873a89fe6d2918a497b7db1a85bd6f62ab86"/>
    <w:p>
      <w:pPr>
        <w:pStyle w:val="Heading3"/>
      </w:pPr>
      <w:r>
        <w:t xml:space="preserve">Gap 2 — AWS Cloud Practitioner expired before the priority date (HIGH)</w:t>
      </w:r>
    </w:p>
    <w:p>
      <w:pPr>
        <w:pStyle w:val="FirstParagraph"/>
      </w:pPr>
      <w:r>
        <w:rPr>
          <w:b/>
          <w:bCs/>
        </w:rPr>
        <w:t xml:space="preserve">Identification.</w:t>
      </w:r>
      <w:r>
        <w:t xml:space="preserve"> </w:t>
      </w:r>
      <w:r>
        <w:t xml:space="preserve">The AWS Certified Cloud Practitioner was issued January 18, 2022 and</w:t>
      </w:r>
      <w:r>
        <w:t xml:space="preserve"> </w:t>
      </w:r>
      <w:r>
        <w:rPr>
          <w:b/>
          <w:bCs/>
        </w:rPr>
        <w:t xml:space="preserve">expired January 18, 2025</w:t>
      </w:r>
      <w:r>
        <w:t xml:space="preserve"> </w:t>
      </w:r>
      <w:r>
        <w:t xml:space="preserve">— approximately two months</w:t>
      </w:r>
      <w:r>
        <w:t xml:space="preserve"> </w:t>
      </w:r>
      <w:r>
        <w:rPr>
          <w:b/>
          <w:bCs/>
        </w:rPr>
        <w:t xml:space="preserve">before</w:t>
      </w:r>
      <w:r>
        <w:t xml:space="preserve"> </w:t>
      </w:r>
      <w:r>
        <w:t xml:space="preserve">the March 15, 2025 priority date. The certifications compilation confirms the status is</w:t>
      </w:r>
      <w:r>
        <w:t xml:space="preserve"> </w:t>
      </w:r>
      <w:r>
        <w:t xml:space="preserve">“</w:t>
      </w:r>
      <w:r>
        <w:t xml:space="preserve">EXPIRED</w:t>
      </w:r>
      <w:r>
        <w:t xml:space="preserve">”</w:t>
      </w:r>
      <w:r>
        <w:t xml:space="preserve"> </w:t>
      </w:r>
      <w:r>
        <w:t xml:space="preserve">and that</w:t>
      </w:r>
      <w:r>
        <w:t xml:space="preserve"> </w:t>
      </w:r>
      <w:r>
        <w:t xml:space="preserve">“</w:t>
      </w:r>
      <w:r>
        <w:t xml:space="preserve">Dr. Mehrotra has not renewed this certification.</w:t>
      </w:r>
      <w:r>
        <w:t xml:space="preserve">”</w:t>
      </w:r>
    </w:p>
    <w:p>
      <w:pPr>
        <w:pStyle w:val="BodyText"/>
      </w:pPr>
      <w:r>
        <w:rPr>
          <w:b/>
          <w:bCs/>
        </w:rPr>
        <w:t xml:space="preserve">Why it matters.</w:t>
      </w:r>
      <w:r>
        <w:t xml:space="preserve"> </w:t>
      </w:r>
      <w:r>
        <w:t xml:space="preserve">Even setting aside that the Cloud Practitioner is foundational and not equivalent to the required ML – Specialty certification (Gap 1), the beneficiary held</w:t>
      </w:r>
      <w:r>
        <w:t xml:space="preserve"> </w:t>
      </w:r>
      <w:r>
        <w:rPr>
          <w:b/>
          <w:bCs/>
        </w:rPr>
        <w:t xml:space="preserve">no active AWS certification of any kind as of the priority date</w:t>
      </w:r>
      <w:r>
        <w:t xml:space="preserve">. This eliminates any fallback argument that an active (if lesser) AWS credential satisfied the</w:t>
      </w:r>
      <w:r>
        <w:t xml:space="preserve"> </w:t>
      </w:r>
      <w:r>
        <w:t xml:space="preserve">“</w:t>
      </w:r>
      <w:r>
        <w:t xml:space="preserve">or equivalent</w:t>
      </w:r>
      <w:r>
        <w:t xml:space="preserve">”</w:t>
      </w:r>
      <w:r>
        <w:t xml:space="preserve"> </w:t>
      </w:r>
      <w:r>
        <w:t xml:space="preserve">language, and it means the record contains no AWS credential that was valid on the date the employer attested (K.3) that the beneficiary met the AWS certification requirement. This compounds Gap 1 and sharpens the misattestation concern.</w:t>
      </w:r>
    </w:p>
    <w:p>
      <w:pPr>
        <w:pStyle w:val="BodyText"/>
      </w:pPr>
      <w:r>
        <w:rPr>
          <w:b/>
          <w:bCs/>
        </w:rPr>
        <w:t xml:space="preserve">Severity.</w:t>
      </w:r>
      <w:r>
        <w:t xml:space="preserve"> </w:t>
      </w:r>
      <w:r>
        <w:t xml:space="preserve">High (compounds Gap 1).</w:t>
      </w:r>
    </w:p>
    <w:p>
      <w:pPr>
        <w:pStyle w:val="BodyText"/>
      </w:pPr>
      <w:r>
        <w:rPr>
          <w:b/>
          <w:bCs/>
        </w:rPr>
        <w:t xml:space="preserve">Recommendation.</w:t>
      </w:r>
      <w:r>
        <w:t xml:space="preserve"> </w:t>
      </w:r>
      <w:r>
        <w:t xml:space="preserve">Treat as part of the Gap 1 remediation. If the beneficiary renews/obtains AWS credentials, ensure the target is the</w:t>
      </w:r>
      <w:r>
        <w:t xml:space="preserve"> </w:t>
      </w:r>
      <w:r>
        <w:rPr>
          <w:b/>
          <w:bCs/>
        </w:rPr>
        <w:t xml:space="preserve">ML – Specialty</w:t>
      </w:r>
      <w:r>
        <w:t xml:space="preserve"> </w:t>
      </w:r>
      <w:r>
        <w:t xml:space="preserve">certification (the required credential), not merely a renewal of the Cloud Practitioner. Document the issuance date of any new credential and analyze the priority-date implications as in Gap 1.</w:t>
      </w:r>
    </w:p>
    <w:bookmarkEnd w:id="25"/>
    <w:bookmarkStart w:id="26" w:name="Xb5a07538810b39dfa5689f3264235506e10f2fd"/>
    <w:p>
      <w:pPr>
        <w:pStyle w:val="Heading3"/>
      </w:pPr>
      <w:r>
        <w:t xml:space="preserve">Gap 3 — Section K.3 attestation contradicted by counsel’s own certifications compilation (HIGH)</w:t>
      </w:r>
    </w:p>
    <w:p>
      <w:pPr>
        <w:pStyle w:val="FirstParagraph"/>
      </w:pPr>
      <w:r>
        <w:rPr>
          <w:b/>
          <w:bCs/>
        </w:rPr>
        <w:t xml:space="preserve">Identification.</w:t>
      </w:r>
      <w:r>
        <w:t xml:space="preserve"> </w:t>
      </w:r>
      <w:r>
        <w:t xml:space="preserve">Section K.3 attests</w:t>
      </w:r>
      <w:r>
        <w:t xml:space="preserve"> </w:t>
      </w:r>
      <w:r>
        <w:t xml:space="preserve">“</w:t>
      </w:r>
      <w:r>
        <w:t xml:space="preserve">Yes</w:t>
      </w:r>
      <w:r>
        <w:t xml:space="preserve">”</w:t>
      </w:r>
      <w:r>
        <w:t xml:space="preserve"> </w:t>
      </w:r>
      <w:r>
        <w:t xml:space="preserve">— the beneficiary possesses the special skills and other requirements of J.B.5, which include the AWS ML – Specialty certification. The certifications compilation prepared by this firm (Verification Note 3) affirmatively documents that the beneficiary does</w:t>
      </w:r>
      <w:r>
        <w:t xml:space="preserve"> </w:t>
      </w:r>
      <w:r>
        <w:rPr>
          <w:b/>
          <w:bCs/>
        </w:rPr>
        <w:t xml:space="preserve">not</w:t>
      </w:r>
      <w:r>
        <w:t xml:space="preserve"> </w:t>
      </w:r>
      <w:r>
        <w:t xml:space="preserve">hold that certification. The two records are internally inconsistent.</w:t>
      </w:r>
    </w:p>
    <w:p>
      <w:pPr>
        <w:pStyle w:val="BodyText"/>
      </w:pPr>
      <w:r>
        <w:rPr>
          <w:b/>
          <w:bCs/>
        </w:rPr>
        <w:t xml:space="preserve">Why it matters.</w:t>
      </w:r>
      <w:r>
        <w:t xml:space="preserve"> </w:t>
      </w:r>
      <w:r>
        <w:t xml:space="preserve">This is a material inconsistency within the engagement file. The K.3 attestation was made under penalty of perjury (Section L alien declaration; Section N employer certification). A K.3 attestation that the beneficiary meets a requirement the file shows she does not meet creates exposure to a finding of misattestation, which can support denial, revocation, and referral for investigation. It also means the firm cannot, in good faith, file an I-140 that relies on K.3 without first reconciling the record.</w:t>
      </w:r>
    </w:p>
    <w:p>
      <w:pPr>
        <w:pStyle w:val="BodyText"/>
      </w:pPr>
      <w:r>
        <w:rPr>
          <w:b/>
          <w:bCs/>
        </w:rPr>
        <w:t xml:space="preserve">Severity.</w:t>
      </w:r>
      <w:r>
        <w:t xml:space="preserve"> </w:t>
      </w:r>
      <w:r>
        <w:t xml:space="preserve">High.</w:t>
      </w:r>
    </w:p>
    <w:p>
      <w:pPr>
        <w:pStyle w:val="BodyText"/>
      </w:pPr>
      <w:r>
        <w:rPr>
          <w:b/>
          <w:bCs/>
        </w:rPr>
        <w:t xml:space="preserve">Recommendation.</w:t>
      </w:r>
      <w:r>
        <w:t xml:space="preserve"> </w:t>
      </w:r>
      <w:r>
        <w:t xml:space="preserve">Reconcile the inconsistency before any I-140 filing. Either (a) cure the underlying gap per Gaps 1–2 and confirm the beneficiary now holds the required certification (with priority-date analysis), or (b) if the requirement is being withdrawn as non-bona-fide, refile the PERM with corrected J.B.5/K.3 attestations. Do not file the I-140 on the current record. Document the reconciliation in the file.</w:t>
      </w:r>
    </w:p>
    <w:bookmarkEnd w:id="26"/>
    <w:bookmarkStart w:id="27" w:name="X137bc44bb5c6c0305947acfa03ae1a75c5a2f1b"/>
    <w:p>
      <w:pPr>
        <w:pStyle w:val="Heading3"/>
      </w:pPr>
      <w:r>
        <w:t xml:space="preserve">Gap 4 — FEIN discrepancy between the PERM application and the PWD (MODERATE)</w:t>
      </w:r>
    </w:p>
    <w:p>
      <w:pPr>
        <w:pStyle w:val="FirstParagraph"/>
      </w:pPr>
      <w:r>
        <w:rPr>
          <w:b/>
          <w:bCs/>
        </w:rPr>
        <w:t xml:space="preserve">Identification.</w:t>
      </w:r>
      <w:r>
        <w:t xml:space="preserve"> </w:t>
      </w:r>
      <w:r>
        <w:t xml:space="preserve">The PERM application (Section C.7) lists the employer’s Federal Employer Identification Number as</w:t>
      </w:r>
      <w:r>
        <w:t xml:space="preserve"> </w:t>
      </w:r>
      <w:r>
        <w:rPr>
          <w:b/>
          <w:bCs/>
        </w:rPr>
        <w:t xml:space="preserve">84-3291756</w:t>
      </w:r>
      <w:r>
        <w:t xml:space="preserve">. The Prevailing Wage Determination (Section 1) lists the FEIN as</w:t>
      </w:r>
      <w:r>
        <w:t xml:space="preserve"> </w:t>
      </w:r>
      <w:r>
        <w:rPr>
          <w:b/>
          <w:bCs/>
        </w:rPr>
        <w:t xml:space="preserve">84-3291047</w:t>
      </w:r>
      <w:r>
        <w:t xml:space="preserve">. The two numbers differ. All other employer identifiers (legal name</w:t>
      </w:r>
      <w:r>
        <w:t xml:space="preserve"> </w:t>
      </w:r>
      <w:r>
        <w:t xml:space="preserve">“</w:t>
      </w:r>
      <w:r>
        <w:t xml:space="preserve">Prismex Analytics, Inc.,</w:t>
      </w:r>
      <w:r>
        <w:t xml:space="preserve">”</w:t>
      </w:r>
      <w:r>
        <w:t xml:space="preserve"> </w:t>
      </w:r>
      <w:r>
        <w:t xml:space="preserve">address 4500 Mueller Blvd, Suite 300, Austin, TX 78723, POC Melanie Foss, counsel Craig Halloran) are consistent across the two documents.</w:t>
      </w:r>
    </w:p>
    <w:p>
      <w:pPr>
        <w:pStyle w:val="BodyText"/>
      </w:pPr>
      <w:r>
        <w:rPr>
          <w:b/>
          <w:bCs/>
        </w:rPr>
        <w:t xml:space="preserve">Why it matters.</w:t>
      </w:r>
      <w:r>
        <w:t xml:space="preserve"> </w:t>
      </w:r>
      <w:r>
        <w:t xml:space="preserve">The PWD must correspond to the petitioning employer. A FEIN mismatch between the PWD and the PERM can raise a question whether the wage determination applies to the entity that filed the PERM, and USCIS cross-checks employer identity and ability-to-pay at the I-140 stage using the FEIN. If the PERM contains a transposed or erroneous FEIN, the error should be identified and the correct FEIN documented now so that the I-140, I-129, and ability-to-pay evidence all use a single, correct, consistent FEIN. If the two FEINs reflect two different entities (e.g., a parent/subsidiary or predecessor), that is a more serious issue requiring analysis of which entity is the lawful employer/petitioner.</w:t>
      </w:r>
    </w:p>
    <w:p>
      <w:pPr>
        <w:pStyle w:val="BodyText"/>
      </w:pPr>
      <w:r>
        <w:rPr>
          <w:b/>
          <w:bCs/>
        </w:rPr>
        <w:t xml:space="preserve">Severity.</w:t>
      </w:r>
      <w:r>
        <w:t xml:space="preserve"> </w:t>
      </w:r>
      <w:r>
        <w:t xml:space="preserve">Moderate.</w:t>
      </w:r>
    </w:p>
    <w:p>
      <w:pPr>
        <w:pStyle w:val="BodyText"/>
      </w:pPr>
      <w:r>
        <w:rPr>
          <w:b/>
          <w:bCs/>
        </w:rPr>
        <w:t xml:space="preserve">Recommendation.</w:t>
      </w:r>
      <w:r>
        <w:t xml:space="preserve"> </w:t>
      </w:r>
      <w:r>
        <w:t xml:space="preserve">Confirm the correct FEIN against Prismex’s tax/payroll records (payroll is administered by Cornerpoint Payroll Services per the PERM addendum and HR email). Determine which document contains the error. Ensure the I-140, I-129, and all ability-to-pay documentation use the correct FEIN consistent with the employer’s IRS records. If the PERM’s FEIN is wrong, retain documentation of the correct FEIN and be prepared to address the discrepancy if raised by DOL or USCIS; if the discrepancy reflects an entity issue, escalate to counsel immediately.</w:t>
      </w:r>
    </w:p>
    <w:bookmarkEnd w:id="27"/>
    <w:bookmarkStart w:id="28" w:name="X0b13ed0b95e3e10476f3ee1387f3d442723bfea"/>
    <w:p>
      <w:pPr>
        <w:pStyle w:val="Heading3"/>
      </w:pPr>
      <w:r>
        <w:t xml:space="preserve">Gap 5 — Missing experience verification letter for the NC State Research Assistant position (MODERATE)</w:t>
      </w:r>
    </w:p>
    <w:p>
      <w:pPr>
        <w:pStyle w:val="FirstParagraph"/>
      </w:pPr>
      <w:r>
        <w:rPr>
          <w:b/>
          <w:bCs/>
        </w:rPr>
        <w:t xml:space="preserve">Identification.</w:t>
      </w:r>
      <w:r>
        <w:t xml:space="preserve"> </w:t>
      </w:r>
      <w:r>
        <w:t xml:space="preserve">The PERM lists the NC State Research Assistant appointment (August 15, 2016 – May 15, 2018, 20 hrs/week) as Experience Entry 2 (Section J.C). The HR email (June 4, 2025) expressly flags that</w:t>
      </w:r>
      <w:r>
        <w:t xml:space="preserve"> </w:t>
      </w:r>
      <w:r>
        <w:t xml:space="preserve">“</w:t>
      </w:r>
      <w:r>
        <w:t xml:space="preserve">the package does not include an experience verification letter from North Carolina State University for Dr. Mehrotra’s Research Assistant position,</w:t>
      </w:r>
      <w:r>
        <w:t xml:space="preserve">”</w:t>
      </w:r>
      <w:r>
        <w:t xml:space="preserve"> </w:t>
      </w:r>
      <w:r>
        <w:t xml:space="preserve">that Professor Helen Tsai (the supervisor)</w:t>
      </w:r>
      <w:r>
        <w:t xml:space="preserve"> </w:t>
      </w:r>
      <w:r>
        <w:t xml:space="preserve">“</w:t>
      </w:r>
      <w:r>
        <w:t xml:space="preserve">is apparently on sabbatical and has not responded to emails,</w:t>
      </w:r>
      <w:r>
        <w:t xml:space="preserve">”</w:t>
      </w:r>
      <w:r>
        <w:t xml:space="preserve"> </w:t>
      </w:r>
      <w:r>
        <w:t xml:space="preserve">and that the team</w:t>
      </w:r>
      <w:r>
        <w:t xml:space="preserve"> </w:t>
      </w:r>
      <w:r>
        <w:t xml:space="preserve">“</w:t>
      </w:r>
      <w:r>
        <w:t xml:space="preserve">figured the transcript should suffice.</w:t>
      </w:r>
      <w:r>
        <w:t xml:space="preserve">”</w:t>
      </w:r>
      <w:r>
        <w:t xml:space="preserve"> </w:t>
      </w:r>
      <w:r>
        <w:t xml:space="preserve">The transcript confirms the RA appointment, period, supervisor, and funding source, but it does not describe the duties performed in the detail DOL expects in an experience verification.</w:t>
      </w:r>
    </w:p>
    <w:p>
      <w:pPr>
        <w:pStyle w:val="BodyText"/>
      </w:pPr>
      <w:r>
        <w:rPr>
          <w:b/>
          <w:bCs/>
        </w:rPr>
        <w:t xml:space="preserve">Why it matters.</w:t>
      </w:r>
      <w:r>
        <w:t xml:space="preserve"> </w:t>
      </w:r>
      <w:r>
        <w:t xml:space="preserve">In a PERM audit, DOL expects each claimed period of experience to be documented, preferably by a letter from the former employer/supervisor on letterhead describing the dates, hours, and duties. A transcript is corroborative but is not a substitute for an experience letter. That said, the exposure is limited here because the RA position is</w:t>
      </w:r>
      <w:r>
        <w:t xml:space="preserve"> </w:t>
      </w:r>
      <w:r>
        <w:rPr>
          <w:b/>
          <w:bCs/>
        </w:rPr>
        <w:t xml:space="preserve">pre-master’s-degree-completion</w:t>
      </w:r>
      <w:r>
        <w:t xml:space="preserve"> </w:t>
      </w:r>
      <w:r>
        <w:t xml:space="preserve">(it was held during the M.S. program, which was conferred May 12, 2018) and therefore</w:t>
      </w:r>
      <w:r>
        <w:t xml:space="preserve"> </w:t>
      </w:r>
      <w:r>
        <w:rPr>
          <w:b/>
          <w:bCs/>
        </w:rPr>
        <w:t xml:space="preserve">does not count toward the 5-year post-master’s requirement</w:t>
      </w:r>
      <w:r>
        <w:t xml:space="preserve">, which is satisfied entirely by the DataBridge experience (Gap analysis items 10–11). The RA entry is background/supplementary. Nonetheless, because it is a listed experience entry, an audit could request verification of it, and the RA experience is also the earliest documented source of the beneficiary’s PyTorch/NLP work.</w:t>
      </w:r>
    </w:p>
    <w:p>
      <w:pPr>
        <w:pStyle w:val="BodyText"/>
      </w:pPr>
      <w:r>
        <w:rPr>
          <w:b/>
          <w:bCs/>
        </w:rPr>
        <w:t xml:space="preserve">Severity.</w:t>
      </w:r>
      <w:r>
        <w:t xml:space="preserve"> </w:t>
      </w:r>
      <w:r>
        <w:t xml:space="preserve">Moderate (lowered by the fact that the RA experience is not part of the qualifying 5 years).</w:t>
      </w:r>
    </w:p>
    <w:p>
      <w:pPr>
        <w:pStyle w:val="BodyText"/>
      </w:pPr>
      <w:r>
        <w:rPr>
          <w:b/>
          <w:bCs/>
        </w:rPr>
        <w:t xml:space="preserve">Recommendation.</w:t>
      </w:r>
      <w:r>
        <w:t xml:space="preserve"> </w:t>
      </w:r>
      <w:r>
        <w:t xml:space="preserve">Obtain a written verification of the RA appointment from NC State. Because Professor Tsai is on sabbatical, pursue the Department of Computer Science administrator and/or the NC State University HR/Sponsored Programs office (the appointment was funded under NSF Grant No. IIS-1742956, which creates an administrative record). The letter should confirm dates, hours/week, the RA title, the supervisor, and a description of duties consistent with the resume and PERM (NLP research, transformer-based text classification in PyTorch, clinical dataset preprocessing, co-authored papers). If a letter cannot be obtained, supplement the file with the transcript, the resume, the two publications (which name Professor Tsai as co-author/advisor), and a detailed beneficiary declaration describing the RA duties, and be prepared to explain the unavailability of a supervisor letter in any audit response.</w:t>
      </w:r>
    </w:p>
    <w:bookmarkEnd w:id="28"/>
    <w:bookmarkStart w:id="29" w:name="Xa363bbf41388d3f4020aad418f56511244b30bf"/>
    <w:p>
      <w:pPr>
        <w:pStyle w:val="Heading3"/>
      </w:pPr>
      <w:r>
        <w:t xml:space="preserve">Gap 6 — Supervisory scope: prior experience (2) vs. offered role (3–5) (LOW)</w:t>
      </w:r>
    </w:p>
    <w:p>
      <w:pPr>
        <w:pStyle w:val="FirstParagraph"/>
      </w:pPr>
      <w:r>
        <w:rPr>
          <w:b/>
          <w:bCs/>
        </w:rPr>
        <w:t xml:space="preserve">Identification.</w:t>
      </w:r>
      <w:r>
        <w:t xml:space="preserve"> </w:t>
      </w:r>
      <w:r>
        <w:t xml:space="preserve">J.B.5 states the position</w:t>
      </w:r>
      <w:r>
        <w:t xml:space="preserve"> </w:t>
      </w:r>
      <w:r>
        <w:t xml:space="preserve">“</w:t>
      </w:r>
      <w:r>
        <w:t xml:space="preserve">Will supervise a team of 3–5 ML engineers.</w:t>
      </w:r>
      <w:r>
        <w:t xml:space="preserve">”</w:t>
      </w:r>
      <w:r>
        <w:t xml:space="preserve"> </w:t>
      </w:r>
      <w:r>
        <w:t xml:space="preserve">The DataBridge experience letter and the resume both describe the beneficiary as having</w:t>
      </w:r>
      <w:r>
        <w:t xml:space="preserve"> </w:t>
      </w:r>
      <w:r>
        <w:t xml:space="preserve">“</w:t>
      </w:r>
      <w:r>
        <w:t xml:space="preserve">Led a team of 2 junior data scientists</w:t>
      </w:r>
      <w:r>
        <w:t xml:space="preserve">”</w:t>
      </w:r>
      <w:r>
        <w:t xml:space="preserve"> </w:t>
      </w:r>
      <w:r>
        <w:t xml:space="preserve">in the Data Scientist II role.</w:t>
      </w:r>
    </w:p>
    <w:p>
      <w:pPr>
        <w:pStyle w:val="BodyText"/>
      </w:pPr>
      <w:r>
        <w:rPr>
          <w:b/>
          <w:bCs/>
        </w:rPr>
        <w:t xml:space="preserve">Why it matters.</w:t>
      </w:r>
      <w:r>
        <w:t xml:space="preserve"> </w:t>
      </w:r>
      <w:r>
        <w:t xml:space="preserve">The</w:t>
      </w:r>
      <w:r>
        <w:t xml:space="preserve"> </w:t>
      </w:r>
      <w:r>
        <w:t xml:space="preserve">“</w:t>
      </w:r>
      <w:r>
        <w:t xml:space="preserve">Will supervise</w:t>
      </w:r>
      <w:r>
        <w:t xml:space="preserve">”</w:t>
      </w:r>
      <w:r>
        <w:t xml:space="preserve"> </w:t>
      </w:r>
      <w:r>
        <w:t xml:space="preserve">language denotes a future job duty of the offered position, not a minimum prior-experience requirement, so the beneficiary’s prior supervision of 2 (rather than 3–5) is not, on the face of the form, a qualification gap. The risk is one of construction: if USCIS or DOL were to read supervisory responsibility over 3–5 engineers as a minimum special skill, the beneficiary’s prior experience (supervising 2) would not match. The more natural reading is that supervision is a job duty, in which case there is no gap.</w:t>
      </w:r>
    </w:p>
    <w:p>
      <w:pPr>
        <w:pStyle w:val="BodyText"/>
      </w:pPr>
      <w:r>
        <w:rPr>
          <w:b/>
          <w:bCs/>
        </w:rPr>
        <w:t xml:space="preserve">Severity.</w:t>
      </w:r>
      <w:r>
        <w:t xml:space="preserve"> </w:t>
      </w:r>
      <w:r>
        <w:t xml:space="preserve">Low.</w:t>
      </w:r>
    </w:p>
    <w:p>
      <w:pPr>
        <w:pStyle w:val="BodyText"/>
      </w:pPr>
      <w:r>
        <w:rPr>
          <w:b/>
          <w:bCs/>
        </w:rPr>
        <w:t xml:space="preserve">Recommendation.</w:t>
      </w:r>
      <w:r>
        <w:t xml:space="preserve"> </w:t>
      </w:r>
      <w:r>
        <w:t xml:space="preserve">Confirm that supervision of 3–5 ML engineers is intended as a job duty of the offered position (consistent with the</w:t>
      </w:r>
      <w:r>
        <w:t xml:space="preserve"> </w:t>
      </w:r>
      <w:r>
        <w:t xml:space="preserve">“</w:t>
      </w:r>
      <w:r>
        <w:t xml:space="preserve">Will supervise</w:t>
      </w:r>
      <w:r>
        <w:t xml:space="preserve">”</w:t>
      </w:r>
      <w:r>
        <w:t xml:space="preserve"> </w:t>
      </w:r>
      <w:r>
        <w:t xml:space="preserve">phrasing) and not a minimum prior-experience requirement. If the latter was intended, the requirement should be reconciled with the beneficiary’s actual prior supervisory experience. No change is needed if it is a job duty; consider whether the recruitment materials and job order consistently frame it as a duty.</w:t>
      </w:r>
    </w:p>
    <w:bookmarkEnd w:id="29"/>
    <w:bookmarkStart w:id="30" w:name="X83ffe2d8d81175117b5a01e41c0caede89704bb"/>
    <w:p>
      <w:pPr>
        <w:pStyle w:val="Heading3"/>
      </w:pPr>
      <w:r>
        <w:t xml:space="preserve">Gap 7 — R proficiency is documented but thin (LOW)</w:t>
      </w:r>
    </w:p>
    <w:p>
      <w:pPr>
        <w:pStyle w:val="FirstParagraph"/>
      </w:pPr>
      <w:r>
        <w:rPr>
          <w:b/>
          <w:bCs/>
        </w:rPr>
        <w:t xml:space="preserve">Identification.</w:t>
      </w:r>
      <w:r>
        <w:t xml:space="preserve"> </w:t>
      </w:r>
      <w:r>
        <w:t xml:space="preserve">J.B.5(e) requires</w:t>
      </w:r>
      <w:r>
        <w:t xml:space="preserve"> </w:t>
      </w:r>
      <w:r>
        <w:t xml:space="preserve">“</w:t>
      </w:r>
      <w:r>
        <w:t xml:space="preserve">proficiency in Python and R programming languages.</w:t>
      </w:r>
      <w:r>
        <w:t xml:space="preserve">”</w:t>
      </w:r>
      <w:r>
        <w:t xml:space="preserve"> </w:t>
      </w:r>
      <w:r>
        <w:t xml:space="preserve">Python is strongly documented (resume:</w:t>
      </w:r>
      <w:r>
        <w:t xml:space="preserve"> </w:t>
      </w:r>
      <w:r>
        <w:t xml:space="preserve">“</w:t>
      </w:r>
      <w:r>
        <w:t xml:space="preserve">expert</w:t>
      </w:r>
      <w:r>
        <w:t xml:space="preserve">”</w:t>
      </w:r>
      <w:r>
        <w:t xml:space="preserve">; DataBridge letter:</w:t>
      </w:r>
      <w:r>
        <w:t xml:space="preserve"> </w:t>
      </w:r>
      <w:r>
        <w:t xml:space="preserve">“</w:t>
      </w:r>
      <w:r>
        <w:t xml:space="preserve">primary programming language</w:t>
      </w:r>
      <w:r>
        <w:t xml:space="preserve">”</w:t>
      </w:r>
      <w:r>
        <w:t xml:space="preserve">). R is supported by (i) coursework — ST 558</w:t>
      </w:r>
      <w:r>
        <w:t xml:space="preserve"> </w:t>
      </w:r>
      <w:r>
        <w:t xml:space="preserve">“</w:t>
      </w:r>
      <w:r>
        <w:t xml:space="preserve">Statistical Computing with R,</w:t>
      </w:r>
      <w:r>
        <w:t xml:space="preserve">”</w:t>
      </w:r>
      <w:r>
        <w:t xml:space="preserve"> </w:t>
      </w:r>
      <w:r>
        <w:t xml:space="preserve">grade A- (transcript); and (ii) professional use — the DataBridge letter describes</w:t>
      </w:r>
      <w:r>
        <w:t xml:space="preserve"> </w:t>
      </w:r>
      <w:r>
        <w:t xml:space="preserve">“</w:t>
      </w:r>
      <w:r>
        <w:t xml:space="preserve">some use of R for statistical reporting and ad hoc data analysis,</w:t>
      </w:r>
      <w:r>
        <w:t xml:space="preserve">”</w:t>
      </w:r>
      <w:r>
        <w:t xml:space="preserve"> </w:t>
      </w:r>
      <w:r>
        <w:t xml:space="preserve">and the resume lists R as</w:t>
      </w:r>
      <w:r>
        <w:t xml:space="preserve"> </w:t>
      </w:r>
      <w:r>
        <w:t xml:space="preserve">“</w:t>
      </w:r>
      <w:r>
        <w:t xml:space="preserve">intermediate.</w:t>
      </w:r>
      <w:r>
        <w:t xml:space="preserve">”</w:t>
      </w:r>
    </w:p>
    <w:p>
      <w:pPr>
        <w:pStyle w:val="BodyText"/>
      </w:pPr>
      <w:r>
        <w:rPr>
          <w:b/>
          <w:bCs/>
        </w:rPr>
        <w:t xml:space="preserve">Why it matters.</w:t>
      </w:r>
      <w:r>
        <w:t xml:space="preserve"> </w:t>
      </w:r>
      <w:r>
        <w:t xml:space="preserve">“</w:t>
      </w:r>
      <w:r>
        <w:t xml:space="preserve">Proficiency</w:t>
      </w:r>
      <w:r>
        <w:t xml:space="preserve">”</w:t>
      </w:r>
      <w:r>
        <w:t xml:space="preserve"> </w:t>
      </w:r>
      <w:r>
        <w:t xml:space="preserve">is a relatively modest standard, and the combination of formal coursework (A-) plus professional use likely satisfies it. However, the professional-use evidence is comparatively thin (</w:t>
      </w:r>
      <w:r>
        <w:t xml:space="preserve">“</w:t>
      </w:r>
      <w:r>
        <w:t xml:space="preserve">some use,</w:t>
      </w:r>
      <w:r>
        <w:t xml:space="preserve">”</w:t>
      </w:r>
      <w:r>
        <w:t xml:space="preserve"> </w:t>
      </w:r>
      <w:r>
        <w:t xml:space="preserve">“</w:t>
      </w:r>
      <w:r>
        <w:t xml:space="preserve">intermediate</w:t>
      </w:r>
      <w:r>
        <w:t xml:space="preserve">”</w:t>
      </w:r>
      <w:r>
        <w:t xml:space="preserve">), so the R requirement is the least robustly documented of the technical skills. In an audit or RFE, the employer should be prepared to substantiate R proficiency beyond the single coursework line.</w:t>
      </w:r>
    </w:p>
    <w:p>
      <w:pPr>
        <w:pStyle w:val="BodyText"/>
      </w:pPr>
      <w:r>
        <w:rPr>
          <w:b/>
          <w:bCs/>
        </w:rPr>
        <w:t xml:space="preserve">Severity.</w:t>
      </w:r>
      <w:r>
        <w:t xml:space="preserve"> </w:t>
      </w:r>
      <w:r>
        <w:t xml:space="preserve">Low.</w:t>
      </w:r>
    </w:p>
    <w:p>
      <w:pPr>
        <w:pStyle w:val="BodyText"/>
      </w:pPr>
      <w:r>
        <w:rPr>
          <w:b/>
          <w:bCs/>
        </w:rPr>
        <w:t xml:space="preserve">Recommendation.</w:t>
      </w:r>
      <w:r>
        <w:t xml:space="preserve"> </w:t>
      </w:r>
      <w:r>
        <w:t xml:space="preserve">No immediate action required, but (a) consider asking DataBridge to expand the experience letter’s description of R usage (e.g., specific statistical reporting deliverables, packages used), and (b) ensure the beneficiary’s resume and any I-140 support letter consistently reflect R usage. Be prepared to point to the ST 558 coursework and the DataBridge R usage if questioned.</w:t>
      </w:r>
    </w:p>
    <w:bookmarkEnd w:id="30"/>
    <w:bookmarkStart w:id="31" w:name="Xfd8f8a7361ae184cfda8414982a549b1cd13b26"/>
    <w:p>
      <w:pPr>
        <w:pStyle w:val="Heading3"/>
      </w:pPr>
      <w:r>
        <w:t xml:space="preserve">Gap 8 —</w:t>
      </w:r>
      <w:r>
        <w:t xml:space="preserve"> </w:t>
      </w:r>
      <w:r>
        <w:t xml:space="preserve">“</w:t>
      </w:r>
      <w:r>
        <w:t xml:space="preserve">Approximately 7 years</w:t>
      </w:r>
      <w:r>
        <w:t xml:space="preserve">”</w:t>
      </w:r>
      <w:r>
        <w:t xml:space="preserve"> </w:t>
      </w:r>
      <w:r>
        <w:t xml:space="preserve">post-master’s experience slightly overstated as of the priority date (LOW)</w:t>
      </w:r>
    </w:p>
    <w:p>
      <w:pPr>
        <w:pStyle w:val="FirstParagraph"/>
      </w:pPr>
      <w:r>
        <w:rPr>
          <w:b/>
          <w:bCs/>
        </w:rPr>
        <w:t xml:space="preserve">Identification.</w:t>
      </w:r>
      <w:r>
        <w:t xml:space="preserve"> </w:t>
      </w:r>
      <w:r>
        <w:t xml:space="preserve">Section K.2 states the beneficiary has</w:t>
      </w:r>
      <w:r>
        <w:t xml:space="preserve"> </w:t>
      </w:r>
      <w:r>
        <w:t xml:space="preserve">“</w:t>
      </w:r>
      <w:r>
        <w:t xml:space="preserve">approximately 7 years of post-master’s experience at DataBridge Solutions LLC (June 2018 – present).</w:t>
      </w:r>
      <w:r>
        <w:t xml:space="preserve">”</w:t>
      </w:r>
      <w:r>
        <w:t xml:space="preserve"> </w:t>
      </w:r>
      <w:r>
        <w:t xml:space="preserve">The M.S. was conferred May 12, 2018; DataBridge employment began June 4, 2018. Measured to the March 15, 2025 priority date, the period is approximately</w:t>
      </w:r>
      <w:r>
        <w:t xml:space="preserve"> </w:t>
      </w:r>
      <w:r>
        <w:rPr>
          <w:b/>
          <w:bCs/>
        </w:rPr>
        <w:t xml:space="preserve">6 years, 9 months</w:t>
      </w:r>
      <w:r>
        <w:t xml:space="preserve"> </w:t>
      </w:r>
      <w:r>
        <w:t xml:space="preserve">(~6.75 years); measured to the May 22, 2025 certification date, it is approximately 6 years, 11.5 months (~7 years).</w:t>
      </w:r>
    </w:p>
    <w:p>
      <w:pPr>
        <w:pStyle w:val="BodyText"/>
      </w:pPr>
      <w:r>
        <w:rPr>
          <w:b/>
          <w:bCs/>
        </w:rPr>
        <w:t xml:space="preserve">Why it matters.</w:t>
      </w:r>
      <w:r>
        <w:t xml:space="preserve"> </w:t>
      </w:r>
      <w:r>
        <w:t xml:space="preserve">The</w:t>
      </w:r>
      <w:r>
        <w:t xml:space="preserve"> </w:t>
      </w:r>
      <w:r>
        <w:t xml:space="preserve">“</w:t>
      </w:r>
      <w:r>
        <w:t xml:space="preserve">approximately 7 years</w:t>
      </w:r>
      <w:r>
        <w:t xml:space="preserve">”</w:t>
      </w:r>
      <w:r>
        <w:t xml:space="preserve"> </w:t>
      </w:r>
      <w:r>
        <w:t xml:space="preserve">figure is a rounding that is slightly generous as of the priority date but is immaterial because the beneficiary exceeds the 5-year minimum by a comfortable margin in any event. No qualification gap results.</w:t>
      </w:r>
    </w:p>
    <w:p>
      <w:pPr>
        <w:pStyle w:val="BodyText"/>
      </w:pPr>
      <w:r>
        <w:rPr>
          <w:b/>
          <w:bCs/>
        </w:rPr>
        <w:t xml:space="preserve">Severity.</w:t>
      </w:r>
      <w:r>
        <w:t xml:space="preserve"> </w:t>
      </w:r>
      <w:r>
        <w:t xml:space="preserve">Low (informational).</w:t>
      </w:r>
    </w:p>
    <w:p>
      <w:pPr>
        <w:pStyle w:val="BodyText"/>
      </w:pPr>
      <w:r>
        <w:rPr>
          <w:b/>
          <w:bCs/>
        </w:rPr>
        <w:t xml:space="preserve">Recommendation.</w:t>
      </w:r>
      <w:r>
        <w:t xml:space="preserve"> </w:t>
      </w:r>
      <w:r>
        <w:t xml:space="preserve">No action required. If the I-140 support letter or any filing recites the experience duration, use a precise figure (e.g.,</w:t>
      </w:r>
      <w:r>
        <w:t xml:space="preserve"> </w:t>
      </w:r>
      <w:r>
        <w:t xml:space="preserve">“</w:t>
      </w:r>
      <w:r>
        <w:t xml:space="preserve">approximately 6 years and 9 months as of the priority date, and continuing</w:t>
      </w:r>
      <w:r>
        <w:t xml:space="preserve">”</w:t>
      </w:r>
      <w:r>
        <w:t xml:space="preserve">) rather than</w:t>
      </w:r>
      <w:r>
        <w:t xml:space="preserve"> </w:t>
      </w:r>
      <w:r>
        <w:t xml:space="preserve">“</w:t>
      </w:r>
      <w:r>
        <w:t xml:space="preserve">7 years,</w:t>
      </w:r>
      <w:r>
        <w:t xml:space="preserve">”</w:t>
      </w:r>
      <w:r>
        <w:t xml:space="preserve"> </w:t>
      </w:r>
      <w:r>
        <w:t xml:space="preserve">to avoid any appearance of overstatement.</w:t>
      </w:r>
    </w:p>
    <w:bookmarkEnd w:id="31"/>
    <w:bookmarkStart w:id="32" w:name="items-satisfied-no-gap"/>
    <w:p>
      <w:pPr>
        <w:pStyle w:val="Heading3"/>
      </w:pPr>
      <w:r>
        <w:t xml:space="preserve">Items satisfied (no gap)</w:t>
      </w:r>
    </w:p>
    <w:p>
      <w:pPr>
        <w:pStyle w:val="Compact"/>
        <w:numPr>
          <w:ilvl w:val="0"/>
          <w:numId w:val="1010"/>
        </w:numPr>
      </w:pPr>
      <w:r>
        <w:rPr>
          <w:b/>
          <w:bCs/>
        </w:rPr>
        <w:t xml:space="preserve">Education (J.B.1 / K.1):</w:t>
      </w:r>
      <w:r>
        <w:t xml:space="preserve"> </w:t>
      </w:r>
      <w:r>
        <w:t xml:space="preserve">Satisfied. M.S. in Computer Science, NC State, conferred May 12, 2018 (transcript; PERM J.A Degree 2; resume). The B.Tech in Electronics and Communication Engineering (MIT-Pune, June 2013), evaluated by IAE as equivalent to a U.S. bachelor’s, is the prior/admission degree and is supporting; it is not required to satisfy the Master’s minimum.</w:t>
      </w:r>
    </w:p>
    <w:p>
      <w:pPr>
        <w:pStyle w:val="Compact"/>
        <w:numPr>
          <w:ilvl w:val="0"/>
          <w:numId w:val="1010"/>
        </w:numPr>
      </w:pPr>
      <w:r>
        <w:rPr>
          <w:b/>
          <w:bCs/>
        </w:rPr>
        <w:t xml:space="preserve">Experience quantity and progression (J.B.3 / K.2):</w:t>
      </w:r>
      <w:r>
        <w:t xml:space="preserve"> </w:t>
      </w:r>
      <w:r>
        <w:t xml:space="preserve">Satisfied. DataBridge Data Scientist I → Data Scientist II (June 4, 2018 – present) provides well over 5 years of progressive post-master’s experience in a closely related occupation (Data Scientist ↔ Machine Learning Engineer, both within SOC 15-2051). The Evalpoint (2013–2016) and NC State RA (2016–2018) periods are pre-master’s and are correctly excluded from the 5-year count.</w:t>
      </w:r>
    </w:p>
    <w:p>
      <w:pPr>
        <w:pStyle w:val="Compact"/>
        <w:numPr>
          <w:ilvl w:val="0"/>
          <w:numId w:val="1010"/>
        </w:numPr>
      </w:pPr>
      <w:r>
        <w:rPr>
          <w:b/>
          <w:bCs/>
        </w:rPr>
        <w:t xml:space="preserve">Special skills (a)–(d) (J.B.5):</w:t>
      </w:r>
      <w:r>
        <w:t xml:space="preserve"> </w:t>
      </w:r>
      <w:r>
        <w:t xml:space="preserve">Satisfied by the DataBridge Data Scientist II role — deep learning with TensorFlow</w:t>
      </w:r>
      <w:r>
        <w:t xml:space="preserve"> </w:t>
      </w:r>
      <w:r>
        <w:rPr>
          <w:b/>
          <w:bCs/>
        </w:rPr>
        <w:t xml:space="preserve">and</w:t>
      </w:r>
      <w:r>
        <w:t xml:space="preserve"> </w:t>
      </w:r>
      <w:r>
        <w:t xml:space="preserve">PyTorch; Apache Spark (MLlib); NLP pipelines (NER, sentiment analysis, clinical document processing); AWS SageMaker deployment. The NC State RA additionally documents PyTorch-based NLP work.</w:t>
      </w:r>
    </w:p>
    <w:p>
      <w:pPr>
        <w:pStyle w:val="Compact"/>
        <w:numPr>
          <w:ilvl w:val="0"/>
          <w:numId w:val="1010"/>
        </w:numPr>
      </w:pPr>
      <w:r>
        <w:rPr>
          <w:b/>
          <w:bCs/>
        </w:rPr>
        <w:t xml:space="preserve">Python proficiency (J.B.5(e)):</w:t>
      </w:r>
      <w:r>
        <w:t xml:space="preserve"> </w:t>
      </w:r>
      <w:r>
        <w:t xml:space="preserve">Satisfied (expert / primary language).</w:t>
      </w:r>
    </w:p>
    <w:p>
      <w:pPr>
        <w:pStyle w:val="Compact"/>
        <w:numPr>
          <w:ilvl w:val="0"/>
          <w:numId w:val="1010"/>
        </w:numPr>
      </w:pPr>
      <w:r>
        <w:rPr>
          <w:b/>
          <w:bCs/>
        </w:rPr>
        <w:t xml:space="preserve">No qualifying experience with the petitioning employer (K.5):</w:t>
      </w:r>
      <w:r>
        <w:t xml:space="preserve"> </w:t>
      </w:r>
      <w:r>
        <w:t xml:space="preserve">Consistent — the beneficiary has never been employed by Prismex Analytics, Inc.; her current employer is DataBridge Solutions LLC.</w:t>
      </w:r>
    </w:p>
    <w:p>
      <w:r>
        <w:pict>
          <v:rect style="width:0;height:1.5pt" o:hralign="center" o:hrstd="t" o:hr="t"/>
        </w:pict>
      </w:r>
    </w:p>
    <w:bookmarkEnd w:id="32"/>
    <w:bookmarkEnd w:id="33"/>
    <w:bookmarkStart w:id="34" w:name="vi.-cross-document-inconsistencies"/>
    <w:p>
      <w:pPr>
        <w:pStyle w:val="Heading2"/>
      </w:pPr>
      <w:r>
        <w:t xml:space="preserve">VI. Cross-Document Inconsistencies</w:t>
      </w:r>
    </w:p>
    <w:p>
      <w:pPr>
        <w:pStyle w:val="Compact"/>
        <w:numPr>
          <w:ilvl w:val="0"/>
          <w:numId w:val="1011"/>
        </w:numPr>
      </w:pPr>
      <w:r>
        <w:rPr>
          <w:b/>
          <w:bCs/>
        </w:rPr>
        <w:t xml:space="preserve">FEIN (Gap 4 above).</w:t>
      </w:r>
      <w:r>
        <w:t xml:space="preserve"> </w:t>
      </w:r>
      <w:r>
        <w:t xml:space="preserve">PERM C.7 (84-3291756) vs. PWD Section 1 (84-3291047). Reconcile before I-140/I-129.</w:t>
      </w:r>
    </w:p>
    <w:p>
      <w:pPr>
        <w:pStyle w:val="Compact"/>
        <w:numPr>
          <w:ilvl w:val="0"/>
          <w:numId w:val="1011"/>
        </w:numPr>
      </w:pPr>
      <w:r>
        <w:rPr>
          <w:b/>
          <w:bCs/>
        </w:rPr>
        <w:t xml:space="preserve">K.3 attestation vs. certifications compilation (Gap 3 above).</w:t>
      </w:r>
      <w:r>
        <w:t xml:space="preserve"> </w:t>
      </w:r>
      <w:r>
        <w:t xml:space="preserve">The PERM attests the beneficiary meets the AWS certification requirement; the firm’s own compilation confirms she does not. Reconcile before I-140.</w:t>
      </w:r>
    </w:p>
    <w:p>
      <w:pPr>
        <w:pStyle w:val="Compact"/>
        <w:numPr>
          <w:ilvl w:val="0"/>
          <w:numId w:val="1011"/>
        </w:numPr>
      </w:pPr>
      <w:r>
        <w:rPr>
          <w:b/>
          <w:bCs/>
        </w:rPr>
        <w:t xml:space="preserve">Minor labeling items (informational, not substantive gaps):</w:t>
      </w:r>
    </w:p>
    <w:p>
      <w:pPr>
        <w:pStyle w:val="Compact"/>
        <w:numPr>
          <w:ilvl w:val="1"/>
          <w:numId w:val="1012"/>
        </w:numPr>
      </w:pPr>
      <w:r>
        <w:t xml:space="preserve">The IAE credential evaluation states its purpose as</w:t>
      </w:r>
      <w:r>
        <w:t xml:space="preserve"> </w:t>
      </w:r>
      <w:r>
        <w:t xml:space="preserve">“</w:t>
      </w:r>
      <w:r>
        <w:t xml:space="preserve">For immigration purposes — U.S. Citizenship and Immigration Services (USCIS)</w:t>
      </w:r>
      <w:r>
        <w:t xml:space="preserve">”</w:t>
      </w:r>
      <w:r>
        <w:t xml:space="preserve"> </w:t>
      </w:r>
      <w:r>
        <w:t xml:space="preserve">and covers only the B.Tech. This is appropriate for the I-140 stage; for the PERM/DOL context the evaluation is supporting only (the qualifying degree is the domestic M.S., which requires no evaluation). No correction needed, but the evaluation should not be presented as satisfying the PERM education requirement — the M.S. transcript does that.</w:t>
      </w:r>
    </w:p>
    <w:p>
      <w:pPr>
        <w:pStyle w:val="Compact"/>
        <w:numPr>
          <w:ilvl w:val="1"/>
          <w:numId w:val="1012"/>
        </w:numPr>
      </w:pPr>
      <w:r>
        <w:t xml:space="preserve">The certifications compilation is captioned</w:t>
      </w:r>
      <w:r>
        <w:t xml:space="preserve"> </w:t>
      </w:r>
      <w:r>
        <w:t xml:space="preserve">“</w:t>
      </w:r>
      <w:r>
        <w:t xml:space="preserve">Compiled for H-1B Petition Filing</w:t>
      </w:r>
      <w:r>
        <w:t xml:space="preserve">”</w:t>
      </w:r>
      <w:r>
        <w:t xml:space="preserve"> </w:t>
      </w:r>
      <w:r>
        <w:t xml:space="preserve">(June 2025), consistent with the current H-1B/I-129 stage. Its contents are nonetheless the operative record of the beneficiary’s certifications for purposes of this PERM credential review.</w:t>
      </w:r>
    </w:p>
    <w:p>
      <w:pPr>
        <w:pStyle w:val="FirstParagraph"/>
      </w:pPr>
      <w:r>
        <w:t xml:space="preserve">All other cross-document identity data are consistent: beneficiary name and DOB (March 14, 1991); passport (T4827361); SEVIS ID (N0003847261); I-94 (94-2023-08741256); address (2417 Hillsborough St, Apt 6C, Raleigh, NC 27607); M.S. conferral (May 12, 2018); B.Tech conferral (June 2013); DataBridge dates/titles/supervisor; Evalpoint dates/title/supervisor; RA dates/supervisor; PWD tracking number, SOC code, wage level, prevailing wage ($131,747), and validity period; offered wage ($142,000); employer name and address; counsel identity.</w:t>
      </w:r>
    </w:p>
    <w:p>
      <w:r>
        <w:pict>
          <v:rect style="width:0;height:1.5pt" o:hralign="center" o:hrstd="t" o:hr="t"/>
        </w:pict>
      </w:r>
    </w:p>
    <w:bookmarkEnd w:id="34"/>
    <w:bookmarkStart w:id="35" w:name="X718750d8ba6c993ddd80a43b7d700d20861cae0"/>
    <w:p>
      <w:pPr>
        <w:pStyle w:val="Heading2"/>
      </w:pPr>
      <w:r>
        <w:t xml:space="preserve">VII. Documentation Gaps and Timing Observations</w:t>
      </w:r>
    </w:p>
    <w:p>
      <w:pPr>
        <w:numPr>
          <w:ilvl w:val="0"/>
          <w:numId w:val="1013"/>
        </w:numPr>
      </w:pPr>
      <w:r>
        <w:rPr>
          <w:b/>
          <w:bCs/>
        </w:rPr>
        <w:t xml:space="preserve">Missing NC State RA experience letter (Gap 5 above).</w:t>
      </w:r>
      <w:r>
        <w:t xml:space="preserve"> </w:t>
      </w:r>
      <w:r>
        <w:t xml:space="preserve">Obtain from the department administrator or university HR/Sponsored Programs; supplement with transcript, resume, publications, and beneficiary declaration if a supervisor letter is unavailable.</w:t>
      </w:r>
    </w:p>
    <w:p>
      <w:pPr>
        <w:numPr>
          <w:ilvl w:val="0"/>
          <w:numId w:val="1013"/>
        </w:numPr>
      </w:pPr>
      <w:r>
        <w:rPr>
          <w:b/>
          <w:bCs/>
        </w:rPr>
        <w:t xml:space="preserve">Supporting documents post-date the PERM filing (informational — not a gap).</w:t>
      </w:r>
      <w:r>
        <w:t xml:space="preserve"> </w:t>
      </w:r>
      <w:r>
        <w:t xml:space="preserve">The DataBridge letter (April 10, 2025), Evalpoint letter (March 28, 2025), and NC State transcript (issued May 20, 2025) all post-date the March 15, 2025 filing. This is permissible and routine for PERM: supporting documentation is retained in the audit file and need not accompany the electronic filing, and experience letters may be obtained after filing so long as they accurately describe experience gained before the priority date. The underlying facts (degrees conferred, employment periods) all pre-date the priority date. No action required; noted for completeness.</w:t>
      </w:r>
    </w:p>
    <w:p>
      <w:pPr>
        <w:numPr>
          <w:ilvl w:val="0"/>
          <w:numId w:val="1013"/>
        </w:numPr>
      </w:pPr>
      <w:r>
        <w:rPr>
          <w:b/>
          <w:bCs/>
        </w:rPr>
        <w:t xml:space="preserve">Recruitment documentation (informational).</w:t>
      </w:r>
      <w:r>
        <w:t xml:space="preserve"> </w:t>
      </w:r>
      <w:r>
        <w:t xml:space="preserve">The PERM recites compliant recruitment (SWA job order; two Sunday print ads; and additional steps including company website, IEEE Computational Intelligence Magazine, and NC State campus recruitment), with three applicants, all found unqualified. The HR email confirms the full recruitment file is maintained by Broadleaf Staffing Advisors and available on request. This review did not examine the underlying recruitment evidence; counsel should confirm the recruitment file is complete and audit-ready (including the notice of filing, which the PERM lists at G.2.b as an</w:t>
      </w:r>
      <w:r>
        <w:t xml:space="preserve"> </w:t>
      </w:r>
      <w:r>
        <w:t xml:space="preserve">“</w:t>
      </w:r>
      <w:r>
        <w:t xml:space="preserve">internal posting</w:t>
      </w:r>
      <w:r>
        <w:t xml:space="preserve">”</w:t>
      </w:r>
      <w:r>
        <w:t xml:space="preserve"> </w:t>
      </w:r>
      <w:r>
        <w:t xml:space="preserve">— the worksite/in-house notice of filing is a separate 20 CFR 656.10(d) requirement and should not be counted as one of the three additional recruitment steps under 656.17(e)(1)(ii); the remaining three steps (company website, IEEE posting, campus recruitment) appear to satisfy the three-step minimum in any event).</w:t>
      </w:r>
    </w:p>
    <w:p>
      <w:r>
        <w:pict>
          <v:rect style="width:0;height:1.5pt" o:hralign="center" o:hrstd="t" o:hr="t"/>
        </w:pict>
      </w:r>
    </w:p>
    <w:bookmarkEnd w:id="35"/>
    <w:bookmarkStart w:id="36" w:name="X12fd3d7c97104645018009971be0dcbfa4f3c06"/>
    <w:p>
      <w:pPr>
        <w:pStyle w:val="Heading2"/>
      </w:pPr>
      <w:r>
        <w:t xml:space="preserve">VIII. Prioritized Remedial Recommendations</w:t>
      </w:r>
    </w:p>
    <w:p>
      <w:pPr>
        <w:pStyle w:val="FirstParagraph"/>
      </w:pPr>
      <w:r>
        <w:rPr>
          <w:b/>
          <w:bCs/>
        </w:rPr>
        <w:t xml:space="preserve">Priority 1 — Cure the AWS certification gap (Critical; Gaps 1–3).</w:t>
      </w:r>
    </w:p>
    <w:p>
      <w:pPr>
        <w:pStyle w:val="Compact"/>
        <w:numPr>
          <w:ilvl w:val="0"/>
          <w:numId w:val="1014"/>
        </w:numPr>
      </w:pPr>
      <w:r>
        <w:t xml:space="preserve">Schedule the beneficiary to obtain the</w:t>
      </w:r>
      <w:r>
        <w:t xml:space="preserve"> </w:t>
      </w:r>
      <w:r>
        <w:rPr>
          <w:b/>
          <w:bCs/>
        </w:rPr>
        <w:t xml:space="preserve">AWS Certified Machine Learning – Specialty</w:t>
      </w:r>
      <w:r>
        <w:t xml:space="preserve"> </w:t>
      </w:r>
      <w:r>
        <w:t xml:space="preserve">certification immediately.</w:t>
      </w:r>
    </w:p>
    <w:p>
      <w:pPr>
        <w:pStyle w:val="Compact"/>
        <w:numPr>
          <w:ilvl w:val="0"/>
          <w:numId w:val="1014"/>
        </w:numPr>
      </w:pPr>
      <w:r>
        <w:t xml:space="preserve">Conduct a priority-date analysis with counsel: determine whether a post-priority-date certification can support the I-140 on the current PERM, or whether a</w:t>
      </w:r>
      <w:r>
        <w:t xml:space="preserve"> </w:t>
      </w:r>
      <w:r>
        <w:rPr>
          <w:b/>
          <w:bCs/>
        </w:rPr>
        <w:t xml:space="preserve">refiling</w:t>
      </w:r>
      <w:r>
        <w:t xml:space="preserve"> </w:t>
      </w:r>
      <w:r>
        <w:t xml:space="preserve">(with the certification predating the new priority date, or with the certification requirement removed if it was not bona fide) is the defensible course.</w:t>
      </w:r>
    </w:p>
    <w:p>
      <w:pPr>
        <w:pStyle w:val="Compact"/>
        <w:numPr>
          <w:ilvl w:val="0"/>
          <w:numId w:val="1014"/>
        </w:numPr>
      </w:pPr>
      <w:r>
        <w:t xml:space="preserve">Reconcile the K.3 attestation with the certifications compilation before any I-140 filing. Do not file the I-140 on the current unreconciled record.</w:t>
      </w:r>
    </w:p>
    <w:p>
      <w:pPr>
        <w:pStyle w:val="FirstParagraph"/>
      </w:pPr>
      <w:r>
        <w:rPr>
          <w:b/>
          <w:bCs/>
        </w:rPr>
        <w:t xml:space="preserve">Priority 2 — Reconcile the FEIN (Moderate; Gap 4).</w:t>
      </w:r>
    </w:p>
    <w:p>
      <w:pPr>
        <w:pStyle w:val="Compact"/>
        <w:numPr>
          <w:ilvl w:val="0"/>
          <w:numId w:val="1015"/>
        </w:numPr>
      </w:pPr>
      <w:r>
        <w:t xml:space="preserve">Confirm the correct FEIN with Prismex/Cornerpoint Payroll Services; identify which document (PERM or PWD) is in error; ensure the I-140, I-129, and ability-to-pay evidence use one correct, consistent FEIN; escalate if the discrepancy reflects an entity (not typographical) issue.</w:t>
      </w:r>
    </w:p>
    <w:p>
      <w:pPr>
        <w:pStyle w:val="FirstParagraph"/>
      </w:pPr>
      <w:r>
        <w:rPr>
          <w:b/>
          <w:bCs/>
        </w:rPr>
        <w:t xml:space="preserve">Priority 3 — Obtain the NC State RA verification (Moderate; Gap 5).</w:t>
      </w:r>
    </w:p>
    <w:p>
      <w:pPr>
        <w:pStyle w:val="Compact"/>
        <w:numPr>
          <w:ilvl w:val="0"/>
          <w:numId w:val="1016"/>
        </w:numPr>
      </w:pPr>
      <w:r>
        <w:t xml:space="preserve">Pursue the department administrator / university HR / Sponsored Programs office (NSF Grant No. IIS-1742956 record); supplement with transcript, resume, publications, and beneficiary declaration if a supervisor letter cannot be obtained.</w:t>
      </w:r>
    </w:p>
    <w:p>
      <w:pPr>
        <w:pStyle w:val="FirstParagraph"/>
      </w:pPr>
      <w:r>
        <w:rPr>
          <w:b/>
          <w:bCs/>
        </w:rPr>
        <w:t xml:space="preserve">Priority 4 — Strengthen the R-proficiency record (Low; Gap 7).</w:t>
      </w:r>
    </w:p>
    <w:p>
      <w:pPr>
        <w:pStyle w:val="Compact"/>
        <w:numPr>
          <w:ilvl w:val="0"/>
          <w:numId w:val="1017"/>
        </w:numPr>
      </w:pPr>
      <w:r>
        <w:t xml:space="preserve">Consider an expanded DataBridge letter describing R usage; ensure consistent representation across the resume and I-140 support letter.</w:t>
      </w:r>
    </w:p>
    <w:p>
      <w:pPr>
        <w:pStyle w:val="FirstParagraph"/>
      </w:pPr>
      <w:r>
        <w:rPr>
          <w:b/>
          <w:bCs/>
        </w:rPr>
        <w:t xml:space="preserve">Priority 5 — Confirm the supervisory framing and recruitment file (Low; Gaps 6 and VII.3).</w:t>
      </w:r>
    </w:p>
    <w:p>
      <w:pPr>
        <w:pStyle w:val="Compact"/>
        <w:numPr>
          <w:ilvl w:val="0"/>
          <w:numId w:val="1018"/>
        </w:numPr>
      </w:pPr>
      <w:r>
        <w:t xml:space="preserve">Confirm supervision of 3–5 ML engineers is a job duty (not a minimum prior-experience requirement); confirm the recruitment file is complete and audit-ready and that the notice of filing is not improperly counted as an additional recruitment step.</w:t>
      </w:r>
    </w:p>
    <w:p>
      <w:pPr>
        <w:pStyle w:val="FirstParagraph"/>
      </w:pPr>
      <w:r>
        <w:rPr>
          <w:b/>
          <w:bCs/>
        </w:rPr>
        <w:t xml:space="preserve">Priority 6 — Precision in experience recitations (Low; Gap 8).</w:t>
      </w:r>
    </w:p>
    <w:p>
      <w:pPr>
        <w:pStyle w:val="Compact"/>
        <w:numPr>
          <w:ilvl w:val="0"/>
          <w:numId w:val="1019"/>
        </w:numPr>
      </w:pPr>
      <w:r>
        <w:t xml:space="preserve">Use precise post-master’s duration figures in the I-140 support letter and filings.</w:t>
      </w:r>
    </w:p>
    <w:p>
      <w:r>
        <w:pict>
          <v:rect style="width:0;height:1.5pt" o:hralign="center" o:hrstd="t" o:hr="t"/>
        </w:pict>
      </w:r>
    </w:p>
    <w:bookmarkEnd w:id="36"/>
    <w:bookmarkStart w:id="37" w:name="ix.-timeline-and-status-considerations"/>
    <w:p>
      <w:pPr>
        <w:pStyle w:val="Heading2"/>
      </w:pPr>
      <w:r>
        <w:t xml:space="preserve">IX. Timeline and Status Considerations</w:t>
      </w:r>
    </w:p>
    <w:p>
      <w:pPr>
        <w:pStyle w:val="FirstParagraph"/>
      </w:pPr>
      <w:r>
        <w:t xml:space="preserve">The HR email (June 4, 2025) indicates the employer intends to file the</w:t>
      </w:r>
      <w:r>
        <w:t xml:space="preserve"> </w:t>
      </w:r>
      <w:r>
        <w:rPr>
          <w:b/>
          <w:bCs/>
        </w:rPr>
        <w:t xml:space="preserve">H-1B (I-129)</w:t>
      </w:r>
      <w:r>
        <w:t xml:space="preserve"> </w:t>
      </w:r>
      <w:r>
        <w:t xml:space="preserve">petition — selected in the FY2026 cap lottery — by approximately</w:t>
      </w:r>
      <w:r>
        <w:t xml:space="preserve"> </w:t>
      </w:r>
      <w:r>
        <w:rPr>
          <w:b/>
          <w:bCs/>
        </w:rPr>
        <w:t xml:space="preserve">July 15, 2025</w:t>
      </w:r>
      <w:r>
        <w:t xml:space="preserve">, and that the beneficiary’s</w:t>
      </w:r>
      <w:r>
        <w:t xml:space="preserve"> </w:t>
      </w:r>
      <w:r>
        <w:rPr>
          <w:b/>
          <w:bCs/>
        </w:rPr>
        <w:t xml:space="preserve">STEM OPT expires September 15, 2025</w:t>
      </w:r>
      <w:r>
        <w:t xml:space="preserve">. The employer has asked counsel to confirm cap-gap/status-continuation mechanics. Two points bear on the credential gaps:</w:t>
      </w:r>
    </w:p>
    <w:p>
      <w:pPr>
        <w:numPr>
          <w:ilvl w:val="0"/>
          <w:numId w:val="1020"/>
        </w:numPr>
      </w:pPr>
      <w:r>
        <w:rPr>
          <w:b/>
          <w:bCs/>
        </w:rPr>
        <w:t xml:space="preserve">The H-1B (I-129) and the I-140 are distinct filings with distinct standards.</w:t>
      </w:r>
      <w:r>
        <w:t xml:space="preserve"> </w:t>
      </w:r>
      <w:r>
        <w:t xml:space="preserve">The credential gaps identified above (principally the AWS certification) bear most directly on the</w:t>
      </w:r>
      <w:r>
        <w:t xml:space="preserve"> </w:t>
      </w:r>
      <w:r>
        <w:rPr>
          <w:b/>
          <w:bCs/>
        </w:rPr>
        <w:t xml:space="preserve">I-140</w:t>
      </w:r>
      <w:r>
        <w:t xml:space="preserve"> </w:t>
      </w:r>
      <w:r>
        <w:t xml:space="preserve">(immigrant petition), where USCIS tests whether the beneficiary meets the PERM minimum requirements as of the priority date. The H-1B petition is governed by a</w:t>
      </w:r>
      <w:r>
        <w:t xml:space="preserve"> </w:t>
      </w:r>
      <w:r>
        <w:t xml:space="preserve">“</w:t>
      </w:r>
      <w:r>
        <w:t xml:space="preserve">specialty occupation</w:t>
      </w:r>
      <w:r>
        <w:t xml:space="preserve">”</w:t>
      </w:r>
      <w:r>
        <w:t xml:space="preserve"> </w:t>
      </w:r>
      <w:r>
        <w:t xml:space="preserve">standard and does not require the beneficiary to meet the PERM minimum requirements. Accordingly, the AWS certification gap is</w:t>
      </w:r>
      <w:r>
        <w:t xml:space="preserve"> </w:t>
      </w:r>
      <w:r>
        <w:rPr>
          <w:b/>
          <w:bCs/>
        </w:rPr>
        <w:t xml:space="preserve">not necessarily a blocker to filing the H-1B</w:t>
      </w:r>
      <w:r>
        <w:t xml:space="preserve">, but it</w:t>
      </w:r>
      <w:r>
        <w:t xml:space="preserve"> </w:t>
      </w:r>
      <w:r>
        <w:rPr>
          <w:b/>
          <w:bCs/>
        </w:rPr>
        <w:t xml:space="preserve">is a blocker to filing a defensible I-140</w:t>
      </w:r>
      <w:r>
        <w:t xml:space="preserve"> </w:t>
      </w:r>
      <w:r>
        <w:t xml:space="preserve">on the current record. Counsel should keep these workstreams separate and not let the H-1B filing deadline obscure the I-140 remediation.</w:t>
      </w:r>
    </w:p>
    <w:p>
      <w:pPr>
        <w:numPr>
          <w:ilvl w:val="0"/>
          <w:numId w:val="1020"/>
        </w:numPr>
      </w:pPr>
      <w:r>
        <w:rPr>
          <w:b/>
          <w:bCs/>
        </w:rPr>
        <w:t xml:space="preserve">The STEM OPT deadline constrains the refiling option.</w:t>
      </w:r>
      <w:r>
        <w:t xml:space="preserve"> </w:t>
      </w:r>
      <w:r>
        <w:t xml:space="preserve">If the priority-date analysis concludes that the AWS certification gap can only be cured by refiling the PERM (Gap 1, Recommendation 2(b)), the beneficiary’s September 15, 2025 STEM OPT expiration and the need for ongoing employment authorization become material. Counsel should advise the employer and beneficiary on how a PERM refiling interacts with the H-1B cap-gap extension and any subsequent extension/bridge-petition strategy, and should sequence the filings accordingly. The cap-gap question posed by HR (whether F-1 STEM OPT and employment authorization extend through October 1 upon timely filing of the I-129) should be answered in a separate status-continuation advisory, as it is outside the scope of this credential review.</w:t>
      </w:r>
    </w:p>
    <w:p>
      <w:r>
        <w:pict>
          <v:rect style="width:0;height:1.5pt" o:hralign="center" o:hrstd="t" o:hr="t"/>
        </w:pict>
      </w:r>
    </w:p>
    <w:bookmarkEnd w:id="37"/>
    <w:bookmarkStart w:id="38" w:name="x.-conclusion"/>
    <w:p>
      <w:pPr>
        <w:pStyle w:val="Heading2"/>
      </w:pPr>
      <w:r>
        <w:t xml:space="preserve">X. Conclusion</w:t>
      </w:r>
    </w:p>
    <w:p>
      <w:pPr>
        <w:pStyle w:val="FirstParagraph"/>
      </w:pPr>
      <w:r>
        <w:t xml:space="preserve">The beneficiary’s credentials satisfy the PERM</w:t>
      </w:r>
      <w:r>
        <w:t xml:space="preserve"> </w:t>
      </w:r>
      <w:r>
        <w:rPr>
          <w:b/>
          <w:bCs/>
        </w:rPr>
        <w:t xml:space="preserve">education</w:t>
      </w:r>
      <w:r>
        <w:t xml:space="preserve"> </w:t>
      </w:r>
      <w:r>
        <w:t xml:space="preserve">requirement (M.S. in Computer Science, NC State, 2018) and the</w:t>
      </w:r>
      <w:r>
        <w:t xml:space="preserve"> </w:t>
      </w:r>
      <w:r>
        <w:rPr>
          <w:b/>
          <w:bCs/>
        </w:rPr>
        <w:t xml:space="preserve">experience</w:t>
      </w:r>
      <w:r>
        <w:t xml:space="preserve"> </w:t>
      </w:r>
      <w:r>
        <w:t xml:space="preserve">requirement (well over 5 years of progressive post-master’s experience at DataBridge Solutions LLC), as well as the great majority of the</w:t>
      </w:r>
      <w:r>
        <w:t xml:space="preserve"> </w:t>
      </w:r>
      <w:r>
        <w:rPr>
          <w:b/>
          <w:bCs/>
        </w:rPr>
        <w:t xml:space="preserve">special skills</w:t>
      </w:r>
      <w:r>
        <w:t xml:space="preserve"> </w:t>
      </w:r>
      <w:r>
        <w:t xml:space="preserve">(TensorFlow/PyTorch, Apache Spark, NLP, AWS SageMaker, Python). The record also contains a sound NACES credential evaluation of the foreign B.Tech and consistent identity data across all documents.</w:t>
      </w:r>
    </w:p>
    <w:p>
      <w:pPr>
        <w:pStyle w:val="BodyText"/>
      </w:pPr>
      <w:r>
        <w:t xml:space="preserve">However, the record contains one</w:t>
      </w:r>
      <w:r>
        <w:t xml:space="preserve"> </w:t>
      </w:r>
      <w:r>
        <w:rPr>
          <w:b/>
          <w:bCs/>
        </w:rPr>
        <w:t xml:space="preserve">critical</w:t>
      </w:r>
      <w:r>
        <w:t xml:space="preserve"> </w:t>
      </w:r>
      <w:r>
        <w:t xml:space="preserve">gap and two</w:t>
      </w:r>
      <w:r>
        <w:t xml:space="preserve"> </w:t>
      </w:r>
      <w:r>
        <w:rPr>
          <w:b/>
          <w:bCs/>
        </w:rPr>
        <w:t xml:space="preserve">high</w:t>
      </w:r>
      <w:r>
        <w:t xml:space="preserve">-severity issues that must be resolved before a defensible I-140 can be filed: the beneficiary</w:t>
      </w:r>
      <w:r>
        <w:t xml:space="preserve"> </w:t>
      </w:r>
      <w:r>
        <w:rPr>
          <w:b/>
          <w:bCs/>
        </w:rPr>
        <w:t xml:space="preserve">does not hold the AWS Certified Machine Learning – Specialty certification</w:t>
      </w:r>
      <w:r>
        <w:t xml:space="preserve"> </w:t>
      </w:r>
      <w:r>
        <w:t xml:space="preserve">that Section J.B.5 makes a minimum requirement (and the only AWS credential she held</w:t>
      </w:r>
      <w:r>
        <w:t xml:space="preserve"> </w:t>
      </w:r>
      <w:r>
        <w:rPr>
          <w:b/>
          <w:bCs/>
        </w:rPr>
        <w:t xml:space="preserve">expired before the priority date</w:t>
      </w:r>
      <w:r>
        <w:t xml:space="preserve">), and the Section K.3 attestation that she meets that requirement is</w:t>
      </w:r>
      <w:r>
        <w:t xml:space="preserve"> </w:t>
      </w:r>
      <w:r>
        <w:rPr>
          <w:b/>
          <w:bCs/>
        </w:rPr>
        <w:t xml:space="preserve">contradicted by this firm’s own certifications compilation</w:t>
      </w:r>
      <w:r>
        <w:t xml:space="preserve">. A</w:t>
      </w:r>
      <w:r>
        <w:t xml:space="preserve"> </w:t>
      </w:r>
      <w:r>
        <w:rPr>
          <w:b/>
          <w:bCs/>
        </w:rPr>
        <w:t xml:space="preserve">moderate</w:t>
      </w:r>
      <w:r>
        <w:t xml:space="preserve"> </w:t>
      </w:r>
      <w:r>
        <w:t xml:space="preserve">FEIN discrepancy between the PERM and the PWD and a</w:t>
      </w:r>
      <w:r>
        <w:t xml:space="preserve"> </w:t>
      </w:r>
      <w:r>
        <w:rPr>
          <w:b/>
          <w:bCs/>
        </w:rPr>
        <w:t xml:space="preserve">moderate</w:t>
      </w:r>
      <w:r>
        <w:t xml:space="preserve"> </w:t>
      </w:r>
      <w:r>
        <w:t xml:space="preserve">documentation gap (the missing NC State RA verification letter) should also be cured. Several</w:t>
      </w:r>
      <w:r>
        <w:t xml:space="preserve"> </w:t>
      </w:r>
      <w:r>
        <w:rPr>
          <w:b/>
          <w:bCs/>
        </w:rPr>
        <w:t xml:space="preserve">low</w:t>
      </w:r>
      <w:r>
        <w:t xml:space="preserve">-severity items (supervisory scope, R-proficiency depth, experience-duration precision) warrant attention but do not, standing alone, defeat qualification.</w:t>
      </w:r>
    </w:p>
    <w:p>
      <w:pPr>
        <w:pStyle w:val="BodyText"/>
      </w:pPr>
      <w:r>
        <w:t xml:space="preserve">Counsel should prioritize (1) curing the AWS certification gap and reconciling K.3, including a priority-date/refiling analysis; (2) reconciling the FEIN; and (3) obtaining the NC State RA verification — and should keep the H-1B (I-129) and I-140 workstreams on separate tracks given the differing legal standards and the STEM OPT deadline.</w:t>
      </w:r>
    </w:p>
    <w:p>
      <w:r>
        <w:pict>
          <v:rect style="width:0;height:1.5pt" o:hralign="center" o:hrstd="t" o:hr="t"/>
        </w:pict>
      </w:r>
    </w:p>
    <w:p>
      <w:pPr>
        <w:pStyle w:val="FirstParagraph"/>
      </w:pPr>
      <w:r>
        <w:rPr>
          <w:i/>
          <w:iCs/>
        </w:rPr>
        <w:t xml:space="preserve">Prepared for the engagement file. This memorandum is privileged and confidential and is intended solely for the use of the attorney engagement team and the employer in connection with the above-referenced matter.</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2026-06-27T20:26:24Z</dcterms:created>
  <dcterms:modified xsi:type="dcterms:W3CDTF">2026-06-27T20:26:24Z</dcterms:modified>
</cp:coreProperties>
</file>

<file path=docProps/custom.xml><?xml version="1.0" encoding="utf-8"?>
<Properties xmlns="http://schemas.openxmlformats.org/officeDocument/2006/custom-properties" xmlns:vt="http://schemas.openxmlformats.org/officeDocument/2006/docPropsVTypes"/>
</file>