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092779eae0ca57705dede95c2ab5939f8b8355"/>
    <w:p>
      <w:pPr>
        <w:pStyle w:val="Heading1"/>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File / Supervising Attorney</w:t>
      </w:r>
      <w:r>
        <w:t xml:space="preserve"> </w:t>
      </w:r>
      <w:r>
        <w:rPr>
          <w:b/>
          <w:bCs/>
        </w:rPr>
        <w:t xml:space="preserve">FROM:</w:t>
      </w:r>
      <w:r>
        <w:t xml:space="preserve"> </w:t>
      </w:r>
      <w:r>
        <w:t xml:space="preserve">Immigration Case Review</w:t>
      </w:r>
      <w:r>
        <w:t xml:space="preserve"> </w:t>
      </w:r>
      <w:r>
        <w:rPr>
          <w:b/>
          <w:bCs/>
        </w:rPr>
        <w:t xml:space="preserve">DATE:</w:t>
      </w:r>
      <w:r>
        <w:t xml:space="preserve"> </w:t>
      </w:r>
      <w:r>
        <w:t xml:space="preserve">April 2025</w:t>
      </w:r>
      <w:r>
        <w:t xml:space="preserve"> </w:t>
      </w:r>
      <w:r>
        <w:rPr>
          <w:b/>
          <w:bCs/>
        </w:rPr>
        <w:t xml:space="preserve">RE:</w:t>
      </w:r>
      <w:r>
        <w:t xml:space="preserve"> </w:t>
      </w:r>
      <w:r>
        <w:t xml:space="preserve">Issue Identification and Cross-Reference Review — H-1B Petition on Behalf of Rajesh Venkataraman (Brightfield Analytics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reports the results of a cross-reference review of the H-1B petition package assembled on behalf of Brightfield Analytics Inc. (</w:t>
      </w:r>
      <w:r>
        <w:t xml:space="preserve">“</w:t>
      </w:r>
      <w:r>
        <w:t xml:space="preserve">Petitioner</w:t>
      </w:r>
      <w:r>
        <w:t xml:space="preserve">”</w:t>
      </w:r>
      <w:r>
        <w:t xml:space="preserve">) for the beneficiary Rajesh Venkataraman, to be sponsored for the position of</w:t>
      </w:r>
      <w:r>
        <w:t xml:space="preserve"> </w:t>
      </w:r>
      <w:r>
        <w:rPr>
          <w:b/>
          <w:bCs/>
        </w:rPr>
        <w:t xml:space="preserve">Senior Machine Learning Engineer</w:t>
      </w:r>
      <w:r>
        <w:t xml:space="preserve"> </w:t>
      </w:r>
      <w:r>
        <w:t xml:space="preserve">(SOC 15-2051, Data Scientists) at an annual wage of</w:t>
      </w:r>
      <w:r>
        <w:t xml:space="preserve"> </w:t>
      </w:r>
      <w:r>
        <w:rPr>
          <w:b/>
          <w:bCs/>
        </w:rPr>
        <w:t xml:space="preserve">$128,000</w:t>
      </w:r>
      <w:r>
        <w:t xml:space="preserve">. The package consists of ten documents: the beneficiary’s résumé, the certified Labor Condition Application (</w:t>
      </w:r>
      <w:r>
        <w:t xml:space="preserve">“</w:t>
      </w:r>
      <w:r>
        <w:t xml:space="preserve">LCA</w:t>
      </w:r>
      <w:r>
        <w:t xml:space="preserve">”</w:t>
      </w:r>
      <w:r>
        <w:t xml:space="preserve">), the foreign credential evaluation, the employer support letter, the JNTU academic transcripts, two prior-employment experience letters, the LCA posting notice, the internal organizational chart, and the Prevailing Wage Determination (</w:t>
      </w:r>
      <w:r>
        <w:t xml:space="preserve">“</w:t>
      </w:r>
      <w:r>
        <w:t xml:space="preserve">PWD</w:t>
      </w:r>
      <w:r>
        <w:t xml:space="preserve">”</w:t>
      </w:r>
      <w:r>
        <w:t xml:space="preserve">).</w:t>
      </w:r>
    </w:p>
    <w:p>
      <w:pPr>
        <w:pStyle w:val="BodyText"/>
      </w:pPr>
      <w:r>
        <w:t xml:space="preserve">The package is internally consistent on most</w:t>
      </w:r>
      <w:r>
        <w:t xml:space="preserve"> </w:t>
      </w:r>
      <w:r>
        <w:t xml:space="preserve">“</w:t>
      </w:r>
      <w:r>
        <w:t xml:space="preserve">core data points</w:t>
      </w:r>
      <w:r>
        <w:t xml:space="preserve">”</w:t>
      </w:r>
      <w:r>
        <w:t xml:space="preserve"> </w:t>
      </w:r>
      <w:r>
        <w:t xml:space="preserve">(identity, employer identity, SOC code, LCA case number, PWD case number, wage figures, and employment period). However, the cross-reference review identifies</w:t>
      </w:r>
      <w:r>
        <w:t xml:space="preserve"> </w:t>
      </w:r>
      <w:r>
        <w:rPr>
          <w:b/>
          <w:bCs/>
        </w:rPr>
        <w:t xml:space="preserve">fourteen issues</w:t>
      </w:r>
      <w:r>
        <w:t xml:space="preserve"> </w:t>
      </w:r>
      <w:r>
        <w:t xml:space="preserve">of varying severity that should be resolved before filing. The most serious are:</w:t>
      </w:r>
    </w:p>
    <w:p>
      <w:pPr>
        <w:numPr>
          <w:ilvl w:val="0"/>
          <w:numId w:val="1001"/>
        </w:numPr>
      </w:pPr>
      <w:r>
        <w:rPr>
          <w:b/>
          <w:bCs/>
        </w:rPr>
        <w:t xml:space="preserve">The wage level appears understated.</w:t>
      </w:r>
      <w:r>
        <w:t xml:space="preserve"> </w:t>
      </w:r>
      <w:r>
        <w:t xml:space="preserve">The position is described as a</w:t>
      </w:r>
      <w:r>
        <w:t xml:space="preserve"> </w:t>
      </w:r>
      <w:r>
        <w:rPr>
          <w:i/>
          <w:iCs/>
        </w:rPr>
        <w:t xml:space="preserve">senior</w:t>
      </w:r>
      <w:r>
        <w:t xml:space="preserve">,</w:t>
      </w:r>
      <w:r>
        <w:t xml:space="preserve"> </w:t>
      </w:r>
      <w:r>
        <w:rPr>
          <w:i/>
          <w:iCs/>
        </w:rPr>
        <w:t xml:space="preserve">supervisory</w:t>
      </w:r>
      <w:r>
        <w:t xml:space="preserve"> </w:t>
      </w:r>
      <w:r>
        <w:t xml:space="preserve">role requiring</w:t>
      </w:r>
      <w:r>
        <w:t xml:space="preserve"> </w:t>
      </w:r>
      <w:r>
        <w:rPr>
          <w:i/>
          <w:iCs/>
        </w:rPr>
        <w:t xml:space="preserve">independent judgment</w:t>
      </w:r>
      <w:r>
        <w:t xml:space="preserve"> </w:t>
      </w:r>
      <w:r>
        <w:t xml:space="preserve">and three years of experience — duties that map to DOL</w:t>
      </w:r>
      <w:r>
        <w:t xml:space="preserve"> </w:t>
      </w:r>
      <w:r>
        <w:rPr>
          <w:b/>
          <w:bCs/>
        </w:rPr>
        <w:t xml:space="preserve">Wage Level 3</w:t>
      </w:r>
      <w:r>
        <w:t xml:space="preserve"> </w:t>
      </w:r>
      <w:r>
        <w:t xml:space="preserve">(or higher), not the certified</w:t>
      </w:r>
      <w:r>
        <w:t xml:space="preserve"> </w:t>
      </w:r>
      <w:r>
        <w:rPr>
          <w:b/>
          <w:bCs/>
        </w:rPr>
        <w:t xml:space="preserve">Level 2</w:t>
      </w:r>
      <w:r>
        <w:t xml:space="preserve">. If the position is properly classified at Level 3 ($137,946), the offered wage of $128,000 would fall</w:t>
      </w:r>
      <w:r>
        <w:t xml:space="preserve"> </w:t>
      </w:r>
      <w:r>
        <w:rPr>
          <w:b/>
          <w:bCs/>
        </w:rPr>
        <w:t xml:space="preserve">below</w:t>
      </w:r>
      <w:r>
        <w:t xml:space="preserve"> </w:t>
      </w:r>
      <w:r>
        <w:t xml:space="preserve">the prevailing wage, creating a wage-compliance defect that could invalidate the LCA and support a denial.</w:t>
      </w:r>
    </w:p>
    <w:p>
      <w:pPr>
        <w:numPr>
          <w:ilvl w:val="0"/>
          <w:numId w:val="1001"/>
        </w:numPr>
      </w:pPr>
      <w:r>
        <w:rPr>
          <w:b/>
          <w:bCs/>
        </w:rPr>
        <w:t xml:space="preserve">The beneficiary’s degree field may not satisfy the</w:t>
      </w:r>
      <w:r>
        <w:rPr>
          <w:b/>
          <w:bCs/>
        </w:rPr>
        <w:t xml:space="preserve"> </w:t>
      </w:r>
      <w:r>
        <w:rPr>
          <w:b/>
          <w:bCs/>
        </w:rPr>
        <w:t xml:space="preserve">“</w:t>
      </w:r>
      <w:r>
        <w:rPr>
          <w:b/>
          <w:bCs/>
        </w:rPr>
        <w:t xml:space="preserve">closely related field</w:t>
      </w:r>
      <w:r>
        <w:rPr>
          <w:b/>
          <w:bCs/>
        </w:rPr>
        <w:t xml:space="preserve">”</w:t>
      </w:r>
      <w:r>
        <w:rPr>
          <w:b/>
          <w:bCs/>
        </w:rPr>
        <w:t xml:space="preserve"> </w:t>
      </w:r>
      <w:r>
        <w:rPr>
          <w:b/>
          <w:bCs/>
        </w:rPr>
        <w:t xml:space="preserve">requirement.</w:t>
      </w:r>
      <w:r>
        <w:t xml:space="preserve"> </w:t>
      </w:r>
      <w:r>
        <w:t xml:space="preserve">The position requires a degree in Computer Science, Machine Learning, Artificial Intelligence, or a closely related field; the beneficiary holds a B.Tech in</w:t>
      </w:r>
      <w:r>
        <w:t xml:space="preserve"> </w:t>
      </w:r>
      <w:r>
        <w:rPr>
          <w:b/>
          <w:bCs/>
        </w:rPr>
        <w:t xml:space="preserve">Electronics and Communication Engineering</w:t>
      </w:r>
      <w:r>
        <w:t xml:space="preserve">, in which only ~7.5% of coursework is computer-science related. The credential evaluation expressly disclaims any opinion on field-of-study relevance, and the</w:t>
      </w:r>
      <w:r>
        <w:t xml:space="preserve"> </w:t>
      </w:r>
      <w:r>
        <w:t xml:space="preserve">“</w:t>
      </w:r>
      <w:r>
        <w:t xml:space="preserve">alternative qualification</w:t>
      </w:r>
      <w:r>
        <w:t xml:space="preserve">”</w:t>
      </w:r>
      <w:r>
        <w:t xml:space="preserve"> </w:t>
      </w:r>
      <w:r>
        <w:t xml:space="preserve">path appears tailored to the beneficiary and is weakly documented.</w:t>
      </w:r>
    </w:p>
    <w:p>
      <w:pPr>
        <w:numPr>
          <w:ilvl w:val="0"/>
          <w:numId w:val="1001"/>
        </w:numPr>
      </w:pPr>
      <w:r>
        <w:rPr>
          <w:b/>
          <w:bCs/>
        </w:rPr>
        <w:t xml:space="preserve">Material date discrepancies between the résumé and the experience letters.</w:t>
      </w:r>
      <w:r>
        <w:t xml:space="preserve"> </w:t>
      </w:r>
      <w:r>
        <w:t xml:space="preserve">The résumé extends the Kiran Software tenure to March 2017 (the experience letter confirms it ended December 9, 2016) and the NovaStar tenure to August 2020 (the experience letter confirms July 2020), overstating tenure and masking an approximately 3.7-month employment gap.</w:t>
      </w:r>
    </w:p>
    <w:p>
      <w:pPr>
        <w:numPr>
          <w:ilvl w:val="0"/>
          <w:numId w:val="1001"/>
        </w:numPr>
      </w:pPr>
      <w:r>
        <w:rPr>
          <w:b/>
          <w:bCs/>
        </w:rPr>
        <w:t xml:space="preserve">A three-year independent-consulting period is undocumented</w:t>
      </w:r>
      <w:r>
        <w:t xml:space="preserve"> </w:t>
      </w:r>
      <w:r>
        <w:t xml:space="preserve">and is the only evidence of the specific deep-learning skills (TensorFlow, PyTorch, AWS SageMaker, NLP/LLM fine-tuning) the position requires; the documented NovaStar experience references only scikit-learn.</w:t>
      </w:r>
    </w:p>
    <w:p>
      <w:pPr>
        <w:pStyle w:val="FirstParagraph"/>
      </w:pPr>
      <w:r>
        <w:t xml:space="preserve">Each issue is detailed below, organized by severity, followed by recommended corrective actions.</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848"/>
        <w:gridCol w:w="2828"/>
        <w:gridCol w:w="4242"/>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Source / Date</w:t>
            </w:r>
          </w:p>
        </w:tc>
      </w:tr>
      <w:tr>
        <w:tc>
          <w:tcPr/>
          <w:p>
            <w:pPr>
              <w:pStyle w:val="Compact"/>
              <w:jc w:val="left"/>
            </w:pPr>
            <w:r>
              <w:t xml:space="preserve">1</w:t>
            </w:r>
          </w:p>
        </w:tc>
        <w:tc>
          <w:tcPr/>
          <w:p>
            <w:pPr>
              <w:pStyle w:val="Compact"/>
              <w:jc w:val="left"/>
            </w:pPr>
            <w:r>
              <w:t xml:space="preserve">Beneficiary Résumé</w:t>
            </w:r>
          </w:p>
        </w:tc>
        <w:tc>
          <w:tcPr/>
          <w:p>
            <w:pPr>
              <w:pStyle w:val="Compact"/>
              <w:jc w:val="left"/>
            </w:pPr>
            <w:r>
              <w:t xml:space="preserve">Rajesh Venkataraman (undated)</w:t>
            </w:r>
          </w:p>
        </w:tc>
      </w:tr>
      <w:tr>
        <w:tc>
          <w:tcPr/>
          <w:p>
            <w:pPr>
              <w:pStyle w:val="Compact"/>
              <w:jc w:val="left"/>
            </w:pPr>
            <w:r>
              <w:t xml:space="preserve">2</w:t>
            </w:r>
          </w:p>
        </w:tc>
        <w:tc>
          <w:tcPr/>
          <w:p>
            <w:pPr>
              <w:pStyle w:val="Compact"/>
              <w:jc w:val="left"/>
            </w:pPr>
            <w:r>
              <w:t xml:space="preserve">Certified Labor Condition Application (ETA 9035)</w:t>
            </w:r>
          </w:p>
        </w:tc>
        <w:tc>
          <w:tcPr/>
          <w:p>
            <w:pPr>
              <w:pStyle w:val="Compact"/>
              <w:jc w:val="left"/>
            </w:pPr>
            <w:r>
              <w:t xml:space="preserve">DOL; Case I-200-25031-543219; certified Mar. 10, 2025</w:t>
            </w:r>
          </w:p>
        </w:tc>
      </w:tr>
      <w:tr>
        <w:tc>
          <w:tcPr/>
          <w:p>
            <w:pPr>
              <w:pStyle w:val="Compact"/>
              <w:jc w:val="left"/>
            </w:pPr>
            <w:r>
              <w:t xml:space="preserve">3</w:t>
            </w:r>
          </w:p>
        </w:tc>
        <w:tc>
          <w:tcPr/>
          <w:p>
            <w:pPr>
              <w:pStyle w:val="Compact"/>
              <w:jc w:val="left"/>
            </w:pPr>
            <w:r>
              <w:t xml:space="preserve">Foreign Credential Evaluation</w:t>
            </w:r>
          </w:p>
        </w:tc>
        <w:tc>
          <w:tcPr/>
          <w:p>
            <w:pPr>
              <w:pStyle w:val="Compact"/>
              <w:jc w:val="left"/>
            </w:pPr>
            <w:r>
              <w:t xml:space="preserve">Westbridge Credential Services; Report WCS-2025-03187; Feb. 18, 2025</w:t>
            </w:r>
          </w:p>
        </w:tc>
      </w:tr>
      <w:tr>
        <w:tc>
          <w:tcPr/>
          <w:p>
            <w:pPr>
              <w:pStyle w:val="Compact"/>
              <w:jc w:val="left"/>
            </w:pPr>
            <w:r>
              <w:t xml:space="preserve">4</w:t>
            </w:r>
          </w:p>
        </w:tc>
        <w:tc>
          <w:tcPr/>
          <w:p>
            <w:pPr>
              <w:pStyle w:val="Compact"/>
              <w:jc w:val="left"/>
            </w:pPr>
            <w:r>
              <w:t xml:space="preserve">Employer Support Letter</w:t>
            </w:r>
          </w:p>
        </w:tc>
        <w:tc>
          <w:tcPr/>
          <w:p>
            <w:pPr>
              <w:pStyle w:val="Compact"/>
              <w:jc w:val="left"/>
            </w:pPr>
            <w:r>
              <w:t xml:space="preserve">Brightfield Analytics Inc. (P. Kwon, HR Director); Apr. 7, 2025</w:t>
            </w:r>
          </w:p>
        </w:tc>
      </w:tr>
      <w:tr>
        <w:tc>
          <w:tcPr/>
          <w:p>
            <w:pPr>
              <w:pStyle w:val="Compact"/>
              <w:jc w:val="left"/>
            </w:pPr>
            <w:r>
              <w:t xml:space="preserve">5</w:t>
            </w:r>
          </w:p>
        </w:tc>
        <w:tc>
          <w:tcPr/>
          <w:p>
            <w:pPr>
              <w:pStyle w:val="Compact"/>
              <w:jc w:val="left"/>
            </w:pPr>
            <w:r>
              <w:t xml:space="preserve">JNTU Official Transcript</w:t>
            </w:r>
          </w:p>
        </w:tc>
        <w:tc>
          <w:tcPr/>
          <w:p>
            <w:pPr>
              <w:pStyle w:val="Compact"/>
              <w:jc w:val="left"/>
            </w:pPr>
            <w:r>
              <w:t xml:space="preserve">JNTU Hyderabad; Ref. JNTUH/ECE/2014/08347; issued Jun. 12, 2014</w:t>
            </w:r>
          </w:p>
        </w:tc>
      </w:tr>
      <w:tr>
        <w:tc>
          <w:tcPr/>
          <w:p>
            <w:pPr>
              <w:pStyle w:val="Compact"/>
              <w:jc w:val="left"/>
            </w:pPr>
            <w:r>
              <w:t xml:space="preserve">6</w:t>
            </w:r>
          </w:p>
        </w:tc>
        <w:tc>
          <w:tcPr/>
          <w:p>
            <w:pPr>
              <w:pStyle w:val="Compact"/>
              <w:jc w:val="left"/>
            </w:pPr>
            <w:r>
              <w:t xml:space="preserve">Kiran Software Solutions Experience Letter</w:t>
            </w:r>
          </w:p>
        </w:tc>
        <w:tc>
          <w:tcPr/>
          <w:p>
            <w:pPr>
              <w:pStyle w:val="Compact"/>
              <w:jc w:val="left"/>
            </w:pPr>
            <w:r>
              <w:t xml:space="preserve">S. Raghavan, VP Engineering; Feb. 18, 2025</w:t>
            </w:r>
          </w:p>
        </w:tc>
      </w:tr>
      <w:tr>
        <w:tc>
          <w:tcPr/>
          <w:p>
            <w:pPr>
              <w:pStyle w:val="Compact"/>
              <w:jc w:val="left"/>
            </w:pPr>
            <w:r>
              <w:t xml:space="preserve">7</w:t>
            </w:r>
          </w:p>
        </w:tc>
        <w:tc>
          <w:tcPr/>
          <w:p>
            <w:pPr>
              <w:pStyle w:val="Compact"/>
              <w:jc w:val="left"/>
            </w:pPr>
            <w:r>
              <w:t xml:space="preserve">LCA Posting Notice</w:t>
            </w:r>
          </w:p>
        </w:tc>
        <w:tc>
          <w:tcPr/>
          <w:p>
            <w:pPr>
              <w:pStyle w:val="Compact"/>
              <w:jc w:val="left"/>
            </w:pPr>
            <w:r>
              <w:t xml:space="preserve">Brightfield Analytics Inc.; posted Mar. 10–19, 2025</w:t>
            </w:r>
          </w:p>
        </w:tc>
      </w:tr>
      <w:tr>
        <w:tc>
          <w:tcPr/>
          <w:p>
            <w:pPr>
              <w:pStyle w:val="Compact"/>
              <w:jc w:val="left"/>
            </w:pPr>
            <w:r>
              <w:t xml:space="preserve">8</w:t>
            </w:r>
          </w:p>
        </w:tc>
        <w:tc>
          <w:tcPr/>
          <w:p>
            <w:pPr>
              <w:pStyle w:val="Compact"/>
              <w:jc w:val="left"/>
            </w:pPr>
            <w:r>
              <w:t xml:space="preserve">NovaStar Data Systems Experience Letter</w:t>
            </w:r>
          </w:p>
        </w:tc>
        <w:tc>
          <w:tcPr/>
          <w:p>
            <w:pPr>
              <w:pStyle w:val="Compact"/>
              <w:jc w:val="left"/>
            </w:pPr>
            <w:r>
              <w:t xml:space="preserve">C. Beech, Director of Engineering; Mar. 5, 2025</w:t>
            </w:r>
          </w:p>
        </w:tc>
      </w:tr>
      <w:tr>
        <w:tc>
          <w:tcPr/>
          <w:p>
            <w:pPr>
              <w:pStyle w:val="Compact"/>
              <w:jc w:val="left"/>
            </w:pPr>
            <w:r>
              <w:t xml:space="preserve">9</w:t>
            </w:r>
          </w:p>
        </w:tc>
        <w:tc>
          <w:tcPr/>
          <w:p>
            <w:pPr>
              <w:pStyle w:val="Compact"/>
              <w:jc w:val="left"/>
            </w:pPr>
            <w:r>
              <w:t xml:space="preserve">Organizational Chart</w:t>
            </w:r>
          </w:p>
        </w:tc>
        <w:tc>
          <w:tcPr/>
          <w:p>
            <w:pPr>
              <w:pStyle w:val="Compact"/>
              <w:jc w:val="left"/>
            </w:pPr>
            <w:r>
              <w:t xml:space="preserve">Brightfield Analytics Inc. (P. Kwon); Mar. 2025</w:t>
            </w:r>
          </w:p>
        </w:tc>
      </w:tr>
      <w:tr>
        <w:tc>
          <w:tcPr/>
          <w:p>
            <w:pPr>
              <w:pStyle w:val="Compact"/>
              <w:jc w:val="left"/>
            </w:pPr>
            <w:r>
              <w:t xml:space="preserve">10</w:t>
            </w:r>
          </w:p>
        </w:tc>
        <w:tc>
          <w:tcPr/>
          <w:p>
            <w:pPr>
              <w:pStyle w:val="Compact"/>
              <w:jc w:val="left"/>
            </w:pPr>
            <w:r>
              <w:t xml:space="preserve">Prevailing Wage Determination</w:t>
            </w:r>
          </w:p>
        </w:tc>
        <w:tc>
          <w:tcPr/>
          <w:p>
            <w:pPr>
              <w:pStyle w:val="Compact"/>
              <w:jc w:val="left"/>
            </w:pPr>
            <w:r>
              <w:t xml:space="preserve">NPWC / DOL; Case P-300-25012-183456; Jan. 15, 2025</w:t>
            </w:r>
          </w:p>
        </w:tc>
      </w:tr>
    </w:tbl>
    <w:p>
      <w:r>
        <w:pict>
          <v:rect style="width:0;height:1.5pt" o:hralign="center" o:hrstd="t" o:hr="t"/>
        </w:pict>
      </w:r>
    </w:p>
    <w:bookmarkEnd w:id="21"/>
    <w:bookmarkStart w:id="22" w:name="X0a7618ed7c510e6cadab80b2e16d3b840f420f7"/>
    <w:p>
      <w:pPr>
        <w:pStyle w:val="Heading2"/>
      </w:pPr>
      <w:r>
        <w:t xml:space="preserve">III. Cross-Reference Summary (Consistent Data Points)</w:t>
      </w:r>
    </w:p>
    <w:p>
      <w:pPr>
        <w:pStyle w:val="FirstParagraph"/>
      </w:pPr>
      <w:r>
        <w:t xml:space="preserve">The following core data points are</w:t>
      </w:r>
      <w:r>
        <w:t xml:space="preserve"> </w:t>
      </w:r>
      <w:r>
        <w:rPr>
          <w:b/>
          <w:bCs/>
        </w:rPr>
        <w:t xml:space="preserve">consistent</w:t>
      </w:r>
      <w:r>
        <w:t xml:space="preserve"> </w:t>
      </w:r>
      <w:r>
        <w:t xml:space="preserve">across all documents in which they appear and require no correction:</w:t>
      </w:r>
    </w:p>
    <w:p>
      <w:pPr>
        <w:pStyle w:val="Compact"/>
        <w:numPr>
          <w:ilvl w:val="0"/>
          <w:numId w:val="1002"/>
        </w:numPr>
      </w:pPr>
      <w:r>
        <w:rPr>
          <w:b/>
          <w:bCs/>
        </w:rPr>
        <w:t xml:space="preserve">Beneficiary identity:</w:t>
      </w:r>
      <w:r>
        <w:t xml:space="preserve"> </w:t>
      </w:r>
      <w:r>
        <w:t xml:space="preserve">Rajesh Venkataraman; DOB March 14, 1992; citizen of India (support letter, credential evaluation, transcripts).</w:t>
      </w:r>
    </w:p>
    <w:p>
      <w:pPr>
        <w:pStyle w:val="Compact"/>
        <w:numPr>
          <w:ilvl w:val="0"/>
          <w:numId w:val="1002"/>
        </w:numPr>
      </w:pPr>
      <w:r>
        <w:rPr>
          <w:b/>
          <w:bCs/>
        </w:rPr>
        <w:t xml:space="preserve">Petitioner identity:</w:t>
      </w:r>
      <w:r>
        <w:t xml:space="preserve"> </w:t>
      </w:r>
      <w:r>
        <w:t xml:space="preserve">Brightfield Analytics Inc.; 4200 Congress Avenue, Suite 1100, Austin, TX 78701; FEIN 84-3291756; NAICS 541511; 187 employees; ~$41.2M revenue; founded 2017 (LCA, support letter, org chart, PWD).</w:t>
      </w:r>
    </w:p>
    <w:p>
      <w:pPr>
        <w:pStyle w:val="Compact"/>
        <w:numPr>
          <w:ilvl w:val="0"/>
          <w:numId w:val="1002"/>
        </w:numPr>
      </w:pPr>
      <w:r>
        <w:rPr>
          <w:b/>
          <w:bCs/>
        </w:rPr>
        <w:t xml:space="preserve">Position:</w:t>
      </w:r>
      <w:r>
        <w:t xml:space="preserve"> </w:t>
      </w:r>
      <w:r>
        <w:t xml:space="preserve">Senior Machine Learning Engineer; SOC 15-2051 (Data Scientists) (LCA, support letter, PWD, posting notice, org chart).</w:t>
      </w:r>
    </w:p>
    <w:p>
      <w:pPr>
        <w:pStyle w:val="Compact"/>
        <w:numPr>
          <w:ilvl w:val="0"/>
          <w:numId w:val="1002"/>
        </w:numPr>
      </w:pPr>
      <w:r>
        <w:rPr>
          <w:b/>
          <w:bCs/>
        </w:rPr>
        <w:t xml:space="preserve">Wage:</w:t>
      </w:r>
      <w:r>
        <w:t xml:space="preserve"> </w:t>
      </w:r>
      <w:r>
        <w:t xml:space="preserve">Offered $128,000/yr; prevailing $113,734/yr; Level 2 (LCA, PWD, support letter, posting notice).</w:t>
      </w:r>
    </w:p>
    <w:p>
      <w:pPr>
        <w:pStyle w:val="Compact"/>
        <w:numPr>
          <w:ilvl w:val="0"/>
          <w:numId w:val="1002"/>
        </w:numPr>
      </w:pPr>
      <w:r>
        <w:rPr>
          <w:b/>
          <w:bCs/>
        </w:rPr>
        <w:t xml:space="preserve">LCA:</w:t>
      </w:r>
      <w:r>
        <w:t xml:space="preserve"> </w:t>
      </w:r>
      <w:r>
        <w:t xml:space="preserve">Case I-200-25031-543219; validity Oct. 1, 2025 – Sept. 30, 2028 (LCA, support letter, posting notice).</w:t>
      </w:r>
    </w:p>
    <w:p>
      <w:pPr>
        <w:pStyle w:val="Compact"/>
        <w:numPr>
          <w:ilvl w:val="0"/>
          <w:numId w:val="1002"/>
        </w:numPr>
      </w:pPr>
      <w:r>
        <w:rPr>
          <w:b/>
          <w:bCs/>
        </w:rPr>
        <w:t xml:space="preserve">PWD:</w:t>
      </w:r>
      <w:r>
        <w:t xml:space="preserve"> </w:t>
      </w:r>
      <w:r>
        <w:t xml:space="preserve">Case P-300-25012-183456; validity Jan. 15, 2025 – Jan. 14, 2026 (LCA, PWD).</w:t>
      </w:r>
    </w:p>
    <w:p>
      <w:pPr>
        <w:pStyle w:val="Compact"/>
        <w:numPr>
          <w:ilvl w:val="0"/>
          <w:numId w:val="1002"/>
        </w:numPr>
      </w:pPr>
      <w:r>
        <w:rPr>
          <w:b/>
          <w:bCs/>
        </w:rPr>
        <w:t xml:space="preserve">Employment period:</w:t>
      </w:r>
      <w:r>
        <w:t xml:space="preserve"> </w:t>
      </w:r>
      <w:r>
        <w:t xml:space="preserve">Oct. 1, 2025 – Sept. 30, 2028 (LCA, support letter, posting notice).</w:t>
      </w:r>
    </w:p>
    <w:p>
      <w:pPr>
        <w:pStyle w:val="Compact"/>
        <w:numPr>
          <w:ilvl w:val="0"/>
          <w:numId w:val="1002"/>
        </w:numPr>
      </w:pPr>
      <w:r>
        <w:rPr>
          <w:b/>
          <w:bCs/>
        </w:rPr>
        <w:t xml:space="preserve">Education:</w:t>
      </w:r>
      <w:r>
        <w:t xml:space="preserve"> </w:t>
      </w:r>
      <w:r>
        <w:t xml:space="preserve">B.Tech, Electronics &amp; Communication Engineering, JNTU Hyderabad; Aug. 2010 – May 2014; 4-year/8-semester program; CGPA 8.52/10 (résumé, credential evaluation, transcripts, support letter).</w:t>
      </w:r>
    </w:p>
    <w:p>
      <w:pPr>
        <w:pStyle w:val="Compact"/>
        <w:numPr>
          <w:ilvl w:val="0"/>
          <w:numId w:val="1002"/>
        </w:numPr>
      </w:pPr>
      <w:r>
        <w:rPr>
          <w:b/>
          <w:bCs/>
        </w:rPr>
        <w:t xml:space="preserve">Duty-time percentages</w:t>
      </w:r>
      <w:r>
        <w:t xml:space="preserve"> </w:t>
      </w:r>
      <w:r>
        <w:t xml:space="preserve">in the support letter sum to 100%.</w:t>
      </w:r>
    </w:p>
    <w:p>
      <w:r>
        <w:pict>
          <v:rect style="width:0;height:1.5pt" o:hralign="center" o:hrstd="t" o:hr="t"/>
        </w:pict>
      </w:r>
    </w:p>
    <w:bookmarkEnd w:id="22"/>
    <w:bookmarkStart w:id="41" w:name="iv.-issues-identified"/>
    <w:p>
      <w:pPr>
        <w:pStyle w:val="Heading2"/>
      </w:pPr>
      <w:r>
        <w:t xml:space="preserve">IV. Issues Identified</w:t>
      </w:r>
    </w:p>
    <w:bookmarkStart w:id="26" w:name="a.-critical-issues"/>
    <w:p>
      <w:pPr>
        <w:pStyle w:val="Heading3"/>
      </w:pPr>
      <w:r>
        <w:t xml:space="preserve">A. Critical Issues</w:t>
      </w:r>
    </w:p>
    <w:bookmarkStart w:id="23" w:name="X0930e837bc9c600b0c320872ee2af99dd24cced"/>
    <w:p>
      <w:pPr>
        <w:pStyle w:val="Heading4"/>
      </w:pPr>
      <w:r>
        <w:t xml:space="preserve">Issue 1 — Wage Level appears understated (Level 2 vs. Level 3/4); offered wage would be deficient at the correct level</w:t>
      </w:r>
    </w:p>
    <w:p>
      <w:pPr>
        <w:pStyle w:val="FirstParagraph"/>
      </w:pPr>
      <w:r>
        <w:rPr>
          <w:b/>
          <w:bCs/>
        </w:rPr>
        <w:t xml:space="preserve">Documents:</w:t>
      </w:r>
      <w:r>
        <w:t xml:space="preserve"> </w:t>
      </w:r>
      <w:r>
        <w:t xml:space="preserve">PWD; certified LCA (§§ F.4, G.5); employer support letter (§§ 2, 3); org chart.</w:t>
      </w:r>
    </w:p>
    <w:p>
      <w:pPr>
        <w:pStyle w:val="BodyText"/>
      </w:pPr>
      <w:r>
        <w:t xml:space="preserve">The PWD and LCA classify the position at</w:t>
      </w:r>
      <w:r>
        <w:t xml:space="preserve"> </w:t>
      </w:r>
      <w:r>
        <w:rPr>
          <w:b/>
          <w:bCs/>
        </w:rPr>
        <w:t xml:space="preserve">Wage Level 2</w:t>
      </w:r>
      <w:r>
        <w:t xml:space="preserve"> </w:t>
      </w:r>
      <w:r>
        <w:t xml:space="preserve">($113,734), which DOL defines as work involving</w:t>
      </w:r>
      <w:r>
        <w:t xml:space="preserve"> </w:t>
      </w:r>
      <w:r>
        <w:t xml:space="preserve">“</w:t>
      </w:r>
      <w:r>
        <w:t xml:space="preserve">a good understanding of the occupation</w:t>
      </w:r>
      <w:r>
        <w:t xml:space="preserve">”</w:t>
      </w:r>
      <w:r>
        <w:t xml:space="preserve"> </w:t>
      </w:r>
      <w:r>
        <w:t xml:space="preserve">and</w:t>
      </w:r>
      <w:r>
        <w:t xml:space="preserve"> </w:t>
      </w:r>
      <w:r>
        <w:t xml:space="preserve">“</w:t>
      </w:r>
      <w:r>
        <w:t xml:space="preserve">moderately complex tasks requiring</w:t>
      </w:r>
      <w:r>
        <w:t xml:space="preserve"> </w:t>
      </w:r>
      <w:r>
        <w:rPr>
          <w:b/>
          <w:bCs/>
        </w:rPr>
        <w:t xml:space="preserve">limited judgment</w:t>
      </w:r>
      <w:r>
        <w:t xml:space="preserve">.</w:t>
      </w:r>
      <w:r>
        <w:t xml:space="preserve">”</w:t>
      </w:r>
      <w:r>
        <w:t xml:space="preserve"> </w:t>
      </w:r>
      <w:r>
        <w:t xml:space="preserve">The offered wage of $128,000 satisfies Level 2 but is</w:t>
      </w:r>
      <w:r>
        <w:t xml:space="preserve"> </w:t>
      </w:r>
      <w:r>
        <w:rPr>
          <w:b/>
          <w:bCs/>
        </w:rPr>
        <w:t xml:space="preserve">below Level 3 ($137,946)</w:t>
      </w:r>
      <w:r>
        <w:t xml:space="preserve">.</w:t>
      </w:r>
    </w:p>
    <w:p>
      <w:pPr>
        <w:pStyle w:val="BodyText"/>
      </w:pPr>
      <w:r>
        <w:t xml:space="preserve">The position as described in the support letter and org chart is materially inconsistent with a Level 2 characterization:</w:t>
      </w:r>
    </w:p>
    <w:p>
      <w:pPr>
        <w:pStyle w:val="Compact"/>
        <w:numPr>
          <w:ilvl w:val="0"/>
          <w:numId w:val="1003"/>
        </w:numPr>
      </w:pPr>
      <w:r>
        <w:t xml:space="preserve">The title is</w:t>
      </w:r>
      <w:r>
        <w:t xml:space="preserve"> </w:t>
      </w:r>
      <w:r>
        <w:rPr>
          <w:b/>
          <w:bCs/>
        </w:rPr>
        <w:t xml:space="preserve">“</w:t>
      </w:r>
      <w:r>
        <w:rPr>
          <w:b/>
          <w:bCs/>
        </w:rPr>
        <w:t xml:space="preserve">Senior</w:t>
      </w:r>
      <w:r>
        <w:rPr>
          <w:b/>
          <w:bCs/>
        </w:rPr>
        <w:t xml:space="preserve">”</w:t>
      </w:r>
      <w:r>
        <w:t xml:space="preserve"> </w:t>
      </w:r>
      <w:r>
        <w:t xml:space="preserve">Machine Learning Engineer.</w:t>
      </w:r>
    </w:p>
    <w:p>
      <w:pPr>
        <w:pStyle w:val="Compact"/>
        <w:numPr>
          <w:ilvl w:val="0"/>
          <w:numId w:val="1003"/>
        </w:numPr>
      </w:pPr>
      <w:r>
        <w:t xml:space="preserve">The position requires a</w:t>
      </w:r>
      <w:r>
        <w:t xml:space="preserve"> </w:t>
      </w:r>
      <w:r>
        <w:rPr>
          <w:b/>
          <w:bCs/>
        </w:rPr>
        <w:t xml:space="preserve">minimum of 3 years</w:t>
      </w:r>
      <w:r>
        <w:t xml:space="preserve"> </w:t>
      </w:r>
      <w:r>
        <w:t xml:space="preserve">of progressive experience.</w:t>
      </w:r>
    </w:p>
    <w:p>
      <w:pPr>
        <w:pStyle w:val="Compact"/>
        <w:numPr>
          <w:ilvl w:val="0"/>
          <w:numId w:val="1003"/>
        </w:numPr>
      </w:pPr>
      <w:r>
        <w:t xml:space="preserve">Duty 4 (15% of time) is</w:t>
      </w:r>
      <w:r>
        <w:t xml:space="preserve"> </w:t>
      </w:r>
      <w:r>
        <w:rPr>
          <w:b/>
          <w:bCs/>
        </w:rPr>
        <w:t xml:space="preserve">“</w:t>
      </w:r>
      <w:r>
        <w:rPr>
          <w:b/>
          <w:bCs/>
        </w:rPr>
        <w:t xml:space="preserve">Leading and mentoring a team of 3 junior data scientists</w:t>
      </w:r>
      <w:r>
        <w:rPr>
          <w:b/>
          <w:bCs/>
        </w:rPr>
        <w:t xml:space="preserve">”</w:t>
      </w:r>
      <w:r>
        <w:t xml:space="preserve"> </w:t>
      </w:r>
      <w:r>
        <w:t xml:space="preserve">— a supervisory function.</w:t>
      </w:r>
    </w:p>
    <w:p>
      <w:pPr>
        <w:pStyle w:val="Compact"/>
        <w:numPr>
          <w:ilvl w:val="0"/>
          <w:numId w:val="1003"/>
        </w:numPr>
      </w:pPr>
      <w:r>
        <w:t xml:space="preserve">The support letter states the role</w:t>
      </w:r>
      <w:r>
        <w:t xml:space="preserve"> </w:t>
      </w:r>
      <w:r>
        <w:rPr>
          <w:b/>
          <w:bCs/>
        </w:rPr>
        <w:t xml:space="preserve">“</w:t>
      </w:r>
      <w:r>
        <w:rPr>
          <w:b/>
          <w:bCs/>
        </w:rPr>
        <w:t xml:space="preserve">exercises independent judgment</w:t>
      </w:r>
      <w:r>
        <w:rPr>
          <w:b/>
          <w:bCs/>
        </w:rPr>
        <w:t xml:space="preserve">”</w:t>
      </w:r>
      <w:r>
        <w:t xml:space="preserve"> </w:t>
      </w:r>
      <w:r>
        <w:t xml:space="preserve">in designing and implementing ML solutions.</w:t>
      </w:r>
    </w:p>
    <w:p>
      <w:pPr>
        <w:pStyle w:val="Compact"/>
        <w:numPr>
          <w:ilvl w:val="0"/>
          <w:numId w:val="1003"/>
        </w:numPr>
      </w:pPr>
      <w:r>
        <w:t xml:space="preserve">The role reports</w:t>
      </w:r>
      <w:r>
        <w:t xml:space="preserve"> </w:t>
      </w:r>
      <w:r>
        <w:rPr>
          <w:b/>
          <w:bCs/>
        </w:rPr>
        <w:t xml:space="preserve">directly to the Chief Technology Officer</w:t>
      </w:r>
      <w:r>
        <w:t xml:space="preserve"> </w:t>
      </w:r>
      <w:r>
        <w:t xml:space="preserve">and presents to C-suite executives.</w:t>
      </w:r>
    </w:p>
    <w:p>
      <w:pPr>
        <w:pStyle w:val="Compact"/>
        <w:numPr>
          <w:ilvl w:val="0"/>
          <w:numId w:val="1003"/>
        </w:numPr>
      </w:pPr>
      <w:r>
        <w:t xml:space="preserve">The org chart shows the position with</w:t>
      </w:r>
      <w:r>
        <w:t xml:space="preserve"> </w:t>
      </w:r>
      <w:r>
        <w:rPr>
          <w:b/>
          <w:bCs/>
        </w:rPr>
        <w:t xml:space="preserve">direct reports</w:t>
      </w:r>
      <w:r>
        <w:t xml:space="preserve"> </w:t>
      </w:r>
      <w:r>
        <w:t xml:space="preserve">(Data Scientists).</w:t>
      </w:r>
    </w:p>
    <w:p>
      <w:pPr>
        <w:pStyle w:val="FirstParagraph"/>
      </w:pPr>
      <w:r>
        <w:t xml:space="preserve">These indicators map to</w:t>
      </w:r>
      <w:r>
        <w:t xml:space="preserve"> </w:t>
      </w:r>
      <w:r>
        <w:rPr>
          <w:b/>
          <w:bCs/>
        </w:rPr>
        <w:t xml:space="preserve">Level 3</w:t>
      </w:r>
      <w:r>
        <w:t xml:space="preserve"> </w:t>
      </w:r>
      <w:r>
        <w:t xml:space="preserve">(</w:t>
      </w:r>
      <w:r>
        <w:t xml:space="preserve">“</w:t>
      </w:r>
      <w:r>
        <w:t xml:space="preserve">sound understanding … may exercise</w:t>
      </w:r>
      <w:r>
        <w:t xml:space="preserve"> </w:t>
      </w:r>
      <w:r>
        <w:rPr>
          <w:b/>
          <w:bCs/>
        </w:rPr>
        <w:t xml:space="preserve">independent judgment</w:t>
      </w:r>
      <w:r>
        <w:t xml:space="preserve"> </w:t>
      </w:r>
      <w:r>
        <w:t xml:space="preserve">… may have</w:t>
      </w:r>
      <w:r>
        <w:t xml:space="preserve"> </w:t>
      </w:r>
      <w:r>
        <w:rPr>
          <w:b/>
          <w:bCs/>
        </w:rPr>
        <w:t xml:space="preserve">supervisory responsibilities</w:t>
      </w:r>
      <w:r>
        <w:t xml:space="preserve">”</w:t>
      </w:r>
      <w:r>
        <w:t xml:space="preserve">) and arguably to</w:t>
      </w:r>
      <w:r>
        <w:t xml:space="preserve"> </w:t>
      </w:r>
      <w:r>
        <w:rPr>
          <w:b/>
          <w:bCs/>
        </w:rPr>
        <w:t xml:space="preserve">Level 4</w:t>
      </w:r>
      <w:r>
        <w:t xml:space="preserve"> </w:t>
      </w:r>
      <w:r>
        <w:t xml:space="preserve">(</w:t>
      </w:r>
      <w:r>
        <w:t xml:space="preserve">“</w:t>
      </w:r>
      <w:r>
        <w:t xml:space="preserve">supervise and train other workers,</w:t>
      </w:r>
      <w:r>
        <w:t xml:space="preserve">”</w:t>
      </w:r>
      <w:r>
        <w:t xml:space="preserve"> </w:t>
      </w:r>
      <w:r>
        <w:t xml:space="preserve">“</w:t>
      </w:r>
      <w:r>
        <w:t xml:space="preserve">broad latitude</w:t>
      </w:r>
      <w:r>
        <w:t xml:space="preserve">”</w:t>
      </w:r>
      <w:r>
        <w:t xml:space="preserve">). Notably, the PWD’s own job-duty summary recites that the role will</w:t>
      </w:r>
      <w:r>
        <w:t xml:space="preserve"> </w:t>
      </w:r>
      <w:r>
        <w:t xml:space="preserve">“</w:t>
      </w:r>
      <w:r>
        <w:rPr>
          <w:b/>
          <w:bCs/>
        </w:rPr>
        <w:t xml:space="preserve">lead a team of data scientists</w:t>
      </w:r>
      <w:r>
        <w:t xml:space="preserve">”</w:t>
      </w:r>
      <w:r>
        <w:t xml:space="preserve"> </w:t>
      </w:r>
      <w:r>
        <w:t xml:space="preserve">— a Level 3 indicator — yet Level 2 was applied.</w:t>
      </w:r>
    </w:p>
    <w:p>
      <w:pPr>
        <w:pStyle w:val="BodyText"/>
      </w:pPr>
      <w:r>
        <w:rPr>
          <w:b/>
          <w:bCs/>
        </w:rPr>
        <w:t xml:space="preserve">Risk:</w:t>
      </w:r>
      <w:r>
        <w:t xml:space="preserve"> </w:t>
      </w:r>
      <w:r>
        <w:t xml:space="preserve">If USCIS or DOL determines the correct level is Level 3, the offered wage of $128,000 falls</w:t>
      </w:r>
      <w:r>
        <w:t xml:space="preserve"> </w:t>
      </w:r>
      <w:r>
        <w:rPr>
          <w:b/>
          <w:bCs/>
        </w:rPr>
        <w:t xml:space="preserve">$9,946 below</w:t>
      </w:r>
      <w:r>
        <w:t xml:space="preserve"> </w:t>
      </w:r>
      <w:r>
        <w:t xml:space="preserve">the prevailing wage, which (i) undermines the LCA wage attestation under INA § 212(n)(1)(A), (ii) may render the certified LCA defective, and (iii) is a common basis for RFE or denial. The internal inconsistency between the job description (senior/supervisory/independent judgment) and the Level 2 certification (limited judgment, moderately complex) is the most significant vulnerability in the package.</w:t>
      </w:r>
    </w:p>
    <w:p>
      <w:pPr>
        <w:pStyle w:val="BodyText"/>
      </w:pPr>
      <w:r>
        <w:rPr>
          <w:b/>
          <w:bCs/>
        </w:rPr>
        <w:t xml:space="preserve">Recommendation:</w:t>
      </w:r>
      <w:r>
        <w:t xml:space="preserve"> </w:t>
      </w:r>
      <w:r>
        <w:t xml:space="preserve">Re-evaluate the wage level. Either (a) revise the position description to support a bona fide Level 2 classification (remove or de-emphasize supervisory/</w:t>
      </w:r>
      <w:r>
        <w:t xml:space="preserve">“</w:t>
      </w:r>
      <w:r>
        <w:t xml:space="preserve">senior</w:t>
      </w:r>
      <w:r>
        <w:t xml:space="preserve">”</w:t>
      </w:r>
      <w:r>
        <w:t xml:space="preserve">/</w:t>
      </w:r>
      <w:r>
        <w:t xml:space="preserve">“</w:t>
      </w:r>
      <w:r>
        <w:t xml:space="preserve">independent judgment</w:t>
      </w:r>
      <w:r>
        <w:t xml:space="preserve">”</w:t>
      </w:r>
      <w:r>
        <w:t xml:space="preserve"> </w:t>
      </w:r>
      <w:r>
        <w:t xml:space="preserve">language — though this creates its own specialty-occupation and credibility concerns), or (b) obtain a new PWD and LCA at Level 3 and</w:t>
      </w:r>
      <w:r>
        <w:t xml:space="preserve"> </w:t>
      </w:r>
      <w:r>
        <w:rPr>
          <w:b/>
          <w:bCs/>
        </w:rPr>
        <w:t xml:space="preserve">raise the offered wage to at least $137,946</w:t>
      </w:r>
      <w:r>
        <w:t xml:space="preserve">. Option (b) is strongly preferred because it aligns the wage with the actual duties.</w:t>
      </w:r>
    </w:p>
    <w:p>
      <w:r>
        <w:pict>
          <v:rect style="width:0;height:1.5pt" o:hralign="center" o:hrstd="t" o:hr="t"/>
        </w:pict>
      </w:r>
    </w:p>
    <w:bookmarkEnd w:id="23"/>
    <w:bookmarkStart w:id="24" w:name="Xa9786b94e63b79b73395daf8254247def8fd23d"/>
    <w:p>
      <w:pPr>
        <w:pStyle w:val="Heading4"/>
      </w:pPr>
      <w:r>
        <w:t xml:space="preserve">Issue 2 — Beneficiary’s degree field may not satisfy the</w:t>
      </w:r>
      <w:r>
        <w:t xml:space="preserve"> </w:t>
      </w:r>
      <w:r>
        <w:t xml:space="preserve">“</w:t>
      </w:r>
      <w:r>
        <w:t xml:space="preserve">closely related field</w:t>
      </w:r>
      <w:r>
        <w:t xml:space="preserve">”</w:t>
      </w:r>
      <w:r>
        <w:t xml:space="preserve"> </w:t>
      </w:r>
      <w:r>
        <w:t xml:space="preserve">requirement</w:t>
      </w:r>
    </w:p>
    <w:p>
      <w:pPr>
        <w:pStyle w:val="FirstParagraph"/>
      </w:pPr>
      <w:r>
        <w:rPr>
          <w:b/>
          <w:bCs/>
        </w:rPr>
        <w:t xml:space="preserve">Documents:</w:t>
      </w:r>
      <w:r>
        <w:t xml:space="preserve"> </w:t>
      </w:r>
      <w:r>
        <w:t xml:space="preserve">Employer support letter (§ 3); credential evaluation (§§ 4, 5, 7); JNTU transcripts.</w:t>
      </w:r>
    </w:p>
    <w:p>
      <w:pPr>
        <w:pStyle w:val="BodyText"/>
      </w:pPr>
      <w:r>
        <w:t xml:space="preserve">The support letter requires a bachelor’s degree in</w:t>
      </w:r>
      <w:r>
        <w:t xml:space="preserve"> </w:t>
      </w:r>
      <w:r>
        <w:rPr>
          <w:b/>
          <w:bCs/>
        </w:rPr>
        <w:t xml:space="preserve">“</w:t>
      </w:r>
      <w:r>
        <w:rPr>
          <w:b/>
          <w:bCs/>
        </w:rPr>
        <w:t xml:space="preserve">Computer Science, Machine Learning, Artificial Intelligence, or a closely related field.</w:t>
      </w:r>
      <w:r>
        <w:rPr>
          <w:b/>
          <w:bCs/>
        </w:rPr>
        <w:t xml:space="preserve">”</w:t>
      </w:r>
      <w:r>
        <w:t xml:space="preserve"> </w:t>
      </w:r>
      <w:r>
        <w:t xml:space="preserve">The beneficiary holds a B.Tech in</w:t>
      </w:r>
      <w:r>
        <w:t xml:space="preserve"> </w:t>
      </w:r>
      <w:r>
        <w:rPr>
          <w:b/>
          <w:bCs/>
        </w:rPr>
        <w:t xml:space="preserve">Electronics and Communication Engineering (ECE)</w:t>
      </w:r>
      <w:r>
        <w:t xml:space="preserve">. The credential evaluation equates the degree to a U.S. B.S. in</w:t>
      </w:r>
      <w:r>
        <w:t xml:space="preserve"> </w:t>
      </w:r>
      <w:r>
        <w:rPr>
          <w:b/>
          <w:bCs/>
        </w:rPr>
        <w:t xml:space="preserve">Electronics and Communication Engineering</w:t>
      </w:r>
      <w:r>
        <w:t xml:space="preserve"> </w:t>
      </w:r>
      <w:r>
        <w:t xml:space="preserve">— not in CS, ML, or AI.</w:t>
      </w:r>
    </w:p>
    <w:p>
      <w:pPr>
        <w:pStyle w:val="BodyText"/>
      </w:pPr>
      <w:r>
        <w:t xml:space="preserve">Two problems follow:</w:t>
      </w:r>
    </w:p>
    <w:p>
      <w:pPr>
        <w:numPr>
          <w:ilvl w:val="0"/>
          <w:numId w:val="1004"/>
        </w:numPr>
      </w:pPr>
      <w:r>
        <w:rPr>
          <w:b/>
          <w:bCs/>
        </w:rPr>
        <w:t xml:space="preserve">No opinion bridges the</w:t>
      </w:r>
      <w:r>
        <w:rPr>
          <w:b/>
          <w:bCs/>
        </w:rPr>
        <w:t xml:space="preserve"> </w:t>
      </w:r>
      <w:r>
        <w:rPr>
          <w:b/>
          <w:bCs/>
        </w:rPr>
        <w:t xml:space="preserve">“</w:t>
      </w:r>
      <w:r>
        <w:rPr>
          <w:b/>
          <w:bCs/>
        </w:rPr>
        <w:t xml:space="preserve">closely related</w:t>
      </w:r>
      <w:r>
        <w:rPr>
          <w:b/>
          <w:bCs/>
        </w:rPr>
        <w:t xml:space="preserve">”</w:t>
      </w:r>
      <w:r>
        <w:rPr>
          <w:b/>
          <w:bCs/>
        </w:rPr>
        <w:t xml:space="preserve"> </w:t>
      </w:r>
      <w:r>
        <w:rPr>
          <w:b/>
          <w:bCs/>
        </w:rPr>
        <w:t xml:space="preserve">gap.</w:t>
      </w:r>
      <w:r>
        <w:t xml:space="preserve"> </w:t>
      </w:r>
      <w:r>
        <w:t xml:space="preserve">The credential evaluation expressly states (§ 7) that it</w:t>
      </w:r>
      <w:r>
        <w:t xml:space="preserve"> </w:t>
      </w:r>
      <w:r>
        <w:t xml:space="preserve">“</w:t>
      </w:r>
      <w:r>
        <w:t xml:space="preserve">does not opine on whether the applicant’s field of study satisfies the requirements of any particular position or petition.</w:t>
      </w:r>
      <w:r>
        <w:t xml:space="preserve">”</w:t>
      </w:r>
      <w:r>
        <w:t xml:space="preserve"> </w:t>
      </w:r>
      <w:r>
        <w:t xml:space="preserve">The transcripts and evaluation show that</w:t>
      </w:r>
      <w:r>
        <w:t xml:space="preserve"> </w:t>
      </w:r>
      <w:r>
        <w:rPr>
          <w:b/>
          <w:bCs/>
        </w:rPr>
        <w:t xml:space="preserve">computer-science / IT coursework is only ~12 of ~160 credit hours (~7.5%)</w:t>
      </w:r>
      <w:r>
        <w:t xml:space="preserve"> </w:t>
      </w:r>
      <w:r>
        <w:t xml:space="preserve">of the program; the remaining ~92.5% is electronics, communications, signal processing, and related ECE subjects. The support letter’s assertion that the curriculum</w:t>
      </w:r>
      <w:r>
        <w:t xml:space="preserve"> </w:t>
      </w:r>
      <w:r>
        <w:t xml:space="preserve">“</w:t>
      </w:r>
      <w:r>
        <w:t xml:space="preserve">included coursework in programming, data structures, and artificial intelligence, providing a strong technical foundation</w:t>
      </w:r>
      <w:r>
        <w:t xml:space="preserve">”</w:t>
      </w:r>
      <w:r>
        <w:t xml:space="preserve"> </w:t>
      </w:r>
      <w:r>
        <w:t xml:space="preserve">overstates the relevance of a 7.5% CS component. A reasonable adjudicator could conclude ECE is not</w:t>
      </w:r>
      <w:r>
        <w:t xml:space="preserve"> </w:t>
      </w:r>
      <w:r>
        <w:t xml:space="preserve">“</w:t>
      </w:r>
      <w:r>
        <w:t xml:space="preserve">closely related</w:t>
      </w:r>
      <w:r>
        <w:t xml:space="preserve">”</w:t>
      </w:r>
      <w:r>
        <w:t xml:space="preserve"> </w:t>
      </w:r>
      <w:r>
        <w:t xml:space="preserve">to CS/ML/AI for this specialty.</w:t>
      </w:r>
    </w:p>
    <w:p>
      <w:pPr>
        <w:numPr>
          <w:ilvl w:val="0"/>
          <w:numId w:val="1004"/>
        </w:numPr>
      </w:pPr>
      <w:r>
        <w:rPr>
          <w:b/>
          <w:bCs/>
        </w:rPr>
        <w:t xml:space="preserve">The</w:t>
      </w:r>
      <w:r>
        <w:rPr>
          <w:b/>
          <w:bCs/>
        </w:rPr>
        <w:t xml:space="preserve"> </w:t>
      </w:r>
      <w:r>
        <w:rPr>
          <w:b/>
          <w:bCs/>
        </w:rPr>
        <w:t xml:space="preserve">“</w:t>
      </w:r>
      <w:r>
        <w:rPr>
          <w:b/>
          <w:bCs/>
        </w:rPr>
        <w:t xml:space="preserve">alternative qualification</w:t>
      </w:r>
      <w:r>
        <w:rPr>
          <w:b/>
          <w:bCs/>
        </w:rPr>
        <w:t xml:space="preserve">”</w:t>
      </w:r>
      <w:r>
        <w:rPr>
          <w:b/>
          <w:bCs/>
        </w:rPr>
        <w:t xml:space="preserve"> </w:t>
      </w:r>
      <w:r>
        <w:rPr>
          <w:b/>
          <w:bCs/>
        </w:rPr>
        <w:t xml:space="preserve">appears tailored to the beneficiary.</w:t>
      </w:r>
      <w:r>
        <w:t xml:space="preserve"> </w:t>
      </w:r>
      <w:r>
        <w:t xml:space="preserve">The support letter offers, in the alternative,</w:t>
      </w:r>
      <w:r>
        <w:t xml:space="preserve"> </w:t>
      </w:r>
      <w:r>
        <w:t xml:space="preserve">“</w:t>
      </w:r>
      <w:r>
        <w:t xml:space="preserve">a Bachelor’s degree in</w:t>
      </w:r>
      <w:r>
        <w:t xml:space="preserve"> </w:t>
      </w:r>
      <w:r>
        <w:rPr>
          <w:b/>
          <w:bCs/>
        </w:rPr>
        <w:t xml:space="preserve">any engineering discipline</w:t>
      </w:r>
      <w:r>
        <w:t xml:space="preserve"> </w:t>
      </w:r>
      <w:r>
        <w:t xml:space="preserve">combined with</w:t>
      </w:r>
      <w:r>
        <w:t xml:space="preserve"> </w:t>
      </w:r>
      <w:r>
        <w:rPr>
          <w:b/>
          <w:bCs/>
        </w:rPr>
        <w:t xml:space="preserve">5 years of progressive experience in machine learning</w:t>
      </w:r>
      <w:r>
        <w:t xml:space="preserve">.</w:t>
      </w:r>
      <w:r>
        <w:t xml:space="preserve">”</w:t>
      </w:r>
      <w:r>
        <w:t xml:space="preserve"> </w:t>
      </w:r>
      <w:r>
        <w:t xml:space="preserve">This formulation tracks the beneficiary’s exact profile (an ECE degree plus ~6 years of ML experience) and is the type of alternative requirement USCIS scrutinizes as potentially tailored to the beneficiary. Moreover, the alternative is only weakly supported on the experience side (see Issues 4 and 14).</w:t>
      </w:r>
    </w:p>
    <w:p>
      <w:pPr>
        <w:pStyle w:val="FirstParagraph"/>
      </w:pPr>
      <w:r>
        <w:rPr>
          <w:b/>
          <w:bCs/>
        </w:rPr>
        <w:t xml:space="preserve">Risk:</w:t>
      </w:r>
      <w:r>
        <w:t xml:space="preserve"> </w:t>
      </w:r>
      <w:r>
        <w:t xml:space="preserve">USCIS may find that neither the primary requirement (CS/ML/AI or closely related field) nor the alternative (any engineering degree + 5 years ML) is adequately established, leading to a qualifications-based RFE or denial.</w:t>
      </w:r>
    </w:p>
    <w:p>
      <w:pPr>
        <w:pStyle w:val="BodyText"/>
      </w:pPr>
      <w:r>
        <w:rPr>
          <w:b/>
          <w:bCs/>
        </w:rPr>
        <w:t xml:space="preserve">Recommendation:</w:t>
      </w:r>
      <w:r>
        <w:t xml:space="preserve"> </w:t>
      </w:r>
      <w:r>
        <w:t xml:space="preserve">Obtain a</w:t>
      </w:r>
      <w:r>
        <w:t xml:space="preserve"> </w:t>
      </w:r>
      <w:r>
        <w:rPr>
          <w:b/>
          <w:bCs/>
        </w:rPr>
        <w:t xml:space="preserve">supplemental expert opinion / credential evaluation</w:t>
      </w:r>
      <w:r>
        <w:t xml:space="preserve"> </w:t>
      </w:r>
      <w:r>
        <w:t xml:space="preserve">that specifically addresses whether ECE is</w:t>
      </w:r>
      <w:r>
        <w:t xml:space="preserve"> </w:t>
      </w:r>
      <w:r>
        <w:t xml:space="preserve">“</w:t>
      </w:r>
      <w:r>
        <w:t xml:space="preserve">closely related</w:t>
      </w:r>
      <w:r>
        <w:t xml:space="preserve">”</w:t>
      </w:r>
      <w:r>
        <w:t xml:space="preserve"> </w:t>
      </w:r>
      <w:r>
        <w:t xml:space="preserve">to the ML-engineering specialty, citing the AI/data-structures coursework and the substantial post-graduate ML experience. Alternatively, lean on the alternative-qualification path but</w:t>
      </w:r>
      <w:r>
        <w:t xml:space="preserve"> </w:t>
      </w:r>
      <w:r>
        <w:rPr>
          <w:b/>
          <w:bCs/>
        </w:rPr>
        <w:t xml:space="preserve">document the 5 years of progressive ML experience robustly</w:t>
      </w:r>
      <w:r>
        <w:t xml:space="preserve"> </w:t>
      </w:r>
      <w:r>
        <w:t xml:space="preserve">(see Issue 4) and be prepared to defend the alternative as a bona fide, pre-existing requirement (e.g., with evidence of similar prior hires and the industry standard).</w:t>
      </w:r>
    </w:p>
    <w:p>
      <w:r>
        <w:pict>
          <v:rect style="width:0;height:1.5pt" o:hralign="center" o:hrstd="t" o:hr="t"/>
        </w:pict>
      </w:r>
    </w:p>
    <w:bookmarkEnd w:id="24"/>
    <w:bookmarkStart w:id="25" w:name="X74c25c30f56e4743c74223da07106c5ac682856"/>
    <w:p>
      <w:pPr>
        <w:pStyle w:val="Heading4"/>
      </w:pPr>
      <w:r>
        <w:t xml:space="preserve">Issue 3 — Material date discrepancies between the résumé and the experience letters</w:t>
      </w:r>
    </w:p>
    <w:p>
      <w:pPr>
        <w:pStyle w:val="FirstParagraph"/>
      </w:pPr>
      <w:r>
        <w:rPr>
          <w:b/>
          <w:bCs/>
        </w:rPr>
        <w:t xml:space="preserve">Documents:</w:t>
      </w:r>
      <w:r>
        <w:t xml:space="preserve"> </w:t>
      </w:r>
      <w:r>
        <w:t xml:space="preserve">Beneficiary résumé; Kiran experience letter; NovaStar experience letter; employer support letter.</w:t>
      </w:r>
    </w:p>
    <w:p>
      <w:pPr>
        <w:pStyle w:val="BodyText"/>
      </w:pPr>
      <w:r>
        <w:t xml:space="preserve">The résumé’s employment dates conflict with the contemporaneous experience letters in two respects:</w:t>
      </w:r>
    </w:p>
    <w:tbl>
      <w:tblPr>
        <w:tblStyle w:val="Table"/>
        <w:tblW w:type="pct" w:w="5000"/>
        <w:jc w:val="left"/>
        <w:tblLayout w:type="fixed"/>
        <w:tblLook w:firstRow="1" w:lastRow="0" w:firstColumn="0" w:lastColumn="0" w:noHBand="0" w:noVBand="0" w:val="0020"/>
      </w:tblPr>
      <w:tblGrid>
        <w:gridCol w:w="1257"/>
        <w:gridCol w:w="1760"/>
        <w:gridCol w:w="3268"/>
        <w:gridCol w:w="1634"/>
      </w:tblGrid>
      <w:tr>
        <w:trPr>
          <w:tblHeader w:val="on"/>
        </w:trPr>
        <w:tc>
          <w:tcPr/>
          <w:p>
            <w:pPr>
              <w:pStyle w:val="Compact"/>
              <w:jc w:val="left"/>
            </w:pPr>
            <w:r>
              <w:t xml:space="preserve">Position</w:t>
            </w:r>
          </w:p>
        </w:tc>
        <w:tc>
          <w:tcPr/>
          <w:p>
            <w:pPr>
              <w:pStyle w:val="Compact"/>
              <w:jc w:val="left"/>
            </w:pPr>
            <w:r>
              <w:t xml:space="preserve">Résumé dates</w:t>
            </w:r>
          </w:p>
        </w:tc>
        <w:tc>
          <w:tcPr/>
          <w:p>
            <w:pPr>
              <w:pStyle w:val="Compact"/>
              <w:jc w:val="left"/>
            </w:pPr>
            <w:r>
              <w:t xml:space="preserve">Experience-letter dates</w:t>
            </w:r>
          </w:p>
        </w:tc>
        <w:tc>
          <w:tcPr/>
          <w:p>
            <w:pPr>
              <w:pStyle w:val="Compact"/>
              <w:jc w:val="left"/>
            </w:pPr>
            <w:r>
              <w:t xml:space="preserve">Discrepancy</w:t>
            </w:r>
          </w:p>
        </w:tc>
      </w:tr>
      <w:tr>
        <w:tc>
          <w:tcPr/>
          <w:p>
            <w:pPr>
              <w:pStyle w:val="Compact"/>
              <w:jc w:val="left"/>
            </w:pPr>
            <w:r>
              <w:t xml:space="preserve">Kiran Software Solutions (Junior Software Developer)</w:t>
            </w:r>
          </w:p>
        </w:tc>
        <w:tc>
          <w:tcPr/>
          <w:p>
            <w:pPr>
              <w:pStyle w:val="Compact"/>
              <w:jc w:val="left"/>
            </w:pPr>
            <w:r>
              <w:t xml:space="preserve">June 2014 –</w:t>
            </w:r>
            <w:r>
              <w:t xml:space="preserve"> </w:t>
            </w:r>
            <w:r>
              <w:rPr>
                <w:b/>
                <w:bCs/>
              </w:rPr>
              <w:t xml:space="preserve">March 2017</w:t>
            </w:r>
          </w:p>
        </w:tc>
        <w:tc>
          <w:tcPr/>
          <w:p>
            <w:pPr>
              <w:pStyle w:val="Compact"/>
              <w:jc w:val="left"/>
            </w:pPr>
            <w:r>
              <w:t xml:space="preserve">June 16, 2014 –</w:t>
            </w:r>
            <w:r>
              <w:t xml:space="preserve"> </w:t>
            </w:r>
            <w:r>
              <w:rPr>
                <w:b/>
                <w:bCs/>
              </w:rPr>
              <w:t xml:space="preserve">December 9, 2016</w:t>
            </w:r>
          </w:p>
        </w:tc>
        <w:tc>
          <w:tcPr/>
          <w:p>
            <w:pPr>
              <w:pStyle w:val="Compact"/>
              <w:jc w:val="left"/>
            </w:pPr>
            <w:r>
              <w:t xml:space="preserve">Résumé overstates end date by ~3 months</w:t>
            </w:r>
          </w:p>
        </w:tc>
      </w:tr>
      <w:tr>
        <w:tc>
          <w:tcPr/>
          <w:p>
            <w:pPr>
              <w:pStyle w:val="Compact"/>
              <w:jc w:val="left"/>
            </w:pPr>
            <w:r>
              <w:t xml:space="preserve">NovaStar Data Systems (Machine Learning Analyst)</w:t>
            </w:r>
          </w:p>
        </w:tc>
        <w:tc>
          <w:tcPr/>
          <w:p>
            <w:pPr>
              <w:pStyle w:val="Compact"/>
              <w:jc w:val="left"/>
            </w:pPr>
            <w:r>
              <w:t xml:space="preserve">April 2017 –</w:t>
            </w:r>
            <w:r>
              <w:t xml:space="preserve"> </w:t>
            </w:r>
            <w:r>
              <w:rPr>
                <w:b/>
                <w:bCs/>
              </w:rPr>
              <w:t xml:space="preserve">August 2020</w:t>
            </w:r>
          </w:p>
        </w:tc>
        <w:tc>
          <w:tcPr/>
          <w:p>
            <w:pPr>
              <w:pStyle w:val="Compact"/>
              <w:jc w:val="left"/>
            </w:pPr>
            <w:r>
              <w:t xml:space="preserve">April 2017 –</w:t>
            </w:r>
            <w:r>
              <w:t xml:space="preserve"> </w:t>
            </w:r>
            <w:r>
              <w:rPr>
                <w:b/>
                <w:bCs/>
              </w:rPr>
              <w:t xml:space="preserve">July 2020</w:t>
            </w:r>
          </w:p>
        </w:tc>
        <w:tc>
          <w:tcPr/>
          <w:p>
            <w:pPr>
              <w:pStyle w:val="Compact"/>
              <w:jc w:val="left"/>
            </w:pPr>
            <w:r>
              <w:t xml:space="preserve">Résumé overstates end date by ~1 month</w:t>
            </w:r>
          </w:p>
        </w:tc>
      </w:tr>
    </w:tbl>
    <w:p>
      <w:pPr>
        <w:pStyle w:val="BodyText"/>
      </w:pPr>
      <w:r>
        <w:t xml:space="preserve">The Kiran discrepancy is the more serious: by extending Kiran to March 2017, the résumé</w:t>
      </w:r>
      <w:r>
        <w:t xml:space="preserve"> </w:t>
      </w:r>
      <w:r>
        <w:rPr>
          <w:b/>
          <w:bCs/>
        </w:rPr>
        <w:t xml:space="preserve">masks an approximately 3.7-month employment gap</w:t>
      </w:r>
      <w:r>
        <w:t xml:space="preserve"> </w:t>
      </w:r>
      <w:r>
        <w:t xml:space="preserve">(December 10, 2016 – March 31, 2017) between Kiran and NovaStar. The support letter adopts the experience-letter dates (December 2016 and July 2020), so the package as filed contains an</w:t>
      </w:r>
      <w:r>
        <w:t xml:space="preserve"> </w:t>
      </w:r>
      <w:r>
        <w:rPr>
          <w:b/>
          <w:bCs/>
        </w:rPr>
        <w:t xml:space="preserve">internal conflict</w:t>
      </w:r>
      <w:r>
        <w:t xml:space="preserve"> </w:t>
      </w:r>
      <w:r>
        <w:t xml:space="preserve">between the résumé and the support letter/experience letters.</w:t>
      </w:r>
    </w:p>
    <w:p>
      <w:pPr>
        <w:pStyle w:val="BodyText"/>
      </w:pPr>
      <w:r>
        <w:rPr>
          <w:b/>
          <w:bCs/>
        </w:rPr>
        <w:t xml:space="preserve">Risk:</w:t>
      </w:r>
      <w:r>
        <w:t xml:space="preserve"> </w:t>
      </w:r>
      <w:r>
        <w:t xml:space="preserve">USCIS routinely compares the résumé to the experience letters. A pattern of overstated end dates — and especially an end date that conceals an employment gap — can undermine the beneficiary’s credibility and trigger an RFE on the experience timeline. The gap itself is not disqualifying, but the appearance of concealing it is harmful.</w:t>
      </w:r>
    </w:p>
    <w:p>
      <w:pPr>
        <w:pStyle w:val="BodyText"/>
      </w:pPr>
      <w:r>
        <w:rPr>
          <w:b/>
          <w:bCs/>
        </w:rPr>
        <w:t xml:space="preserve">Recommendation:</w:t>
      </w:r>
      <w:r>
        <w:t xml:space="preserve"> </w:t>
      </w:r>
      <w:r>
        <w:t xml:space="preserve">Correct the résumé to match the experience letters (Kiran through December 2016; NovaStar through July 2020) and, if asked, be prepared to account for the January–March 2017 gap (e.g., job search, return to India, study). Ensure the résumé, support letter, and experience letters tell a single consistent timeline.</w:t>
      </w:r>
    </w:p>
    <w:p>
      <w:r>
        <w:pict>
          <v:rect style="width:0;height:1.5pt" o:hralign="center" o:hrstd="t" o:hr="t"/>
        </w:pict>
      </w:r>
    </w:p>
    <w:bookmarkEnd w:id="25"/>
    <w:bookmarkEnd w:id="26"/>
    <w:bookmarkStart w:id="30" w:name="b.-significant-issues"/>
    <w:p>
      <w:pPr>
        <w:pStyle w:val="Heading3"/>
      </w:pPr>
      <w:r>
        <w:t xml:space="preserve">B. Significant Issues</w:t>
      </w:r>
    </w:p>
    <w:bookmarkStart w:id="27" w:name="Xfeb20eb2040c62ed7079a608907db7aa36b41bf"/>
    <w:p>
      <w:pPr>
        <w:pStyle w:val="Heading4"/>
      </w:pPr>
      <w:r>
        <w:t xml:space="preserve">Issue 4 — Three-year independent-consulting period is undocumented; it is the only evidence of the specific required skills</w:t>
      </w:r>
    </w:p>
    <w:p>
      <w:pPr>
        <w:pStyle w:val="FirstParagraph"/>
      </w:pPr>
      <w:r>
        <w:rPr>
          <w:b/>
          <w:bCs/>
        </w:rPr>
        <w:t xml:space="preserve">Documents:</w:t>
      </w:r>
      <w:r>
        <w:t xml:space="preserve"> </w:t>
      </w:r>
      <w:r>
        <w:t xml:space="preserve">Beneficiary résumé; NovaStar experience letter; employer support letter (§ 3).</w:t>
      </w:r>
    </w:p>
    <w:p>
      <w:pPr>
        <w:pStyle w:val="BodyText"/>
      </w:pPr>
      <w:r>
        <w:t xml:space="preserve">The position requires</w:t>
      </w:r>
      <w:r>
        <w:t xml:space="preserve"> </w:t>
      </w:r>
      <w:r>
        <w:t xml:space="preserve">“</w:t>
      </w:r>
      <w:r>
        <w:t xml:space="preserve">3 years of progressive experience in machine learning engineering,</w:t>
      </w:r>
      <w:r>
        <w:t xml:space="preserve"> </w:t>
      </w:r>
      <w:r>
        <w:rPr>
          <w:b/>
          <w:bCs/>
        </w:rPr>
        <w:t xml:space="preserve">including demonstrated proficiency with Python, TensorFlow, PyTorch, and cloud-based ML deployment platforms such as AWS SageMaker</w:t>
      </w:r>
      <w:r>
        <w:t xml:space="preserve">,</w:t>
      </w:r>
      <w:r>
        <w:t xml:space="preserve">”</w:t>
      </w:r>
      <w:r>
        <w:t xml:space="preserve"> </w:t>
      </w:r>
      <w:r>
        <w:t xml:space="preserve">plus NLP and LLM fine-tuning. The beneficiary’s claimed ML experience is:</w:t>
      </w:r>
    </w:p>
    <w:p>
      <w:pPr>
        <w:pStyle w:val="Compact"/>
        <w:numPr>
          <w:ilvl w:val="0"/>
          <w:numId w:val="1005"/>
        </w:numPr>
      </w:pPr>
      <w:r>
        <w:rPr>
          <w:b/>
          <w:bCs/>
        </w:rPr>
        <w:t xml:space="preserve">NovaStar (April 2017 – July 2020, ~3.3 years):</w:t>
      </w:r>
      <w:r>
        <w:t xml:space="preserve"> </w:t>
      </w:r>
      <w:r>
        <w:t xml:space="preserve">documented by an experience letter, but the letter references only</w:t>
      </w:r>
      <w:r>
        <w:t xml:space="preserve"> </w:t>
      </w:r>
      <w:r>
        <w:rPr>
          <w:b/>
          <w:bCs/>
        </w:rPr>
        <w:t xml:space="preserve">Python, scikit-learn, Tableau, A/B testing, and SQL</w:t>
      </w:r>
      <w:r>
        <w:t xml:space="preserve"> </w:t>
      </w:r>
      <w:r>
        <w:t xml:space="preserve">— it does</w:t>
      </w:r>
      <w:r>
        <w:t xml:space="preserve"> </w:t>
      </w:r>
      <w:r>
        <w:rPr>
          <w:b/>
          <w:bCs/>
        </w:rPr>
        <w:t xml:space="preserve">not</w:t>
      </w:r>
      <w:r>
        <w:t xml:space="preserve"> </w:t>
      </w:r>
      <w:r>
        <w:t xml:space="preserve">mention TensorFlow, PyTorch, AWS SageMaker, NLP, or LLM fine-tuning.</w:t>
      </w:r>
    </w:p>
    <w:p>
      <w:pPr>
        <w:pStyle w:val="Compact"/>
        <w:numPr>
          <w:ilvl w:val="0"/>
          <w:numId w:val="1005"/>
        </w:numPr>
      </w:pPr>
      <w:r>
        <w:rPr>
          <w:b/>
          <w:bCs/>
        </w:rPr>
        <w:t xml:space="preserve">Independent Machine Learning Consultant (August 2020 – August 2023, ~3 years):</w:t>
      </w:r>
      <w:r>
        <w:t xml:space="preserve"> </w:t>
      </w:r>
      <w:r>
        <w:t xml:space="preserve">self-reported on the résumé only;</w:t>
      </w:r>
      <w:r>
        <w:t xml:space="preserve"> </w:t>
      </w:r>
      <w:r>
        <w:rPr>
          <w:b/>
          <w:bCs/>
        </w:rPr>
        <w:t xml:space="preserve">no experience letter, 1099s, client letters, contracts, or tax records</w:t>
      </w:r>
      <w:r>
        <w:t xml:space="preserve"> </w:t>
      </w:r>
      <w:r>
        <w:t xml:space="preserve">are included. The résumé attributes the TensorFlow/PyTorch/AWS SageMaker/NLP/LLM work to this period.</w:t>
      </w:r>
    </w:p>
    <w:p>
      <w:pPr>
        <w:pStyle w:val="Compact"/>
        <w:numPr>
          <w:ilvl w:val="0"/>
          <w:numId w:val="1005"/>
        </w:numPr>
      </w:pPr>
      <w:r>
        <w:rPr>
          <w:b/>
          <w:bCs/>
        </w:rPr>
        <w:t xml:space="preserve">Brightfield (Sept. 2023 – present):</w:t>
      </w:r>
      <w:r>
        <w:t xml:space="preserve"> </w:t>
      </w:r>
      <w:r>
        <w:t xml:space="preserve">current; described on the résumé but not corroborated by a separate letter.</w:t>
      </w:r>
    </w:p>
    <w:p>
      <w:pPr>
        <w:pStyle w:val="FirstParagraph"/>
      </w:pPr>
      <w:r>
        <w:rPr>
          <w:b/>
          <w:bCs/>
        </w:rPr>
        <w:t xml:space="preserve">Risk:</w:t>
      </w:r>
      <w:r>
        <w:t xml:space="preserve"> </w:t>
      </w:r>
      <w:r>
        <w:t xml:space="preserve">The</w:t>
      </w:r>
      <w:r>
        <w:t xml:space="preserve"> </w:t>
      </w:r>
      <w:r>
        <w:rPr>
          <w:b/>
          <w:bCs/>
        </w:rPr>
        <w:t xml:space="preserve">documented</w:t>
      </w:r>
      <w:r>
        <w:t xml:space="preserve"> </w:t>
      </w:r>
      <w:r>
        <w:t xml:space="preserve">ML experience (NovaStar) does not corroborate the specific required skills; those skills appear only in the</w:t>
      </w:r>
      <w:r>
        <w:t xml:space="preserve"> </w:t>
      </w:r>
      <w:r>
        <w:rPr>
          <w:b/>
          <w:bCs/>
        </w:rPr>
        <w:t xml:space="preserve">undocumented</w:t>
      </w:r>
      <w:r>
        <w:t xml:space="preserve"> </w:t>
      </w:r>
      <w:r>
        <w:t xml:space="preserve">consulting period. USCIS may find the beneficiary has not established, by independent evidence, the 3 years of progressive ML experience with the required tools. The independent-consulting period is also inherently harder to verify.</w:t>
      </w:r>
    </w:p>
    <w:p>
      <w:pPr>
        <w:pStyle w:val="BodyText"/>
      </w:pPr>
      <w:r>
        <w:rPr>
          <w:b/>
          <w:bCs/>
        </w:rPr>
        <w:t xml:space="preserve">Recommendation:</w:t>
      </w:r>
      <w:r>
        <w:t xml:space="preserve"> </w:t>
      </w:r>
      <w:r>
        <w:t xml:space="preserve">Corroborate the consulting period with at least two of: client engagement letters, 1099/ Schedule C tax records, signed statements describing projects and tools, or a self-employment affidavit with project artifacts. At minimum, obtain letters from 1–2 consulting clients confirming the TensorFlow/PyTorch/AWS SageMaker/NLP work and dates.</w:t>
      </w:r>
    </w:p>
    <w:p>
      <w:r>
        <w:pict>
          <v:rect style="width:0;height:1.5pt" o:hralign="center" o:hrstd="t" o:hr="t"/>
        </w:pict>
      </w:r>
    </w:p>
    <w:bookmarkEnd w:id="27"/>
    <w:bookmarkStart w:id="28" w:name="X8de0dd315e0998754ceaf66eb36381543427696"/>
    <w:p>
      <w:pPr>
        <w:pStyle w:val="Heading4"/>
      </w:pPr>
      <w:r>
        <w:t xml:space="preserve">Issue 5 — Supervisory team-size discrepancy (3 vs. 2 direct reports)</w:t>
      </w:r>
    </w:p>
    <w:p>
      <w:pPr>
        <w:pStyle w:val="FirstParagraph"/>
      </w:pPr>
      <w:r>
        <w:rPr>
          <w:b/>
          <w:bCs/>
        </w:rPr>
        <w:t xml:space="preserve">Documents:</w:t>
      </w:r>
      <w:r>
        <w:t xml:space="preserve"> </w:t>
      </w:r>
      <w:r>
        <w:t xml:space="preserve">Employer support letter (§ 2, duty 4); org chart.</w:t>
      </w:r>
    </w:p>
    <w:p>
      <w:pPr>
        <w:pStyle w:val="BodyText"/>
      </w:pPr>
      <w:r>
        <w:t xml:space="preserve">The support letter states the beneficiary will</w:t>
      </w:r>
      <w:r>
        <w:t xml:space="preserve"> </w:t>
      </w:r>
      <w:r>
        <w:t xml:space="preserve">“</w:t>
      </w:r>
      <w:r>
        <w:t xml:space="preserve">lead[] and mentor[] a team of</w:t>
      </w:r>
      <w:r>
        <w:t xml:space="preserve"> </w:t>
      </w:r>
      <w:r>
        <w:rPr>
          <w:b/>
          <w:bCs/>
        </w:rPr>
        <w:t xml:space="preserve">3 junior data scientists</w:t>
      </w:r>
      <w:r>
        <w:t xml:space="preserve">.</w:t>
      </w:r>
      <w:r>
        <w:t xml:space="preserve">”</w:t>
      </w:r>
      <w:r>
        <w:t xml:space="preserve"> </w:t>
      </w:r>
      <w:r>
        <w:t xml:space="preserve">The org chart shows only</w:t>
      </w:r>
      <w:r>
        <w:t xml:space="preserve"> </w:t>
      </w:r>
      <w:r>
        <w:rPr>
          <w:b/>
          <w:bCs/>
        </w:rPr>
        <w:t xml:space="preserve">2 Data Scientists</w:t>
      </w:r>
      <w:r>
        <w:t xml:space="preserve"> </w:t>
      </w:r>
      <w:r>
        <w:t xml:space="preserve">as direct reports to the Senior Machine Learning Engineer. This is an internal inconsistency in the package’s own description of the supervisory scope.</w:t>
      </w:r>
    </w:p>
    <w:p>
      <w:pPr>
        <w:pStyle w:val="BodyText"/>
      </w:pPr>
      <w:r>
        <w:rPr>
          <w:b/>
          <w:bCs/>
        </w:rPr>
        <w:t xml:space="preserve">Risk:</w:t>
      </w:r>
      <w:r>
        <w:t xml:space="preserve"> </w:t>
      </w:r>
      <w:r>
        <w:t xml:space="preserve">Beyond the bare inconsistency, the discrepancy bears directly on the wage-level analysis (Issue 1): supervisory responsibility is a Level 3 indicator, and the package is not even internally consistent on how many people are supervised. USCIS may question the accuracy of the position description.</w:t>
      </w:r>
    </w:p>
    <w:p>
      <w:pPr>
        <w:pStyle w:val="BodyText"/>
      </w:pPr>
      <w:r>
        <w:rPr>
          <w:b/>
          <w:bCs/>
        </w:rPr>
        <w:t xml:space="preserve">Recommendation:</w:t>
      </w:r>
      <w:r>
        <w:t xml:space="preserve"> </w:t>
      </w:r>
      <w:r>
        <w:t xml:space="preserve">Reconcile the number (confirm whether 2 or 3) and make the support letter and org chart consistent. If the team is being expanded, document the planned hires; if it is 2, correct the support letter.</w:t>
      </w:r>
    </w:p>
    <w:p>
      <w:r>
        <w:pict>
          <v:rect style="width:0;height:1.5pt" o:hralign="center" o:hrstd="t" o:hr="t"/>
        </w:pict>
      </w:r>
    </w:p>
    <w:bookmarkEnd w:id="28"/>
    <w:bookmarkStart w:id="29" w:name="X39b8879ba222216e34ad3911c344bc90613852b"/>
    <w:p>
      <w:pPr>
        <w:pStyle w:val="Heading4"/>
      </w:pPr>
      <w:r>
        <w:t xml:space="preserve">Issue 6 — Current job title (</w:t>
      </w:r>
      <w:r>
        <w:t xml:space="preserve">“</w:t>
      </w:r>
      <w:r>
        <w:t xml:space="preserve">Data Scientist</w:t>
      </w:r>
      <w:r>
        <w:t xml:space="preserve">”</w:t>
      </w:r>
      <w:r>
        <w:t xml:space="preserve">) differs from petitioned title (</w:t>
      </w:r>
      <w:r>
        <w:t xml:space="preserve">“</w:t>
      </w:r>
      <w:r>
        <w:t xml:space="preserve">Senior Machine Learning Engineer</w:t>
      </w:r>
      <w:r>
        <w:t xml:space="preserve">”</w:t>
      </w:r>
      <w:r>
        <w:t xml:space="preserve">)</w:t>
      </w:r>
    </w:p>
    <w:p>
      <w:pPr>
        <w:pStyle w:val="FirstParagraph"/>
      </w:pPr>
      <w:r>
        <w:rPr>
          <w:b/>
          <w:bCs/>
        </w:rPr>
        <w:t xml:space="preserve">Documents:</w:t>
      </w:r>
      <w:r>
        <w:t xml:space="preserve"> </w:t>
      </w:r>
      <w:r>
        <w:t xml:space="preserve">Beneficiary résumé; employer support letter; org chart.</w:t>
      </w:r>
    </w:p>
    <w:p>
      <w:pPr>
        <w:pStyle w:val="BodyText"/>
      </w:pPr>
      <w:r>
        <w:t xml:space="preserve">The résumé lists the beneficiary’s current Brightfield role as</w:t>
      </w:r>
      <w:r>
        <w:t xml:space="preserve"> </w:t>
      </w:r>
      <w:r>
        <w:rPr>
          <w:b/>
          <w:bCs/>
        </w:rPr>
        <w:t xml:space="preserve">“</w:t>
      </w:r>
      <w:r>
        <w:rPr>
          <w:b/>
          <w:bCs/>
        </w:rPr>
        <w:t xml:space="preserve">Data Scientist</w:t>
      </w:r>
      <w:r>
        <w:rPr>
          <w:b/>
          <w:bCs/>
        </w:rPr>
        <w:t xml:space="preserve">”</w:t>
      </w:r>
      <w:r>
        <w:t xml:space="preserve"> </w:t>
      </w:r>
      <w:r>
        <w:t xml:space="preserve">(September 2023 – present). The petitioned position is</w:t>
      </w:r>
      <w:r>
        <w:t xml:space="preserve"> </w:t>
      </w:r>
      <w:r>
        <w:rPr>
          <w:b/>
          <w:bCs/>
        </w:rPr>
        <w:t xml:space="preserve">“</w:t>
      </w:r>
      <w:r>
        <w:rPr>
          <w:b/>
          <w:bCs/>
        </w:rPr>
        <w:t xml:space="preserve">Senior Machine Learning Engineer,</w:t>
      </w:r>
      <w:r>
        <w:rPr>
          <w:b/>
          <w:bCs/>
        </w:rPr>
        <w:t xml:space="preserve">”</w:t>
      </w:r>
      <w:r>
        <w:t xml:space="preserve"> </w:t>
      </w:r>
      <w:r>
        <w:t xml:space="preserve">which the org chart labels as a</w:t>
      </w:r>
      <w:r>
        <w:t xml:space="preserve"> </w:t>
      </w:r>
      <w:r>
        <w:rPr>
          <w:b/>
          <w:bCs/>
        </w:rPr>
        <w:t xml:space="preserve">“</w:t>
      </w:r>
      <w:r>
        <w:rPr>
          <w:b/>
          <w:bCs/>
        </w:rPr>
        <w:t xml:space="preserve">Proposed</w:t>
      </w:r>
      <w:r>
        <w:rPr>
          <w:b/>
          <w:bCs/>
        </w:rPr>
        <w:t xml:space="preserve">”</w:t>
      </w:r>
      <w:r>
        <w:t xml:space="preserve"> </w:t>
      </w:r>
      <w:r>
        <w:t xml:space="preserve">position with the beneficiary as the</w:t>
      </w:r>
      <w:r>
        <w:t xml:space="preserve"> </w:t>
      </w:r>
      <w:r>
        <w:rPr>
          <w:b/>
          <w:bCs/>
        </w:rPr>
        <w:t xml:space="preserve">“</w:t>
      </w:r>
      <w:r>
        <w:rPr>
          <w:b/>
          <w:bCs/>
        </w:rPr>
        <w:t xml:space="preserve">Proposed</w:t>
      </w:r>
      <w:r>
        <w:rPr>
          <w:b/>
          <w:bCs/>
        </w:rPr>
        <w:t xml:space="preserve">”</w:t>
      </w:r>
      <w:r>
        <w:t xml:space="preserve"> </w:t>
      </w:r>
      <w:r>
        <w:t xml:space="preserve">incumbent. The support letter does not explain the relationship between the two titles.</w:t>
      </w:r>
    </w:p>
    <w:p>
      <w:pPr>
        <w:pStyle w:val="BodyText"/>
      </w:pPr>
      <w:r>
        <w:rPr>
          <w:b/>
          <w:bCs/>
        </w:rPr>
        <w:t xml:space="preserve">Risk:</w:t>
      </w:r>
      <w:r>
        <w:t xml:space="preserve"> </w:t>
      </w:r>
      <w:r>
        <w:t xml:space="preserve">USCIS may be confused about whether the beneficiary is already performing the petitioned duties (and at what title) or is being promoted into a new role. An unexplained title change can raise questions about the bona fide nature of the petitioned position and about whether the beneficiary is being</w:t>
      </w:r>
      <w:r>
        <w:t xml:space="preserve"> </w:t>
      </w:r>
      <w:r>
        <w:t xml:space="preserve">“</w:t>
      </w:r>
      <w:r>
        <w:t xml:space="preserve">benched</w:t>
      </w:r>
      <w:r>
        <w:t xml:space="preserve">”</w:t>
      </w:r>
      <w:r>
        <w:t xml:space="preserve"> </w:t>
      </w:r>
      <w:r>
        <w:t xml:space="preserve">or under-employed in the interim.</w:t>
      </w:r>
    </w:p>
    <w:p>
      <w:pPr>
        <w:pStyle w:val="BodyText"/>
      </w:pPr>
      <w:r>
        <w:rPr>
          <w:b/>
          <w:bCs/>
        </w:rPr>
        <w:t xml:space="preserve">Recommendation:</w:t>
      </w:r>
      <w:r>
        <w:t xml:space="preserve"> </w:t>
      </w:r>
      <w:r>
        <w:t xml:space="preserve">Clarify in the support letter whether this is a</w:t>
      </w:r>
      <w:r>
        <w:t xml:space="preserve"> </w:t>
      </w:r>
      <w:r>
        <w:rPr>
          <w:b/>
          <w:bCs/>
        </w:rPr>
        <w:t xml:space="preserve">promotion/new role</w:t>
      </w:r>
      <w:r>
        <w:t xml:space="preserve"> </w:t>
      </w:r>
      <w:r>
        <w:t xml:space="preserve">(and document the change in duties, reporting line, and effective date) or whether</w:t>
      </w:r>
      <w:r>
        <w:t xml:space="preserve"> </w:t>
      </w:r>
      <w:r>
        <w:t xml:space="preserve">“</w:t>
      </w:r>
      <w:r>
        <w:t xml:space="preserve">Data Scientist</w:t>
      </w:r>
      <w:r>
        <w:t xml:space="preserve">”</w:t>
      </w:r>
      <w:r>
        <w:t xml:space="preserve"> </w:t>
      </w:r>
      <w:r>
        <w:t xml:space="preserve">on the résumé was simply an imprecise label for the same role. Ensure the résumé, support letter, and org chart describe one consistent position.</w:t>
      </w:r>
    </w:p>
    <w:p>
      <w:r>
        <w:pict>
          <v:rect style="width:0;height:1.5pt" o:hralign="center" o:hrstd="t" o:hr="t"/>
        </w:pict>
      </w:r>
    </w:p>
    <w:bookmarkEnd w:id="29"/>
    <w:bookmarkEnd w:id="30"/>
    <w:bookmarkStart w:id="36" w:name="c.-moderate-issues"/>
    <w:p>
      <w:pPr>
        <w:pStyle w:val="Heading3"/>
      </w:pPr>
      <w:r>
        <w:t xml:space="preserve">C. Moderate Issues</w:t>
      </w:r>
    </w:p>
    <w:bookmarkStart w:id="31" w:name="X3d5e9b4db3181bc9b85f28704ed9c5365f1edfa"/>
    <w:p>
      <w:pPr>
        <w:pStyle w:val="Heading4"/>
      </w:pPr>
      <w:r>
        <w:t xml:space="preserve">Issue 7 — Credential evaluator’s qualifications may undermine the evaluation’s weight</w:t>
      </w:r>
    </w:p>
    <w:p>
      <w:pPr>
        <w:pStyle w:val="FirstParagraph"/>
      </w:pPr>
      <w:r>
        <w:rPr>
          <w:b/>
          <w:bCs/>
        </w:rPr>
        <w:t xml:space="preserve">Documents:</w:t>
      </w:r>
      <w:r>
        <w:t xml:space="preserve"> </w:t>
      </w:r>
      <w:r>
        <w:t xml:space="preserve">Credential evaluation (signature block).</w:t>
      </w:r>
    </w:p>
    <w:p>
      <w:pPr>
        <w:pStyle w:val="BodyText"/>
      </w:pPr>
      <w:r>
        <w:t xml:space="preserve">The evaluation is signed by</w:t>
      </w:r>
      <w:r>
        <w:t xml:space="preserve"> </w:t>
      </w:r>
      <w:r>
        <w:t xml:space="preserve">“</w:t>
      </w:r>
      <w:r>
        <w:t xml:space="preserve">Dr. Linda Farnsworth, Ph.D., Senior Credential Analyst,</w:t>
      </w:r>
      <w:r>
        <w:t xml:space="preserve">”</w:t>
      </w:r>
      <w:r>
        <w:t xml:space="preserve"> </w:t>
      </w:r>
      <w:r>
        <w:t xml:space="preserve">whose credential line reads</w:t>
      </w:r>
      <w:r>
        <w:t xml:space="preserve"> </w:t>
      </w:r>
      <w:r>
        <w:t xml:space="preserve">“</w:t>
      </w:r>
      <w:r>
        <w:rPr>
          <w:b/>
          <w:bCs/>
        </w:rPr>
        <w:t xml:space="preserve">Ph.D., Education — Halford University</w:t>
      </w:r>
      <w:r>
        <w:t xml:space="preserve">.</w:t>
      </w:r>
      <w:r>
        <w:t xml:space="preserve">”</w:t>
      </w:r>
      <w:r>
        <w:t xml:space="preserve"> </w:t>
      </w:r>
      <w:r>
        <w:t xml:space="preserve">Two concerns: (i)</w:t>
      </w:r>
      <w:r>
        <w:t xml:space="preserve"> </w:t>
      </w:r>
      <w:r>
        <w:t xml:space="preserve">“</w:t>
      </w:r>
      <w:r>
        <w:t xml:space="preserve">Halford University</w:t>
      </w:r>
      <w:r>
        <w:t xml:space="preserve">”</w:t>
      </w:r>
      <w:r>
        <w:t xml:space="preserve"> </w:t>
      </w:r>
      <w:r>
        <w:t xml:space="preserve">is not a recognized, regionally accredited U.S. institution, which may diminish the evaluator’s credibility with USCIS; and (ii) the evaluator’s doctorate is in</w:t>
      </w:r>
      <w:r>
        <w:t xml:space="preserve"> </w:t>
      </w:r>
      <w:r>
        <w:rPr>
          <w:b/>
          <w:bCs/>
        </w:rPr>
        <w:t xml:space="preserve">Education</w:t>
      </w:r>
      <w:r>
        <w:t xml:space="preserve">, a field unrelated to the engineering/computer-science discipline being evaluated. While Westbridge is represented as a NACES-member agency (which lends institutional credibility), the individual evaluator’s credentials are a soft point, particularly where the evaluation is being asked to support a technical specialty-occupation case.</w:t>
      </w:r>
    </w:p>
    <w:p>
      <w:pPr>
        <w:pStyle w:val="BodyText"/>
      </w:pPr>
      <w:r>
        <w:rPr>
          <w:b/>
          <w:bCs/>
        </w:rPr>
        <w:t xml:space="preserve">Recommendation:</w:t>
      </w:r>
      <w:r>
        <w:t xml:space="preserve"> </w:t>
      </w:r>
      <w:r>
        <w:t xml:space="preserve">Confirm Westbridge’s NACES membership is current and consider requesting an evaluation prepared or co-signed by an evaluator with a credential in a technical/engineering discipline, or supplement with an expert opinion from a qualified technical expert (see Issue 2).</w:t>
      </w:r>
    </w:p>
    <w:p>
      <w:r>
        <w:pict>
          <v:rect style="width:0;height:1.5pt" o:hralign="center" o:hrstd="t" o:hr="t"/>
        </w:pict>
      </w:r>
    </w:p>
    <w:bookmarkEnd w:id="31"/>
    <w:bookmarkStart w:id="32" w:name="X6aed47c1c89874c536e7c606484e927f22d9468"/>
    <w:p>
      <w:pPr>
        <w:pStyle w:val="Heading4"/>
      </w:pPr>
      <w:r>
        <w:t xml:space="preserve">Issue 8 — LCA may have been filed outside the 6-month window</w:t>
      </w:r>
    </w:p>
    <w:p>
      <w:pPr>
        <w:pStyle w:val="FirstParagraph"/>
      </w:pPr>
      <w:r>
        <w:rPr>
          <w:b/>
          <w:bCs/>
        </w:rPr>
        <w:t xml:space="preserve">Documents:</w:t>
      </w:r>
      <w:r>
        <w:t xml:space="preserve"> </w:t>
      </w:r>
      <w:r>
        <w:t xml:space="preserve">Certified LCA (§§ M.1, J.2); LCA posting notice; employer support letter (§ 2).</w:t>
      </w:r>
    </w:p>
    <w:p>
      <w:pPr>
        <w:pStyle w:val="BodyText"/>
      </w:pPr>
      <w:r>
        <w:t xml:space="preserve">The LCA was filed/certified on</w:t>
      </w:r>
      <w:r>
        <w:t xml:space="preserve"> </w:t>
      </w:r>
      <w:r>
        <w:rPr>
          <w:b/>
          <w:bCs/>
        </w:rPr>
        <w:t xml:space="preserve">March 10, 2025</w:t>
      </w:r>
      <w:r>
        <w:t xml:space="preserve">, for a period of employment beginning</w:t>
      </w:r>
      <w:r>
        <w:t xml:space="preserve"> </w:t>
      </w:r>
      <w:r>
        <w:rPr>
          <w:b/>
          <w:bCs/>
        </w:rPr>
        <w:t xml:space="preserve">October 1, 2025</w:t>
      </w:r>
      <w:r>
        <w:t xml:space="preserve"> </w:t>
      </w:r>
      <w:r>
        <w:t xml:space="preserve">— approximately</w:t>
      </w:r>
      <w:r>
        <w:t xml:space="preserve"> </w:t>
      </w:r>
      <w:r>
        <w:rPr>
          <w:b/>
          <w:bCs/>
        </w:rPr>
        <w:t xml:space="preserve">205 days (~6.7 months)</w:t>
      </w:r>
      <w:r>
        <w:t xml:space="preserve"> </w:t>
      </w:r>
      <w:r>
        <w:t xml:space="preserve">before the start of employment. Under 20 C.F.R. § 655.733, an LCA may not be filed more than</w:t>
      </w:r>
      <w:r>
        <w:t xml:space="preserve"> </w:t>
      </w:r>
      <w:r>
        <w:rPr>
          <w:b/>
          <w:bCs/>
        </w:rPr>
        <w:t xml:space="preserve">6 months</w:t>
      </w:r>
      <w:r>
        <w:t xml:space="preserve"> </w:t>
      </w:r>
      <w:r>
        <w:t xml:space="preserve">before the beginning of the period of intended employment (i.e., no earlier than April 1, 2025). The filing date appears to be roughly three weeks early.</w:t>
      </w:r>
    </w:p>
    <w:p>
      <w:pPr>
        <w:pStyle w:val="BodyText"/>
      </w:pPr>
      <w:r>
        <w:rPr>
          <w:b/>
          <w:bCs/>
        </w:rPr>
        <w:t xml:space="preserve">Risk:</w:t>
      </w:r>
      <w:r>
        <w:t xml:space="preserve"> </w:t>
      </w:r>
      <w:r>
        <w:t xml:space="preserve">DOL’s FLAG system ordinarily rejects filings outside the window, so this may reflect a documentation inconsistency (e.g., the</w:t>
      </w:r>
      <w:r>
        <w:t xml:space="preserve"> </w:t>
      </w:r>
      <w:r>
        <w:t xml:space="preserve">“</w:t>
      </w:r>
      <w:r>
        <w:t xml:space="preserve">Date of LCA Filing</w:t>
      </w:r>
      <w:r>
        <w:t xml:space="preserve">”</w:t>
      </w:r>
      <w:r>
        <w:t xml:space="preserve"> </w:t>
      </w:r>
      <w:r>
        <w:t xml:space="preserve">on the posting notice may not match the actual submission date) rather than a true violation — but the documents as written show an apparent early filing, which should be reconciled.</w:t>
      </w:r>
    </w:p>
    <w:p>
      <w:pPr>
        <w:pStyle w:val="BodyText"/>
      </w:pPr>
      <w:r>
        <w:rPr>
          <w:b/>
          <w:bCs/>
        </w:rPr>
        <w:t xml:space="preserve">Recommendation:</w:t>
      </w:r>
      <w:r>
        <w:t xml:space="preserve"> </w:t>
      </w:r>
      <w:r>
        <w:t xml:space="preserve">Verify the actual LCA submission date in FLAG against the dates printed on the LCA and posting notice. If the documents misstate the filing date, correct them; if the LCA was genuinely filed early, consult DOL guidance and consider whether a corrected/refiled LCA is needed.</w:t>
      </w:r>
    </w:p>
    <w:p>
      <w:r>
        <w:pict>
          <v:rect style="width:0;height:1.5pt" o:hralign="center" o:hrstd="t" o:hr="t"/>
        </w:pict>
      </w:r>
    </w:p>
    <w:bookmarkEnd w:id="32"/>
    <w:bookmarkStart w:id="33" w:name="X892d1cba4edee5e800461a04340511d45c56cec"/>
    <w:p>
      <w:pPr>
        <w:pStyle w:val="Heading4"/>
      </w:pPr>
      <w:r>
        <w:t xml:space="preserve">Issue 9 — LCA posting period may be short of the 10-business-day requirement</w:t>
      </w:r>
    </w:p>
    <w:p>
      <w:pPr>
        <w:pStyle w:val="FirstParagraph"/>
      </w:pPr>
      <w:r>
        <w:rPr>
          <w:b/>
          <w:bCs/>
        </w:rPr>
        <w:t xml:space="preserve">Documents:</w:t>
      </w:r>
      <w:r>
        <w:t xml:space="preserve"> </w:t>
      </w:r>
      <w:r>
        <w:t xml:space="preserve">Certified LCA (§ J.2); LCA posting notice.</w:t>
      </w:r>
    </w:p>
    <w:p>
      <w:pPr>
        <w:pStyle w:val="BodyText"/>
      </w:pPr>
      <w:r>
        <w:t xml:space="preserve">The notice was posted</w:t>
      </w:r>
      <w:r>
        <w:t xml:space="preserve"> </w:t>
      </w:r>
      <w:r>
        <w:rPr>
          <w:b/>
          <w:bCs/>
        </w:rPr>
        <w:t xml:space="preserve">March 10, 2025</w:t>
      </w:r>
      <w:r>
        <w:t xml:space="preserve"> </w:t>
      </w:r>
      <w:r>
        <w:t xml:space="preserve">and removed</w:t>
      </w:r>
      <w:r>
        <w:t xml:space="preserve"> </w:t>
      </w:r>
      <w:r>
        <w:rPr>
          <w:b/>
          <w:bCs/>
        </w:rPr>
        <w:t xml:space="preserve">March 19, 2025</w:t>
      </w:r>
      <w:r>
        <w:t xml:space="preserve">. Counting consecutive business days (excluding the weekends of March 15–16), this period spans only</w:t>
      </w:r>
      <w:r>
        <w:t xml:space="preserve"> </w:t>
      </w:r>
      <w:r>
        <w:rPr>
          <w:b/>
          <w:bCs/>
        </w:rPr>
        <w:t xml:space="preserve">8 business days</w:t>
      </w:r>
      <w:r>
        <w:t xml:space="preserve"> </w:t>
      </w:r>
      <w:r>
        <w:t xml:space="preserve">— short of the</w:t>
      </w:r>
      <w:r>
        <w:t xml:space="preserve"> </w:t>
      </w:r>
      <w:r>
        <w:t xml:space="preserve">“</w:t>
      </w:r>
      <w:r>
        <w:t xml:space="preserve">at least 10 consecutive business days</w:t>
      </w:r>
      <w:r>
        <w:t xml:space="preserve">”</w:t>
      </w:r>
      <w:r>
        <w:t xml:space="preserve"> </w:t>
      </w:r>
      <w:r>
        <w:t xml:space="preserve">required by 20 C.F.R. § 655.734(a)(1).</w:t>
      </w:r>
    </w:p>
    <w:p>
      <w:pPr>
        <w:pStyle w:val="BodyText"/>
      </w:pPr>
      <w:r>
        <w:rPr>
          <w:b/>
          <w:bCs/>
        </w:rPr>
        <w:t xml:space="preserve">Risk:</w:t>
      </w:r>
      <w:r>
        <w:t xml:space="preserve"> </w:t>
      </w:r>
      <w:r>
        <w:t xml:space="preserve">An under-length posting is a technical LCA-compliance deficiency that DOL can cite in an audit and that USCIS may question. To reach 10 business days from a March 10 start, posting should have run through at least</w:t>
      </w:r>
      <w:r>
        <w:t xml:space="preserve"> </w:t>
      </w:r>
      <w:r>
        <w:rPr>
          <w:b/>
          <w:bCs/>
        </w:rPr>
        <w:t xml:space="preserve">March 21, 2025</w:t>
      </w:r>
      <w:r>
        <w:t xml:space="preserve"> </w:t>
      </w:r>
      <w:r>
        <w:t xml:space="preserve">(Friday).</w:t>
      </w:r>
    </w:p>
    <w:p>
      <w:pPr>
        <w:pStyle w:val="BodyText"/>
      </w:pPr>
      <w:r>
        <w:rPr>
          <w:b/>
          <w:bCs/>
        </w:rPr>
        <w:t xml:space="preserve">Recommendation:</w:t>
      </w:r>
      <w:r>
        <w:t xml:space="preserve"> </w:t>
      </w:r>
      <w:r>
        <w:t xml:space="preserve">Confirm the actual posting dates. If the posting was indeed only 8 business days, re-post for the full 10-business-day period and update the posting notice / LCA documentation accordingly before relying on the LCA.</w:t>
      </w:r>
    </w:p>
    <w:p>
      <w:r>
        <w:pict>
          <v:rect style="width:0;height:1.5pt" o:hralign="center" o:hrstd="t" o:hr="t"/>
        </w:pict>
      </w:r>
    </w:p>
    <w:bookmarkEnd w:id="33"/>
    <w:bookmarkStart w:id="34" w:name="Xdf72ea1726a8e900d59eb2f7ab05507509fce55"/>
    <w:p>
      <w:pPr>
        <w:pStyle w:val="Heading4"/>
      </w:pPr>
      <w:r>
        <w:t xml:space="preserve">Issue 10 — F-1 OPT/STEM OPT validity and cap-gap are not documented</w:t>
      </w:r>
    </w:p>
    <w:p>
      <w:pPr>
        <w:pStyle w:val="FirstParagraph"/>
      </w:pPr>
      <w:r>
        <w:rPr>
          <w:b/>
          <w:bCs/>
        </w:rPr>
        <w:t xml:space="preserve">Documents:</w:t>
      </w:r>
      <w:r>
        <w:t xml:space="preserve"> </w:t>
      </w:r>
      <w:r>
        <w:t xml:space="preserve">Employer support letter (§ 4).</w:t>
      </w:r>
    </w:p>
    <w:p>
      <w:pPr>
        <w:pStyle w:val="BodyText"/>
      </w:pPr>
      <w:r>
        <w:t xml:space="preserve">The support letter states the beneficiary</w:t>
      </w:r>
      <w:r>
        <w:t xml:space="preserve"> </w:t>
      </w:r>
      <w:r>
        <w:t xml:space="preserve">“</w:t>
      </w:r>
      <w:r>
        <w:t xml:space="preserve">is currently maintaining valid F-1 Optional Practical Training (OPT) status and will transition to H-1B nonimmigrant status effective October 1, 2025,</w:t>
      </w:r>
      <w:r>
        <w:t xml:space="preserve">”</w:t>
      </w:r>
      <w:r>
        <w:t xml:space="preserve"> </w:t>
      </w:r>
      <w:r>
        <w:t xml:space="preserve">but the package contains</w:t>
      </w:r>
      <w:r>
        <w:t xml:space="preserve"> </w:t>
      </w:r>
      <w:r>
        <w:rPr>
          <w:b/>
          <w:bCs/>
        </w:rPr>
        <w:t xml:space="preserve">no evidence of current OPT/STEM OPT validity, no OPT end date, and no cap-gap I-20</w:t>
      </w:r>
      <w:r>
        <w:t xml:space="preserve">. Because Brightfield employment began September 2023, standard 12-month post-completion OPT would have lapsed around September 2024; continued work authorization through April 2025 implies a</w:t>
      </w:r>
      <w:r>
        <w:t xml:space="preserve"> </w:t>
      </w:r>
      <w:r>
        <w:rPr>
          <w:b/>
          <w:bCs/>
        </w:rPr>
        <w:t xml:space="preserve">STEM OPT extension</w:t>
      </w:r>
      <w:r>
        <w:t xml:space="preserve">, which depends on the degree being a STEM-designated program and on a timely-filed I-765.</w:t>
      </w:r>
    </w:p>
    <w:p>
      <w:pPr>
        <w:pStyle w:val="BodyText"/>
      </w:pPr>
      <w:r>
        <w:rPr>
          <w:b/>
          <w:bCs/>
        </w:rPr>
        <w:t xml:space="preserve">Risk:</w:t>
      </w:r>
      <w:r>
        <w:t xml:space="preserve"> </w:t>
      </w:r>
      <w:r>
        <w:t xml:space="preserve">If the beneficiary’s work authorization lapses before October 1, 2025 (the H-1B start date), there is a</w:t>
      </w:r>
      <w:r>
        <w:t xml:space="preserve"> </w:t>
      </w:r>
      <w:r>
        <w:rPr>
          <w:b/>
          <w:bCs/>
        </w:rPr>
        <w:t xml:space="preserve">status/employment-authorization gap</w:t>
      </w:r>
      <w:r>
        <w:t xml:space="preserve"> </w:t>
      </w:r>
      <w:r>
        <w:t xml:space="preserve">that could require the beneficiary to cease work and/or depart the United States, and could complicate the change-of-status request. The October 1 start date (typical of cap-subject filings) makes cap-gap relief relevant.</w:t>
      </w:r>
    </w:p>
    <w:p>
      <w:pPr>
        <w:pStyle w:val="BodyText"/>
      </w:pPr>
      <w:r>
        <w:rPr>
          <w:b/>
          <w:bCs/>
        </w:rPr>
        <w:t xml:space="preserve">Recommendation:</w:t>
      </w:r>
      <w:r>
        <w:t xml:space="preserve"> </w:t>
      </w:r>
      <w:r>
        <w:t xml:space="preserve">Include current Form I-20s (including the STEM OPT I-20 with the cap-gap recommendation if applicable), the EAD, and evidence of timely STEM OPT filing. Confirm the ECE degree is on the STEM-designated-degree-program list. If a gap is possible, plan for consular notification rather than change of status.</w:t>
      </w:r>
    </w:p>
    <w:p>
      <w:r>
        <w:pict>
          <v:rect style="width:0;height:1.5pt" o:hralign="center" o:hrstd="t" o:hr="t"/>
        </w:pict>
      </w:r>
    </w:p>
    <w:bookmarkEnd w:id="34"/>
    <w:bookmarkStart w:id="35" w:name="Xee012b7ba809dc638a0979cdf145d72a467fdba"/>
    <w:p>
      <w:pPr>
        <w:pStyle w:val="Heading4"/>
      </w:pPr>
      <w:r>
        <w:t xml:space="preserve">Issue 11 — Remote-work / additional-worksite coverage under the LCA</w:t>
      </w:r>
    </w:p>
    <w:p>
      <w:pPr>
        <w:pStyle w:val="FirstParagraph"/>
      </w:pPr>
      <w:r>
        <w:rPr>
          <w:b/>
          <w:bCs/>
        </w:rPr>
        <w:t xml:space="preserve">Documents:</w:t>
      </w:r>
      <w:r>
        <w:t xml:space="preserve"> </w:t>
      </w:r>
      <w:r>
        <w:t xml:space="preserve">Certified LCA (§ H); employer support letter (§ 1); org chart.</w:t>
      </w:r>
    </w:p>
    <w:p>
      <w:pPr>
        <w:pStyle w:val="BodyText"/>
      </w:pPr>
      <w:r>
        <w:t xml:space="preserve">The LCA lists a</w:t>
      </w:r>
      <w:r>
        <w:t xml:space="preserve"> </w:t>
      </w:r>
      <w:r>
        <w:rPr>
          <w:b/>
          <w:bCs/>
        </w:rPr>
        <w:t xml:space="preserve">single worksite</w:t>
      </w:r>
      <w:r>
        <w:t xml:space="preserve"> </w:t>
      </w:r>
      <w:r>
        <w:t xml:space="preserve">(4200 Congress Avenue, Austin). The support letter and org chart, however, describe a company with a</w:t>
      </w:r>
      <w:r>
        <w:t xml:space="preserve"> </w:t>
      </w:r>
      <w:r>
        <w:rPr>
          <w:b/>
          <w:bCs/>
        </w:rPr>
        <w:t xml:space="preserve">Denver satellite office and a</w:t>
      </w:r>
      <w:r>
        <w:rPr>
          <w:b/>
          <w:bCs/>
        </w:rPr>
        <w:t xml:space="preserve"> </w:t>
      </w:r>
      <w:r>
        <w:rPr>
          <w:b/>
          <w:bCs/>
        </w:rPr>
        <w:t xml:space="preserve">“</w:t>
      </w:r>
      <w:r>
        <w:rPr>
          <w:b/>
          <w:bCs/>
        </w:rPr>
        <w:t xml:space="preserve">distributed remote team.</w:t>
      </w:r>
      <w:r>
        <w:rPr>
          <w:b/>
          <w:bCs/>
        </w:rPr>
        <w:t xml:space="preserve">”</w:t>
      </w:r>
      <w:r>
        <w:t xml:space="preserve"> </w:t>
      </w:r>
      <w:r>
        <w:t xml:space="preserve">If the beneficiary will work from home (his résumé lists an Austin residence) or from any non-Austin location — even occasionally — the LCA must cover that worksite.</w:t>
      </w:r>
    </w:p>
    <w:p>
      <w:pPr>
        <w:pStyle w:val="BodyText"/>
      </w:pPr>
      <w:r>
        <w:rPr>
          <w:b/>
          <w:bCs/>
        </w:rPr>
        <w:t xml:space="preserve">Risk:</w:t>
      </w:r>
      <w:r>
        <w:t xml:space="preserve"> </w:t>
      </w:r>
      <w:r>
        <w:t xml:space="preserve">Post-pandemic, USCIS and DOL scrutinize worksite coverage closely. Work at an unlisted worksite is an LCA-compliance violation and can jeopardize the petition.</w:t>
      </w:r>
    </w:p>
    <w:p>
      <w:pPr>
        <w:pStyle w:val="BodyText"/>
      </w:pPr>
      <w:r>
        <w:rPr>
          <w:b/>
          <w:bCs/>
        </w:rPr>
        <w:t xml:space="preserve">Recommendation:</w:t>
      </w:r>
      <w:r>
        <w:t xml:space="preserve"> </w:t>
      </w:r>
      <w:r>
        <w:t xml:space="preserve">Confirm in writing that the beneficiary will work exclusively at the Austin HQ. If any remote or Denver work is contemplated, file an amended/new LCA covering the additional worksite(s) and post notice there.</w:t>
      </w:r>
    </w:p>
    <w:p>
      <w:r>
        <w:pict>
          <v:rect style="width:0;height:1.5pt" o:hralign="center" o:hrstd="t" o:hr="t"/>
        </w:pict>
      </w:r>
    </w:p>
    <w:bookmarkEnd w:id="35"/>
    <w:bookmarkEnd w:id="36"/>
    <w:bookmarkStart w:id="40" w:name="d.-minor-data-integrity-issues"/>
    <w:p>
      <w:pPr>
        <w:pStyle w:val="Heading3"/>
      </w:pPr>
      <w:r>
        <w:t xml:space="preserve">D. Minor / Data-Integrity Issues</w:t>
      </w:r>
    </w:p>
    <w:bookmarkStart w:id="37" w:name="X0b0dd7e4c04e6107d4ed8585d32a17b82e5c586"/>
    <w:p>
      <w:pPr>
        <w:pStyle w:val="Heading4"/>
      </w:pPr>
      <w:r>
        <w:t xml:space="preserve">Issue 12 — Inconsistent employer telephone numbers across documents (one matches the beneficiary’s personal number)</w:t>
      </w:r>
    </w:p>
    <w:p>
      <w:pPr>
        <w:pStyle w:val="FirstParagraph"/>
      </w:pPr>
      <w:r>
        <w:rPr>
          <w:b/>
          <w:bCs/>
        </w:rPr>
        <w:t xml:space="preserve">Documents:</w:t>
      </w:r>
      <w:r>
        <w:t xml:space="preserve"> </w:t>
      </w:r>
      <w:r>
        <w:t xml:space="preserve">Certified LCA (§§ C.4, D.4); employer support letter (header &amp; § 6); LCA posting notice; PWD (§ 2); beneficiary résumé.</w:t>
      </w:r>
    </w:p>
    <w:p>
      <w:pPr>
        <w:pStyle w:val="BodyText"/>
      </w:pPr>
      <w:r>
        <w:t xml:space="preserve">Four different telephone numbers appear for the employer / HR contact: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Telephone</w:t>
            </w:r>
          </w:p>
        </w:tc>
      </w:tr>
      <w:tr>
        <w:tc>
          <w:tcPr/>
          <w:p>
            <w:pPr>
              <w:pStyle w:val="Compact"/>
              <w:jc w:val="left"/>
            </w:pPr>
            <w:r>
              <w:t xml:space="preserve">Certified LCA (employer &amp; POC)</w:t>
            </w:r>
          </w:p>
        </w:tc>
        <w:tc>
          <w:tcPr/>
          <w:p>
            <w:pPr>
              <w:pStyle w:val="Compact"/>
              <w:jc w:val="left"/>
            </w:pPr>
            <w:r>
              <w:t xml:space="preserve">(512) 555-</w:t>
            </w:r>
            <w:r>
              <w:rPr>
                <w:b/>
                <w:bCs/>
              </w:rPr>
              <w:t xml:space="preserve">0142</w:t>
            </w:r>
          </w:p>
        </w:tc>
      </w:tr>
      <w:tr>
        <w:tc>
          <w:tcPr/>
          <w:p>
            <w:pPr>
              <w:pStyle w:val="Compact"/>
              <w:jc w:val="left"/>
            </w:pPr>
            <w:r>
              <w:t xml:space="preserve">Employer support letter</w:t>
            </w:r>
          </w:p>
        </w:tc>
        <w:tc>
          <w:tcPr/>
          <w:p>
            <w:pPr>
              <w:pStyle w:val="Compact"/>
              <w:jc w:val="left"/>
            </w:pPr>
            <w:r>
              <w:t xml:space="preserve">(512) 555-</w:t>
            </w:r>
            <w:r>
              <w:rPr>
                <w:b/>
                <w:bCs/>
              </w:rPr>
              <w:t xml:space="preserve">0194</w:t>
            </w:r>
          </w:p>
        </w:tc>
      </w:tr>
      <w:tr>
        <w:tc>
          <w:tcPr/>
          <w:p>
            <w:pPr>
              <w:pStyle w:val="Compact"/>
              <w:jc w:val="left"/>
            </w:pPr>
            <w:r>
              <w:t xml:space="preserve">LCA posting notice (posted by P. Kwon)</w:t>
            </w:r>
          </w:p>
        </w:tc>
        <w:tc>
          <w:tcPr/>
          <w:p>
            <w:pPr>
              <w:pStyle w:val="Compact"/>
              <w:jc w:val="left"/>
            </w:pPr>
            <w:r>
              <w:t xml:space="preserve">(512) 555-</w:t>
            </w:r>
            <w:r>
              <w:rPr>
                <w:b/>
                <w:bCs/>
              </w:rPr>
              <w:t xml:space="preserve">0174</w:t>
            </w:r>
          </w:p>
        </w:tc>
      </w:tr>
      <w:tr>
        <w:tc>
          <w:tcPr/>
          <w:p>
            <w:pPr>
              <w:pStyle w:val="Compact"/>
              <w:jc w:val="left"/>
            </w:pPr>
            <w:r>
              <w:t xml:space="preserve">PWD (employer phone)</w:t>
            </w:r>
          </w:p>
        </w:tc>
        <w:tc>
          <w:tcPr/>
          <w:p>
            <w:pPr>
              <w:pStyle w:val="Compact"/>
              <w:jc w:val="left"/>
            </w:pPr>
            <w:r>
              <w:t xml:space="preserve">(512) 555-</w:t>
            </w:r>
            <w:r>
              <w:rPr>
                <w:b/>
                <w:bCs/>
              </w:rPr>
              <w:t xml:space="preserve">0187</w:t>
            </w:r>
          </w:p>
        </w:tc>
      </w:tr>
    </w:tbl>
    <w:p>
      <w:pPr>
        <w:pStyle w:val="BodyText"/>
      </w:pPr>
      <w:r>
        <w:t xml:space="preserve">Most notably, the</w:t>
      </w:r>
      <w:r>
        <w:t xml:space="preserve"> </w:t>
      </w:r>
      <w:r>
        <w:rPr>
          <w:b/>
          <w:bCs/>
        </w:rPr>
        <w:t xml:space="preserve">posting-notice number (512) 555-0174 is identical to the beneficiary’s personal mobile number</w:t>
      </w:r>
      <w:r>
        <w:t xml:space="preserve"> </w:t>
      </w:r>
      <w:r>
        <w:t xml:space="preserve">on his résumé. This is a red flag: it suggests a clerical error or the use of placeholder data on the posting notice, and it creates an inconsistency between the posting notice and the LCA (which lists Patricia Kwon’s number as 555-0142).</w:t>
      </w:r>
    </w:p>
    <w:p>
      <w:pPr>
        <w:pStyle w:val="BodyText"/>
      </w:pPr>
      <w:r>
        <w:rPr>
          <w:b/>
          <w:bCs/>
        </w:rPr>
        <w:t xml:space="preserve">Recommendation:</w:t>
      </w:r>
      <w:r>
        <w:t xml:space="preserve"> </w:t>
      </w:r>
      <w:r>
        <w:t xml:space="preserve">Standardize the employer/HR contact telephone across all documents and correct the posting notice so it does not display the beneficiary’s personal number.</w:t>
      </w:r>
    </w:p>
    <w:p>
      <w:r>
        <w:pict>
          <v:rect style="width:0;height:1.5pt" o:hralign="center" o:hrstd="t" o:hr="t"/>
        </w:pict>
      </w:r>
    </w:p>
    <w:bookmarkEnd w:id="37"/>
    <w:bookmarkStart w:id="38" w:name="X906423eb28c9259752da8abe30950c2f5cad358"/>
    <w:p>
      <w:pPr>
        <w:pStyle w:val="Heading4"/>
      </w:pPr>
      <w:r>
        <w:t xml:space="preserve">Issue 13 — Posting-location documentation (two locations claimed, one documented)</w:t>
      </w:r>
    </w:p>
    <w:p>
      <w:pPr>
        <w:pStyle w:val="FirstParagraph"/>
      </w:pPr>
      <w:r>
        <w:rPr>
          <w:b/>
          <w:bCs/>
        </w:rPr>
        <w:t xml:space="preserve">Documents:</w:t>
      </w:r>
      <w:r>
        <w:t xml:space="preserve"> </w:t>
      </w:r>
      <w:r>
        <w:t xml:space="preserve">Certified LCA (§ J.3); LCA posting notice.</w:t>
      </w:r>
    </w:p>
    <w:p>
      <w:pPr>
        <w:pStyle w:val="BodyText"/>
      </w:pPr>
      <w:r>
        <w:t xml:space="preserve">The posting notice states the notice</w:t>
      </w:r>
      <w:r>
        <w:t xml:space="preserve"> </w:t>
      </w:r>
      <w:r>
        <w:t xml:space="preserve">“</w:t>
      </w:r>
      <w:r>
        <w:t xml:space="preserve">is being posted in</w:t>
      </w:r>
      <w:r>
        <w:t xml:space="preserve"> </w:t>
      </w:r>
      <w:r>
        <w:rPr>
          <w:b/>
          <w:bCs/>
        </w:rPr>
        <w:t xml:space="preserve">two conspicuous locations</w:t>
      </w:r>
      <w:r>
        <w:t xml:space="preserve">,</w:t>
      </w:r>
      <w:r>
        <w:t xml:space="preserve">”</w:t>
      </w:r>
      <w:r>
        <w:t xml:space="preserve"> </w:t>
      </w:r>
      <w:r>
        <w:t xml:space="preserve">but the LCA (§ J.3) documents only</w:t>
      </w:r>
      <w:r>
        <w:t xml:space="preserve"> </w:t>
      </w:r>
      <w:r>
        <w:rPr>
          <w:b/>
          <w:bCs/>
        </w:rPr>
        <w:t xml:space="preserve">one</w:t>
      </w:r>
      <w:r>
        <w:t xml:space="preserve"> </w:t>
      </w:r>
      <w:r>
        <w:t xml:space="preserve">location (</w:t>
      </w:r>
      <w:r>
        <w:t xml:space="preserve">“</w:t>
      </w:r>
      <w:r>
        <w:t xml:space="preserve">Employee common area / break room, first floor</w:t>
      </w:r>
      <w:r>
        <w:t xml:space="preserve">”</w:t>
      </w:r>
      <w:r>
        <w:t xml:space="preserve">). The second posting location is not identified anywhere in the package.</w:t>
      </w:r>
    </w:p>
    <w:p>
      <w:pPr>
        <w:pStyle w:val="BodyText"/>
      </w:pPr>
      <w:r>
        <w:rPr>
          <w:b/>
          <w:bCs/>
        </w:rPr>
        <w:t xml:space="preserve">Recommendation:</w:t>
      </w:r>
      <w:r>
        <w:t xml:space="preserve"> </w:t>
      </w:r>
      <w:r>
        <w:t xml:space="preserve">Document both posting locations (with photographs or a signed posting log) and ensure the LCA and posting notice are consistent.</w:t>
      </w:r>
    </w:p>
    <w:p>
      <w:r>
        <w:pict>
          <v:rect style="width:0;height:1.5pt" o:hralign="center" o:hrstd="t" o:hr="t"/>
        </w:pict>
      </w:r>
    </w:p>
    <w:bookmarkEnd w:id="38"/>
    <w:bookmarkStart w:id="39" w:name="Xf86c073c8e701278311e4e05037212c910083ba"/>
    <w:p>
      <w:pPr>
        <w:pStyle w:val="Heading4"/>
      </w:pPr>
      <w:r>
        <w:t xml:space="preserve">Issue 14 — Experience-claim inconsistency (</w:t>
      </w:r>
      <w:r>
        <w:t xml:space="preserve">“</w:t>
      </w:r>
      <w:r>
        <w:t xml:space="preserve">7+</w:t>
      </w:r>
      <w:r>
        <w:t xml:space="preserve">”</w:t>
      </w:r>
      <w:r>
        <w:t xml:space="preserve"> </w:t>
      </w:r>
      <w:r>
        <w:t xml:space="preserve">vs. </w:t>
      </w:r>
      <w:r>
        <w:t xml:space="preserve">“</w:t>
      </w:r>
      <w:r>
        <w:t xml:space="preserve">over 8</w:t>
      </w:r>
      <w:r>
        <w:t xml:space="preserve">”</w:t>
      </w:r>
      <w:r>
        <w:t xml:space="preserve"> </w:t>
      </w:r>
      <w:r>
        <w:t xml:space="preserve">years) and characterization of the Kiran period</w:t>
      </w:r>
    </w:p>
    <w:p>
      <w:pPr>
        <w:pStyle w:val="FirstParagraph"/>
      </w:pPr>
      <w:r>
        <w:rPr>
          <w:b/>
          <w:bCs/>
        </w:rPr>
        <w:t xml:space="preserve">Documents:</w:t>
      </w:r>
      <w:r>
        <w:t xml:space="preserve"> </w:t>
      </w:r>
      <w:r>
        <w:t xml:space="preserve">Beneficiary résumé (Professional Summary); employer support letter (§ 4); Kiran experience letter.</w:t>
      </w:r>
    </w:p>
    <w:p>
      <w:pPr>
        <w:pStyle w:val="BodyText"/>
      </w:pPr>
      <w:r>
        <w:t xml:space="preserve">Two related minor points:</w:t>
      </w:r>
    </w:p>
    <w:p>
      <w:pPr>
        <w:pStyle w:val="Compact"/>
        <w:numPr>
          <w:ilvl w:val="0"/>
          <w:numId w:val="1006"/>
        </w:numPr>
      </w:pPr>
      <w:r>
        <w:t xml:space="preserve">The résumé summary states</w:t>
      </w:r>
      <w:r>
        <w:t xml:space="preserve"> </w:t>
      </w:r>
      <w:r>
        <w:t xml:space="preserve">“</w:t>
      </w:r>
      <w:r>
        <w:rPr>
          <w:b/>
          <w:bCs/>
        </w:rPr>
        <w:t xml:space="preserve">7+ years</w:t>
      </w:r>
      <w:r>
        <w:t xml:space="preserve"> </w:t>
      </w:r>
      <w:r>
        <w:t xml:space="preserve">of experience,</w:t>
      </w:r>
      <w:r>
        <w:t xml:space="preserve">”</w:t>
      </w:r>
      <w:r>
        <w:t xml:space="preserve"> </w:t>
      </w:r>
      <w:r>
        <w:t xml:space="preserve">while the support letter states</w:t>
      </w:r>
      <w:r>
        <w:t xml:space="preserve"> </w:t>
      </w:r>
      <w:r>
        <w:t xml:space="preserve">“</w:t>
      </w:r>
      <w:r>
        <w:rPr>
          <w:b/>
          <w:bCs/>
        </w:rPr>
        <w:t xml:space="preserve">over 8 years</w:t>
      </w:r>
      <w:r>
        <w:t xml:space="preserve"> </w:t>
      </w:r>
      <w:r>
        <w:t xml:space="preserve">of progressive experience.</w:t>
      </w:r>
      <w:r>
        <w:t xml:space="preserve">”</w:t>
      </w:r>
      <w:r>
        <w:t xml:space="preserve"> </w:t>
      </w:r>
      <w:r>
        <w:t xml:space="preserve">Both understate the actual ~10.8 years of work history (June 2014 – April 2025), but the two documents are inconsistent with each other.</w:t>
      </w:r>
    </w:p>
    <w:p>
      <w:pPr>
        <w:pStyle w:val="Compact"/>
        <w:numPr>
          <w:ilvl w:val="0"/>
          <w:numId w:val="1006"/>
        </w:numPr>
      </w:pPr>
      <w:r>
        <w:t xml:space="preserve">The support letter aggregates</w:t>
      </w:r>
      <w:r>
        <w:t xml:space="preserve"> </w:t>
      </w:r>
      <w:r>
        <w:t xml:space="preserve">“</w:t>
      </w:r>
      <w:r>
        <w:t xml:space="preserve">software development and machine learning engineering</w:t>
      </w:r>
      <w:r>
        <w:t xml:space="preserve">”</w:t>
      </w:r>
      <w:r>
        <w:t xml:space="preserve"> </w:t>
      </w:r>
      <w:r>
        <w:t xml:space="preserve">experience. The</w:t>
      </w:r>
      <w:r>
        <w:t xml:space="preserve"> </w:t>
      </w:r>
      <w:r>
        <w:rPr>
          <w:b/>
          <w:bCs/>
        </w:rPr>
        <w:t xml:space="preserve">Kiran period (2014–2016) is general software development</w:t>
      </w:r>
      <w:r>
        <w:t xml:space="preserve"> </w:t>
      </w:r>
      <w:r>
        <w:t xml:space="preserve">(Java, Python, SQL, databases) —</w:t>
      </w:r>
      <w:r>
        <w:t xml:space="preserve"> </w:t>
      </w:r>
      <w:r>
        <w:rPr>
          <w:b/>
          <w:bCs/>
        </w:rPr>
        <w:t xml:space="preserve">not machine learning</w:t>
      </w:r>
      <w:r>
        <w:t xml:space="preserve"> </w:t>
      </w:r>
      <w:r>
        <w:t xml:space="preserve">— and therefore does</w:t>
      </w:r>
      <w:r>
        <w:t xml:space="preserve"> </w:t>
      </w:r>
      <w:r>
        <w:rPr>
          <w:b/>
          <w:bCs/>
        </w:rPr>
        <w:t xml:space="preserve">not</w:t>
      </w:r>
      <w:r>
        <w:t xml:space="preserve"> </w:t>
      </w:r>
      <w:r>
        <w:t xml:space="preserve">count toward the position’s</w:t>
      </w:r>
      <w:r>
        <w:t xml:space="preserve"> </w:t>
      </w:r>
      <w:r>
        <w:t xml:space="preserve">“</w:t>
      </w:r>
      <w:r>
        <w:t xml:space="preserve">3 years of progressive experience in machine learning engineering.</w:t>
      </w:r>
      <w:r>
        <w:t xml:space="preserve">”</w:t>
      </w:r>
      <w:r>
        <w:t xml:space="preserve"> </w:t>
      </w:r>
      <w:r>
        <w:t xml:space="preserve">The ML-specific requirement is met primarily by NovaStar (~3.3 years, documented, scikit-learn) plus the undocumented consulting period (see Issue 4).</w:t>
      </w:r>
    </w:p>
    <w:p>
      <w:pPr>
        <w:pStyle w:val="FirstParagraph"/>
      </w:pPr>
      <w:r>
        <w:rPr>
          <w:b/>
          <w:bCs/>
        </w:rPr>
        <w:t xml:space="preserve">Recommendation:</w:t>
      </w:r>
      <w:r>
        <w:t xml:space="preserve"> </w:t>
      </w:r>
      <w:r>
        <w:t xml:space="preserve">Align the years-of-experience figure across the résumé and support letter, and be careful not to imply that the Kiran software-development period satisfies the ML-specific experience requirement.</w:t>
      </w:r>
    </w:p>
    <w:p>
      <w:r>
        <w:pict>
          <v:rect style="width:0;height:1.5pt" o:hralign="center" o:hrstd="t" o:hr="t"/>
        </w:pict>
      </w:r>
    </w:p>
    <w:bookmarkEnd w:id="39"/>
    <w:bookmarkEnd w:id="40"/>
    <w:bookmarkEnd w:id="41"/>
    <w:bookmarkStart w:id="42" w:name="X82c36b9ac1004c2f0b09f6947b97cf43639e4e3"/>
    <w:p>
      <w:pPr>
        <w:pStyle w:val="Heading2"/>
      </w:pPr>
      <w:r>
        <w:t xml:space="preserve">V. Additional Documents / Practices to Confirm (Not in Package)</w:t>
      </w:r>
    </w:p>
    <w:p>
      <w:pPr>
        <w:pStyle w:val="FirstParagraph"/>
      </w:pPr>
      <w:r>
        <w:t xml:space="preserve">The following items are not present in the package but are ordinarily expected and should be confirmed before filing:</w:t>
      </w:r>
    </w:p>
    <w:p>
      <w:pPr>
        <w:pStyle w:val="Compact"/>
        <w:numPr>
          <w:ilvl w:val="0"/>
          <w:numId w:val="1007"/>
        </w:numPr>
      </w:pPr>
      <w:r>
        <w:rPr>
          <w:b/>
          <w:bCs/>
        </w:rPr>
        <w:t xml:space="preserve">Public Access File completeness:</w:t>
      </w:r>
      <w:r>
        <w:t xml:space="preserve"> </w:t>
      </w:r>
      <w:r>
        <w:t xml:space="preserve">actual-wage determination memo, prevailing-wage documentation, benefits statement, and a copy of the certified LCA (the LCA references the PA file but its contents are not in the package).</w:t>
      </w:r>
    </w:p>
    <w:p>
      <w:pPr>
        <w:pStyle w:val="Compact"/>
        <w:numPr>
          <w:ilvl w:val="0"/>
          <w:numId w:val="1007"/>
        </w:numPr>
      </w:pPr>
      <w:r>
        <w:rPr>
          <w:b/>
          <w:bCs/>
        </w:rPr>
        <w:t xml:space="preserve">Benefits parity documentation</w:t>
      </w:r>
      <w:r>
        <w:t xml:space="preserve"> </w:t>
      </w:r>
      <w:r>
        <w:t xml:space="preserve">showing the H-1B worker is offered the same benefits as U.S. workers in equivalent positions.</w:t>
      </w:r>
    </w:p>
    <w:p>
      <w:pPr>
        <w:pStyle w:val="Compact"/>
        <w:numPr>
          <w:ilvl w:val="0"/>
          <w:numId w:val="1007"/>
        </w:numPr>
      </w:pPr>
      <w:r>
        <w:rPr>
          <w:b/>
          <w:bCs/>
        </w:rPr>
        <w:t xml:space="preserve">I-129 form and supporting exhibits</w:t>
      </w:r>
      <w:r>
        <w:t xml:space="preserve"> </w:t>
      </w:r>
      <w:r>
        <w:t xml:space="preserve">(Form I-129, filing fees, cap selection proof if applicable).</w:t>
      </w:r>
    </w:p>
    <w:p>
      <w:pPr>
        <w:pStyle w:val="Compact"/>
        <w:numPr>
          <w:ilvl w:val="0"/>
          <w:numId w:val="1007"/>
        </w:numPr>
      </w:pPr>
      <w:r>
        <w:rPr>
          <w:b/>
          <w:bCs/>
        </w:rPr>
        <w:t xml:space="preserve">Current I-94 / status evidence</w:t>
      </w:r>
      <w:r>
        <w:t xml:space="preserve"> </w:t>
      </w:r>
      <w:r>
        <w:t xml:space="preserve">and, as noted in Issue 10, current OPT/STEM OPT and cap-gap documentation.</w:t>
      </w:r>
    </w:p>
    <w:p>
      <w:pPr>
        <w:pStyle w:val="Compact"/>
        <w:numPr>
          <w:ilvl w:val="0"/>
          <w:numId w:val="1007"/>
        </w:numPr>
      </w:pPr>
      <w:r>
        <w:rPr>
          <w:b/>
          <w:bCs/>
        </w:rPr>
        <w:t xml:space="preserve">Itinerary / detailed engagement descriptions</w:t>
      </w:r>
      <w:r>
        <w:t xml:space="preserve"> </w:t>
      </w:r>
      <w:r>
        <w:t xml:space="preserve">if any client-site or off-site work is contemplated.</w:t>
      </w:r>
    </w:p>
    <w:p>
      <w:r>
        <w:pict>
          <v:rect style="width:0;height:1.5pt" o:hralign="center" o:hrstd="t" o:hr="t"/>
        </w:pict>
      </w:r>
    </w:p>
    <w:bookmarkEnd w:id="42"/>
    <w:bookmarkStart w:id="43" w:name="X5f247325cc291df521477fa51fd936870adfb56"/>
    <w:p>
      <w:pPr>
        <w:pStyle w:val="Heading2"/>
      </w:pPr>
      <w:r>
        <w:t xml:space="preserve">VI. Summary of Recommended Actions (Priority Order)</w:t>
      </w:r>
    </w:p>
    <w:p>
      <w:pPr>
        <w:pStyle w:val="Compact"/>
        <w:numPr>
          <w:ilvl w:val="0"/>
          <w:numId w:val="1008"/>
        </w:numPr>
      </w:pPr>
      <w:r>
        <w:rPr>
          <w:b/>
          <w:bCs/>
        </w:rPr>
        <w:t xml:space="preserve">Resolve the wage-level issue (Issue 1).</w:t>
      </w:r>
      <w:r>
        <w:t xml:space="preserve"> </w:t>
      </w:r>
      <w:r>
        <w:t xml:space="preserve">Re-classify at Level 3 and raise the offered wage to ≥ $137,946, or restructure the position description to support Level 2 — recognizing the latter creates specialty-occupation and credibility risks.</w:t>
      </w:r>
      <w:r>
        <w:t xml:space="preserve"> </w:t>
      </w:r>
      <w:r>
        <w:rPr>
          <w:i/>
          <w:iCs/>
        </w:rPr>
        <w:t xml:space="preserve">This is the single most important corrective action.</w:t>
      </w:r>
    </w:p>
    <w:p>
      <w:pPr>
        <w:pStyle w:val="Compact"/>
        <w:numPr>
          <w:ilvl w:val="0"/>
          <w:numId w:val="1008"/>
        </w:numPr>
      </w:pPr>
      <w:r>
        <w:rPr>
          <w:b/>
          <w:bCs/>
        </w:rPr>
        <w:t xml:space="preserve">Bridge the degree-field gap (Issue 2).</w:t>
      </w:r>
      <w:r>
        <w:t xml:space="preserve"> </w:t>
      </w:r>
      <w:r>
        <w:t xml:space="preserve">Obtain a supplemental expert opinion / evaluation addressing</w:t>
      </w:r>
      <w:r>
        <w:t xml:space="preserve"> </w:t>
      </w:r>
      <w:r>
        <w:t xml:space="preserve">“</w:t>
      </w:r>
      <w:r>
        <w:t xml:space="preserve">closely related field,</w:t>
      </w:r>
      <w:r>
        <w:t xml:space="preserve">”</w:t>
      </w:r>
      <w:r>
        <w:t xml:space="preserve"> </w:t>
      </w:r>
      <w:r>
        <w:t xml:space="preserve">or fully document the alternative-qualification path.</w:t>
      </w:r>
    </w:p>
    <w:p>
      <w:pPr>
        <w:pStyle w:val="Compact"/>
        <w:numPr>
          <w:ilvl w:val="0"/>
          <w:numId w:val="1008"/>
        </w:numPr>
      </w:pPr>
      <w:r>
        <w:rPr>
          <w:b/>
          <w:bCs/>
        </w:rPr>
        <w:t xml:space="preserve">Correct the résumé dates (Issue 3)</w:t>
      </w:r>
      <w:r>
        <w:t xml:space="preserve"> </w:t>
      </w:r>
      <w:r>
        <w:t xml:space="preserve">to match the experience letters and account for the Jan.–Mar. 2017 gap.</w:t>
      </w:r>
    </w:p>
    <w:p>
      <w:pPr>
        <w:pStyle w:val="Compact"/>
        <w:numPr>
          <w:ilvl w:val="0"/>
          <w:numId w:val="1008"/>
        </w:numPr>
      </w:pPr>
      <w:r>
        <w:rPr>
          <w:b/>
          <w:bCs/>
        </w:rPr>
        <w:t xml:space="preserve">Document the consulting period (Issue 4)</w:t>
      </w:r>
      <w:r>
        <w:t xml:space="preserve"> </w:t>
      </w:r>
      <w:r>
        <w:t xml:space="preserve">with client letters / 1099s / tax records evidencing the TensorFlow/PyTorch/AWS/NLP work.</w:t>
      </w:r>
    </w:p>
    <w:p>
      <w:pPr>
        <w:pStyle w:val="Compact"/>
        <w:numPr>
          <w:ilvl w:val="0"/>
          <w:numId w:val="1008"/>
        </w:numPr>
      </w:pPr>
      <w:r>
        <w:rPr>
          <w:b/>
          <w:bCs/>
        </w:rPr>
        <w:t xml:space="preserve">Reconcile the team-size (Issue 5)</w:t>
      </w:r>
      <w:r>
        <w:t xml:space="preserve"> </w:t>
      </w:r>
      <w:r>
        <w:t xml:space="preserve">and the current-vs-petitioned title (Issue 6) across the support letter, résumé, and org chart.</w:t>
      </w:r>
    </w:p>
    <w:p>
      <w:pPr>
        <w:pStyle w:val="Compact"/>
        <w:numPr>
          <w:ilvl w:val="0"/>
          <w:numId w:val="1008"/>
        </w:numPr>
      </w:pPr>
      <w:r>
        <w:rPr>
          <w:b/>
          <w:bCs/>
        </w:rPr>
        <w:t xml:space="preserve">Verify LCA filing date (Issue 8) and posting period (Issue 9)</w:t>
      </w:r>
      <w:r>
        <w:t xml:space="preserve">; re-post for 10 business days if needed.</w:t>
      </w:r>
    </w:p>
    <w:p>
      <w:pPr>
        <w:pStyle w:val="Compact"/>
        <w:numPr>
          <w:ilvl w:val="0"/>
          <w:numId w:val="1008"/>
        </w:numPr>
      </w:pPr>
      <w:r>
        <w:rPr>
          <w:b/>
          <w:bCs/>
        </w:rPr>
        <w:t xml:space="preserve">Document OPT/STEM OPT and cap-gap (Issue 10)</w:t>
      </w:r>
      <w:r>
        <w:t xml:space="preserve"> </w:t>
      </w:r>
      <w:r>
        <w:t xml:space="preserve">and confirm worksite coverage (Issue 11).</w:t>
      </w:r>
    </w:p>
    <w:p>
      <w:pPr>
        <w:pStyle w:val="Compact"/>
        <w:numPr>
          <w:ilvl w:val="0"/>
          <w:numId w:val="1008"/>
        </w:numPr>
      </w:pPr>
      <w:r>
        <w:rPr>
          <w:b/>
          <w:bCs/>
        </w:rPr>
        <w:t xml:space="preserve">Clean up data-integrity items (Issues 12–14):</w:t>
      </w:r>
      <w:r>
        <w:t xml:space="preserve"> </w:t>
      </w:r>
      <w:r>
        <w:t xml:space="preserve">standardize the employer telephone (remove the beneficiary’s personal number from the posting notice), document both posting locations, and align the years-of-experience figure.</w:t>
      </w:r>
    </w:p>
    <w:p>
      <w:pPr>
        <w:pStyle w:val="Compact"/>
        <w:numPr>
          <w:ilvl w:val="0"/>
          <w:numId w:val="1008"/>
        </w:numPr>
      </w:pPr>
      <w:r>
        <w:rPr>
          <w:b/>
          <w:bCs/>
        </w:rPr>
        <w:t xml:space="preserve">Confirm PA-file completeness and assemble the remaining I-129 exhibits (Section V).</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petition package is largely coherent on its core data points, but it contains a small number of serious substantive risks — most importantly the</w:t>
      </w:r>
      <w:r>
        <w:t xml:space="preserve"> </w:t>
      </w:r>
      <w:r>
        <w:rPr>
          <w:b/>
          <w:bCs/>
        </w:rPr>
        <w:t xml:space="preserve">wage-level / offered-wage mismatch</w:t>
      </w:r>
      <w:r>
        <w:t xml:space="preserve"> </w:t>
      </w:r>
      <w:r>
        <w:t xml:space="preserve">and the</w:t>
      </w:r>
      <w:r>
        <w:t xml:space="preserve"> </w:t>
      </w:r>
      <w:r>
        <w:rPr>
          <w:b/>
          <w:bCs/>
        </w:rPr>
        <w:t xml:space="preserve">degree-field qualification gap</w:t>
      </w:r>
      <w:r>
        <w:t xml:space="preserve"> </w:t>
      </w:r>
      <w:r>
        <w:t xml:space="preserve">— together with several documentation and consistency problems (date discrepancies, an undocumented consulting period, and scattered data-integrity errors). The issues identified above are correctable. We recommend addressing the Critical and Significant issues before filing and cleaning up the Moderate and Minor items so that the package presents a single, internally consistent, and fully documented record to USCIS.</w:t>
      </w:r>
    </w:p>
    <w:p>
      <w:pPr>
        <w:pStyle w:val="BodyText"/>
      </w:pPr>
      <w:r>
        <w:rPr>
          <w:i/>
          <w:iCs/>
        </w:rPr>
        <w:t xml:space="preserve">Prepared on the basis of the ten documents listed in Section II. This memorandum is privileged and confidential and is intended solely for the use of the legal team in preparing the petition.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2026-06-23T05:36:30Z</dcterms:created>
  <dcterms:modified xsi:type="dcterms:W3CDTF">2026-06-23T05:36:30Z</dcterms:modified>
</cp:coreProperties>
</file>

<file path=docProps/custom.xml><?xml version="1.0" encoding="utf-8"?>
<Properties xmlns="http://schemas.openxmlformats.org/officeDocument/2006/custom-properties" xmlns:vt="http://schemas.openxmlformats.org/officeDocument/2006/docPropsVTypes"/>
</file>